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CE76" w14:textId="77777777" w:rsidR="00995DE7" w:rsidRPr="00995DE7" w:rsidRDefault="006A2006" w:rsidP="002044AE">
      <w:pPr>
        <w:pStyle w:val="Ttulo"/>
        <w:outlineLvl w:val="0"/>
        <w:rPr>
          <w:rFonts w:ascii="Arial" w:hAnsi="Arial"/>
          <w:u w:val="none"/>
          <w:lang w:val="pt-BR"/>
        </w:rPr>
      </w:pPr>
      <w:r>
        <w:rPr>
          <w:rFonts w:ascii="Arial" w:hAnsi="Arial"/>
          <w:noProof/>
          <w:u w:val="none"/>
          <w:lang w:val="pt-BR"/>
        </w:rPr>
        <w:drawing>
          <wp:inline distT="0" distB="0" distL="0" distR="0" wp14:anchorId="4A613AC8" wp14:editId="0F18FA3A">
            <wp:extent cx="3752850" cy="1228725"/>
            <wp:effectExtent l="0" t="0" r="0" b="9525"/>
            <wp:docPr id="3" name="Imagen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1228725"/>
                    </a:xfrm>
                    <a:prstGeom prst="rect">
                      <a:avLst/>
                    </a:prstGeom>
                    <a:noFill/>
                    <a:ln>
                      <a:noFill/>
                    </a:ln>
                  </pic:spPr>
                </pic:pic>
              </a:graphicData>
            </a:graphic>
          </wp:inline>
        </w:drawing>
      </w:r>
    </w:p>
    <w:p w14:paraId="2C566A2C" w14:textId="77777777" w:rsidR="00995DE7" w:rsidRDefault="00995DE7" w:rsidP="00995DE7">
      <w:pPr>
        <w:pStyle w:val="Ttulo"/>
        <w:outlineLvl w:val="0"/>
        <w:rPr>
          <w:rFonts w:ascii="Arial" w:hAnsi="Arial"/>
          <w:lang w:val="pt-BR"/>
        </w:rPr>
      </w:pPr>
    </w:p>
    <w:p w14:paraId="0A33E3A4" w14:textId="77777777" w:rsidR="008F7517" w:rsidRPr="0005554E" w:rsidRDefault="008F7517" w:rsidP="008F7517">
      <w:pPr>
        <w:pStyle w:val="Ttulo"/>
        <w:outlineLvl w:val="0"/>
        <w:rPr>
          <w:rFonts w:ascii="Arial" w:hAnsi="Arial"/>
          <w:sz w:val="32"/>
          <w:szCs w:val="32"/>
          <w:u w:val="none"/>
          <w:lang w:val="pt-BR"/>
        </w:rPr>
      </w:pPr>
      <w:r w:rsidRPr="0005554E">
        <w:rPr>
          <w:rFonts w:ascii="Arial" w:hAnsi="Arial"/>
          <w:sz w:val="32"/>
          <w:szCs w:val="32"/>
          <w:u w:val="none"/>
          <w:lang w:val="pt-BR"/>
        </w:rPr>
        <w:t xml:space="preserve">PROSPECTO </w:t>
      </w:r>
    </w:p>
    <w:p w14:paraId="03B0D343" w14:textId="77777777" w:rsidR="008F7517" w:rsidRPr="0005554E" w:rsidRDefault="008F7517" w:rsidP="008F7517">
      <w:pPr>
        <w:suppressAutoHyphens/>
        <w:jc w:val="center"/>
        <w:rPr>
          <w:rFonts w:ascii="Arial" w:hAnsi="Arial"/>
          <w:b/>
          <w:spacing w:val="-2"/>
          <w:sz w:val="24"/>
          <w:szCs w:val="24"/>
          <w:u w:val="single"/>
          <w:lang w:val="pt-BR"/>
        </w:rPr>
      </w:pPr>
    </w:p>
    <w:p w14:paraId="31A56C29" w14:textId="77777777" w:rsidR="008F7517" w:rsidRPr="0005554E" w:rsidRDefault="00B30B0B" w:rsidP="008F7517">
      <w:pPr>
        <w:pStyle w:val="Textoindependiente3"/>
        <w:spacing w:line="240" w:lineRule="auto"/>
        <w:rPr>
          <w:rFonts w:ascii="Arial" w:hAnsi="Arial"/>
          <w:sz w:val="24"/>
          <w:szCs w:val="24"/>
          <w:lang w:val="pt-BR"/>
        </w:rPr>
      </w:pPr>
      <w:r>
        <w:rPr>
          <w:rFonts w:ascii="Arial" w:hAnsi="Arial"/>
          <w:sz w:val="24"/>
          <w:szCs w:val="24"/>
          <w:lang w:val="pt-BR"/>
        </w:rPr>
        <w:t>1 PROGRAMA NO PATROCINADO</w:t>
      </w:r>
      <w:r w:rsidR="008F7517" w:rsidRPr="0005554E">
        <w:rPr>
          <w:rFonts w:ascii="Arial" w:hAnsi="Arial"/>
          <w:sz w:val="24"/>
          <w:szCs w:val="24"/>
          <w:lang w:val="pt-BR"/>
        </w:rPr>
        <w:t xml:space="preserve"> DE CERTIFICADOS DE DEPOSITO ARGENTINOS (“CEDEAR”)</w:t>
      </w:r>
    </w:p>
    <w:p w14:paraId="32332AED" w14:textId="77777777" w:rsidR="008F7517" w:rsidRPr="0005554E" w:rsidRDefault="008F7517" w:rsidP="008F7517">
      <w:pPr>
        <w:pStyle w:val="Textoindependiente3"/>
        <w:spacing w:line="240" w:lineRule="auto"/>
        <w:rPr>
          <w:rFonts w:ascii="Arial" w:hAnsi="Arial"/>
          <w:sz w:val="24"/>
          <w:szCs w:val="24"/>
          <w:lang w:val="de-DE"/>
        </w:rPr>
      </w:pPr>
      <w:r w:rsidRPr="0005554E">
        <w:rPr>
          <w:rFonts w:ascii="Arial" w:hAnsi="Arial"/>
          <w:sz w:val="24"/>
          <w:szCs w:val="24"/>
          <w:lang w:val="de-DE"/>
        </w:rPr>
        <w:t>EMISOR: BANCO COMAFI S.A.</w:t>
      </w:r>
    </w:p>
    <w:p w14:paraId="70028B41" w14:textId="77777777" w:rsidR="008F7517" w:rsidRPr="0005554E" w:rsidRDefault="008F7517" w:rsidP="008F7517">
      <w:pPr>
        <w:pStyle w:val="Textoindependiente3"/>
        <w:spacing w:line="240" w:lineRule="auto"/>
        <w:rPr>
          <w:rFonts w:ascii="Arial" w:hAnsi="Arial"/>
          <w:sz w:val="24"/>
          <w:szCs w:val="24"/>
          <w:lang w:val="de-DE"/>
        </w:rPr>
      </w:pPr>
    </w:p>
    <w:p w14:paraId="2CA52F8E" w14:textId="77777777" w:rsidR="008F7517" w:rsidRDefault="008F7517" w:rsidP="008F7517">
      <w:pPr>
        <w:pStyle w:val="Ttulo"/>
        <w:outlineLvl w:val="0"/>
        <w:rPr>
          <w:rFonts w:ascii="Arial" w:hAnsi="Arial"/>
          <w:szCs w:val="24"/>
          <w:u w:val="none"/>
        </w:rPr>
      </w:pPr>
      <w:r w:rsidRPr="0005554E">
        <w:rPr>
          <w:rFonts w:ascii="Arial" w:hAnsi="Arial"/>
          <w:szCs w:val="24"/>
          <w:u w:val="none"/>
        </w:rPr>
        <w:t>PARA LOS AD</w:t>
      </w:r>
      <w:r w:rsidR="009C2496">
        <w:rPr>
          <w:rFonts w:ascii="Arial" w:hAnsi="Arial"/>
          <w:szCs w:val="24"/>
          <w:u w:val="none"/>
        </w:rPr>
        <w:t>S</w:t>
      </w:r>
      <w:r w:rsidRPr="0005554E">
        <w:rPr>
          <w:rFonts w:ascii="Arial" w:hAnsi="Arial"/>
          <w:szCs w:val="24"/>
          <w:u w:val="none"/>
        </w:rPr>
        <w:t xml:space="preserve"> (AMER</w:t>
      </w:r>
      <w:r w:rsidR="00B30B0B">
        <w:rPr>
          <w:rFonts w:ascii="Arial" w:hAnsi="Arial"/>
          <w:szCs w:val="24"/>
          <w:u w:val="none"/>
        </w:rPr>
        <w:t xml:space="preserve">ICAN DEPOSITARY </w:t>
      </w:r>
      <w:r w:rsidR="009C2496">
        <w:rPr>
          <w:rFonts w:ascii="Arial" w:hAnsi="Arial"/>
          <w:szCs w:val="24"/>
          <w:u w:val="none"/>
        </w:rPr>
        <w:t>SHARES</w:t>
      </w:r>
      <w:r w:rsidR="00B30B0B">
        <w:rPr>
          <w:rFonts w:ascii="Arial" w:hAnsi="Arial"/>
          <w:szCs w:val="24"/>
          <w:u w:val="none"/>
        </w:rPr>
        <w:t>) DE LA</w:t>
      </w:r>
      <w:r>
        <w:rPr>
          <w:rFonts w:ascii="Arial" w:hAnsi="Arial"/>
          <w:szCs w:val="24"/>
          <w:u w:val="none"/>
        </w:rPr>
        <w:t xml:space="preserve"> </w:t>
      </w:r>
      <w:r w:rsidR="00B30B0B">
        <w:rPr>
          <w:rFonts w:ascii="Arial" w:hAnsi="Arial"/>
          <w:szCs w:val="24"/>
          <w:u w:val="none"/>
        </w:rPr>
        <w:t>COMPAÑIA</w:t>
      </w:r>
      <w:r w:rsidRPr="0005554E">
        <w:rPr>
          <w:rFonts w:ascii="Arial" w:hAnsi="Arial"/>
          <w:szCs w:val="24"/>
          <w:u w:val="none"/>
        </w:rPr>
        <w:t>:</w:t>
      </w:r>
    </w:p>
    <w:p w14:paraId="581E26A3" w14:textId="77777777" w:rsidR="008F7517" w:rsidRPr="00A017D5" w:rsidRDefault="008F7517" w:rsidP="008F7517">
      <w:pPr>
        <w:pStyle w:val="Ttulo"/>
        <w:outlineLvl w:val="0"/>
        <w:rPr>
          <w:rFonts w:ascii="Arial" w:hAnsi="Arial"/>
          <w:b w:val="0"/>
          <w:szCs w:val="24"/>
          <w:highlight w:val="green"/>
        </w:rPr>
      </w:pPr>
    </w:p>
    <w:p w14:paraId="17BD2311" w14:textId="77777777" w:rsidR="008F7517" w:rsidRPr="00A017D5" w:rsidRDefault="008F7517" w:rsidP="008F7517">
      <w:pPr>
        <w:jc w:val="center"/>
        <w:rPr>
          <w:rFonts w:ascii="Arial" w:hAnsi="Arial"/>
          <w:spacing w:val="-2"/>
          <w:sz w:val="24"/>
          <w:szCs w:val="24"/>
          <w:lang w:val="es-AR" w:eastAsia="es-ES"/>
        </w:rPr>
        <w:sectPr w:rsidR="008F7517" w:rsidRPr="00A017D5" w:rsidSect="00304FFF">
          <w:footerReference w:type="even" r:id="rId10"/>
          <w:footerReference w:type="default" r:id="rId11"/>
          <w:footerReference w:type="first" r:id="rId12"/>
          <w:pgSz w:w="12242" w:h="15842" w:code="1"/>
          <w:pgMar w:top="1440" w:right="1440" w:bottom="1440" w:left="1440" w:header="720" w:footer="1134" w:gutter="0"/>
          <w:paperSrc w:first="15" w:other="15"/>
          <w:cols w:space="720"/>
          <w:titlePg/>
          <w:docGrid w:linePitch="272"/>
        </w:sectPr>
      </w:pPr>
    </w:p>
    <w:p w14:paraId="4DF71393" w14:textId="77777777" w:rsidR="00B30B0B" w:rsidRPr="001C1245" w:rsidRDefault="00B30B0B" w:rsidP="00B30B0B">
      <w:pPr>
        <w:ind w:left="720"/>
        <w:rPr>
          <w:rFonts w:ascii="Arial" w:hAnsi="Arial"/>
          <w:b/>
          <w:spacing w:val="-2"/>
          <w:sz w:val="24"/>
          <w:szCs w:val="24"/>
          <w:lang w:val="es-AR" w:eastAsia="es-ES"/>
        </w:rPr>
      </w:pPr>
    </w:p>
    <w:p w14:paraId="1AB6C46C" w14:textId="77777777" w:rsidR="00B30B0B" w:rsidRPr="001C1245" w:rsidRDefault="00B30B0B" w:rsidP="00B30B0B">
      <w:pPr>
        <w:ind w:left="720"/>
        <w:rPr>
          <w:rFonts w:ascii="Arial" w:hAnsi="Arial"/>
          <w:b/>
          <w:spacing w:val="-2"/>
          <w:sz w:val="24"/>
          <w:szCs w:val="24"/>
          <w:lang w:val="es-AR" w:eastAsia="es-ES"/>
        </w:rPr>
      </w:pPr>
    </w:p>
    <w:p w14:paraId="709A2ACA" w14:textId="77777777" w:rsidR="001830BE" w:rsidRDefault="001830BE" w:rsidP="001830BE">
      <w:pPr>
        <w:jc w:val="center"/>
        <w:rPr>
          <w:rFonts w:ascii="Arial" w:hAnsi="Arial"/>
          <w:b/>
          <w:spacing w:val="-2"/>
          <w:sz w:val="24"/>
          <w:szCs w:val="24"/>
          <w:lang w:val="es-AR" w:eastAsia="es-ES"/>
        </w:rPr>
      </w:pPr>
    </w:p>
    <w:p w14:paraId="276DCEDC" w14:textId="77777777" w:rsidR="008F7517" w:rsidRDefault="00FE0214" w:rsidP="001830BE">
      <w:pPr>
        <w:jc w:val="center"/>
        <w:rPr>
          <w:rFonts w:ascii="Arial" w:hAnsi="Arial"/>
          <w:b/>
          <w:spacing w:val="-2"/>
          <w:sz w:val="36"/>
          <w:szCs w:val="36"/>
          <w:lang w:val="es-AR" w:eastAsia="es-ES"/>
        </w:rPr>
      </w:pPr>
      <w:r w:rsidRPr="00FE0214">
        <w:rPr>
          <w:rFonts w:ascii="Arial" w:hAnsi="Arial"/>
          <w:b/>
          <w:spacing w:val="-2"/>
          <w:sz w:val="36"/>
          <w:szCs w:val="36"/>
          <w:lang w:val="es-AR" w:eastAsia="es-ES"/>
        </w:rPr>
        <w:t xml:space="preserve">Vista </w:t>
      </w:r>
      <w:proofErr w:type="spellStart"/>
      <w:r w:rsidRPr="00FE0214">
        <w:rPr>
          <w:rFonts w:ascii="Arial" w:hAnsi="Arial"/>
          <w:b/>
          <w:spacing w:val="-2"/>
          <w:sz w:val="36"/>
          <w:szCs w:val="36"/>
          <w:lang w:val="es-AR" w:eastAsia="es-ES"/>
        </w:rPr>
        <w:t>Oil</w:t>
      </w:r>
      <w:proofErr w:type="spellEnd"/>
      <w:r w:rsidRPr="00FE0214">
        <w:rPr>
          <w:rFonts w:ascii="Arial" w:hAnsi="Arial"/>
          <w:b/>
          <w:spacing w:val="-2"/>
          <w:sz w:val="36"/>
          <w:szCs w:val="36"/>
          <w:lang w:val="es-AR" w:eastAsia="es-ES"/>
        </w:rPr>
        <w:t xml:space="preserve"> &amp; Gas, S.A.B. de C.V. </w:t>
      </w:r>
    </w:p>
    <w:p w14:paraId="6FBF25F3" w14:textId="77777777" w:rsidR="00470A0F" w:rsidRDefault="00470A0F" w:rsidP="001830BE">
      <w:pPr>
        <w:jc w:val="center"/>
        <w:rPr>
          <w:rFonts w:ascii="Arial" w:hAnsi="Arial"/>
          <w:b/>
          <w:spacing w:val="-2"/>
          <w:sz w:val="36"/>
          <w:szCs w:val="36"/>
          <w:lang w:val="es-AR" w:eastAsia="es-ES"/>
        </w:rPr>
      </w:pPr>
    </w:p>
    <w:p w14:paraId="453CF193" w14:textId="77777777" w:rsidR="00470A0F" w:rsidRDefault="00470A0F" w:rsidP="001830BE">
      <w:pPr>
        <w:jc w:val="center"/>
        <w:rPr>
          <w:rFonts w:ascii="Arial" w:hAnsi="Arial"/>
          <w:b/>
          <w:spacing w:val="-2"/>
          <w:sz w:val="36"/>
          <w:szCs w:val="36"/>
          <w:lang w:val="es-AR" w:eastAsia="es-ES"/>
        </w:rPr>
      </w:pPr>
    </w:p>
    <w:p w14:paraId="65687321" w14:textId="33BA9D2B" w:rsidR="00470A0F" w:rsidRPr="00470A0F" w:rsidRDefault="00470A0F" w:rsidP="001830BE">
      <w:pPr>
        <w:jc w:val="center"/>
        <w:rPr>
          <w:rFonts w:ascii="Arial" w:hAnsi="Arial"/>
          <w:b/>
          <w:spacing w:val="-2"/>
          <w:sz w:val="22"/>
          <w:szCs w:val="22"/>
          <w:lang w:val="es-AR" w:eastAsia="es-ES"/>
        </w:rPr>
        <w:sectPr w:rsidR="00470A0F" w:rsidRPr="00470A0F" w:rsidSect="00304FFF">
          <w:type w:val="continuous"/>
          <w:pgSz w:w="12242" w:h="15842" w:code="1"/>
          <w:pgMar w:top="1440" w:right="1440" w:bottom="1440" w:left="1440" w:header="720" w:footer="1134" w:gutter="0"/>
          <w:paperSrc w:first="15" w:other="15"/>
          <w:cols w:space="720"/>
          <w:titlePg/>
          <w:docGrid w:linePitch="272"/>
        </w:sectPr>
      </w:pPr>
      <w:r w:rsidRPr="00470A0F">
        <w:rPr>
          <w:rFonts w:ascii="Arial" w:hAnsi="Arial"/>
          <w:b/>
          <w:spacing w:val="-2"/>
          <w:sz w:val="22"/>
          <w:szCs w:val="22"/>
          <w:lang w:val="es-AR" w:eastAsia="es-ES"/>
        </w:rPr>
        <w:t>Fecha de prospecto: 21 de octubre de 2019</w:t>
      </w:r>
    </w:p>
    <w:p w14:paraId="1ED9933D" w14:textId="77777777" w:rsidR="008F7517" w:rsidRDefault="008F7517" w:rsidP="008F7517">
      <w:pPr>
        <w:pStyle w:val="Ttulo"/>
        <w:jc w:val="left"/>
        <w:outlineLvl w:val="0"/>
        <w:rPr>
          <w:rFonts w:ascii="Arial" w:hAnsi="Arial"/>
          <w:szCs w:val="24"/>
          <w:u w:val="none"/>
        </w:rPr>
      </w:pPr>
      <w:r w:rsidRPr="00CC27DE">
        <w:rPr>
          <w:rFonts w:ascii="Arial" w:hAnsi="Arial"/>
          <w:szCs w:val="24"/>
          <w:u w:val="none"/>
        </w:rPr>
        <w:lastRenderedPageBreak/>
        <w:t>QUE COTIZAN EN EL NEW YORK STOCK EXCHANGE “NYSE” D</w:t>
      </w:r>
      <w:r w:rsidR="00B30B0B">
        <w:rPr>
          <w:rFonts w:ascii="Arial" w:hAnsi="Arial"/>
          <w:szCs w:val="24"/>
          <w:u w:val="none"/>
        </w:rPr>
        <w:t>E LOS ESTADOS UNIDOS DE AMÉRICA.</w:t>
      </w:r>
    </w:p>
    <w:p w14:paraId="1BF25E1C" w14:textId="77777777" w:rsidR="00C27854" w:rsidRPr="00C21BB4" w:rsidRDefault="00C27854" w:rsidP="00995DE7">
      <w:pPr>
        <w:pStyle w:val="Ttulo"/>
        <w:jc w:val="left"/>
        <w:outlineLvl w:val="0"/>
        <w:rPr>
          <w:rFonts w:ascii="Arial" w:hAnsi="Arial" w:cs="Arial"/>
          <w:szCs w:val="24"/>
        </w:rPr>
      </w:pPr>
    </w:p>
    <w:p w14:paraId="3C110E92" w14:textId="77777777" w:rsidR="00B30B0B" w:rsidRDefault="00724133" w:rsidP="001C1245">
      <w:pPr>
        <w:suppressAutoHyphens/>
        <w:jc w:val="both"/>
        <w:rPr>
          <w:rFonts w:ascii="Arial" w:hAnsi="Arial" w:cs="Arial"/>
          <w:b/>
          <w:spacing w:val="-2"/>
          <w:sz w:val="24"/>
          <w:szCs w:val="24"/>
        </w:rPr>
      </w:pPr>
      <w:r w:rsidRPr="00C21BB4">
        <w:rPr>
          <w:rFonts w:ascii="Arial" w:hAnsi="Arial" w:cs="Arial"/>
          <w:b/>
          <w:spacing w:val="-2"/>
          <w:sz w:val="24"/>
          <w:szCs w:val="24"/>
          <w:u w:val="single"/>
        </w:rPr>
        <w:t>IMPORTANTE</w:t>
      </w:r>
      <w:r w:rsidRPr="00C21BB4">
        <w:rPr>
          <w:rFonts w:ascii="Arial" w:hAnsi="Arial" w:cs="Arial"/>
          <w:b/>
          <w:spacing w:val="-2"/>
          <w:sz w:val="24"/>
          <w:szCs w:val="24"/>
        </w:rPr>
        <w:t>: EL ALCANCE DE LA OFERTA PÚBLICA DE</w:t>
      </w:r>
      <w:r w:rsidR="009C2496">
        <w:rPr>
          <w:rFonts w:ascii="Arial" w:hAnsi="Arial" w:cs="Arial"/>
          <w:b/>
          <w:spacing w:val="-2"/>
          <w:sz w:val="24"/>
          <w:szCs w:val="24"/>
        </w:rPr>
        <w:t>L PRESENTE PROGRAMA DE</w:t>
      </w:r>
      <w:r w:rsidRPr="00C21BB4">
        <w:rPr>
          <w:rFonts w:ascii="Arial" w:hAnsi="Arial" w:cs="Arial"/>
          <w:b/>
          <w:spacing w:val="-2"/>
          <w:sz w:val="24"/>
          <w:szCs w:val="24"/>
        </w:rPr>
        <w:t xml:space="preserve"> CERTIFICADOS DE </w:t>
      </w:r>
      <w:r w:rsidR="00B30B0B">
        <w:rPr>
          <w:rFonts w:ascii="Arial" w:hAnsi="Arial" w:cs="Arial"/>
          <w:b/>
          <w:spacing w:val="-2"/>
          <w:sz w:val="24"/>
          <w:szCs w:val="24"/>
        </w:rPr>
        <w:t xml:space="preserve">DEPÓSITO ARGENTINOS ES TANTO PARA </w:t>
      </w:r>
      <w:r w:rsidRPr="00C21BB4">
        <w:rPr>
          <w:rFonts w:ascii="Arial" w:hAnsi="Arial" w:cs="Arial"/>
          <w:b/>
          <w:spacing w:val="-2"/>
          <w:sz w:val="24"/>
          <w:szCs w:val="24"/>
          <w:u w:val="single"/>
        </w:rPr>
        <w:t>INVERSORES CALIFICADOS</w:t>
      </w:r>
      <w:r w:rsidR="00B30B0B">
        <w:rPr>
          <w:rFonts w:ascii="Arial" w:hAnsi="Arial" w:cs="Arial"/>
          <w:b/>
          <w:spacing w:val="-2"/>
          <w:sz w:val="24"/>
          <w:szCs w:val="24"/>
          <w:u w:val="single"/>
        </w:rPr>
        <w:t xml:space="preserve"> COMO PARA INVERSORES NO CALIFICADOS</w:t>
      </w:r>
      <w:r w:rsidRPr="00C21BB4">
        <w:rPr>
          <w:rFonts w:ascii="Arial" w:hAnsi="Arial" w:cs="Arial"/>
          <w:b/>
          <w:spacing w:val="-2"/>
          <w:sz w:val="24"/>
          <w:szCs w:val="24"/>
        </w:rPr>
        <w:t xml:space="preserve">. CADA UNO DE LOS COMPRADORES INICIALES DE LOS CEDEARS </w:t>
      </w:r>
      <w:r w:rsidR="00B30B0B">
        <w:rPr>
          <w:rFonts w:ascii="Arial" w:hAnsi="Arial" w:cs="Arial"/>
          <w:b/>
          <w:spacing w:val="-2"/>
          <w:sz w:val="24"/>
          <w:szCs w:val="24"/>
        </w:rPr>
        <w:t xml:space="preserve">PODRÁ </w:t>
      </w:r>
      <w:r w:rsidRPr="00C21BB4">
        <w:rPr>
          <w:rFonts w:ascii="Arial" w:hAnsi="Arial" w:cs="Arial"/>
          <w:b/>
          <w:spacing w:val="-2"/>
          <w:sz w:val="24"/>
          <w:szCs w:val="24"/>
        </w:rPr>
        <w:t>VENDER</w:t>
      </w:r>
      <w:r w:rsidR="0052324A">
        <w:rPr>
          <w:rFonts w:ascii="Arial" w:hAnsi="Arial" w:cs="Arial"/>
          <w:b/>
          <w:spacing w:val="-2"/>
          <w:sz w:val="24"/>
          <w:szCs w:val="24"/>
        </w:rPr>
        <w:t xml:space="preserve"> Y TRANSFERIR</w:t>
      </w:r>
      <w:r w:rsidR="00477BC5">
        <w:rPr>
          <w:rFonts w:ascii="Arial" w:hAnsi="Arial" w:cs="Arial"/>
          <w:b/>
          <w:spacing w:val="-2"/>
          <w:sz w:val="24"/>
          <w:szCs w:val="24"/>
        </w:rPr>
        <w:t xml:space="preserve"> </w:t>
      </w:r>
      <w:proofErr w:type="gramStart"/>
      <w:r w:rsidR="0052324A">
        <w:rPr>
          <w:rFonts w:ascii="Arial" w:hAnsi="Arial" w:cs="Arial"/>
          <w:b/>
          <w:spacing w:val="-2"/>
          <w:sz w:val="24"/>
          <w:szCs w:val="24"/>
        </w:rPr>
        <w:t>ÉSTOS</w:t>
      </w:r>
      <w:proofErr w:type="gramEnd"/>
      <w:r w:rsidR="0052324A">
        <w:rPr>
          <w:rFonts w:ascii="Arial" w:hAnsi="Arial" w:cs="Arial"/>
          <w:b/>
          <w:spacing w:val="-2"/>
          <w:sz w:val="24"/>
          <w:szCs w:val="24"/>
        </w:rPr>
        <w:t xml:space="preserve"> </w:t>
      </w:r>
      <w:r w:rsidRPr="00C21BB4">
        <w:rPr>
          <w:rFonts w:ascii="Arial" w:hAnsi="Arial" w:cs="Arial"/>
          <w:b/>
          <w:spacing w:val="-2"/>
          <w:sz w:val="24"/>
          <w:szCs w:val="24"/>
        </w:rPr>
        <w:t xml:space="preserve">VALORES NEGOCIABLES A INVERSORES </w:t>
      </w:r>
      <w:r w:rsidR="00B30B0B">
        <w:rPr>
          <w:rFonts w:ascii="Arial" w:hAnsi="Arial" w:cs="Arial"/>
          <w:b/>
          <w:spacing w:val="-2"/>
          <w:sz w:val="24"/>
          <w:szCs w:val="24"/>
        </w:rPr>
        <w:t>CALIFICADOS Y/O INVERSORES NO CALIFICADOS.</w:t>
      </w:r>
    </w:p>
    <w:p w14:paraId="7568CBEE" w14:textId="77777777" w:rsidR="00B30B0B" w:rsidRDefault="00B30B0B" w:rsidP="001C1245">
      <w:pPr>
        <w:suppressAutoHyphens/>
        <w:jc w:val="both"/>
        <w:rPr>
          <w:rFonts w:ascii="Arial" w:hAnsi="Arial" w:cs="Arial"/>
          <w:b/>
          <w:spacing w:val="-2"/>
          <w:sz w:val="24"/>
          <w:szCs w:val="24"/>
        </w:rPr>
      </w:pPr>
    </w:p>
    <w:p w14:paraId="506461F2" w14:textId="77777777" w:rsidR="00943596" w:rsidRDefault="00B30B0B" w:rsidP="00AC0BDE">
      <w:pPr>
        <w:suppressAutoHyphens/>
        <w:jc w:val="both"/>
        <w:rPr>
          <w:rFonts w:ascii="Arial" w:hAnsi="Arial" w:cs="Arial"/>
          <w:b/>
          <w:spacing w:val="-2"/>
          <w:sz w:val="24"/>
          <w:szCs w:val="24"/>
        </w:rPr>
      </w:pPr>
      <w:r>
        <w:rPr>
          <w:rFonts w:ascii="Arial" w:hAnsi="Arial" w:cs="Arial"/>
          <w:b/>
          <w:spacing w:val="-2"/>
          <w:sz w:val="24"/>
          <w:szCs w:val="24"/>
        </w:rPr>
        <w:t xml:space="preserve"> </w:t>
      </w:r>
    </w:p>
    <w:p w14:paraId="360E5DC0"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Oferta Pública autorizada por </w:t>
      </w:r>
      <w:r w:rsidR="002A0F3D">
        <w:rPr>
          <w:rFonts w:ascii="Arial" w:hAnsi="Arial" w:cs="Arial"/>
          <w:spacing w:val="-2"/>
          <w:sz w:val="24"/>
          <w:szCs w:val="24"/>
          <w:lang w:val="es-AR"/>
        </w:rPr>
        <w:t>RESFC-2019-</w:t>
      </w:r>
      <w:r w:rsidR="00BD7FEB">
        <w:rPr>
          <w:rFonts w:ascii="Arial" w:hAnsi="Arial" w:cs="Arial"/>
          <w:spacing w:val="-2"/>
          <w:sz w:val="24"/>
          <w:szCs w:val="24"/>
          <w:lang w:val="es-AR"/>
        </w:rPr>
        <w:t>20495</w:t>
      </w:r>
      <w:r w:rsidR="00CE7899">
        <w:rPr>
          <w:rFonts w:ascii="Arial" w:hAnsi="Arial" w:cs="Arial"/>
          <w:spacing w:val="-2"/>
          <w:sz w:val="24"/>
          <w:szCs w:val="24"/>
          <w:lang w:val="es-AR"/>
        </w:rPr>
        <w:t xml:space="preserve">-APN-DIR#CNV de fecha </w:t>
      </w:r>
      <w:r w:rsidR="00BD7FEB">
        <w:rPr>
          <w:rFonts w:ascii="Arial" w:hAnsi="Arial" w:cs="Arial"/>
          <w:spacing w:val="-2"/>
          <w:sz w:val="24"/>
          <w:szCs w:val="24"/>
          <w:lang w:val="es-AR"/>
        </w:rPr>
        <w:t>16 d</w:t>
      </w:r>
      <w:r w:rsidR="00CE7899">
        <w:rPr>
          <w:rFonts w:ascii="Arial" w:hAnsi="Arial" w:cs="Arial"/>
          <w:spacing w:val="-2"/>
          <w:sz w:val="24"/>
          <w:szCs w:val="24"/>
          <w:lang w:val="es-AR"/>
        </w:rPr>
        <w:t xml:space="preserve">e </w:t>
      </w:r>
      <w:r w:rsidR="00BD7FEB">
        <w:rPr>
          <w:rFonts w:ascii="Arial" w:hAnsi="Arial" w:cs="Arial"/>
          <w:spacing w:val="-2"/>
          <w:sz w:val="24"/>
          <w:szCs w:val="24"/>
          <w:lang w:val="es-AR"/>
        </w:rPr>
        <w:t>octubre</w:t>
      </w:r>
      <w:r w:rsidR="002A0F3D">
        <w:rPr>
          <w:rFonts w:ascii="Arial" w:hAnsi="Arial" w:cs="Arial"/>
          <w:spacing w:val="-2"/>
          <w:sz w:val="24"/>
          <w:szCs w:val="24"/>
          <w:lang w:val="es-AR"/>
        </w:rPr>
        <w:t xml:space="preserve"> de 2019 </w:t>
      </w:r>
      <w:r w:rsidR="00CE49F1">
        <w:rPr>
          <w:rFonts w:ascii="Arial" w:hAnsi="Arial" w:cs="Arial"/>
          <w:spacing w:val="-2"/>
          <w:sz w:val="24"/>
          <w:szCs w:val="24"/>
          <w:lang w:val="es-AR"/>
        </w:rPr>
        <w:t>de la Comisión Nacional de Valores.</w:t>
      </w:r>
      <w:r w:rsidRPr="00272788">
        <w:rPr>
          <w:rFonts w:ascii="Arial" w:hAnsi="Arial" w:cs="Arial"/>
          <w:spacing w:val="-2"/>
          <w:sz w:val="24"/>
          <w:szCs w:val="24"/>
          <w:lang w:val="es-AR"/>
        </w:rPr>
        <w:t xml:space="preserve"> Esta autorización sólo significa que ha cumplido con los requisitos establecidos en materia de información. La Comisión Nacional de Valores (“CNV”) no ha emitido juicio sobre los datos contenidos en el prospecto. La veracidad de la totalidad de la  información suministrada en el presente prospecto es exclusiva responsabilidad del directorio, y en lo pertinente, del órgano de fiscalización y de los auditores que suscriben los estados contables. El directorio manifiesta, con carácter de declaración jurada, que el presente prospecto contiene, a la fecha de su publicación, información veraz y suficiente sobre todo hecho relevante que pueda afectar la situación patrimonial, económica y financiera de la sociedad y de toda aquélla que deba ser de conocimiento del público inversor con relación a la presente emisión, conforme a las normas vigentes. </w:t>
      </w:r>
    </w:p>
    <w:p w14:paraId="602F6A9C" w14:textId="77777777" w:rsidR="003156FC" w:rsidRDefault="003156FC" w:rsidP="003156FC">
      <w:pPr>
        <w:suppressAutoHyphens/>
        <w:jc w:val="both"/>
        <w:rPr>
          <w:rFonts w:ascii="Arial" w:hAnsi="Arial" w:cs="Arial"/>
          <w:spacing w:val="-2"/>
          <w:sz w:val="24"/>
          <w:szCs w:val="24"/>
          <w:lang w:val="es-AR"/>
        </w:rPr>
      </w:pPr>
    </w:p>
    <w:p w14:paraId="1619D70A" w14:textId="77777777" w:rsidR="00940F56" w:rsidRDefault="00940F56" w:rsidP="003156FC">
      <w:pPr>
        <w:suppressAutoHyphens/>
        <w:jc w:val="both"/>
        <w:rPr>
          <w:rFonts w:ascii="Arial" w:hAnsi="Arial" w:cs="Arial"/>
          <w:spacing w:val="-2"/>
          <w:sz w:val="24"/>
          <w:szCs w:val="24"/>
          <w:lang w:val="es-AR"/>
        </w:rPr>
      </w:pPr>
      <w:r>
        <w:rPr>
          <w:rFonts w:ascii="Arial" w:hAnsi="Arial" w:cs="Arial"/>
          <w:spacing w:val="-2"/>
          <w:sz w:val="24"/>
          <w:szCs w:val="24"/>
          <w:lang w:val="es-AR"/>
        </w:rPr>
        <w:t>Se hace saber que de acuerdo a lo dispuesto en los art. 119 y 120 de la ley 26.831</w:t>
      </w:r>
      <w:r w:rsidR="00EA1733">
        <w:rPr>
          <w:rFonts w:ascii="Arial" w:hAnsi="Arial" w:cs="Arial"/>
          <w:spacing w:val="-2"/>
          <w:sz w:val="24"/>
          <w:szCs w:val="24"/>
          <w:lang w:val="es-AR"/>
        </w:rPr>
        <w:t>, modificada por la ley 27.440,</w:t>
      </w:r>
      <w:r>
        <w:rPr>
          <w:rFonts w:ascii="Arial" w:hAnsi="Arial" w:cs="Arial"/>
          <w:spacing w:val="-2"/>
          <w:sz w:val="24"/>
          <w:szCs w:val="24"/>
          <w:lang w:val="es-AR"/>
        </w:rPr>
        <w:t xml:space="preserve"> serán responsables directos</w:t>
      </w:r>
      <w:r w:rsidR="004D1DE0">
        <w:rPr>
          <w:rFonts w:ascii="Arial" w:hAnsi="Arial" w:cs="Arial"/>
          <w:spacing w:val="-2"/>
          <w:sz w:val="24"/>
          <w:szCs w:val="24"/>
          <w:lang w:val="es-AR"/>
        </w:rPr>
        <w:t xml:space="preserve"> del presente prospecto l</w:t>
      </w:r>
      <w:r w:rsidR="004D1DE0" w:rsidRPr="004D1DE0">
        <w:rPr>
          <w:rFonts w:ascii="Arial" w:hAnsi="Arial" w:cs="Arial"/>
          <w:spacing w:val="-2"/>
          <w:sz w:val="24"/>
          <w:szCs w:val="24"/>
          <w:lang w:val="es-AR"/>
        </w:rPr>
        <w:t>os emisores de valores negociables, juntamente con los integrantes de los órganos de administración y fiscalización</w:t>
      </w:r>
      <w:r w:rsidR="004D1DE0">
        <w:rPr>
          <w:rFonts w:ascii="Arial" w:hAnsi="Arial" w:cs="Arial"/>
          <w:spacing w:val="-2"/>
          <w:sz w:val="24"/>
          <w:szCs w:val="24"/>
          <w:lang w:val="es-AR"/>
        </w:rPr>
        <w:t xml:space="preserve"> (ambos órganos detallados la </w:t>
      </w:r>
      <w:proofErr w:type="spellStart"/>
      <w:r w:rsidR="004D1DE0">
        <w:rPr>
          <w:rFonts w:ascii="Arial" w:hAnsi="Arial" w:cs="Arial"/>
          <w:spacing w:val="-2"/>
          <w:sz w:val="24"/>
          <w:szCs w:val="24"/>
          <w:lang w:val="es-AR"/>
        </w:rPr>
        <w:t>pag.</w:t>
      </w:r>
      <w:proofErr w:type="spellEnd"/>
      <w:r w:rsidR="004D1DE0">
        <w:rPr>
          <w:rFonts w:ascii="Arial" w:hAnsi="Arial" w:cs="Arial"/>
          <w:spacing w:val="-2"/>
          <w:sz w:val="24"/>
          <w:szCs w:val="24"/>
          <w:lang w:val="es-AR"/>
        </w:rPr>
        <w:t xml:space="preserve"> 6)</w:t>
      </w:r>
      <w:r w:rsidR="004D1DE0" w:rsidRPr="004D1DE0">
        <w:rPr>
          <w:rFonts w:ascii="Arial" w:hAnsi="Arial" w:cs="Arial"/>
          <w:spacing w:val="-2"/>
          <w:sz w:val="24"/>
          <w:szCs w:val="24"/>
          <w:lang w:val="es-AR"/>
        </w:rPr>
        <w:t xml:space="preserve">, estos últimos en materia de su competencia, y en su caso los oferentes de los valores negociables con relación a la información vinculada a los mismos, y las personas que firmen el prospecto de una emisión de valores negociables, </w:t>
      </w:r>
      <w:r w:rsidR="004D1DE0" w:rsidRPr="00A20725">
        <w:rPr>
          <w:rFonts w:ascii="Arial" w:hAnsi="Arial" w:cs="Arial"/>
          <w:spacing w:val="-2"/>
          <w:sz w:val="24"/>
          <w:szCs w:val="24"/>
          <w:lang w:val="es-AR"/>
        </w:rPr>
        <w:t>serán responsables de toda la información incluida en los prospectos por ellos registrados ante la Comisión Nacional de Valores.</w:t>
      </w:r>
      <w:r w:rsidR="004D1DE0">
        <w:rPr>
          <w:rFonts w:ascii="Arial" w:hAnsi="Arial" w:cs="Arial"/>
          <w:spacing w:val="-2"/>
          <w:sz w:val="24"/>
          <w:szCs w:val="24"/>
          <w:lang w:val="es-AR"/>
        </w:rPr>
        <w:t xml:space="preserve"> Asimismo serán responsables indirectos aquellos </w:t>
      </w:r>
      <w:r w:rsidR="004D1DE0" w:rsidRPr="004D1DE0">
        <w:rPr>
          <w:rFonts w:ascii="Arial" w:hAnsi="Arial" w:cs="Arial"/>
          <w:spacing w:val="-2"/>
          <w:sz w:val="24"/>
          <w:szCs w:val="24"/>
          <w:lang w:val="es-AR"/>
        </w:rPr>
        <w:t>agentes intermediarios en el mercado que participen como organizadores o colocadores en una oferta pública de venta o compra de valores negociables deberán revisar diligentemente la información contenida en los prospectos de la oferta. Los expertos o terceros que opinen sobre ciertas partes del prospecto sólo serán responsables por la parte de dicha información sobre la que han emitido opinión.</w:t>
      </w:r>
    </w:p>
    <w:p w14:paraId="785B517A" w14:textId="77777777" w:rsidR="004D1DE0" w:rsidRPr="00272788" w:rsidRDefault="004D1DE0" w:rsidP="003156FC">
      <w:pPr>
        <w:suppressAutoHyphens/>
        <w:jc w:val="both"/>
        <w:rPr>
          <w:rFonts w:ascii="Arial" w:hAnsi="Arial" w:cs="Arial"/>
          <w:spacing w:val="-2"/>
          <w:sz w:val="24"/>
          <w:szCs w:val="24"/>
          <w:lang w:val="es-AR"/>
        </w:rPr>
      </w:pPr>
    </w:p>
    <w:p w14:paraId="6251B406"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Ninguna persona ha sido autorizada para proporcionar información o efectuar declaraciones que no se encuentren en el presente Prospecto y, en caso de haber sido suministrada o efectuada, dicha información no deberá ser considerada como autorizada por el Emisor de los CEDEARs Banco Comaf</w:t>
      </w:r>
      <w:r w:rsidRPr="0084370D">
        <w:rPr>
          <w:rFonts w:ascii="Arial" w:hAnsi="Arial" w:cs="Arial"/>
          <w:spacing w:val="-2"/>
          <w:sz w:val="24"/>
          <w:szCs w:val="24"/>
          <w:lang w:val="es-AR"/>
        </w:rPr>
        <w:t>i S.A. o la sociedad emisora de</w:t>
      </w:r>
      <w:r w:rsidR="007B6DCA">
        <w:rPr>
          <w:rFonts w:ascii="Arial" w:hAnsi="Arial" w:cs="Arial"/>
          <w:spacing w:val="-2"/>
          <w:sz w:val="24"/>
          <w:szCs w:val="24"/>
          <w:lang w:val="es-AR"/>
        </w:rPr>
        <w:t xml:space="preserve"> las A</w:t>
      </w:r>
      <w:r w:rsidR="00EC2C5F" w:rsidRPr="0084370D">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sidRPr="0084370D">
        <w:rPr>
          <w:rFonts w:ascii="Arial" w:hAnsi="Arial" w:cs="Arial"/>
          <w:spacing w:val="-2"/>
          <w:sz w:val="24"/>
          <w:szCs w:val="24"/>
          <w:lang w:val="es-AR"/>
        </w:rPr>
        <w:t>ubyacentes de</w:t>
      </w:r>
      <w:r w:rsidRPr="0084370D">
        <w:rPr>
          <w:rFonts w:ascii="Arial" w:hAnsi="Arial" w:cs="Arial"/>
          <w:spacing w:val="-2"/>
          <w:sz w:val="24"/>
          <w:szCs w:val="24"/>
          <w:lang w:val="es-AR"/>
        </w:rPr>
        <w:t xml:space="preserve"> l</w:t>
      </w:r>
      <w:r w:rsidR="00536B9F" w:rsidRPr="0084370D">
        <w:rPr>
          <w:rFonts w:ascii="Arial" w:hAnsi="Arial" w:cs="Arial"/>
          <w:spacing w:val="-2"/>
          <w:sz w:val="24"/>
          <w:szCs w:val="24"/>
          <w:lang w:val="es-AR"/>
        </w:rPr>
        <w:t>o</w:t>
      </w:r>
      <w:r w:rsidRPr="0084370D">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sidRPr="0084370D">
        <w:rPr>
          <w:rFonts w:ascii="Arial" w:hAnsi="Arial" w:cs="Arial"/>
          <w:spacing w:val="-2"/>
          <w:sz w:val="24"/>
          <w:szCs w:val="24"/>
          <w:lang w:val="es-AR"/>
        </w:rPr>
        <w:t>s</w:t>
      </w:r>
      <w:proofErr w:type="spellEnd"/>
      <w:r w:rsidR="00536B9F" w:rsidRPr="0084370D">
        <w:rPr>
          <w:rFonts w:ascii="Arial" w:hAnsi="Arial" w:cs="Arial"/>
          <w:spacing w:val="-2"/>
          <w:sz w:val="24"/>
          <w:szCs w:val="24"/>
          <w:lang w:val="es-AR"/>
        </w:rPr>
        <w:t xml:space="preserve"> que son representado</w:t>
      </w:r>
      <w:r w:rsidRPr="0084370D">
        <w:rPr>
          <w:rFonts w:ascii="Arial" w:hAnsi="Arial" w:cs="Arial"/>
          <w:spacing w:val="-2"/>
          <w:sz w:val="24"/>
          <w:szCs w:val="24"/>
          <w:lang w:val="es-AR"/>
        </w:rPr>
        <w:t>s por los CEDEARs.</w:t>
      </w:r>
    </w:p>
    <w:p w14:paraId="73742A03" w14:textId="77777777" w:rsidR="003156FC" w:rsidRPr="00272788" w:rsidRDefault="003156FC" w:rsidP="003156FC">
      <w:pPr>
        <w:suppressAutoHyphens/>
        <w:jc w:val="both"/>
        <w:rPr>
          <w:rFonts w:ascii="Arial" w:hAnsi="Arial" w:cs="Arial"/>
          <w:spacing w:val="-2"/>
          <w:sz w:val="24"/>
          <w:szCs w:val="24"/>
          <w:lang w:val="es-AR"/>
        </w:rPr>
      </w:pPr>
    </w:p>
    <w:p w14:paraId="4A7C9B24"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lastRenderedPageBreak/>
        <w:t>Este Prospecto no constituye, ni podrá ser utilizado ni vinculado a una oferta de venta o una solicitud de compra de los CEDEARs por ninguna persona en ninguna jurisdicción en la que dicha oferta o solicitud no esté autorizada o a ninguna persona a quien resulte ilegal realizar tal oferta o solicitud. Por lo tanto los CEDEARs no pueden ser ofrecidos o vendidos, directa o indirectamente, en ninguna jurisdicción, ni este Prospecto puede distribuirse en ninguna jurisdicción, excepto si se cumple con los requisitos legales aplicables en tal jurisdicción.</w:t>
      </w:r>
    </w:p>
    <w:p w14:paraId="29589D34" w14:textId="77777777" w:rsidR="003156FC" w:rsidRPr="00272788" w:rsidRDefault="003156FC" w:rsidP="003156FC">
      <w:pPr>
        <w:suppressAutoHyphens/>
        <w:jc w:val="both"/>
        <w:rPr>
          <w:rFonts w:ascii="Arial" w:hAnsi="Arial" w:cs="Arial"/>
          <w:spacing w:val="-2"/>
          <w:sz w:val="24"/>
          <w:szCs w:val="24"/>
          <w:lang w:val="es-AR"/>
        </w:rPr>
      </w:pPr>
    </w:p>
    <w:p w14:paraId="4793A7A9"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Toda la información puesta a disposición de los eventuales inversores relativa a la</w:t>
      </w:r>
      <w:r w:rsidR="00CE7899">
        <w:rPr>
          <w:rFonts w:ascii="Arial" w:hAnsi="Arial" w:cs="Arial"/>
          <w:spacing w:val="-2"/>
          <w:sz w:val="24"/>
          <w:szCs w:val="24"/>
          <w:lang w:val="es-AR"/>
        </w:rPr>
        <w:t xml:space="preserve"> sociedad</w:t>
      </w:r>
      <w:r w:rsidRPr="00272788">
        <w:rPr>
          <w:rFonts w:ascii="Arial" w:hAnsi="Arial" w:cs="Arial"/>
          <w:spacing w:val="-2"/>
          <w:sz w:val="24"/>
          <w:szCs w:val="24"/>
          <w:lang w:val="es-AR"/>
        </w:rPr>
        <w:t xml:space="preserve"> emiso</w:t>
      </w:r>
      <w:r w:rsidR="00CE7899">
        <w:rPr>
          <w:rFonts w:ascii="Arial" w:hAnsi="Arial" w:cs="Arial"/>
          <w:spacing w:val="-2"/>
          <w:sz w:val="24"/>
          <w:szCs w:val="24"/>
          <w:lang w:val="es-AR"/>
        </w:rPr>
        <w:t>ra</w:t>
      </w:r>
      <w:r w:rsidR="00536B9F">
        <w:rPr>
          <w:rFonts w:ascii="Arial" w:hAnsi="Arial" w:cs="Arial"/>
          <w:spacing w:val="-2"/>
          <w:sz w:val="24"/>
          <w:szCs w:val="24"/>
          <w:lang w:val="es-AR"/>
        </w:rPr>
        <w:t xml:space="preserve"> </w:t>
      </w:r>
      <w:r w:rsidR="007B6DCA">
        <w:rPr>
          <w:rFonts w:ascii="Arial" w:hAnsi="Arial" w:cs="Arial"/>
          <w:spacing w:val="-2"/>
          <w:sz w:val="24"/>
          <w:szCs w:val="24"/>
          <w:lang w:val="es-AR"/>
        </w:rPr>
        <w:t>de las A</w:t>
      </w:r>
      <w:r w:rsidR="00EC2C5F">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Pr>
          <w:rFonts w:ascii="Arial" w:hAnsi="Arial" w:cs="Arial"/>
          <w:spacing w:val="-2"/>
          <w:sz w:val="24"/>
          <w:szCs w:val="24"/>
          <w:lang w:val="es-AR"/>
        </w:rPr>
        <w:t xml:space="preserve">ubyacentes </w:t>
      </w:r>
      <w:r w:rsidR="00536B9F">
        <w:rPr>
          <w:rFonts w:ascii="Arial" w:hAnsi="Arial" w:cs="Arial"/>
          <w:spacing w:val="-2"/>
          <w:sz w:val="24"/>
          <w:szCs w:val="24"/>
          <w:lang w:val="es-AR"/>
        </w:rPr>
        <w:t>de lo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que a su vez son representado</w:t>
      </w:r>
      <w:r w:rsidRPr="00272788">
        <w:rPr>
          <w:rFonts w:ascii="Arial" w:hAnsi="Arial" w:cs="Arial"/>
          <w:spacing w:val="-2"/>
          <w:sz w:val="24"/>
          <w:szCs w:val="24"/>
          <w:lang w:val="es-AR"/>
        </w:rPr>
        <w:t xml:space="preserve">s por los CEDEARs ha sido extraída del sistema informativo EDGAR de la </w:t>
      </w:r>
      <w:proofErr w:type="spellStart"/>
      <w:r w:rsidRPr="00272788">
        <w:rPr>
          <w:rFonts w:ascii="Arial" w:hAnsi="Arial" w:cs="Arial"/>
          <w:spacing w:val="-2"/>
          <w:sz w:val="24"/>
          <w:szCs w:val="24"/>
          <w:lang w:val="es-AR"/>
        </w:rPr>
        <w:t>Securities</w:t>
      </w:r>
      <w:proofErr w:type="spellEnd"/>
      <w:r w:rsidRPr="00272788">
        <w:rPr>
          <w:rFonts w:ascii="Arial" w:hAnsi="Arial" w:cs="Arial"/>
          <w:spacing w:val="-2"/>
          <w:sz w:val="24"/>
          <w:szCs w:val="24"/>
          <w:lang w:val="es-AR"/>
        </w:rPr>
        <w:t xml:space="preserve"> and Exchange </w:t>
      </w:r>
      <w:proofErr w:type="spellStart"/>
      <w:r w:rsidRPr="00272788">
        <w:rPr>
          <w:rFonts w:ascii="Arial" w:hAnsi="Arial" w:cs="Arial"/>
          <w:spacing w:val="-2"/>
          <w:sz w:val="24"/>
          <w:szCs w:val="24"/>
          <w:lang w:val="es-AR"/>
        </w:rPr>
        <w:t>Commission</w:t>
      </w:r>
      <w:proofErr w:type="spellEnd"/>
      <w:r w:rsidRPr="00272788">
        <w:rPr>
          <w:rFonts w:ascii="Arial" w:hAnsi="Arial" w:cs="Arial"/>
          <w:spacing w:val="-2"/>
          <w:sz w:val="24"/>
          <w:szCs w:val="24"/>
          <w:lang w:val="es-AR"/>
        </w:rPr>
        <w:t xml:space="preserve"> (SEC) de los Estados Unidos y de la dirección de Internet de </w:t>
      </w:r>
      <w:r w:rsidR="00CE7899">
        <w:rPr>
          <w:rFonts w:ascii="Arial" w:hAnsi="Arial" w:cs="Arial"/>
          <w:spacing w:val="-2"/>
          <w:sz w:val="24"/>
          <w:szCs w:val="24"/>
          <w:lang w:val="es-AR"/>
        </w:rPr>
        <w:t>la</w:t>
      </w:r>
      <w:r w:rsidRPr="00272788">
        <w:rPr>
          <w:rFonts w:ascii="Arial" w:hAnsi="Arial" w:cs="Arial"/>
          <w:spacing w:val="-2"/>
          <w:sz w:val="24"/>
          <w:szCs w:val="24"/>
          <w:lang w:val="es-AR"/>
        </w:rPr>
        <w:t xml:space="preserve"> sociedad</w:t>
      </w:r>
      <w:r w:rsidR="00CE7899">
        <w:rPr>
          <w:rFonts w:ascii="Arial" w:hAnsi="Arial" w:cs="Arial"/>
          <w:spacing w:val="-2"/>
          <w:sz w:val="24"/>
          <w:szCs w:val="24"/>
          <w:lang w:val="es-AR"/>
        </w:rPr>
        <w:t xml:space="preserve"> emisora</w:t>
      </w:r>
      <w:r w:rsidRPr="00272788">
        <w:rPr>
          <w:rFonts w:ascii="Arial" w:hAnsi="Arial" w:cs="Arial"/>
          <w:spacing w:val="-2"/>
          <w:sz w:val="24"/>
          <w:szCs w:val="24"/>
          <w:lang w:val="es-AR"/>
        </w:rPr>
        <w:t xml:space="preserve"> </w:t>
      </w:r>
      <w:r w:rsidR="00685E50">
        <w:rPr>
          <w:rFonts w:ascii="Arial" w:hAnsi="Arial" w:cs="Arial"/>
          <w:spacing w:val="-2"/>
          <w:sz w:val="24"/>
          <w:szCs w:val="24"/>
          <w:lang w:val="es-AR"/>
        </w:rPr>
        <w:t xml:space="preserve">de las </w:t>
      </w:r>
      <w:r w:rsidR="007B6DCA">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685E50">
        <w:rPr>
          <w:rFonts w:ascii="Arial" w:hAnsi="Arial" w:cs="Arial"/>
          <w:spacing w:val="-2"/>
          <w:sz w:val="24"/>
          <w:szCs w:val="24"/>
          <w:lang w:val="es-AR"/>
        </w:rPr>
        <w:t xml:space="preserve"> </w:t>
      </w:r>
      <w:r w:rsidRPr="00272788">
        <w:rPr>
          <w:rFonts w:ascii="Arial" w:hAnsi="Arial" w:cs="Arial"/>
          <w:spacing w:val="-2"/>
          <w:sz w:val="24"/>
          <w:szCs w:val="24"/>
          <w:lang w:val="es-AR"/>
        </w:rPr>
        <w:t xml:space="preserve">y se encuentra a la disposición de los inversores solamente para su uso en relación con el análisis de la compra de los </w:t>
      </w:r>
      <w:proofErr w:type="spellStart"/>
      <w:r w:rsidRPr="00272788">
        <w:rPr>
          <w:rFonts w:ascii="Arial" w:hAnsi="Arial" w:cs="Arial"/>
          <w:spacing w:val="-2"/>
          <w:sz w:val="24"/>
          <w:szCs w:val="24"/>
          <w:lang w:val="es-AR"/>
        </w:rPr>
        <w:t>CEDEARs</w:t>
      </w:r>
      <w:proofErr w:type="spellEnd"/>
      <w:r w:rsidRPr="00272788">
        <w:rPr>
          <w:rFonts w:ascii="Arial" w:hAnsi="Arial" w:cs="Arial"/>
          <w:spacing w:val="-2"/>
          <w:sz w:val="24"/>
          <w:szCs w:val="24"/>
          <w:lang w:val="es-AR"/>
        </w:rPr>
        <w:t>.</w:t>
      </w:r>
    </w:p>
    <w:p w14:paraId="0693DB16" w14:textId="77777777" w:rsidR="003156FC" w:rsidRPr="00272788" w:rsidRDefault="003156FC" w:rsidP="003156FC">
      <w:pPr>
        <w:suppressAutoHyphens/>
        <w:jc w:val="both"/>
        <w:rPr>
          <w:rFonts w:ascii="Arial" w:hAnsi="Arial" w:cs="Arial"/>
          <w:spacing w:val="-2"/>
          <w:sz w:val="24"/>
          <w:szCs w:val="24"/>
          <w:lang w:val="es-AR"/>
        </w:rPr>
      </w:pPr>
    </w:p>
    <w:p w14:paraId="7148828D"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Todo eventual inversor que contemple la adquisición de los CEDEARs realizará, antes de decidir dicha adquisición, la investigación sobre los mismos y sobre los Términos y Condiciones de la emisión.</w:t>
      </w:r>
    </w:p>
    <w:p w14:paraId="05C557D5" w14:textId="77777777" w:rsidR="003156FC" w:rsidRPr="00272788" w:rsidRDefault="003156FC" w:rsidP="003156FC">
      <w:pPr>
        <w:suppressAutoHyphens/>
        <w:jc w:val="both"/>
        <w:rPr>
          <w:rFonts w:ascii="Arial" w:hAnsi="Arial" w:cs="Arial"/>
          <w:spacing w:val="-2"/>
          <w:sz w:val="24"/>
          <w:szCs w:val="24"/>
          <w:lang w:val="es-AR"/>
        </w:rPr>
      </w:pPr>
    </w:p>
    <w:p w14:paraId="7EC73C8C"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El CEDEAR representa una certificación de la existencia en depósito de los valores negociables que refiere. En este sentido, los CEDEARs darán a sus </w:t>
      </w:r>
      <w:r w:rsidR="007B0A42">
        <w:rPr>
          <w:rFonts w:ascii="Arial" w:hAnsi="Arial" w:cs="Arial"/>
          <w:spacing w:val="-2"/>
          <w:sz w:val="24"/>
          <w:szCs w:val="24"/>
          <w:lang w:val="es-AR"/>
        </w:rPr>
        <w:t>T</w:t>
      </w:r>
      <w:r w:rsidRPr="00272788">
        <w:rPr>
          <w:rFonts w:ascii="Arial" w:hAnsi="Arial" w:cs="Arial"/>
          <w:spacing w:val="-2"/>
          <w:sz w:val="24"/>
          <w:szCs w:val="24"/>
          <w:lang w:val="es-AR"/>
        </w:rPr>
        <w:t xml:space="preserve">itulares el beneficio de todos los derechos inherentes a </w:t>
      </w:r>
      <w:r w:rsidR="004B43B6">
        <w:rPr>
          <w:rFonts w:ascii="Arial" w:hAnsi="Arial" w:cs="Arial"/>
          <w:spacing w:val="-2"/>
          <w:sz w:val="24"/>
          <w:szCs w:val="24"/>
          <w:lang w:val="es-AR"/>
        </w:rPr>
        <w:t>l</w:t>
      </w:r>
      <w:r w:rsidR="00536B9F">
        <w:rPr>
          <w:rFonts w:ascii="Arial" w:hAnsi="Arial" w:cs="Arial"/>
          <w:spacing w:val="-2"/>
          <w:sz w:val="24"/>
          <w:szCs w:val="24"/>
          <w:lang w:val="es-AR"/>
        </w:rPr>
        <w:t>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xml:space="preserve"> </w:t>
      </w:r>
      <w:r w:rsidRPr="00272788">
        <w:rPr>
          <w:rFonts w:ascii="Arial" w:hAnsi="Arial" w:cs="Arial"/>
          <w:spacing w:val="-2"/>
          <w:sz w:val="24"/>
          <w:szCs w:val="24"/>
          <w:lang w:val="es-AR"/>
        </w:rPr>
        <w:t>representad</w:t>
      </w:r>
      <w:r w:rsidR="00536B9F">
        <w:rPr>
          <w:rFonts w:ascii="Arial" w:hAnsi="Arial" w:cs="Arial"/>
          <w:spacing w:val="-2"/>
          <w:sz w:val="24"/>
          <w:szCs w:val="24"/>
          <w:lang w:val="es-AR"/>
        </w:rPr>
        <w:t>o</w:t>
      </w:r>
      <w:r w:rsidRPr="00272788">
        <w:rPr>
          <w:rFonts w:ascii="Arial" w:hAnsi="Arial" w:cs="Arial"/>
          <w:spacing w:val="-2"/>
          <w:sz w:val="24"/>
          <w:szCs w:val="24"/>
          <w:lang w:val="es-AR"/>
        </w:rPr>
        <w:t>s por los CEDEARs.</w:t>
      </w:r>
    </w:p>
    <w:p w14:paraId="3C6AD393" w14:textId="77777777" w:rsidR="003156FC" w:rsidRPr="003156FC" w:rsidRDefault="003156FC" w:rsidP="00AC0BDE">
      <w:pPr>
        <w:suppressAutoHyphens/>
        <w:jc w:val="both"/>
        <w:rPr>
          <w:rFonts w:ascii="Arial" w:hAnsi="Arial" w:cs="Arial"/>
          <w:b/>
          <w:spacing w:val="-2"/>
          <w:sz w:val="24"/>
          <w:szCs w:val="24"/>
          <w:lang w:val="es-AR"/>
        </w:rPr>
      </w:pPr>
    </w:p>
    <w:p w14:paraId="69438D09" w14:textId="77777777" w:rsidR="00E91F61" w:rsidRPr="00C21BB4" w:rsidRDefault="00E91F61" w:rsidP="00E91F61">
      <w:pPr>
        <w:pBdr>
          <w:top w:val="single" w:sz="4" w:space="1" w:color="auto"/>
          <w:left w:val="single" w:sz="4" w:space="4" w:color="auto"/>
          <w:bottom w:val="single" w:sz="4" w:space="1" w:color="auto"/>
          <w:right w:val="single" w:sz="4" w:space="4" w:color="auto"/>
        </w:pBdr>
        <w:suppressAutoHyphens/>
        <w:jc w:val="both"/>
        <w:rPr>
          <w:rFonts w:ascii="Arial" w:hAnsi="Arial" w:cs="Arial"/>
          <w:spacing w:val="-2"/>
          <w:sz w:val="24"/>
          <w:szCs w:val="24"/>
          <w:lang w:val="es-AR" w:eastAsia="es-ES"/>
        </w:rPr>
      </w:pPr>
      <w:r w:rsidRPr="00833132">
        <w:rPr>
          <w:rFonts w:ascii="Arial" w:hAnsi="Arial" w:cs="Arial"/>
          <w:b/>
          <w:i/>
          <w:spacing w:val="-2"/>
          <w:sz w:val="24"/>
          <w:szCs w:val="24"/>
          <w:lang w:val="es-AR" w:eastAsia="es-ES"/>
        </w:rPr>
        <w:t>Los C</w:t>
      </w:r>
      <w:r w:rsidR="0072122B" w:rsidRPr="00833132">
        <w:rPr>
          <w:rFonts w:ascii="Arial" w:hAnsi="Arial" w:cs="Arial"/>
          <w:b/>
          <w:i/>
          <w:spacing w:val="-2"/>
          <w:sz w:val="24"/>
          <w:szCs w:val="24"/>
          <w:lang w:val="es-AR" w:eastAsia="es-ES"/>
        </w:rPr>
        <w:t>EDEARs</w:t>
      </w:r>
      <w:r w:rsidRPr="00833132">
        <w:rPr>
          <w:rFonts w:ascii="Arial" w:hAnsi="Arial" w:cs="Arial"/>
          <w:b/>
          <w:i/>
          <w:spacing w:val="-2"/>
          <w:sz w:val="24"/>
          <w:szCs w:val="24"/>
          <w:lang w:val="es-AR" w:eastAsia="es-ES"/>
        </w:rPr>
        <w:t xml:space="preserve"> referidos bajo el presente Prospecto no cuentan con calificación de riesgo sin perjuicio de que </w:t>
      </w:r>
      <w:r w:rsidR="00536B9F">
        <w:rPr>
          <w:rFonts w:ascii="Arial" w:hAnsi="Arial" w:cs="Arial"/>
          <w:b/>
          <w:i/>
          <w:spacing w:val="-2"/>
          <w:sz w:val="24"/>
          <w:szCs w:val="24"/>
          <w:lang w:val="es-AR" w:eastAsia="es-ES"/>
        </w:rPr>
        <w:t>lo</w:t>
      </w:r>
      <w:r w:rsidR="004B43B6">
        <w:rPr>
          <w:rFonts w:ascii="Arial" w:hAnsi="Arial" w:cs="Arial"/>
          <w:b/>
          <w:i/>
          <w:spacing w:val="-2"/>
          <w:sz w:val="24"/>
          <w:szCs w:val="24"/>
          <w:lang w:val="es-AR" w:eastAsia="es-ES"/>
        </w:rPr>
        <w:t xml:space="preserve">s </w:t>
      </w:r>
      <w:proofErr w:type="spellStart"/>
      <w:r w:rsidR="00477BC5">
        <w:rPr>
          <w:rFonts w:ascii="Arial" w:hAnsi="Arial" w:cs="Arial"/>
          <w:b/>
          <w:i/>
          <w:spacing w:val="-2"/>
          <w:sz w:val="24"/>
          <w:szCs w:val="24"/>
          <w:lang w:val="es-AR" w:eastAsia="es-ES"/>
        </w:rPr>
        <w:t>ADS</w:t>
      </w:r>
      <w:r w:rsidR="00536B9F" w:rsidRPr="00536B9F">
        <w:rPr>
          <w:rFonts w:ascii="Arial" w:hAnsi="Arial" w:cs="Arial"/>
          <w:b/>
          <w:i/>
          <w:spacing w:val="-2"/>
          <w:sz w:val="24"/>
          <w:szCs w:val="24"/>
          <w:lang w:val="es-AR" w:eastAsia="es-ES"/>
        </w:rPr>
        <w:t>s</w:t>
      </w:r>
      <w:proofErr w:type="spellEnd"/>
      <w:r w:rsidR="00536B9F" w:rsidRPr="00536B9F">
        <w:rPr>
          <w:rFonts w:ascii="Arial" w:hAnsi="Arial" w:cs="Arial"/>
          <w:b/>
          <w:i/>
          <w:spacing w:val="-2"/>
          <w:sz w:val="24"/>
          <w:szCs w:val="24"/>
          <w:lang w:val="es-AR" w:eastAsia="es-ES"/>
        </w:rPr>
        <w:t xml:space="preserve"> </w:t>
      </w:r>
      <w:r w:rsidRPr="00833132">
        <w:rPr>
          <w:rFonts w:ascii="Arial" w:hAnsi="Arial" w:cs="Arial"/>
          <w:b/>
          <w:i/>
          <w:spacing w:val="-2"/>
          <w:sz w:val="24"/>
          <w:szCs w:val="24"/>
          <w:lang w:val="es-AR" w:eastAsia="es-ES"/>
        </w:rPr>
        <w:t>representad</w:t>
      </w:r>
      <w:r w:rsidR="00536B9F">
        <w:rPr>
          <w:rFonts w:ascii="Arial" w:hAnsi="Arial" w:cs="Arial"/>
          <w:b/>
          <w:i/>
          <w:spacing w:val="-2"/>
          <w:sz w:val="24"/>
          <w:szCs w:val="24"/>
          <w:lang w:val="es-AR" w:eastAsia="es-ES"/>
        </w:rPr>
        <w:t>o</w:t>
      </w:r>
      <w:r w:rsidRPr="00833132">
        <w:rPr>
          <w:rFonts w:ascii="Arial" w:hAnsi="Arial" w:cs="Arial"/>
          <w:b/>
          <w:i/>
          <w:spacing w:val="-2"/>
          <w:sz w:val="24"/>
          <w:szCs w:val="24"/>
          <w:lang w:val="es-AR" w:eastAsia="es-ES"/>
        </w:rPr>
        <w:t xml:space="preserve">s por los Cedears referidos bajo el presente Prospecto puedan contar con calificaciones de riesgo, las cuales deberán ser consideradas y analizadas por cada potencial inversor para </w:t>
      </w:r>
      <w:r w:rsidR="00CE7899">
        <w:rPr>
          <w:rFonts w:ascii="Arial" w:hAnsi="Arial" w:cs="Arial"/>
          <w:b/>
          <w:i/>
          <w:spacing w:val="-2"/>
          <w:sz w:val="24"/>
          <w:szCs w:val="24"/>
          <w:lang w:val="es-AR" w:eastAsia="es-ES"/>
        </w:rPr>
        <w:t>el Programa presentado en este Prospecto.</w:t>
      </w:r>
    </w:p>
    <w:p w14:paraId="5F867BEB" w14:textId="77777777" w:rsidR="00E91F61" w:rsidRPr="00C21BB4" w:rsidRDefault="00E91F61" w:rsidP="00E91F61">
      <w:pPr>
        <w:suppressAutoHyphens/>
        <w:jc w:val="both"/>
        <w:rPr>
          <w:rFonts w:ascii="Arial" w:hAnsi="Arial" w:cs="Arial"/>
          <w:spacing w:val="-2"/>
          <w:sz w:val="24"/>
          <w:szCs w:val="24"/>
          <w:lang w:val="es-AR" w:eastAsia="es-ES"/>
        </w:rPr>
      </w:pPr>
    </w:p>
    <w:p w14:paraId="454CC48E" w14:textId="77777777" w:rsidR="00620F71" w:rsidRDefault="00E91F61" w:rsidP="00E91F61">
      <w:pPr>
        <w:suppressAutoHyphens/>
        <w:jc w:val="both"/>
        <w:rPr>
          <w:rFonts w:ascii="Arial" w:hAnsi="Arial" w:cs="Arial"/>
          <w:spacing w:val="-2"/>
          <w:sz w:val="24"/>
          <w:szCs w:val="24"/>
          <w:lang w:val="es-AR" w:eastAsia="es-ES"/>
        </w:rPr>
      </w:pPr>
      <w:r w:rsidRPr="00C21BB4">
        <w:rPr>
          <w:rFonts w:ascii="Arial" w:hAnsi="Arial" w:cs="Arial"/>
          <w:spacing w:val="-2"/>
          <w:sz w:val="24"/>
          <w:szCs w:val="24"/>
          <w:lang w:val="es-AR" w:eastAsia="es-ES"/>
        </w:rPr>
        <w:t>El presente Prospecto no tiene por objeto proveer los fundamentos para la obtención de ninguna evaluación crediticia o de otro tipo y no debe ser considerado como una recomendación del Emisor y/o del Custodio para adquirir los respectivos C</w:t>
      </w:r>
      <w:r w:rsidR="00015867" w:rsidRPr="00C21BB4">
        <w:rPr>
          <w:rFonts w:ascii="Arial" w:hAnsi="Arial" w:cs="Arial"/>
          <w:spacing w:val="-2"/>
          <w:sz w:val="24"/>
          <w:szCs w:val="24"/>
          <w:lang w:val="es-AR" w:eastAsia="es-ES"/>
        </w:rPr>
        <w:t>EDEARs</w:t>
      </w:r>
      <w:r w:rsidRPr="00C21BB4">
        <w:rPr>
          <w:rFonts w:ascii="Arial" w:hAnsi="Arial" w:cs="Arial"/>
          <w:spacing w:val="-2"/>
          <w:sz w:val="24"/>
          <w:szCs w:val="24"/>
          <w:lang w:val="es-AR" w:eastAsia="es-ES"/>
        </w:rPr>
        <w:t xml:space="preserve">. </w:t>
      </w:r>
    </w:p>
    <w:p w14:paraId="2D1D61CA" w14:textId="77777777" w:rsidR="00620F71" w:rsidRDefault="00620F71" w:rsidP="00E91F61">
      <w:pPr>
        <w:suppressAutoHyphens/>
        <w:jc w:val="both"/>
        <w:rPr>
          <w:rFonts w:ascii="Arial" w:hAnsi="Arial" w:cs="Arial"/>
          <w:spacing w:val="-2"/>
          <w:sz w:val="24"/>
          <w:szCs w:val="24"/>
          <w:lang w:val="es-AR" w:eastAsia="es-ES"/>
        </w:rPr>
      </w:pPr>
    </w:p>
    <w:p w14:paraId="5B3D52EE" w14:textId="77777777" w:rsidR="00620F71" w:rsidRDefault="00620F71" w:rsidP="00E91F61">
      <w:pPr>
        <w:suppressAutoHyphens/>
        <w:jc w:val="both"/>
        <w:rPr>
          <w:rFonts w:ascii="Arial" w:hAnsi="Arial" w:cs="Arial"/>
          <w:spacing w:val="-2"/>
          <w:sz w:val="24"/>
          <w:szCs w:val="24"/>
          <w:lang w:val="es-AR" w:eastAsia="es-ES"/>
        </w:rPr>
      </w:pPr>
      <w:r w:rsidRPr="00620F71">
        <w:rPr>
          <w:rFonts w:ascii="Arial" w:hAnsi="Arial" w:cs="Arial"/>
          <w:spacing w:val="-2"/>
          <w:sz w:val="24"/>
          <w:szCs w:val="24"/>
          <w:lang w:val="es-AR" w:eastAsia="es-ES"/>
        </w:rPr>
        <w:t>El presente prospecto y los estados financieros que se mencionan en el mismo se encuentran a disposición de los interesados en nuestro domicilio sita en Av. Roque Sáenz Peña 660, 3° piso, Ciudad Autónoma de Buenos Aires (C1035AAO), República Argentina; y en el sitio web de la CNV http://www.cnv.gov.ar/sitioWeb/.</w:t>
      </w:r>
    </w:p>
    <w:p w14:paraId="5AA3586A" w14:textId="77777777" w:rsidR="00620F71" w:rsidRDefault="00620F71" w:rsidP="00E91F61">
      <w:pPr>
        <w:suppressAutoHyphens/>
        <w:jc w:val="both"/>
        <w:rPr>
          <w:rFonts w:ascii="Arial" w:hAnsi="Arial" w:cs="Arial"/>
          <w:spacing w:val="-2"/>
          <w:sz w:val="24"/>
          <w:szCs w:val="24"/>
          <w:lang w:val="es-AR" w:eastAsia="es-ES"/>
        </w:rPr>
      </w:pPr>
    </w:p>
    <w:p w14:paraId="4783C02F" w14:textId="77777777" w:rsidR="00F17058" w:rsidRDefault="00E91F61" w:rsidP="00E91F61">
      <w:pPr>
        <w:suppressAutoHyphens/>
        <w:jc w:val="both"/>
        <w:rPr>
          <w:rFonts w:ascii="Arial" w:hAnsi="Arial" w:cs="Arial"/>
          <w:b/>
          <w:i/>
          <w:spacing w:val="-2"/>
          <w:sz w:val="24"/>
          <w:szCs w:val="24"/>
          <w:lang w:val="es-AR" w:eastAsia="es-ES"/>
        </w:rPr>
      </w:pPr>
      <w:r w:rsidRPr="00C21BB4">
        <w:rPr>
          <w:rFonts w:ascii="Arial" w:hAnsi="Arial" w:cs="Arial"/>
          <w:b/>
          <w:i/>
          <w:spacing w:val="-2"/>
          <w:sz w:val="24"/>
          <w:szCs w:val="24"/>
          <w:lang w:val="es-AR" w:eastAsia="es-ES"/>
        </w:rPr>
        <w:t>Cada potencial comprador de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analizar por sí mismo la información contenida en el presente Prospecto y cualquier compra de los presentes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basarse en el presente Prospecto y en cualquier análisis adicional que dic</w:t>
      </w:r>
      <w:r w:rsidR="001F26EF">
        <w:rPr>
          <w:rFonts w:ascii="Arial" w:hAnsi="Arial" w:cs="Arial"/>
          <w:b/>
          <w:i/>
          <w:spacing w:val="-2"/>
          <w:sz w:val="24"/>
          <w:szCs w:val="24"/>
          <w:lang w:val="es-AR" w:eastAsia="es-ES"/>
        </w:rPr>
        <w:t xml:space="preserve">ho potencial comprador considere pertinente realizar. </w:t>
      </w:r>
    </w:p>
    <w:p w14:paraId="2470B793" w14:textId="77777777" w:rsidR="00620F71" w:rsidRDefault="00620F71" w:rsidP="00E91F61">
      <w:pPr>
        <w:suppressAutoHyphens/>
        <w:jc w:val="both"/>
        <w:rPr>
          <w:rFonts w:ascii="Arial" w:hAnsi="Arial" w:cs="Arial"/>
          <w:b/>
          <w:i/>
          <w:spacing w:val="-2"/>
          <w:sz w:val="24"/>
          <w:szCs w:val="24"/>
          <w:lang w:val="es-AR" w:eastAsia="es-ES"/>
        </w:rPr>
      </w:pPr>
    </w:p>
    <w:p w14:paraId="133F367B" w14:textId="77777777" w:rsidR="00E91F61" w:rsidRPr="00C21BB4" w:rsidRDefault="00E91F61">
      <w:pPr>
        <w:suppressAutoHyphens/>
        <w:ind w:firstLine="708"/>
        <w:jc w:val="both"/>
        <w:rPr>
          <w:rFonts w:ascii="Arial" w:hAnsi="Arial" w:cs="Arial"/>
          <w:spacing w:val="-2"/>
          <w:sz w:val="24"/>
          <w:szCs w:val="24"/>
          <w:lang w:val="es-AR"/>
        </w:rPr>
      </w:pPr>
    </w:p>
    <w:p w14:paraId="7B19C95F" w14:textId="77777777" w:rsidR="00C46A40" w:rsidRPr="00C21BB4" w:rsidRDefault="00C46A40" w:rsidP="00C46A40">
      <w:pPr>
        <w:suppressAutoHyphens/>
        <w:jc w:val="both"/>
        <w:rPr>
          <w:rFonts w:ascii="Arial" w:hAnsi="Arial" w:cs="Arial"/>
          <w:spacing w:val="-2"/>
          <w:sz w:val="24"/>
          <w:szCs w:val="24"/>
          <w:lang w:val="es-AR"/>
        </w:rPr>
      </w:pPr>
      <w:r w:rsidRPr="00C21BB4">
        <w:rPr>
          <w:rFonts w:ascii="Arial" w:hAnsi="Arial" w:cs="Arial"/>
          <w:spacing w:val="-2"/>
          <w:sz w:val="24"/>
          <w:szCs w:val="24"/>
          <w:lang w:val="es-AR"/>
        </w:rPr>
        <w:lastRenderedPageBreak/>
        <w:t>Adicionalmente, se aclara que la deuda de la compañía</w:t>
      </w:r>
      <w:r w:rsidR="00E53DCA">
        <w:rPr>
          <w:rFonts w:ascii="Arial" w:hAnsi="Arial" w:cs="Arial"/>
          <w:spacing w:val="-2"/>
          <w:sz w:val="24"/>
          <w:szCs w:val="24"/>
          <w:lang w:val="es-AR"/>
        </w:rPr>
        <w:t xml:space="preserve"> </w:t>
      </w:r>
      <w:r w:rsidR="007B6DCA">
        <w:rPr>
          <w:rFonts w:ascii="Arial" w:hAnsi="Arial" w:cs="Arial"/>
          <w:spacing w:val="-2"/>
          <w:sz w:val="24"/>
          <w:szCs w:val="24"/>
          <w:lang w:val="es-AR"/>
        </w:rPr>
        <w:t>emisora de las A</w:t>
      </w:r>
      <w:r w:rsidR="00C24E22">
        <w:rPr>
          <w:rFonts w:ascii="Arial" w:hAnsi="Arial" w:cs="Arial"/>
          <w:spacing w:val="-2"/>
          <w:sz w:val="24"/>
          <w:szCs w:val="24"/>
          <w:lang w:val="es-AR"/>
        </w:rPr>
        <w:t>cci</w:t>
      </w:r>
      <w:r w:rsidR="00D60CCB">
        <w:rPr>
          <w:rFonts w:ascii="Arial" w:hAnsi="Arial" w:cs="Arial"/>
          <w:spacing w:val="-2"/>
          <w:sz w:val="24"/>
          <w:szCs w:val="24"/>
          <w:lang w:val="es-AR"/>
        </w:rPr>
        <w:t>o</w:t>
      </w:r>
      <w:r w:rsidR="00C24E22">
        <w:rPr>
          <w:rFonts w:ascii="Arial" w:hAnsi="Arial" w:cs="Arial"/>
          <w:spacing w:val="-2"/>
          <w:sz w:val="24"/>
          <w:szCs w:val="24"/>
          <w:lang w:val="es-AR"/>
        </w:rPr>
        <w:t>n</w:t>
      </w:r>
      <w:r w:rsidR="00D60CCB">
        <w:rPr>
          <w:rFonts w:ascii="Arial" w:hAnsi="Arial" w:cs="Arial"/>
          <w:spacing w:val="-2"/>
          <w:sz w:val="24"/>
          <w:szCs w:val="24"/>
          <w:lang w:val="es-AR"/>
        </w:rPr>
        <w:t>es</w:t>
      </w:r>
      <w:r w:rsidR="00C24E22">
        <w:rPr>
          <w:rFonts w:ascii="Arial" w:hAnsi="Arial" w:cs="Arial"/>
          <w:spacing w:val="-2"/>
          <w:sz w:val="24"/>
          <w:szCs w:val="24"/>
          <w:lang w:val="es-AR"/>
        </w:rPr>
        <w:t xml:space="preserve"> </w:t>
      </w:r>
      <w:r w:rsidR="007B6DCA">
        <w:rPr>
          <w:rFonts w:ascii="Arial" w:hAnsi="Arial" w:cs="Arial"/>
          <w:spacing w:val="-2"/>
          <w:sz w:val="24"/>
          <w:szCs w:val="24"/>
          <w:lang w:val="es-AR"/>
        </w:rPr>
        <w:t>S</w:t>
      </w:r>
      <w:r w:rsidR="00C24E22">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C21BB4">
        <w:rPr>
          <w:rFonts w:ascii="Arial" w:hAnsi="Arial" w:cs="Arial"/>
          <w:spacing w:val="-2"/>
          <w:sz w:val="24"/>
          <w:szCs w:val="24"/>
          <w:lang w:val="es-AR"/>
        </w:rPr>
        <w:t xml:space="preserve"> </w:t>
      </w:r>
      <w:r w:rsidR="005F4067">
        <w:rPr>
          <w:rFonts w:ascii="Arial" w:hAnsi="Arial" w:cs="Arial"/>
          <w:spacing w:val="-2"/>
          <w:sz w:val="24"/>
          <w:szCs w:val="24"/>
          <w:lang w:val="es-AR"/>
        </w:rPr>
        <w:t xml:space="preserve">cuyo depósito </w:t>
      </w:r>
      <w:r w:rsidR="004B43B6">
        <w:rPr>
          <w:rFonts w:ascii="Arial" w:hAnsi="Arial" w:cs="Arial"/>
          <w:spacing w:val="-2"/>
          <w:sz w:val="24"/>
          <w:szCs w:val="24"/>
          <w:lang w:val="es-AR"/>
        </w:rPr>
        <w:t>está representad</w:t>
      </w:r>
      <w:r w:rsidR="00536B9F">
        <w:rPr>
          <w:rFonts w:ascii="Arial" w:hAnsi="Arial" w:cs="Arial"/>
          <w:spacing w:val="-2"/>
          <w:sz w:val="24"/>
          <w:szCs w:val="24"/>
          <w:lang w:val="es-AR"/>
        </w:rPr>
        <w:t>o</w:t>
      </w:r>
      <w:r w:rsidRPr="00C21BB4">
        <w:rPr>
          <w:rFonts w:ascii="Arial" w:hAnsi="Arial" w:cs="Arial"/>
          <w:spacing w:val="-2"/>
          <w:sz w:val="24"/>
          <w:szCs w:val="24"/>
          <w:lang w:val="es-AR"/>
        </w:rPr>
        <w:t xml:space="preserve"> por los </w:t>
      </w:r>
      <w:proofErr w:type="spellStart"/>
      <w:r w:rsidRPr="00C21BB4">
        <w:rPr>
          <w:rFonts w:ascii="Arial" w:hAnsi="Arial" w:cs="Arial"/>
          <w:spacing w:val="-2"/>
          <w:sz w:val="24"/>
          <w:szCs w:val="24"/>
          <w:lang w:val="es-AR"/>
        </w:rPr>
        <w:t>C</w:t>
      </w:r>
      <w:r w:rsidR="00015867" w:rsidRPr="00C21BB4">
        <w:rPr>
          <w:rFonts w:ascii="Arial" w:hAnsi="Arial" w:cs="Arial"/>
          <w:spacing w:val="-2"/>
          <w:sz w:val="24"/>
          <w:szCs w:val="24"/>
          <w:lang w:val="es-AR"/>
        </w:rPr>
        <w:t>EDEARs</w:t>
      </w:r>
      <w:proofErr w:type="spellEnd"/>
      <w:r w:rsidRPr="00C21BB4">
        <w:rPr>
          <w:rFonts w:ascii="Arial" w:hAnsi="Arial" w:cs="Arial"/>
          <w:spacing w:val="-2"/>
          <w:sz w:val="24"/>
          <w:szCs w:val="24"/>
          <w:lang w:val="es-AR"/>
        </w:rPr>
        <w:t xml:space="preserve"> podrá contar con calificaciones de riesgo, las que se pueden consultar tanto en el Sistema de información Bloomberg, como así también a través de los links que mencionamos a continuación correspondientes a las Páginas de Internet de las Calificadoras Internacionales más importantes en las que podrán obtener más información tanto sobre las calificaciones que se emiten como también sobre sus significados. </w:t>
      </w:r>
    </w:p>
    <w:p w14:paraId="274F46A9" w14:textId="77777777" w:rsidR="00015867" w:rsidRPr="00C21BB4" w:rsidRDefault="00015867" w:rsidP="00C46A40">
      <w:pPr>
        <w:suppressAutoHyphens/>
        <w:jc w:val="both"/>
        <w:rPr>
          <w:rFonts w:ascii="Arial" w:hAnsi="Arial" w:cs="Arial"/>
          <w:spacing w:val="-2"/>
          <w:sz w:val="24"/>
          <w:szCs w:val="24"/>
          <w:lang w:val="es-AR"/>
        </w:rPr>
      </w:pPr>
    </w:p>
    <w:p w14:paraId="275692B2" w14:textId="77777777" w:rsidR="00015867" w:rsidRPr="00A20DA0" w:rsidRDefault="00015867" w:rsidP="00015867">
      <w:pPr>
        <w:pStyle w:val="Textonotapie"/>
        <w:jc w:val="both"/>
        <w:rPr>
          <w:rFonts w:ascii="Arial" w:hAnsi="Arial" w:cs="Arial"/>
          <w:b/>
          <w:spacing w:val="-2"/>
          <w:sz w:val="24"/>
          <w:szCs w:val="24"/>
          <w:lang w:val="en-GB" w:eastAsia="es-ES"/>
        </w:rPr>
      </w:pPr>
      <w:r w:rsidRPr="00A20DA0">
        <w:rPr>
          <w:rFonts w:ascii="Arial" w:hAnsi="Arial" w:cs="Arial"/>
          <w:b/>
          <w:spacing w:val="-2"/>
          <w:sz w:val="24"/>
          <w:szCs w:val="24"/>
          <w:lang w:val="en-GB" w:eastAsia="es-ES"/>
        </w:rPr>
        <w:t>STANDARD &amp; POORS:</w:t>
      </w:r>
    </w:p>
    <w:p w14:paraId="3F466D36" w14:textId="77777777" w:rsidR="00015867" w:rsidRPr="00A20DA0" w:rsidRDefault="00975C85" w:rsidP="00015867">
      <w:pPr>
        <w:numPr>
          <w:ilvl w:val="0"/>
          <w:numId w:val="9"/>
        </w:numPr>
        <w:rPr>
          <w:rFonts w:ascii="Arial" w:hAnsi="Arial" w:cs="Arial"/>
          <w:spacing w:val="-2"/>
          <w:sz w:val="24"/>
          <w:szCs w:val="24"/>
          <w:lang w:val="en-GB" w:eastAsia="es-ES"/>
        </w:rPr>
      </w:pPr>
      <w:hyperlink r:id="rId13" w:history="1">
        <w:r w:rsidR="00015867" w:rsidRPr="00A20DA0">
          <w:rPr>
            <w:rStyle w:val="Hipervnculo"/>
            <w:rFonts w:ascii="Arial" w:hAnsi="Arial" w:cs="Arial"/>
            <w:spacing w:val="-2"/>
            <w:sz w:val="24"/>
            <w:szCs w:val="24"/>
            <w:lang w:val="en-GB" w:eastAsia="es-ES"/>
          </w:rPr>
          <w:t>https://www.fitchratings.com/site/definitions</w:t>
        </w:r>
      </w:hyperlink>
    </w:p>
    <w:p w14:paraId="0BD89373" w14:textId="77777777" w:rsidR="00DF221F" w:rsidRPr="00A20DA0" w:rsidRDefault="00975C85" w:rsidP="00DF221F">
      <w:pPr>
        <w:numPr>
          <w:ilvl w:val="0"/>
          <w:numId w:val="9"/>
        </w:numPr>
        <w:rPr>
          <w:rFonts w:ascii="Arial" w:hAnsi="Arial" w:cs="Arial"/>
          <w:spacing w:val="-2"/>
          <w:sz w:val="24"/>
          <w:szCs w:val="24"/>
          <w:lang w:val="en-GB" w:eastAsia="es-ES"/>
        </w:rPr>
      </w:pPr>
      <w:hyperlink r:id="rId14" w:history="1">
        <w:r w:rsidR="00DF221F" w:rsidRPr="00A20DA0">
          <w:rPr>
            <w:rStyle w:val="Hipervnculo"/>
            <w:rFonts w:ascii="Arial" w:hAnsi="Arial" w:cs="Arial"/>
            <w:spacing w:val="-2"/>
            <w:sz w:val="24"/>
            <w:szCs w:val="24"/>
            <w:lang w:val="en-GB" w:eastAsia="es-ES"/>
          </w:rPr>
          <w:t>https://www.standardandpoors.com/en_US/web/guest/home</w:t>
        </w:r>
      </w:hyperlink>
      <w:r w:rsidR="00DF221F" w:rsidRPr="00A20DA0">
        <w:rPr>
          <w:rFonts w:ascii="Arial" w:hAnsi="Arial" w:cs="Arial"/>
          <w:spacing w:val="-2"/>
          <w:sz w:val="24"/>
          <w:szCs w:val="24"/>
          <w:lang w:val="en-GB" w:eastAsia="es-ES"/>
        </w:rPr>
        <w:t xml:space="preserve">  </w:t>
      </w:r>
    </w:p>
    <w:p w14:paraId="0E9D6CA9" w14:textId="77777777" w:rsidR="00015867" w:rsidRPr="00A20DA0" w:rsidRDefault="00015867" w:rsidP="00015867">
      <w:pPr>
        <w:pStyle w:val="Textonotapie"/>
        <w:rPr>
          <w:rFonts w:ascii="Arial" w:hAnsi="Arial" w:cs="Arial"/>
          <w:spacing w:val="-2"/>
          <w:sz w:val="24"/>
          <w:szCs w:val="24"/>
          <w:lang w:val="en-GB" w:eastAsia="es-ES"/>
        </w:rPr>
      </w:pPr>
    </w:p>
    <w:p w14:paraId="485E469E" w14:textId="77777777" w:rsidR="00015867" w:rsidRPr="00A20DA0" w:rsidRDefault="00015867" w:rsidP="00015867">
      <w:pPr>
        <w:pStyle w:val="Textonotapie"/>
        <w:rPr>
          <w:rFonts w:ascii="Arial" w:hAnsi="Arial" w:cs="Arial"/>
          <w:b/>
          <w:spacing w:val="-2"/>
          <w:sz w:val="24"/>
          <w:szCs w:val="24"/>
          <w:lang w:val="en-GB" w:eastAsia="es-ES"/>
        </w:rPr>
      </w:pPr>
      <w:r w:rsidRPr="00A20DA0">
        <w:rPr>
          <w:rFonts w:ascii="Arial" w:hAnsi="Arial" w:cs="Arial"/>
          <w:b/>
          <w:spacing w:val="-2"/>
          <w:sz w:val="24"/>
          <w:szCs w:val="24"/>
          <w:lang w:val="en-GB" w:eastAsia="es-ES"/>
        </w:rPr>
        <w:t>FITCH:</w:t>
      </w:r>
    </w:p>
    <w:p w14:paraId="63C7F037" w14:textId="77777777" w:rsidR="00015867" w:rsidRPr="00A20DA0" w:rsidRDefault="00015867" w:rsidP="00015867">
      <w:pPr>
        <w:pStyle w:val="Textonotapie"/>
        <w:ind w:left="720"/>
        <w:jc w:val="both"/>
        <w:rPr>
          <w:rFonts w:ascii="Arial" w:hAnsi="Arial" w:cs="Arial"/>
          <w:spacing w:val="-2"/>
          <w:sz w:val="24"/>
          <w:szCs w:val="24"/>
          <w:lang w:val="en-GB" w:eastAsia="es-ES"/>
        </w:rPr>
      </w:pPr>
    </w:p>
    <w:p w14:paraId="08575F80" w14:textId="77777777" w:rsidR="00015867" w:rsidRPr="00A20DA0" w:rsidRDefault="00975C85" w:rsidP="00DF221F">
      <w:pPr>
        <w:pStyle w:val="Textonotapie"/>
        <w:numPr>
          <w:ilvl w:val="0"/>
          <w:numId w:val="10"/>
        </w:numPr>
        <w:jc w:val="both"/>
        <w:rPr>
          <w:rFonts w:ascii="Arial" w:hAnsi="Arial" w:cs="Arial"/>
          <w:spacing w:val="-2"/>
          <w:sz w:val="24"/>
          <w:szCs w:val="24"/>
          <w:lang w:val="en-GB" w:eastAsia="es-ES"/>
        </w:rPr>
      </w:pPr>
      <w:hyperlink r:id="rId15" w:history="1">
        <w:r w:rsidR="00015867" w:rsidRPr="00A20DA0">
          <w:rPr>
            <w:rStyle w:val="Hipervnculo"/>
            <w:rFonts w:ascii="Arial" w:hAnsi="Arial" w:cs="Arial"/>
            <w:spacing w:val="-2"/>
            <w:sz w:val="24"/>
            <w:szCs w:val="24"/>
            <w:lang w:val="en-GB" w:eastAsia="es-ES"/>
          </w:rPr>
          <w:t>https://www.fitchratings.com/site/definitions</w:t>
        </w:r>
      </w:hyperlink>
    </w:p>
    <w:p w14:paraId="1AF76C19" w14:textId="77777777" w:rsidR="00DF221F" w:rsidRPr="00A20DA0" w:rsidRDefault="00975C85" w:rsidP="00DF221F">
      <w:pPr>
        <w:pStyle w:val="Textonotapie"/>
        <w:numPr>
          <w:ilvl w:val="0"/>
          <w:numId w:val="10"/>
        </w:numPr>
        <w:jc w:val="both"/>
        <w:rPr>
          <w:rFonts w:ascii="Arial" w:hAnsi="Arial" w:cs="Arial"/>
          <w:sz w:val="24"/>
          <w:szCs w:val="24"/>
          <w:lang w:val="en-GB"/>
        </w:rPr>
      </w:pPr>
      <w:hyperlink r:id="rId16" w:history="1">
        <w:r w:rsidR="00DF221F" w:rsidRPr="00A20DA0">
          <w:rPr>
            <w:rStyle w:val="Hipervnculo"/>
            <w:rFonts w:ascii="Arial" w:hAnsi="Arial" w:cs="Arial"/>
            <w:sz w:val="24"/>
            <w:szCs w:val="24"/>
            <w:lang w:val="en-GB"/>
          </w:rPr>
          <w:t>https://www.fitchratings.com/creditdesk/search/ratings.cfm?srch_rtng_id_typ=batch&amp;cft=0</w:t>
        </w:r>
      </w:hyperlink>
      <w:r w:rsidR="00DF221F" w:rsidRPr="00A20DA0">
        <w:rPr>
          <w:rFonts w:ascii="Arial" w:hAnsi="Arial" w:cs="Arial"/>
          <w:sz w:val="24"/>
          <w:szCs w:val="24"/>
          <w:lang w:val="en-GB"/>
        </w:rPr>
        <w:t xml:space="preserve"> </w:t>
      </w:r>
    </w:p>
    <w:p w14:paraId="20FAB035" w14:textId="77777777" w:rsidR="00015867" w:rsidRPr="00A20DA0" w:rsidRDefault="00015867" w:rsidP="00015867">
      <w:pPr>
        <w:pStyle w:val="Textonotapie"/>
        <w:rPr>
          <w:rFonts w:ascii="Arial" w:hAnsi="Arial" w:cs="Arial"/>
          <w:spacing w:val="-2"/>
          <w:sz w:val="24"/>
          <w:szCs w:val="24"/>
          <w:lang w:val="en-GB" w:eastAsia="es-ES"/>
        </w:rPr>
      </w:pPr>
    </w:p>
    <w:p w14:paraId="4C46B2C7" w14:textId="77777777" w:rsidR="00015867" w:rsidRPr="00A20DA0" w:rsidRDefault="00015867" w:rsidP="00015867">
      <w:pPr>
        <w:pStyle w:val="Textonotapie"/>
        <w:jc w:val="both"/>
        <w:rPr>
          <w:rFonts w:ascii="Arial" w:hAnsi="Arial" w:cs="Arial"/>
          <w:b/>
          <w:spacing w:val="-2"/>
          <w:sz w:val="24"/>
          <w:szCs w:val="24"/>
          <w:lang w:eastAsia="es-ES"/>
        </w:rPr>
      </w:pPr>
      <w:r w:rsidRPr="00A20DA0">
        <w:rPr>
          <w:rFonts w:ascii="Arial" w:hAnsi="Arial" w:cs="Arial"/>
          <w:b/>
          <w:spacing w:val="-2"/>
          <w:sz w:val="24"/>
          <w:szCs w:val="24"/>
          <w:lang w:eastAsia="es-ES"/>
        </w:rPr>
        <w:t xml:space="preserve">Moody’s: </w:t>
      </w:r>
    </w:p>
    <w:p w14:paraId="4F4547BF" w14:textId="77777777" w:rsidR="00015867" w:rsidRPr="00A20DA0" w:rsidRDefault="00015867" w:rsidP="00015867">
      <w:pPr>
        <w:pStyle w:val="Textonotapie"/>
        <w:jc w:val="both"/>
        <w:rPr>
          <w:rFonts w:ascii="Arial" w:hAnsi="Arial" w:cs="Arial"/>
          <w:b/>
          <w:spacing w:val="-2"/>
          <w:sz w:val="24"/>
          <w:szCs w:val="24"/>
          <w:lang w:eastAsia="es-ES"/>
        </w:rPr>
      </w:pPr>
    </w:p>
    <w:p w14:paraId="2FDE40DB" w14:textId="77777777" w:rsidR="00015867" w:rsidRPr="00A20DA0" w:rsidRDefault="00975C85" w:rsidP="00DF221F">
      <w:pPr>
        <w:pStyle w:val="Textonotapie"/>
        <w:numPr>
          <w:ilvl w:val="0"/>
          <w:numId w:val="9"/>
        </w:numPr>
        <w:jc w:val="both"/>
        <w:rPr>
          <w:rFonts w:ascii="Arial" w:hAnsi="Arial" w:cs="Arial"/>
          <w:sz w:val="24"/>
          <w:szCs w:val="24"/>
        </w:rPr>
      </w:pPr>
      <w:hyperlink r:id="rId17" w:history="1">
        <w:r w:rsidR="00DF221F" w:rsidRPr="00A20DA0">
          <w:rPr>
            <w:rStyle w:val="Hipervnculo"/>
            <w:rFonts w:ascii="Arial" w:hAnsi="Arial" w:cs="Arial"/>
            <w:sz w:val="24"/>
            <w:szCs w:val="24"/>
          </w:rPr>
          <w:t>https://www.moodys.com/Pages/amr002002.aspx</w:t>
        </w:r>
      </w:hyperlink>
      <w:r w:rsidR="00DF221F" w:rsidRPr="00A20DA0">
        <w:rPr>
          <w:rFonts w:ascii="Arial" w:hAnsi="Arial" w:cs="Arial"/>
          <w:sz w:val="24"/>
          <w:szCs w:val="24"/>
        </w:rPr>
        <w:t xml:space="preserve"> </w:t>
      </w:r>
    </w:p>
    <w:p w14:paraId="7C6ADC8F" w14:textId="77777777" w:rsidR="00DF221F" w:rsidRPr="00A20DA0" w:rsidRDefault="00975C85" w:rsidP="00DF221F">
      <w:pPr>
        <w:pStyle w:val="Textonotapie"/>
        <w:numPr>
          <w:ilvl w:val="0"/>
          <w:numId w:val="9"/>
        </w:numPr>
        <w:jc w:val="both"/>
        <w:rPr>
          <w:rFonts w:ascii="Arial" w:hAnsi="Arial" w:cs="Arial"/>
          <w:sz w:val="24"/>
          <w:szCs w:val="24"/>
          <w:lang w:val="en-GB"/>
        </w:rPr>
      </w:pPr>
      <w:hyperlink r:id="rId18" w:history="1">
        <w:r w:rsidR="00DF221F" w:rsidRPr="00A20DA0">
          <w:rPr>
            <w:rStyle w:val="Hipervnculo"/>
            <w:rFonts w:ascii="Arial" w:hAnsi="Arial" w:cs="Arial"/>
            <w:sz w:val="24"/>
            <w:szCs w:val="24"/>
            <w:lang w:val="en-GB"/>
          </w:rPr>
          <w:t>https://www.moodys.com/page/lookuparating.aspx</w:t>
        </w:r>
      </w:hyperlink>
      <w:r w:rsidR="00DF221F" w:rsidRPr="00A20DA0">
        <w:rPr>
          <w:rFonts w:ascii="Arial" w:hAnsi="Arial" w:cs="Arial"/>
          <w:sz w:val="24"/>
          <w:szCs w:val="24"/>
          <w:lang w:val="en-GB"/>
        </w:rPr>
        <w:t xml:space="preserve"> </w:t>
      </w:r>
    </w:p>
    <w:p w14:paraId="2A9C5356" w14:textId="77777777" w:rsidR="00015867" w:rsidRPr="00C21BB4" w:rsidRDefault="00015867" w:rsidP="00015867">
      <w:pPr>
        <w:pStyle w:val="Textonotapie"/>
        <w:ind w:left="720"/>
        <w:jc w:val="both"/>
        <w:rPr>
          <w:rFonts w:ascii="Arial" w:hAnsi="Arial" w:cs="Arial"/>
          <w:sz w:val="24"/>
          <w:szCs w:val="24"/>
        </w:rPr>
      </w:pPr>
    </w:p>
    <w:p w14:paraId="4A35C79C" w14:textId="77777777" w:rsidR="00EA2654" w:rsidRPr="00B30B0B" w:rsidRDefault="00EA2654" w:rsidP="00E67464">
      <w:pPr>
        <w:suppressAutoHyphens/>
        <w:jc w:val="center"/>
        <w:rPr>
          <w:rFonts w:ascii="Arial" w:hAnsi="Arial" w:cs="Arial"/>
          <w:b/>
          <w:spacing w:val="-2"/>
          <w:sz w:val="24"/>
          <w:szCs w:val="24"/>
          <w:u w:val="single"/>
          <w:lang w:val="en-US"/>
        </w:rPr>
      </w:pPr>
    </w:p>
    <w:p w14:paraId="0C377C73" w14:textId="77777777" w:rsidR="00A20DA0" w:rsidRPr="00B30B0B" w:rsidRDefault="00A20DA0" w:rsidP="00E67464">
      <w:pPr>
        <w:suppressAutoHyphens/>
        <w:jc w:val="center"/>
        <w:rPr>
          <w:rFonts w:ascii="Arial" w:hAnsi="Arial" w:cs="Arial"/>
          <w:b/>
          <w:spacing w:val="-2"/>
          <w:sz w:val="24"/>
          <w:szCs w:val="24"/>
          <w:u w:val="single"/>
          <w:lang w:val="en-US"/>
        </w:rPr>
      </w:pPr>
    </w:p>
    <w:p w14:paraId="47ADF3E9" w14:textId="77777777" w:rsidR="00A20DA0" w:rsidRPr="00B30B0B" w:rsidRDefault="00A20DA0" w:rsidP="00E67464">
      <w:pPr>
        <w:suppressAutoHyphens/>
        <w:jc w:val="center"/>
        <w:rPr>
          <w:rFonts w:ascii="Arial" w:hAnsi="Arial" w:cs="Arial"/>
          <w:b/>
          <w:spacing w:val="-2"/>
          <w:sz w:val="24"/>
          <w:szCs w:val="24"/>
          <w:u w:val="single"/>
          <w:lang w:val="en-US"/>
        </w:rPr>
      </w:pPr>
    </w:p>
    <w:p w14:paraId="77730AF5" w14:textId="77777777" w:rsidR="00A20DA0" w:rsidRPr="00B30B0B" w:rsidRDefault="00A20DA0" w:rsidP="00E67464">
      <w:pPr>
        <w:suppressAutoHyphens/>
        <w:jc w:val="center"/>
        <w:rPr>
          <w:rFonts w:ascii="Arial" w:hAnsi="Arial" w:cs="Arial"/>
          <w:b/>
          <w:spacing w:val="-2"/>
          <w:sz w:val="24"/>
          <w:szCs w:val="24"/>
          <w:u w:val="single"/>
          <w:lang w:val="en-US"/>
        </w:rPr>
      </w:pPr>
    </w:p>
    <w:p w14:paraId="137846A1" w14:textId="77777777" w:rsidR="00A20DA0" w:rsidRPr="00B30B0B" w:rsidRDefault="00A20DA0" w:rsidP="00E67464">
      <w:pPr>
        <w:suppressAutoHyphens/>
        <w:jc w:val="center"/>
        <w:rPr>
          <w:rFonts w:ascii="Arial" w:hAnsi="Arial" w:cs="Arial"/>
          <w:b/>
          <w:spacing w:val="-2"/>
          <w:sz w:val="24"/>
          <w:szCs w:val="24"/>
          <w:u w:val="single"/>
          <w:lang w:val="en-US"/>
        </w:rPr>
      </w:pPr>
    </w:p>
    <w:p w14:paraId="083A3814" w14:textId="77777777" w:rsidR="00A20DA0" w:rsidRPr="00B30B0B" w:rsidRDefault="00A20DA0" w:rsidP="00E67464">
      <w:pPr>
        <w:suppressAutoHyphens/>
        <w:jc w:val="center"/>
        <w:rPr>
          <w:rFonts w:ascii="Arial" w:hAnsi="Arial" w:cs="Arial"/>
          <w:b/>
          <w:spacing w:val="-2"/>
          <w:sz w:val="24"/>
          <w:szCs w:val="24"/>
          <w:u w:val="single"/>
          <w:lang w:val="en-US"/>
        </w:rPr>
      </w:pPr>
    </w:p>
    <w:p w14:paraId="3C860379" w14:textId="77777777" w:rsidR="00A20DA0" w:rsidRPr="00B30B0B" w:rsidRDefault="00A20DA0" w:rsidP="00E67464">
      <w:pPr>
        <w:suppressAutoHyphens/>
        <w:jc w:val="center"/>
        <w:rPr>
          <w:rFonts w:ascii="Arial" w:hAnsi="Arial" w:cs="Arial"/>
          <w:b/>
          <w:spacing w:val="-2"/>
          <w:sz w:val="24"/>
          <w:szCs w:val="24"/>
          <w:u w:val="single"/>
          <w:lang w:val="en-US"/>
        </w:rPr>
      </w:pPr>
    </w:p>
    <w:p w14:paraId="7C40193D" w14:textId="77777777" w:rsidR="00A20DA0" w:rsidRPr="00B30B0B" w:rsidRDefault="00A20DA0" w:rsidP="00E67464">
      <w:pPr>
        <w:suppressAutoHyphens/>
        <w:jc w:val="center"/>
        <w:rPr>
          <w:rFonts w:ascii="Arial" w:hAnsi="Arial" w:cs="Arial"/>
          <w:b/>
          <w:spacing w:val="-2"/>
          <w:sz w:val="24"/>
          <w:szCs w:val="24"/>
          <w:u w:val="single"/>
          <w:lang w:val="en-US"/>
        </w:rPr>
      </w:pPr>
    </w:p>
    <w:p w14:paraId="421522A9" w14:textId="77777777" w:rsidR="00A20DA0" w:rsidRPr="00B30B0B" w:rsidRDefault="00A20DA0" w:rsidP="00E67464">
      <w:pPr>
        <w:suppressAutoHyphens/>
        <w:jc w:val="center"/>
        <w:rPr>
          <w:rFonts w:ascii="Arial" w:hAnsi="Arial" w:cs="Arial"/>
          <w:b/>
          <w:spacing w:val="-2"/>
          <w:sz w:val="24"/>
          <w:szCs w:val="24"/>
          <w:u w:val="single"/>
          <w:lang w:val="en-US"/>
        </w:rPr>
      </w:pPr>
    </w:p>
    <w:p w14:paraId="3FDF7DA5" w14:textId="77777777" w:rsidR="00A20DA0" w:rsidRPr="00B30B0B" w:rsidRDefault="00A20DA0" w:rsidP="00E67464">
      <w:pPr>
        <w:suppressAutoHyphens/>
        <w:jc w:val="center"/>
        <w:rPr>
          <w:rFonts w:ascii="Arial" w:hAnsi="Arial" w:cs="Arial"/>
          <w:b/>
          <w:spacing w:val="-2"/>
          <w:sz w:val="24"/>
          <w:szCs w:val="24"/>
          <w:u w:val="single"/>
          <w:lang w:val="en-US"/>
        </w:rPr>
      </w:pPr>
    </w:p>
    <w:p w14:paraId="7BE3EB05" w14:textId="77777777" w:rsidR="00A20DA0" w:rsidRPr="00B30B0B" w:rsidRDefault="00A20DA0" w:rsidP="00E67464">
      <w:pPr>
        <w:suppressAutoHyphens/>
        <w:jc w:val="center"/>
        <w:rPr>
          <w:rFonts w:ascii="Arial" w:hAnsi="Arial" w:cs="Arial"/>
          <w:b/>
          <w:spacing w:val="-2"/>
          <w:sz w:val="24"/>
          <w:szCs w:val="24"/>
          <w:u w:val="single"/>
          <w:lang w:val="en-US"/>
        </w:rPr>
      </w:pPr>
    </w:p>
    <w:p w14:paraId="71BC14FA" w14:textId="77777777" w:rsidR="00A20DA0" w:rsidRPr="00B30B0B" w:rsidRDefault="00A20DA0" w:rsidP="00E67464">
      <w:pPr>
        <w:suppressAutoHyphens/>
        <w:jc w:val="center"/>
        <w:rPr>
          <w:rFonts w:ascii="Arial" w:hAnsi="Arial" w:cs="Arial"/>
          <w:b/>
          <w:spacing w:val="-2"/>
          <w:sz w:val="24"/>
          <w:szCs w:val="24"/>
          <w:u w:val="single"/>
          <w:lang w:val="en-US"/>
        </w:rPr>
      </w:pPr>
    </w:p>
    <w:p w14:paraId="577DA5E4" w14:textId="77777777" w:rsidR="00A20DA0" w:rsidRPr="00B30B0B" w:rsidRDefault="00A20DA0" w:rsidP="00E67464">
      <w:pPr>
        <w:suppressAutoHyphens/>
        <w:jc w:val="center"/>
        <w:rPr>
          <w:rFonts w:ascii="Arial" w:hAnsi="Arial" w:cs="Arial"/>
          <w:b/>
          <w:spacing w:val="-2"/>
          <w:sz w:val="24"/>
          <w:szCs w:val="24"/>
          <w:u w:val="single"/>
          <w:lang w:val="en-US"/>
        </w:rPr>
      </w:pPr>
    </w:p>
    <w:p w14:paraId="0A520B66" w14:textId="77777777" w:rsidR="00A20DA0" w:rsidRPr="00B30B0B" w:rsidRDefault="00A20DA0" w:rsidP="00E67464">
      <w:pPr>
        <w:suppressAutoHyphens/>
        <w:jc w:val="center"/>
        <w:rPr>
          <w:rFonts w:ascii="Arial" w:hAnsi="Arial" w:cs="Arial"/>
          <w:b/>
          <w:spacing w:val="-2"/>
          <w:sz w:val="24"/>
          <w:szCs w:val="24"/>
          <w:u w:val="single"/>
          <w:lang w:val="en-US"/>
        </w:rPr>
      </w:pPr>
    </w:p>
    <w:p w14:paraId="088C0D4B" w14:textId="77777777" w:rsidR="00A20DA0" w:rsidRPr="00B30B0B" w:rsidRDefault="00A20DA0" w:rsidP="00E67464">
      <w:pPr>
        <w:suppressAutoHyphens/>
        <w:jc w:val="center"/>
        <w:rPr>
          <w:rFonts w:ascii="Arial" w:hAnsi="Arial" w:cs="Arial"/>
          <w:b/>
          <w:spacing w:val="-2"/>
          <w:sz w:val="24"/>
          <w:szCs w:val="24"/>
          <w:u w:val="single"/>
          <w:lang w:val="en-US"/>
        </w:rPr>
      </w:pPr>
    </w:p>
    <w:p w14:paraId="7FE6A36D" w14:textId="77777777" w:rsidR="00A20DA0" w:rsidRPr="00B30B0B" w:rsidRDefault="00A20DA0" w:rsidP="00E67464">
      <w:pPr>
        <w:suppressAutoHyphens/>
        <w:jc w:val="center"/>
        <w:rPr>
          <w:rFonts w:ascii="Arial" w:hAnsi="Arial" w:cs="Arial"/>
          <w:b/>
          <w:spacing w:val="-2"/>
          <w:sz w:val="24"/>
          <w:szCs w:val="24"/>
          <w:u w:val="single"/>
          <w:lang w:val="en-US"/>
        </w:rPr>
      </w:pPr>
    </w:p>
    <w:p w14:paraId="4E187ABE" w14:textId="77777777" w:rsidR="00A20DA0" w:rsidRPr="00B30B0B" w:rsidRDefault="00A20DA0" w:rsidP="00E67464">
      <w:pPr>
        <w:suppressAutoHyphens/>
        <w:jc w:val="center"/>
        <w:rPr>
          <w:rFonts w:ascii="Arial" w:hAnsi="Arial" w:cs="Arial"/>
          <w:b/>
          <w:spacing w:val="-2"/>
          <w:sz w:val="24"/>
          <w:szCs w:val="24"/>
          <w:u w:val="single"/>
          <w:lang w:val="en-US"/>
        </w:rPr>
      </w:pPr>
    </w:p>
    <w:p w14:paraId="1C29A577" w14:textId="77777777" w:rsidR="00A20DA0" w:rsidRPr="00B30B0B" w:rsidRDefault="00A20DA0" w:rsidP="00E67464">
      <w:pPr>
        <w:suppressAutoHyphens/>
        <w:jc w:val="center"/>
        <w:rPr>
          <w:rFonts w:ascii="Arial" w:hAnsi="Arial" w:cs="Arial"/>
          <w:b/>
          <w:spacing w:val="-2"/>
          <w:sz w:val="24"/>
          <w:szCs w:val="24"/>
          <w:u w:val="single"/>
          <w:lang w:val="en-US"/>
        </w:rPr>
      </w:pPr>
    </w:p>
    <w:p w14:paraId="04BD82ED" w14:textId="77777777" w:rsidR="00A20DA0" w:rsidRPr="00B30B0B" w:rsidRDefault="00A20DA0" w:rsidP="00E67464">
      <w:pPr>
        <w:suppressAutoHyphens/>
        <w:jc w:val="center"/>
        <w:rPr>
          <w:rFonts w:ascii="Arial" w:hAnsi="Arial" w:cs="Arial"/>
          <w:b/>
          <w:spacing w:val="-2"/>
          <w:sz w:val="24"/>
          <w:szCs w:val="24"/>
          <w:u w:val="single"/>
          <w:lang w:val="en-US"/>
        </w:rPr>
      </w:pPr>
    </w:p>
    <w:p w14:paraId="75547684" w14:textId="77777777" w:rsidR="00EB164B" w:rsidRPr="00B30B0B" w:rsidRDefault="00EB164B" w:rsidP="00E67464">
      <w:pPr>
        <w:suppressAutoHyphens/>
        <w:jc w:val="center"/>
        <w:rPr>
          <w:rFonts w:ascii="Arial" w:hAnsi="Arial" w:cs="Arial"/>
          <w:b/>
          <w:spacing w:val="-2"/>
          <w:sz w:val="24"/>
          <w:szCs w:val="24"/>
          <w:u w:val="single"/>
          <w:lang w:val="en-US"/>
        </w:rPr>
      </w:pPr>
    </w:p>
    <w:p w14:paraId="44539D8A" w14:textId="77777777" w:rsidR="00EB164B" w:rsidRPr="00B30B0B" w:rsidRDefault="00EB164B" w:rsidP="00E67464">
      <w:pPr>
        <w:suppressAutoHyphens/>
        <w:jc w:val="center"/>
        <w:rPr>
          <w:rFonts w:ascii="Arial" w:hAnsi="Arial" w:cs="Arial"/>
          <w:b/>
          <w:spacing w:val="-2"/>
          <w:sz w:val="24"/>
          <w:szCs w:val="24"/>
          <w:u w:val="single"/>
          <w:lang w:val="en-US"/>
        </w:rPr>
      </w:pPr>
    </w:p>
    <w:p w14:paraId="56CF8D13" w14:textId="77777777" w:rsidR="00336D50" w:rsidRPr="001C1245" w:rsidRDefault="00336D50" w:rsidP="00E67464">
      <w:pPr>
        <w:suppressAutoHyphens/>
        <w:jc w:val="center"/>
        <w:rPr>
          <w:rFonts w:ascii="Arial" w:hAnsi="Arial" w:cs="Arial"/>
          <w:b/>
          <w:spacing w:val="-2"/>
          <w:sz w:val="24"/>
          <w:szCs w:val="24"/>
          <w:u w:val="single"/>
          <w:lang w:val="en-US"/>
        </w:rPr>
      </w:pPr>
    </w:p>
    <w:p w14:paraId="7363F8DA" w14:textId="77777777" w:rsidR="00336D50" w:rsidRPr="001C1245" w:rsidRDefault="00336D50" w:rsidP="00E67464">
      <w:pPr>
        <w:suppressAutoHyphens/>
        <w:jc w:val="center"/>
        <w:rPr>
          <w:rFonts w:ascii="Arial" w:hAnsi="Arial" w:cs="Arial"/>
          <w:b/>
          <w:spacing w:val="-2"/>
          <w:sz w:val="24"/>
          <w:szCs w:val="24"/>
          <w:u w:val="single"/>
          <w:lang w:val="en-US"/>
        </w:rPr>
      </w:pPr>
    </w:p>
    <w:p w14:paraId="5D4EB310" w14:textId="77777777" w:rsidR="004079B7" w:rsidRPr="00C21BB4" w:rsidRDefault="004079B7" w:rsidP="00E67464">
      <w:pPr>
        <w:suppressAutoHyphens/>
        <w:jc w:val="center"/>
        <w:rPr>
          <w:rFonts w:ascii="Arial" w:hAnsi="Arial" w:cs="Arial"/>
          <w:b/>
          <w:spacing w:val="-2"/>
          <w:sz w:val="24"/>
          <w:szCs w:val="24"/>
          <w:u w:val="single"/>
        </w:rPr>
      </w:pPr>
      <w:r w:rsidRPr="00C21BB4">
        <w:rPr>
          <w:rFonts w:ascii="Arial" w:hAnsi="Arial" w:cs="Arial"/>
          <w:b/>
          <w:spacing w:val="-2"/>
          <w:sz w:val="24"/>
          <w:szCs w:val="24"/>
          <w:u w:val="single"/>
        </w:rPr>
        <w:lastRenderedPageBreak/>
        <w:t>EL EMISOR DE LOS CEDEARS</w:t>
      </w:r>
    </w:p>
    <w:p w14:paraId="2F384DFF" w14:textId="77777777" w:rsidR="004079B7" w:rsidRPr="00C21BB4" w:rsidRDefault="004079B7">
      <w:pPr>
        <w:suppressAutoHyphens/>
        <w:jc w:val="both"/>
        <w:rPr>
          <w:rFonts w:ascii="Arial" w:hAnsi="Arial" w:cs="Arial"/>
          <w:b/>
          <w:spacing w:val="-2"/>
          <w:sz w:val="24"/>
          <w:szCs w:val="24"/>
          <w:u w:val="single"/>
        </w:rPr>
      </w:pPr>
    </w:p>
    <w:p w14:paraId="1E14F9AB" w14:textId="77777777" w:rsidR="00EB164B" w:rsidRDefault="00A20DA0" w:rsidP="00776CA5">
      <w:pPr>
        <w:autoSpaceDE w:val="0"/>
        <w:autoSpaceDN w:val="0"/>
        <w:jc w:val="both"/>
        <w:rPr>
          <w:rFonts w:ascii="Arial" w:hAnsi="Arial" w:cs="Arial"/>
          <w:sz w:val="24"/>
          <w:szCs w:val="24"/>
          <w:lang w:val="es-AR"/>
        </w:rPr>
      </w:pPr>
      <w:r w:rsidRPr="005E1354">
        <w:rPr>
          <w:rFonts w:ascii="Arial" w:hAnsi="Arial" w:cs="Arial"/>
          <w:sz w:val="24"/>
          <w:szCs w:val="24"/>
          <w:lang w:val="es-AR"/>
        </w:rPr>
        <w:t>Banco Comafi S.A. (en adelante “el Banco”) es un Banco Comercial autorizado por el Banco Central de la República Argentina regulado por la Ley 21.526 de Entidades Financieras y se encuentra constituido conforme a las leyes de la República Argentina. El Banco Emisor reúne los requisitos necesarios para actuar como tal y como emisor de CEDEARs bajo todas las leyes y normas de la República Argentina, en particular en los términos del artículo 9°,Sección III l Capítulo VIII del  Libro II  de las  Normas de la CNV (T.O. 2013)</w:t>
      </w:r>
      <w:r w:rsidR="00956657">
        <w:rPr>
          <w:rFonts w:ascii="Arial" w:hAnsi="Arial" w:cs="Arial"/>
          <w:sz w:val="24"/>
          <w:szCs w:val="24"/>
          <w:lang w:val="es-AR"/>
        </w:rPr>
        <w:t xml:space="preserve">. </w:t>
      </w:r>
    </w:p>
    <w:p w14:paraId="25BADA48" w14:textId="77777777" w:rsidR="00EB164B" w:rsidRPr="00A20DA0" w:rsidRDefault="00EB164B" w:rsidP="00776CA5">
      <w:pPr>
        <w:autoSpaceDE w:val="0"/>
        <w:autoSpaceDN w:val="0"/>
        <w:jc w:val="both"/>
        <w:rPr>
          <w:rFonts w:ascii="Arial" w:hAnsi="Arial" w:cs="Arial"/>
          <w:sz w:val="24"/>
          <w:szCs w:val="24"/>
          <w:lang w:val="es-AR"/>
        </w:rPr>
      </w:pPr>
    </w:p>
    <w:p w14:paraId="0C54C8BD" w14:textId="77777777" w:rsidR="00A97579" w:rsidRPr="0005554E" w:rsidRDefault="00A97579" w:rsidP="00A97579">
      <w:pPr>
        <w:autoSpaceDE w:val="0"/>
        <w:autoSpaceDN w:val="0"/>
        <w:jc w:val="both"/>
        <w:rPr>
          <w:rFonts w:ascii="Arial" w:hAnsi="Arial" w:cs="Arial"/>
          <w:sz w:val="24"/>
          <w:szCs w:val="24"/>
        </w:rPr>
      </w:pPr>
      <w:r w:rsidRPr="0005554E">
        <w:rPr>
          <w:rFonts w:ascii="Arial" w:hAnsi="Arial" w:cs="Arial"/>
          <w:color w:val="000000"/>
          <w:sz w:val="24"/>
          <w:szCs w:val="24"/>
        </w:rPr>
        <w:t xml:space="preserve">El Banco Emisor  tiene un patrimonio neto de $  </w:t>
      </w:r>
      <w:r w:rsidR="00CF67D3">
        <w:rPr>
          <w:rFonts w:ascii="Arial" w:hAnsi="Arial" w:cs="Arial"/>
          <w:color w:val="000000"/>
          <w:sz w:val="24"/>
          <w:szCs w:val="24"/>
        </w:rPr>
        <w:t>4.</w:t>
      </w:r>
      <w:r w:rsidR="00AD40C1">
        <w:rPr>
          <w:rFonts w:ascii="Arial" w:hAnsi="Arial" w:cs="Arial"/>
          <w:color w:val="000000"/>
          <w:sz w:val="24"/>
          <w:szCs w:val="24"/>
        </w:rPr>
        <w:t>860</w:t>
      </w:r>
      <w:r w:rsidRPr="0005554E">
        <w:rPr>
          <w:rFonts w:ascii="Arial" w:hAnsi="Arial" w:cs="Arial"/>
          <w:color w:val="000000"/>
          <w:sz w:val="24"/>
          <w:szCs w:val="24"/>
        </w:rPr>
        <w:t xml:space="preserve"> MM al</w:t>
      </w:r>
      <w:r w:rsidRPr="0005554E">
        <w:rPr>
          <w:rFonts w:ascii="Arial" w:hAnsi="Arial" w:cs="Arial"/>
          <w:sz w:val="24"/>
          <w:szCs w:val="24"/>
        </w:rPr>
        <w:t xml:space="preserve"> </w:t>
      </w:r>
      <w:r w:rsidR="00CF67D3">
        <w:rPr>
          <w:rFonts w:ascii="Arial" w:hAnsi="Arial" w:cs="Arial"/>
          <w:sz w:val="24"/>
          <w:szCs w:val="24"/>
        </w:rPr>
        <w:t>3</w:t>
      </w:r>
      <w:r w:rsidR="00080694">
        <w:rPr>
          <w:rFonts w:ascii="Arial" w:hAnsi="Arial" w:cs="Arial"/>
          <w:sz w:val="24"/>
          <w:szCs w:val="24"/>
        </w:rPr>
        <w:t>1</w:t>
      </w:r>
      <w:r w:rsidR="00CF67D3" w:rsidRPr="0005554E">
        <w:rPr>
          <w:rFonts w:ascii="Arial" w:hAnsi="Arial" w:cs="Arial"/>
          <w:sz w:val="24"/>
          <w:szCs w:val="24"/>
        </w:rPr>
        <w:t xml:space="preserve"> </w:t>
      </w:r>
      <w:r w:rsidRPr="0005554E">
        <w:rPr>
          <w:rFonts w:ascii="Arial" w:hAnsi="Arial" w:cs="Arial"/>
          <w:sz w:val="24"/>
          <w:szCs w:val="24"/>
        </w:rPr>
        <w:t xml:space="preserve">de </w:t>
      </w:r>
      <w:r w:rsidR="00080694">
        <w:rPr>
          <w:rFonts w:ascii="Arial" w:hAnsi="Arial" w:cs="Arial"/>
          <w:sz w:val="24"/>
          <w:szCs w:val="24"/>
        </w:rPr>
        <w:t xml:space="preserve">diciembre </w:t>
      </w:r>
      <w:r w:rsidRPr="0005554E">
        <w:rPr>
          <w:rFonts w:ascii="Arial" w:hAnsi="Arial" w:cs="Arial"/>
          <w:sz w:val="24"/>
          <w:szCs w:val="24"/>
        </w:rPr>
        <w:t>de 201</w:t>
      </w:r>
      <w:r w:rsidR="00CF67D3">
        <w:rPr>
          <w:rFonts w:ascii="Arial" w:hAnsi="Arial" w:cs="Arial"/>
          <w:sz w:val="24"/>
          <w:szCs w:val="24"/>
        </w:rPr>
        <w:t>8</w:t>
      </w:r>
      <w:r w:rsidRPr="0005554E">
        <w:rPr>
          <w:rFonts w:ascii="Arial" w:hAnsi="Arial" w:cs="Arial"/>
          <w:sz w:val="24"/>
          <w:szCs w:val="24"/>
        </w:rPr>
        <w:t>, y está constituido como sociedad anónima en la Ciudad de Buenos Aires, inscripta en el Registro Público de Comercio el 25 de octubre de 1984 bajo el N° 7.383 del Libro 99 Tomo “A” de Sociedades Anónimas.</w:t>
      </w:r>
    </w:p>
    <w:p w14:paraId="2BA5A033" w14:textId="77777777" w:rsidR="00A97579" w:rsidRDefault="00A97579" w:rsidP="00776CA5">
      <w:pPr>
        <w:autoSpaceDE w:val="0"/>
        <w:autoSpaceDN w:val="0"/>
        <w:jc w:val="both"/>
        <w:rPr>
          <w:rFonts w:ascii="Arial" w:hAnsi="Arial" w:cs="Arial"/>
          <w:sz w:val="24"/>
          <w:szCs w:val="24"/>
        </w:rPr>
      </w:pPr>
    </w:p>
    <w:p w14:paraId="0BFF9E72" w14:textId="77777777" w:rsidR="00EB164B" w:rsidRDefault="00EB164B" w:rsidP="00776CA5">
      <w:pPr>
        <w:autoSpaceDE w:val="0"/>
        <w:autoSpaceDN w:val="0"/>
        <w:jc w:val="both"/>
        <w:rPr>
          <w:rFonts w:ascii="Arial" w:hAnsi="Arial" w:cs="Arial"/>
          <w:sz w:val="24"/>
          <w:szCs w:val="24"/>
        </w:rPr>
      </w:pPr>
      <w:r w:rsidRPr="00EB164B">
        <w:rPr>
          <w:rFonts w:ascii="Arial" w:hAnsi="Arial" w:cs="Arial"/>
          <w:sz w:val="24"/>
          <w:szCs w:val="24"/>
        </w:rPr>
        <w:t>Banco Comafi S.A. asimismo es Emisor de Obligaciones Negociables, programas emitidos de conformidad con la Ley N° 23.576, modificada por la Ley N° 23.962, y demás regulaciones aplicables.</w:t>
      </w:r>
    </w:p>
    <w:p w14:paraId="686E2DB0" w14:textId="77777777" w:rsidR="00EB164B" w:rsidRDefault="00EB164B" w:rsidP="00776CA5">
      <w:pPr>
        <w:autoSpaceDE w:val="0"/>
        <w:autoSpaceDN w:val="0"/>
        <w:jc w:val="both"/>
        <w:rPr>
          <w:rFonts w:ascii="Arial" w:hAnsi="Arial" w:cs="Arial"/>
          <w:sz w:val="24"/>
          <w:szCs w:val="24"/>
        </w:rPr>
      </w:pPr>
    </w:p>
    <w:p w14:paraId="65DBB491" w14:textId="77777777" w:rsidR="00776CA5" w:rsidRPr="00C21BB4" w:rsidRDefault="00D55152" w:rsidP="00776CA5">
      <w:pPr>
        <w:autoSpaceDE w:val="0"/>
        <w:autoSpaceDN w:val="0"/>
        <w:jc w:val="both"/>
        <w:rPr>
          <w:rFonts w:ascii="Arial" w:hAnsi="Arial" w:cs="Arial"/>
          <w:sz w:val="24"/>
          <w:szCs w:val="24"/>
          <w:lang w:val="es-AR"/>
        </w:rPr>
      </w:pPr>
      <w:r w:rsidRPr="00C21BB4">
        <w:rPr>
          <w:rFonts w:ascii="Arial" w:hAnsi="Arial" w:cs="Arial"/>
          <w:sz w:val="24"/>
          <w:szCs w:val="24"/>
        </w:rPr>
        <w:t>La</w:t>
      </w:r>
      <w:r w:rsidR="00776CA5" w:rsidRPr="00C21BB4">
        <w:rPr>
          <w:rFonts w:ascii="Arial" w:hAnsi="Arial" w:cs="Arial"/>
          <w:sz w:val="24"/>
          <w:szCs w:val="24"/>
        </w:rPr>
        <w:t xml:space="preserve"> autoriza</w:t>
      </w:r>
      <w:r w:rsidRPr="00C21BB4">
        <w:rPr>
          <w:rFonts w:ascii="Arial" w:hAnsi="Arial" w:cs="Arial"/>
          <w:sz w:val="24"/>
          <w:szCs w:val="24"/>
        </w:rPr>
        <w:t xml:space="preserve">ción otorgada </w:t>
      </w:r>
      <w:r w:rsidR="00776CA5" w:rsidRPr="00C21BB4">
        <w:rPr>
          <w:rFonts w:ascii="Arial" w:hAnsi="Arial" w:cs="Arial"/>
          <w:sz w:val="24"/>
          <w:szCs w:val="24"/>
        </w:rPr>
        <w:t>por el Banco Central para operar como banco comercial</w:t>
      </w:r>
      <w:r w:rsidRPr="00C21BB4">
        <w:rPr>
          <w:rFonts w:ascii="Arial" w:hAnsi="Arial" w:cs="Arial"/>
          <w:sz w:val="24"/>
          <w:szCs w:val="24"/>
        </w:rPr>
        <w:t xml:space="preserve"> fue dada</w:t>
      </w:r>
      <w:r w:rsidR="00776CA5" w:rsidRPr="00C21BB4">
        <w:rPr>
          <w:rFonts w:ascii="Arial" w:hAnsi="Arial" w:cs="Arial"/>
          <w:sz w:val="24"/>
          <w:szCs w:val="24"/>
        </w:rPr>
        <w:t xml:space="preserve"> por Resolución del Directorio N° 589, del 29 d</w:t>
      </w:r>
      <w:r w:rsidRPr="00C21BB4">
        <w:rPr>
          <w:rFonts w:ascii="Arial" w:hAnsi="Arial" w:cs="Arial"/>
          <w:sz w:val="24"/>
          <w:szCs w:val="24"/>
        </w:rPr>
        <w:t>e noviembre de 1991 y su</w:t>
      </w:r>
      <w:r w:rsidR="00776CA5" w:rsidRPr="00C21BB4">
        <w:rPr>
          <w:rFonts w:ascii="Arial" w:hAnsi="Arial" w:cs="Arial"/>
          <w:sz w:val="24"/>
          <w:szCs w:val="24"/>
        </w:rPr>
        <w:t xml:space="preserve"> número de C.U.I.T.</w:t>
      </w:r>
      <w:r w:rsidRPr="00C21BB4">
        <w:rPr>
          <w:rFonts w:ascii="Arial" w:hAnsi="Arial" w:cs="Arial"/>
          <w:sz w:val="24"/>
          <w:szCs w:val="24"/>
        </w:rPr>
        <w:t xml:space="preserve"> es </w:t>
      </w:r>
      <w:r w:rsidR="00776CA5" w:rsidRPr="00C21BB4">
        <w:rPr>
          <w:rFonts w:ascii="Arial" w:hAnsi="Arial" w:cs="Arial"/>
          <w:sz w:val="24"/>
          <w:szCs w:val="24"/>
        </w:rPr>
        <w:t xml:space="preserve"> 30-60473101-8. Se encuentra inscripto</w:t>
      </w:r>
      <w:r w:rsidRPr="00C21BB4">
        <w:rPr>
          <w:rFonts w:ascii="Arial" w:hAnsi="Arial" w:cs="Arial"/>
          <w:sz w:val="24"/>
          <w:szCs w:val="24"/>
        </w:rPr>
        <w:t xml:space="preserve"> ante la Comisión Nacional de Valores (CNV) </w:t>
      </w:r>
      <w:r w:rsidR="00776CA5" w:rsidRPr="00C21BB4">
        <w:rPr>
          <w:rFonts w:ascii="Arial" w:hAnsi="Arial" w:cs="Arial"/>
          <w:sz w:val="24"/>
          <w:szCs w:val="24"/>
        </w:rPr>
        <w:t xml:space="preserve"> como </w:t>
      </w:r>
      <w:r w:rsidR="00776CA5" w:rsidRPr="00C21BB4">
        <w:rPr>
          <w:rStyle w:val="DeltaViewInsertion"/>
          <w:rFonts w:ascii="Arial" w:hAnsi="Arial" w:cs="Arial"/>
          <w:sz w:val="24"/>
          <w:szCs w:val="24"/>
        </w:rPr>
        <w:t>Agente de Liquidación y Compensación y Agente de Negociación Integral</w:t>
      </w:r>
      <w:r w:rsidR="00776CA5" w:rsidRPr="00C21BB4">
        <w:rPr>
          <w:rFonts w:ascii="Arial" w:hAnsi="Arial" w:cs="Arial"/>
          <w:sz w:val="24"/>
          <w:szCs w:val="24"/>
        </w:rPr>
        <w:t xml:space="preserve"> matrícula N° 54 de la CNV, también se encuentra inscripto como emisor</w:t>
      </w:r>
      <w:r w:rsidR="00520203" w:rsidRPr="00C21BB4">
        <w:rPr>
          <w:rFonts w:ascii="Arial" w:hAnsi="Arial" w:cs="Arial"/>
          <w:sz w:val="24"/>
          <w:szCs w:val="24"/>
        </w:rPr>
        <w:t>a</w:t>
      </w:r>
      <w:r w:rsidR="00776CA5" w:rsidRPr="00C21BB4">
        <w:rPr>
          <w:rFonts w:ascii="Arial" w:hAnsi="Arial" w:cs="Arial"/>
          <w:sz w:val="24"/>
          <w:szCs w:val="24"/>
        </w:rPr>
        <w:t xml:space="preserve"> de CEDEARs, y como Sociedad Custodia de Fondos Comunes de Inversión bajo el Nro.</w:t>
      </w:r>
      <w:r w:rsidR="00CE19C8" w:rsidRPr="00C21BB4">
        <w:rPr>
          <w:rFonts w:ascii="Arial" w:hAnsi="Arial" w:cs="Arial"/>
          <w:sz w:val="24"/>
          <w:szCs w:val="24"/>
        </w:rPr>
        <w:t xml:space="preserve"> 26</w:t>
      </w:r>
      <w:r w:rsidR="00776CA5" w:rsidRPr="00C21BB4">
        <w:rPr>
          <w:rFonts w:ascii="Arial" w:hAnsi="Arial" w:cs="Arial"/>
          <w:sz w:val="24"/>
          <w:szCs w:val="24"/>
        </w:rPr>
        <w:t xml:space="preserve"> ante CNV. </w:t>
      </w:r>
    </w:p>
    <w:p w14:paraId="38AB13A4" w14:textId="77777777" w:rsidR="00776CA5" w:rsidRPr="00C21BB4" w:rsidRDefault="00776CA5" w:rsidP="00776CA5">
      <w:pPr>
        <w:autoSpaceDE w:val="0"/>
        <w:autoSpaceDN w:val="0"/>
        <w:jc w:val="both"/>
        <w:rPr>
          <w:rFonts w:ascii="Arial" w:hAnsi="Arial" w:cs="Arial"/>
          <w:sz w:val="24"/>
          <w:szCs w:val="24"/>
          <w:lang w:val="es-AR"/>
        </w:rPr>
      </w:pPr>
    </w:p>
    <w:p w14:paraId="161D42D0" w14:textId="77777777" w:rsidR="00776CA5" w:rsidRPr="00C21BB4" w:rsidRDefault="00776CA5" w:rsidP="00776CA5">
      <w:pPr>
        <w:autoSpaceDE w:val="0"/>
        <w:autoSpaceDN w:val="0"/>
        <w:jc w:val="both"/>
        <w:rPr>
          <w:rFonts w:ascii="Arial" w:hAnsi="Arial" w:cs="Arial"/>
          <w:sz w:val="24"/>
          <w:szCs w:val="24"/>
        </w:rPr>
      </w:pPr>
      <w:r w:rsidRPr="00C21BB4">
        <w:rPr>
          <w:rFonts w:ascii="Arial" w:hAnsi="Arial" w:cs="Arial"/>
          <w:sz w:val="24"/>
          <w:szCs w:val="24"/>
        </w:rPr>
        <w:t>El plazo de duración del Banco es de 99 años contados desde el 25 de octubre de 1984, el que podrá ser prorrogado o reducido si así lo resolviera una Asamblea Extraordinaria de Accionistas.</w:t>
      </w:r>
    </w:p>
    <w:p w14:paraId="7B98DCEE" w14:textId="77777777" w:rsidR="00776CA5" w:rsidRPr="00C21BB4" w:rsidRDefault="00776CA5" w:rsidP="00776CA5">
      <w:pPr>
        <w:autoSpaceDE w:val="0"/>
        <w:autoSpaceDN w:val="0"/>
        <w:jc w:val="both"/>
        <w:rPr>
          <w:rFonts w:ascii="Arial" w:hAnsi="Arial" w:cs="Arial"/>
          <w:sz w:val="24"/>
          <w:szCs w:val="24"/>
        </w:rPr>
      </w:pPr>
    </w:p>
    <w:p w14:paraId="32609F95" w14:textId="77777777" w:rsidR="00776CA5" w:rsidRPr="00A97579" w:rsidRDefault="00776CA5" w:rsidP="00776CA5">
      <w:pPr>
        <w:autoSpaceDE w:val="0"/>
        <w:autoSpaceDN w:val="0"/>
        <w:jc w:val="both"/>
        <w:rPr>
          <w:rFonts w:ascii="Arial" w:hAnsi="Arial" w:cs="Arial"/>
          <w:b/>
          <w:bCs/>
          <w:iCs/>
          <w:sz w:val="24"/>
          <w:szCs w:val="24"/>
        </w:rPr>
      </w:pPr>
      <w:r w:rsidRPr="00A97579">
        <w:rPr>
          <w:rFonts w:ascii="Arial" w:hAnsi="Arial" w:cs="Arial"/>
          <w:b/>
          <w:bCs/>
          <w:iCs/>
          <w:sz w:val="24"/>
          <w:szCs w:val="24"/>
        </w:rPr>
        <w:t>Domicilio Legal</w:t>
      </w:r>
    </w:p>
    <w:p w14:paraId="3FD6DA31" w14:textId="77777777" w:rsidR="00776CA5" w:rsidRPr="00C21BB4" w:rsidRDefault="00776CA5" w:rsidP="00776CA5">
      <w:pPr>
        <w:autoSpaceDE w:val="0"/>
        <w:autoSpaceDN w:val="0"/>
        <w:jc w:val="both"/>
        <w:rPr>
          <w:rFonts w:ascii="Arial" w:hAnsi="Arial" w:cs="Arial"/>
          <w:sz w:val="24"/>
          <w:szCs w:val="24"/>
        </w:rPr>
      </w:pPr>
    </w:p>
    <w:p w14:paraId="307D5315" w14:textId="77777777" w:rsidR="00776CA5" w:rsidRPr="00C21BB4" w:rsidRDefault="00776CA5" w:rsidP="00776CA5">
      <w:pPr>
        <w:autoSpaceDE w:val="0"/>
        <w:autoSpaceDN w:val="0"/>
        <w:jc w:val="both"/>
        <w:rPr>
          <w:rFonts w:ascii="Arial" w:hAnsi="Arial" w:cs="Arial"/>
          <w:b/>
          <w:bCs/>
          <w:sz w:val="24"/>
          <w:szCs w:val="24"/>
        </w:rPr>
      </w:pPr>
      <w:r w:rsidRPr="00C21BB4">
        <w:rPr>
          <w:rFonts w:ascii="Arial" w:hAnsi="Arial" w:cs="Arial"/>
          <w:sz w:val="24"/>
          <w:szCs w:val="24"/>
        </w:rPr>
        <w:t>Av. Roque Sáenz Peña 660, 3° piso, Ciudad Autónoma de Buenos Aires (C1035AAO), República Argentina, Teléfonos (+5411) 4328-5555, contacto por e-mail a través de la página de Internet del Banco (</w:t>
      </w:r>
      <w:hyperlink r:id="rId19" w:history="1">
        <w:r w:rsidRPr="00C21BB4">
          <w:rPr>
            <w:rStyle w:val="Hipervnculo"/>
            <w:rFonts w:ascii="Arial" w:hAnsi="Arial" w:cs="Arial"/>
            <w:sz w:val="24"/>
            <w:szCs w:val="24"/>
          </w:rPr>
          <w:t>www.comafi.com.ar</w:t>
        </w:r>
      </w:hyperlink>
      <w:r w:rsidRPr="00C21BB4">
        <w:rPr>
          <w:rFonts w:ascii="Arial" w:hAnsi="Arial" w:cs="Arial"/>
          <w:sz w:val="24"/>
          <w:szCs w:val="24"/>
        </w:rPr>
        <w:t>) mediante el link “Contáctenos”.</w:t>
      </w:r>
    </w:p>
    <w:p w14:paraId="52E918D5" w14:textId="77777777" w:rsidR="00776CA5" w:rsidRPr="00C21BB4" w:rsidRDefault="00776CA5" w:rsidP="00776CA5">
      <w:pPr>
        <w:autoSpaceDE w:val="0"/>
        <w:autoSpaceDN w:val="0"/>
        <w:jc w:val="both"/>
        <w:rPr>
          <w:rFonts w:ascii="Arial" w:hAnsi="Arial" w:cs="Arial"/>
          <w:b/>
          <w:bCs/>
          <w:sz w:val="24"/>
          <w:szCs w:val="24"/>
        </w:rPr>
      </w:pPr>
    </w:p>
    <w:p w14:paraId="536A72CD" w14:textId="77777777" w:rsidR="009421E1" w:rsidRPr="00C21BB4" w:rsidRDefault="00C050BB" w:rsidP="00776CA5">
      <w:pPr>
        <w:autoSpaceDE w:val="0"/>
        <w:autoSpaceDN w:val="0"/>
        <w:rPr>
          <w:rFonts w:ascii="Arial" w:hAnsi="Arial" w:cs="Arial"/>
          <w:b/>
          <w:bCs/>
          <w:sz w:val="24"/>
          <w:szCs w:val="24"/>
          <w:u w:val="single"/>
        </w:rPr>
      </w:pPr>
      <w:r w:rsidRPr="00C21BB4">
        <w:rPr>
          <w:rFonts w:ascii="Arial" w:hAnsi="Arial" w:cs="Arial"/>
          <w:b/>
          <w:bCs/>
          <w:sz w:val="24"/>
          <w:szCs w:val="24"/>
        </w:rPr>
        <w:t xml:space="preserve">Composición accionaria: </w:t>
      </w:r>
    </w:p>
    <w:p w14:paraId="35C310FE" w14:textId="77777777" w:rsidR="00C050BB" w:rsidRDefault="00C050BB" w:rsidP="00776CA5">
      <w:pPr>
        <w:autoSpaceDE w:val="0"/>
        <w:autoSpaceDN w:val="0"/>
        <w:rPr>
          <w:rFonts w:ascii="Arial" w:hAnsi="Arial" w:cs="Arial"/>
          <w:b/>
          <w:bCs/>
          <w:sz w:val="24"/>
          <w:szCs w:val="24"/>
        </w:rPr>
      </w:pPr>
    </w:p>
    <w:p w14:paraId="176FB70B" w14:textId="77777777" w:rsidR="00354B97" w:rsidRPr="00BA7A48" w:rsidRDefault="006A2006" w:rsidP="00776CA5">
      <w:pPr>
        <w:autoSpaceDE w:val="0"/>
        <w:autoSpaceDN w:val="0"/>
        <w:rPr>
          <w:rFonts w:ascii="Arial" w:hAnsi="Arial" w:cs="Arial"/>
          <w:b/>
          <w:bCs/>
          <w:sz w:val="24"/>
          <w:szCs w:val="24"/>
        </w:rPr>
      </w:pPr>
      <w:r>
        <w:rPr>
          <w:noProof/>
        </w:rPr>
        <w:drawing>
          <wp:inline distT="0" distB="0" distL="0" distR="0" wp14:anchorId="4C44484E" wp14:editId="7296ABE1">
            <wp:extent cx="6400800" cy="136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1362075"/>
                    </a:xfrm>
                    <a:prstGeom prst="rect">
                      <a:avLst/>
                    </a:prstGeom>
                    <a:noFill/>
                    <a:ln>
                      <a:noFill/>
                    </a:ln>
                  </pic:spPr>
                </pic:pic>
              </a:graphicData>
            </a:graphic>
          </wp:inline>
        </w:drawing>
      </w:r>
    </w:p>
    <w:p w14:paraId="33CDE183" w14:textId="77777777" w:rsidR="00924EAC" w:rsidRPr="00E20D34" w:rsidRDefault="00924EAC" w:rsidP="000C2512">
      <w:pPr>
        <w:autoSpaceDE w:val="0"/>
        <w:autoSpaceDN w:val="0"/>
        <w:jc w:val="both"/>
        <w:rPr>
          <w:rFonts w:ascii="Arial" w:hAnsi="Arial" w:cs="Arial"/>
          <w:b/>
          <w:bCs/>
          <w:i/>
          <w:sz w:val="24"/>
          <w:szCs w:val="24"/>
        </w:rPr>
      </w:pPr>
      <w:r w:rsidRPr="00E20D34">
        <w:rPr>
          <w:rFonts w:ascii="Arial" w:hAnsi="Arial" w:cs="Arial"/>
          <w:b/>
          <w:bCs/>
          <w:i/>
          <w:sz w:val="24"/>
          <w:szCs w:val="24"/>
        </w:rPr>
        <w:lastRenderedPageBreak/>
        <w:t>En el marco de lo dispuesto en el artículo 13 de la Sección I del Título XI de las Normas de la Comisión Nacional de Valores (CNV)- TO</w:t>
      </w:r>
      <w:r w:rsidR="00E20D34" w:rsidRPr="00E20D34">
        <w:rPr>
          <w:rFonts w:ascii="Arial" w:hAnsi="Arial" w:cs="Arial"/>
          <w:b/>
          <w:bCs/>
          <w:i/>
          <w:sz w:val="24"/>
          <w:szCs w:val="24"/>
        </w:rPr>
        <w:t xml:space="preserve"> </w:t>
      </w:r>
      <w:r w:rsidRPr="00E20D34">
        <w:rPr>
          <w:rFonts w:ascii="Arial" w:hAnsi="Arial" w:cs="Arial"/>
          <w:b/>
          <w:bCs/>
          <w:i/>
          <w:sz w:val="24"/>
          <w:szCs w:val="24"/>
        </w:rPr>
        <w:t>2013, se informa que el Banco, sus beneficiarios finales, -entendidos como las personas humanas o jurídicas que tienen como mínimo el veinte (20) por ciento de su capital o de los derechos a voto, o que por otros medios ejerzan el control final, directo o indirecto-, no registran condenas por delitos de lavado de activos y/o financiamiento del terrorismo y no figuran en las listas de terroristas y organizaciones terroristas emitidas por el CONSEJO DE SEGURIDAD DE LAS NACIONES UNIDAS.</w:t>
      </w:r>
    </w:p>
    <w:p w14:paraId="7C51211F" w14:textId="77777777" w:rsidR="00924EAC" w:rsidRPr="00BA7A48" w:rsidRDefault="00924EAC" w:rsidP="00776CA5">
      <w:pPr>
        <w:autoSpaceDE w:val="0"/>
        <w:autoSpaceDN w:val="0"/>
        <w:rPr>
          <w:rFonts w:ascii="Arial" w:hAnsi="Arial" w:cs="Arial"/>
          <w:b/>
          <w:bCs/>
          <w:sz w:val="24"/>
          <w:szCs w:val="24"/>
        </w:rPr>
      </w:pPr>
    </w:p>
    <w:p w14:paraId="4F70ADDA" w14:textId="77777777" w:rsidR="00D55152" w:rsidRDefault="00D55152" w:rsidP="00776CA5">
      <w:pPr>
        <w:autoSpaceDE w:val="0"/>
        <w:autoSpaceDN w:val="0"/>
        <w:rPr>
          <w:rFonts w:ascii="Arial" w:hAnsi="Arial" w:cs="Arial"/>
          <w:b/>
          <w:bCs/>
          <w:sz w:val="24"/>
          <w:szCs w:val="24"/>
        </w:rPr>
      </w:pPr>
    </w:p>
    <w:p w14:paraId="30CA6D52" w14:textId="77777777" w:rsidR="00C050BB" w:rsidRPr="00C21BB4" w:rsidRDefault="00C050BB" w:rsidP="00776CA5">
      <w:pPr>
        <w:autoSpaceDE w:val="0"/>
        <w:autoSpaceDN w:val="0"/>
        <w:rPr>
          <w:rFonts w:ascii="Arial" w:hAnsi="Arial" w:cs="Arial"/>
          <w:b/>
          <w:bCs/>
          <w:sz w:val="24"/>
          <w:szCs w:val="24"/>
        </w:rPr>
      </w:pPr>
      <w:r w:rsidRPr="00C21BB4">
        <w:rPr>
          <w:rFonts w:ascii="Arial" w:hAnsi="Arial" w:cs="Arial"/>
          <w:b/>
          <w:bCs/>
          <w:sz w:val="24"/>
          <w:szCs w:val="24"/>
        </w:rPr>
        <w:t>Integración del Directorio</w:t>
      </w:r>
      <w:r w:rsidR="00D55152" w:rsidRPr="00C21BB4">
        <w:rPr>
          <w:rFonts w:ascii="Arial" w:hAnsi="Arial" w:cs="Arial"/>
          <w:b/>
          <w:bCs/>
          <w:sz w:val="24"/>
          <w:szCs w:val="24"/>
        </w:rPr>
        <w:t xml:space="preserve"> y Comisión Fiscalizadora</w:t>
      </w:r>
    </w:p>
    <w:p w14:paraId="60D0B68F" w14:textId="77777777" w:rsidR="00520203" w:rsidRPr="00C21BB4" w:rsidRDefault="00520203" w:rsidP="00776CA5">
      <w:pPr>
        <w:autoSpaceDE w:val="0"/>
        <w:autoSpaceDN w:val="0"/>
        <w:rPr>
          <w:rFonts w:ascii="Arial" w:hAnsi="Arial" w:cs="Arial"/>
          <w:b/>
          <w:bCs/>
          <w:sz w:val="24"/>
          <w:szCs w:val="24"/>
        </w:rPr>
      </w:pPr>
    </w:p>
    <w:p w14:paraId="41F868A3" w14:textId="77777777" w:rsidR="00D55152" w:rsidRPr="00AC79CA" w:rsidRDefault="00D55152" w:rsidP="00AC79CA">
      <w:pPr>
        <w:spacing w:after="160" w:line="259" w:lineRule="auto"/>
        <w:jc w:val="center"/>
        <w:rPr>
          <w:rFonts w:ascii="Arial" w:hAnsi="Arial" w:cs="Arial"/>
          <w:b/>
          <w:bCs/>
          <w:sz w:val="24"/>
          <w:szCs w:val="24"/>
          <w:lang w:val="es-ES_tradnl"/>
        </w:rPr>
      </w:pPr>
      <w:r w:rsidRPr="00AC79CA">
        <w:rPr>
          <w:rFonts w:ascii="Arial" w:hAnsi="Arial" w:cs="Arial"/>
          <w:b/>
          <w:bCs/>
          <w:sz w:val="24"/>
          <w:szCs w:val="24"/>
          <w:lang w:val="es-ES_tradnl"/>
        </w:rPr>
        <w:t>Directorio</w:t>
      </w:r>
    </w:p>
    <w:tbl>
      <w:tblPr>
        <w:tblW w:w="3475" w:type="pct"/>
        <w:jc w:val="center"/>
        <w:tblLayout w:type="fixed"/>
        <w:tblCellMar>
          <w:left w:w="0" w:type="dxa"/>
          <w:right w:w="0" w:type="dxa"/>
        </w:tblCellMar>
        <w:tblLook w:val="0000" w:firstRow="0" w:lastRow="0" w:firstColumn="0" w:lastColumn="0" w:noHBand="0" w:noVBand="0"/>
      </w:tblPr>
      <w:tblGrid>
        <w:gridCol w:w="3321"/>
        <w:gridCol w:w="3172"/>
      </w:tblGrid>
      <w:tr w:rsidR="00D55152" w:rsidRPr="00FF5B68" w14:paraId="0A5EF054" w14:textId="77777777" w:rsidTr="00990063">
        <w:trPr>
          <w:cantSplit/>
          <w:tblHeader/>
          <w:jc w:val="center"/>
        </w:trPr>
        <w:tc>
          <w:tcPr>
            <w:tcW w:w="2557" w:type="pct"/>
            <w:tcBorders>
              <w:top w:val="single" w:sz="8" w:space="0" w:color="000000"/>
              <w:left w:val="single" w:sz="8" w:space="0" w:color="000000"/>
              <w:bottom w:val="single" w:sz="8" w:space="0" w:color="000000"/>
              <w:right w:val="single" w:sz="8" w:space="0" w:color="000000"/>
            </w:tcBorders>
            <w:shd w:val="clear" w:color="auto" w:fill="EEECE1"/>
            <w:vAlign w:val="center"/>
          </w:tcPr>
          <w:p w14:paraId="71D30323" w14:textId="77777777"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Nombre y apellido</w:t>
            </w:r>
          </w:p>
        </w:tc>
        <w:tc>
          <w:tcPr>
            <w:tcW w:w="2443" w:type="pct"/>
            <w:tcBorders>
              <w:top w:val="single" w:sz="8" w:space="0" w:color="000000"/>
              <w:left w:val="nil"/>
              <w:bottom w:val="single" w:sz="8" w:space="0" w:color="000000"/>
              <w:right w:val="single" w:sz="8" w:space="0" w:color="000000"/>
            </w:tcBorders>
            <w:shd w:val="clear" w:color="auto" w:fill="EEECE1"/>
            <w:vAlign w:val="center"/>
          </w:tcPr>
          <w:p w14:paraId="472C5252" w14:textId="77777777"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Cargo</w:t>
            </w:r>
          </w:p>
        </w:tc>
      </w:tr>
      <w:tr w:rsidR="00D55152" w:rsidRPr="00FF5B68" w14:paraId="121BEF1F"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77368680"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Guillermo Alejandro Cerviño</w:t>
            </w:r>
          </w:p>
        </w:tc>
        <w:tc>
          <w:tcPr>
            <w:tcW w:w="2443" w:type="pct"/>
            <w:tcBorders>
              <w:top w:val="nil"/>
              <w:left w:val="nil"/>
              <w:bottom w:val="single" w:sz="8" w:space="0" w:color="000000"/>
              <w:right w:val="single" w:sz="8" w:space="0" w:color="000000"/>
            </w:tcBorders>
            <w:vAlign w:val="center"/>
          </w:tcPr>
          <w:p w14:paraId="01D2E15A"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Presidente</w:t>
            </w:r>
          </w:p>
        </w:tc>
      </w:tr>
      <w:tr w:rsidR="00D55152" w:rsidRPr="00FF5B68" w14:paraId="6679DB07"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54B13F4C"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Francisco Guillermo Cerviño</w:t>
            </w:r>
          </w:p>
        </w:tc>
        <w:tc>
          <w:tcPr>
            <w:tcW w:w="2443" w:type="pct"/>
            <w:tcBorders>
              <w:top w:val="nil"/>
              <w:left w:val="nil"/>
              <w:bottom w:val="single" w:sz="8" w:space="0" w:color="000000"/>
              <w:right w:val="single" w:sz="8" w:space="0" w:color="000000"/>
            </w:tcBorders>
            <w:vAlign w:val="center"/>
          </w:tcPr>
          <w:p w14:paraId="2ED61895"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Vicepresidente</w:t>
            </w:r>
          </w:p>
        </w:tc>
      </w:tr>
      <w:tr w:rsidR="00D55152" w:rsidRPr="00FF5B68" w14:paraId="5C1ABBEA"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6BD47FA5"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Eduardo José Racedo</w:t>
            </w:r>
          </w:p>
        </w:tc>
        <w:tc>
          <w:tcPr>
            <w:tcW w:w="2443" w:type="pct"/>
            <w:tcBorders>
              <w:top w:val="nil"/>
              <w:left w:val="nil"/>
              <w:bottom w:val="single" w:sz="8" w:space="0" w:color="000000"/>
              <w:right w:val="single" w:sz="8" w:space="0" w:color="000000"/>
            </w:tcBorders>
            <w:vAlign w:val="center"/>
          </w:tcPr>
          <w:p w14:paraId="5231D08E"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14:paraId="23E2B71E"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08A7E22B"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Eduardo Enrique Maschwitz</w:t>
            </w:r>
          </w:p>
        </w:tc>
        <w:tc>
          <w:tcPr>
            <w:tcW w:w="2443" w:type="pct"/>
            <w:tcBorders>
              <w:top w:val="nil"/>
              <w:left w:val="nil"/>
              <w:bottom w:val="single" w:sz="8" w:space="0" w:color="000000"/>
              <w:right w:val="single" w:sz="8" w:space="0" w:color="000000"/>
            </w:tcBorders>
            <w:vAlign w:val="center"/>
          </w:tcPr>
          <w:p w14:paraId="2B9C3D26"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14:paraId="33910184"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4B97CB58"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Alberto Luis Nougues</w:t>
            </w:r>
          </w:p>
        </w:tc>
        <w:tc>
          <w:tcPr>
            <w:tcW w:w="2443" w:type="pct"/>
            <w:tcBorders>
              <w:top w:val="nil"/>
              <w:left w:val="nil"/>
              <w:bottom w:val="single" w:sz="8" w:space="0" w:color="000000"/>
              <w:right w:val="single" w:sz="8" w:space="0" w:color="000000"/>
            </w:tcBorders>
            <w:vAlign w:val="center"/>
          </w:tcPr>
          <w:p w14:paraId="1960D9D2"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14:paraId="13228176"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5CF3EF95"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Carlos Martín Basaldúa</w:t>
            </w:r>
          </w:p>
        </w:tc>
        <w:tc>
          <w:tcPr>
            <w:tcW w:w="2443" w:type="pct"/>
            <w:tcBorders>
              <w:top w:val="nil"/>
              <w:left w:val="nil"/>
              <w:bottom w:val="single" w:sz="8" w:space="0" w:color="000000"/>
              <w:right w:val="single" w:sz="8" w:space="0" w:color="000000"/>
            </w:tcBorders>
            <w:vAlign w:val="center"/>
          </w:tcPr>
          <w:p w14:paraId="153AFDAD"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14:paraId="6A3EDCEE"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2DCD3468" w14:textId="77777777"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Maricel Alicia Lungarzo</w:t>
            </w:r>
          </w:p>
        </w:tc>
        <w:tc>
          <w:tcPr>
            <w:tcW w:w="2443" w:type="pct"/>
            <w:tcBorders>
              <w:top w:val="nil"/>
              <w:left w:val="nil"/>
              <w:bottom w:val="single" w:sz="8" w:space="0" w:color="000000"/>
              <w:right w:val="single" w:sz="8" w:space="0" w:color="000000"/>
            </w:tcBorders>
            <w:vAlign w:val="center"/>
          </w:tcPr>
          <w:p w14:paraId="34603786"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990063" w:rsidRPr="00FF5B68" w14:paraId="1A621123"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08AE7AB8" w14:textId="77777777" w:rsidR="00990063" w:rsidRPr="00FF5B68" w:rsidRDefault="00990063" w:rsidP="002F44D3">
            <w:pPr>
              <w:autoSpaceDE w:val="0"/>
              <w:autoSpaceDN w:val="0"/>
              <w:adjustRightInd w:val="0"/>
              <w:jc w:val="center"/>
              <w:rPr>
                <w:rFonts w:ascii="Arial" w:hAnsi="Arial" w:cs="Arial"/>
                <w:lang w:val="es-ES_tradnl"/>
              </w:rPr>
            </w:pPr>
            <w:r w:rsidRPr="00990063">
              <w:rPr>
                <w:rFonts w:ascii="Arial" w:hAnsi="Arial" w:cs="Arial"/>
                <w:lang w:val="es-ES_tradnl"/>
              </w:rPr>
              <w:t>Gabriel Marcelo Pérez</w:t>
            </w:r>
          </w:p>
        </w:tc>
        <w:tc>
          <w:tcPr>
            <w:tcW w:w="2443" w:type="pct"/>
            <w:tcBorders>
              <w:top w:val="nil"/>
              <w:left w:val="nil"/>
              <w:bottom w:val="single" w:sz="8" w:space="0" w:color="000000"/>
              <w:right w:val="single" w:sz="8" w:space="0" w:color="000000"/>
            </w:tcBorders>
            <w:vAlign w:val="center"/>
          </w:tcPr>
          <w:p w14:paraId="28A699AC" w14:textId="77777777" w:rsidR="00990063" w:rsidRPr="00FF5B68" w:rsidRDefault="00990063" w:rsidP="00D55152">
            <w:pPr>
              <w:autoSpaceDE w:val="0"/>
              <w:autoSpaceDN w:val="0"/>
              <w:adjustRightInd w:val="0"/>
              <w:jc w:val="center"/>
              <w:rPr>
                <w:rFonts w:ascii="Arial" w:hAnsi="Arial" w:cs="Arial"/>
                <w:lang w:val="es-ES_tradnl"/>
              </w:rPr>
            </w:pPr>
            <w:r w:rsidRPr="00990063">
              <w:rPr>
                <w:rFonts w:ascii="Arial" w:hAnsi="Arial" w:cs="Arial"/>
                <w:lang w:val="es-ES_tradnl"/>
              </w:rPr>
              <w:t>Director Titular (ad referéndum de la autorización del BCRA)</w:t>
            </w:r>
          </w:p>
        </w:tc>
      </w:tr>
      <w:tr w:rsidR="00274D48" w:rsidRPr="00FF5B68" w14:paraId="322ECC49"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3F38214A" w14:textId="77777777" w:rsidR="00274D48" w:rsidRDefault="00274D48" w:rsidP="002F44D3">
            <w:pPr>
              <w:autoSpaceDE w:val="0"/>
              <w:autoSpaceDN w:val="0"/>
              <w:adjustRightInd w:val="0"/>
              <w:jc w:val="center"/>
              <w:rPr>
                <w:rFonts w:ascii="Arial" w:hAnsi="Arial" w:cs="Arial"/>
                <w:lang w:val="es-ES_tradnl"/>
              </w:rPr>
            </w:pPr>
            <w:r w:rsidRPr="00274D48">
              <w:rPr>
                <w:rFonts w:ascii="Arial" w:hAnsi="Arial" w:cs="Arial"/>
                <w:lang w:val="es-ES_tradnl"/>
              </w:rPr>
              <w:t>Alejandro Germán Cid</w:t>
            </w:r>
          </w:p>
        </w:tc>
        <w:tc>
          <w:tcPr>
            <w:tcW w:w="2443" w:type="pct"/>
            <w:tcBorders>
              <w:top w:val="nil"/>
              <w:left w:val="nil"/>
              <w:bottom w:val="single" w:sz="8" w:space="0" w:color="000000"/>
              <w:right w:val="single" w:sz="8" w:space="0" w:color="000000"/>
            </w:tcBorders>
            <w:vAlign w:val="center"/>
          </w:tcPr>
          <w:p w14:paraId="6761E8D9" w14:textId="77777777" w:rsidR="00274D48" w:rsidRPr="00990063" w:rsidRDefault="00274D48" w:rsidP="00D55152">
            <w:pPr>
              <w:autoSpaceDE w:val="0"/>
              <w:autoSpaceDN w:val="0"/>
              <w:adjustRightInd w:val="0"/>
              <w:jc w:val="center"/>
              <w:rPr>
                <w:rFonts w:ascii="Arial" w:hAnsi="Arial" w:cs="Arial"/>
                <w:lang w:val="es-ES_tradnl"/>
              </w:rPr>
            </w:pPr>
            <w:r w:rsidRPr="00274D48">
              <w:rPr>
                <w:rFonts w:ascii="Arial" w:hAnsi="Arial" w:cs="Arial"/>
                <w:lang w:val="es-ES_tradnl"/>
              </w:rPr>
              <w:t>Director Titular (ad referéndum de la autorización del BCRA)</w:t>
            </w:r>
          </w:p>
        </w:tc>
      </w:tr>
      <w:tr w:rsidR="00274D48" w:rsidRPr="00FF5B68" w14:paraId="2AB622C0"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485FE53C" w14:textId="77777777" w:rsidR="00274D48" w:rsidRDefault="00274D48" w:rsidP="002F44D3">
            <w:pPr>
              <w:autoSpaceDE w:val="0"/>
              <w:autoSpaceDN w:val="0"/>
              <w:adjustRightInd w:val="0"/>
              <w:jc w:val="center"/>
              <w:rPr>
                <w:rFonts w:ascii="Arial" w:hAnsi="Arial" w:cs="Arial"/>
                <w:lang w:val="es-ES_tradnl"/>
              </w:rPr>
            </w:pPr>
            <w:r>
              <w:rPr>
                <w:rFonts w:ascii="Arial" w:hAnsi="Arial" w:cs="Arial"/>
                <w:lang w:val="es-ES_tradnl"/>
              </w:rPr>
              <w:t>Dolores Inés Cerviño</w:t>
            </w:r>
          </w:p>
        </w:tc>
        <w:tc>
          <w:tcPr>
            <w:tcW w:w="2443" w:type="pct"/>
            <w:tcBorders>
              <w:top w:val="nil"/>
              <w:left w:val="nil"/>
              <w:bottom w:val="single" w:sz="8" w:space="0" w:color="000000"/>
              <w:right w:val="single" w:sz="8" w:space="0" w:color="000000"/>
            </w:tcBorders>
            <w:vAlign w:val="center"/>
          </w:tcPr>
          <w:p w14:paraId="21EA0B09" w14:textId="77777777" w:rsidR="00274D48" w:rsidRPr="00990063" w:rsidRDefault="00274D48" w:rsidP="00D55152">
            <w:pPr>
              <w:autoSpaceDE w:val="0"/>
              <w:autoSpaceDN w:val="0"/>
              <w:adjustRightInd w:val="0"/>
              <w:jc w:val="center"/>
              <w:rPr>
                <w:rFonts w:ascii="Arial" w:hAnsi="Arial" w:cs="Arial"/>
                <w:lang w:val="es-ES_tradnl"/>
              </w:rPr>
            </w:pPr>
            <w:r>
              <w:rPr>
                <w:rFonts w:ascii="Arial" w:hAnsi="Arial" w:cs="Arial"/>
                <w:lang w:val="es-ES_tradnl"/>
              </w:rPr>
              <w:t>Director Suplente</w:t>
            </w:r>
          </w:p>
        </w:tc>
      </w:tr>
      <w:tr w:rsidR="00D55152" w:rsidRPr="00FF5B68" w14:paraId="7BD9DC94" w14:textId="77777777"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14:paraId="285FE85B" w14:textId="77777777" w:rsidR="00D55152" w:rsidRPr="00FF5B68" w:rsidRDefault="00274D48" w:rsidP="002F44D3">
            <w:pPr>
              <w:autoSpaceDE w:val="0"/>
              <w:autoSpaceDN w:val="0"/>
              <w:adjustRightInd w:val="0"/>
              <w:jc w:val="center"/>
              <w:rPr>
                <w:rFonts w:ascii="Arial" w:hAnsi="Arial" w:cs="Arial"/>
                <w:lang w:val="es-ES_tradnl"/>
              </w:rPr>
            </w:pPr>
            <w:r>
              <w:rPr>
                <w:rFonts w:ascii="Arial" w:hAnsi="Arial" w:cs="Arial"/>
                <w:lang w:val="es-ES_tradnl"/>
              </w:rPr>
              <w:t>Estanislao Díaz Saubidet</w:t>
            </w:r>
          </w:p>
        </w:tc>
        <w:tc>
          <w:tcPr>
            <w:tcW w:w="2443" w:type="pct"/>
            <w:tcBorders>
              <w:top w:val="nil"/>
              <w:left w:val="nil"/>
              <w:bottom w:val="single" w:sz="8" w:space="0" w:color="000000"/>
              <w:right w:val="single" w:sz="8" w:space="0" w:color="000000"/>
            </w:tcBorders>
            <w:vAlign w:val="center"/>
          </w:tcPr>
          <w:p w14:paraId="0261C547" w14:textId="77777777" w:rsidR="00D55152" w:rsidRPr="00FF5B68" w:rsidRDefault="00274D48" w:rsidP="00D55152">
            <w:pPr>
              <w:autoSpaceDE w:val="0"/>
              <w:autoSpaceDN w:val="0"/>
              <w:adjustRightInd w:val="0"/>
              <w:jc w:val="center"/>
              <w:rPr>
                <w:rFonts w:ascii="Arial" w:hAnsi="Arial" w:cs="Arial"/>
                <w:lang w:val="es-ES_tradnl"/>
              </w:rPr>
            </w:pPr>
            <w:r>
              <w:rPr>
                <w:rFonts w:ascii="Arial" w:hAnsi="Arial" w:cs="Arial"/>
                <w:lang w:val="es-ES_tradnl"/>
              </w:rPr>
              <w:t>Director Suplente</w:t>
            </w:r>
          </w:p>
        </w:tc>
      </w:tr>
    </w:tbl>
    <w:p w14:paraId="6FF004EA" w14:textId="77777777" w:rsidR="00D55152" w:rsidRPr="00FF5B68" w:rsidRDefault="00D55152" w:rsidP="00AC79CA">
      <w:pPr>
        <w:spacing w:after="160" w:line="259" w:lineRule="auto"/>
        <w:jc w:val="center"/>
        <w:rPr>
          <w:b/>
          <w:bCs/>
          <w:sz w:val="24"/>
          <w:szCs w:val="24"/>
          <w:lang w:val="es-ES_tradnl"/>
        </w:rPr>
      </w:pPr>
    </w:p>
    <w:p w14:paraId="65F96C2F" w14:textId="77777777" w:rsidR="00D55152" w:rsidRPr="00FF5B68" w:rsidRDefault="00D55152" w:rsidP="00AC79CA">
      <w:pPr>
        <w:spacing w:after="160" w:line="259" w:lineRule="auto"/>
        <w:jc w:val="center"/>
        <w:rPr>
          <w:rFonts w:ascii="Arial" w:hAnsi="Arial" w:cs="Arial"/>
          <w:b/>
          <w:bCs/>
          <w:sz w:val="24"/>
          <w:szCs w:val="24"/>
          <w:lang w:val="es-ES_tradnl"/>
        </w:rPr>
      </w:pPr>
      <w:r w:rsidRPr="00FF5B68">
        <w:rPr>
          <w:rFonts w:ascii="Arial" w:hAnsi="Arial" w:cs="Arial"/>
          <w:b/>
          <w:bCs/>
          <w:sz w:val="24"/>
          <w:szCs w:val="24"/>
          <w:lang w:val="es-ES_tradnl"/>
        </w:rPr>
        <w:t>Comisión Fiscalizadora</w:t>
      </w:r>
    </w:p>
    <w:tbl>
      <w:tblPr>
        <w:tblW w:w="45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693"/>
        <w:gridCol w:w="1857"/>
      </w:tblGrid>
      <w:tr w:rsidR="00D55152" w:rsidRPr="00FF5B68" w14:paraId="3856CBD3" w14:textId="77777777" w:rsidTr="00072E02">
        <w:trPr>
          <w:trHeight w:val="283"/>
          <w:jc w:val="center"/>
        </w:trPr>
        <w:tc>
          <w:tcPr>
            <w:tcW w:w="2693" w:type="dxa"/>
            <w:shd w:val="clear" w:color="auto" w:fill="EEECE1"/>
            <w:tcMar>
              <w:top w:w="0" w:type="dxa"/>
              <w:left w:w="108" w:type="dxa"/>
              <w:bottom w:w="0" w:type="dxa"/>
              <w:right w:w="108" w:type="dxa"/>
            </w:tcMar>
            <w:vAlign w:val="center"/>
          </w:tcPr>
          <w:p w14:paraId="2CB8258F" w14:textId="77777777"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Nombre</w:t>
            </w:r>
          </w:p>
        </w:tc>
        <w:tc>
          <w:tcPr>
            <w:tcW w:w="1857" w:type="dxa"/>
            <w:shd w:val="clear" w:color="auto" w:fill="EEECE1"/>
            <w:tcMar>
              <w:top w:w="0" w:type="dxa"/>
              <w:left w:w="108" w:type="dxa"/>
              <w:bottom w:w="0" w:type="dxa"/>
              <w:right w:w="108" w:type="dxa"/>
            </w:tcMar>
            <w:vAlign w:val="center"/>
          </w:tcPr>
          <w:p w14:paraId="2F85BAAA" w14:textId="77777777" w:rsidR="00D55152" w:rsidRPr="00FF5B68" w:rsidRDefault="00D55152" w:rsidP="00AC79CA">
            <w:pPr>
              <w:autoSpaceDE w:val="0"/>
              <w:autoSpaceDN w:val="0"/>
              <w:adjustRightInd w:val="0"/>
              <w:jc w:val="center"/>
              <w:rPr>
                <w:rFonts w:ascii="Arial" w:hAnsi="Arial" w:cs="Arial"/>
                <w:b/>
                <w:bCs/>
                <w:lang w:val="es-ES_tradnl"/>
              </w:rPr>
            </w:pPr>
            <w:r w:rsidRPr="00FF5B68">
              <w:rPr>
                <w:rFonts w:ascii="Arial" w:hAnsi="Arial" w:cs="Arial"/>
                <w:b/>
                <w:bCs/>
                <w:lang w:val="es-ES_tradnl"/>
              </w:rPr>
              <w:t>Cargo</w:t>
            </w:r>
          </w:p>
        </w:tc>
      </w:tr>
      <w:tr w:rsidR="00D55152" w:rsidRPr="00FF5B68" w14:paraId="4DCE79E9" w14:textId="77777777" w:rsidTr="00AC79CA">
        <w:trPr>
          <w:trHeight w:val="283"/>
          <w:jc w:val="center"/>
        </w:trPr>
        <w:tc>
          <w:tcPr>
            <w:tcW w:w="2693" w:type="dxa"/>
            <w:tcMar>
              <w:top w:w="0" w:type="dxa"/>
              <w:left w:w="108" w:type="dxa"/>
              <w:bottom w:w="0" w:type="dxa"/>
              <w:right w:w="108" w:type="dxa"/>
            </w:tcMar>
            <w:vAlign w:val="center"/>
          </w:tcPr>
          <w:p w14:paraId="74D61CBD"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Jorge Alejandro Perdomo</w:t>
            </w:r>
          </w:p>
        </w:tc>
        <w:tc>
          <w:tcPr>
            <w:tcW w:w="1857" w:type="dxa"/>
            <w:tcMar>
              <w:top w:w="0" w:type="dxa"/>
              <w:left w:w="108" w:type="dxa"/>
              <w:bottom w:w="0" w:type="dxa"/>
              <w:right w:w="108" w:type="dxa"/>
            </w:tcMar>
            <w:vAlign w:val="center"/>
          </w:tcPr>
          <w:p w14:paraId="55197C9D"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14:paraId="1AC2DF42" w14:textId="77777777" w:rsidTr="00AC79CA">
        <w:trPr>
          <w:trHeight w:val="283"/>
          <w:jc w:val="center"/>
        </w:trPr>
        <w:tc>
          <w:tcPr>
            <w:tcW w:w="2693" w:type="dxa"/>
            <w:tcMar>
              <w:top w:w="0" w:type="dxa"/>
              <w:left w:w="108" w:type="dxa"/>
              <w:bottom w:w="0" w:type="dxa"/>
              <w:right w:w="108" w:type="dxa"/>
            </w:tcMar>
            <w:vAlign w:val="center"/>
          </w:tcPr>
          <w:p w14:paraId="0527C88C"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Fernando Gastón David</w:t>
            </w:r>
          </w:p>
        </w:tc>
        <w:tc>
          <w:tcPr>
            <w:tcW w:w="1857" w:type="dxa"/>
            <w:tcMar>
              <w:top w:w="0" w:type="dxa"/>
              <w:left w:w="108" w:type="dxa"/>
              <w:bottom w:w="0" w:type="dxa"/>
              <w:right w:w="108" w:type="dxa"/>
            </w:tcMar>
            <w:vAlign w:val="center"/>
          </w:tcPr>
          <w:p w14:paraId="624561B9"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14:paraId="35EC44FF" w14:textId="77777777" w:rsidTr="00AC79CA">
        <w:trPr>
          <w:trHeight w:val="283"/>
          <w:jc w:val="center"/>
        </w:trPr>
        <w:tc>
          <w:tcPr>
            <w:tcW w:w="2693" w:type="dxa"/>
            <w:tcMar>
              <w:top w:w="0" w:type="dxa"/>
              <w:left w:w="108" w:type="dxa"/>
              <w:bottom w:w="0" w:type="dxa"/>
              <w:right w:w="108" w:type="dxa"/>
            </w:tcMar>
            <w:vAlign w:val="center"/>
          </w:tcPr>
          <w:p w14:paraId="40FBB3C7"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Tomás Camps</w:t>
            </w:r>
          </w:p>
        </w:tc>
        <w:tc>
          <w:tcPr>
            <w:tcW w:w="1857" w:type="dxa"/>
            <w:tcMar>
              <w:top w:w="0" w:type="dxa"/>
              <w:left w:w="108" w:type="dxa"/>
              <w:bottom w:w="0" w:type="dxa"/>
              <w:right w:w="108" w:type="dxa"/>
            </w:tcMar>
            <w:vAlign w:val="center"/>
          </w:tcPr>
          <w:p w14:paraId="132CBA1A"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14:paraId="519378C5" w14:textId="77777777" w:rsidTr="00AC79CA">
        <w:trPr>
          <w:trHeight w:val="283"/>
          <w:jc w:val="center"/>
        </w:trPr>
        <w:tc>
          <w:tcPr>
            <w:tcW w:w="2693" w:type="dxa"/>
            <w:tcMar>
              <w:top w:w="0" w:type="dxa"/>
              <w:left w:w="108" w:type="dxa"/>
              <w:bottom w:w="0" w:type="dxa"/>
              <w:right w:w="108" w:type="dxa"/>
            </w:tcMar>
            <w:vAlign w:val="center"/>
          </w:tcPr>
          <w:p w14:paraId="441FC467"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Jorge Luis Perdomo</w:t>
            </w:r>
          </w:p>
        </w:tc>
        <w:tc>
          <w:tcPr>
            <w:tcW w:w="1857" w:type="dxa"/>
            <w:tcMar>
              <w:top w:w="0" w:type="dxa"/>
              <w:left w:w="108" w:type="dxa"/>
              <w:bottom w:w="0" w:type="dxa"/>
              <w:right w:w="108" w:type="dxa"/>
            </w:tcMar>
            <w:vAlign w:val="center"/>
          </w:tcPr>
          <w:p w14:paraId="11BE6E20"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r w:rsidR="00D55152" w:rsidRPr="00FF5B68" w14:paraId="7F942F0A" w14:textId="77777777" w:rsidTr="00AC79CA">
        <w:trPr>
          <w:trHeight w:val="283"/>
          <w:jc w:val="center"/>
        </w:trPr>
        <w:tc>
          <w:tcPr>
            <w:tcW w:w="2693" w:type="dxa"/>
            <w:tcMar>
              <w:top w:w="0" w:type="dxa"/>
              <w:left w:w="108" w:type="dxa"/>
              <w:bottom w:w="0" w:type="dxa"/>
              <w:right w:w="108" w:type="dxa"/>
            </w:tcMar>
            <w:vAlign w:val="center"/>
          </w:tcPr>
          <w:p w14:paraId="218D11C8"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 xml:space="preserve">Evangelina </w:t>
            </w:r>
            <w:proofErr w:type="spellStart"/>
            <w:r w:rsidRPr="00FF5B68">
              <w:rPr>
                <w:rFonts w:ascii="Arial" w:hAnsi="Arial" w:cs="Arial"/>
                <w:lang w:val="es-ES_tradnl"/>
              </w:rPr>
              <w:t>Kiyuna</w:t>
            </w:r>
            <w:proofErr w:type="spellEnd"/>
          </w:p>
        </w:tc>
        <w:tc>
          <w:tcPr>
            <w:tcW w:w="1857" w:type="dxa"/>
            <w:tcMar>
              <w:top w:w="0" w:type="dxa"/>
              <w:left w:w="108" w:type="dxa"/>
              <w:bottom w:w="0" w:type="dxa"/>
              <w:right w:w="108" w:type="dxa"/>
            </w:tcMar>
            <w:vAlign w:val="center"/>
          </w:tcPr>
          <w:p w14:paraId="3BEFF4EE" w14:textId="77777777"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r w:rsidR="00D55152" w:rsidRPr="00A97579" w14:paraId="0FD95F6E" w14:textId="77777777" w:rsidTr="00AC79CA">
        <w:trPr>
          <w:trHeight w:val="283"/>
          <w:jc w:val="center"/>
        </w:trPr>
        <w:tc>
          <w:tcPr>
            <w:tcW w:w="2693" w:type="dxa"/>
            <w:tcMar>
              <w:top w:w="0" w:type="dxa"/>
              <w:left w:w="108" w:type="dxa"/>
              <w:bottom w:w="0" w:type="dxa"/>
              <w:right w:w="108" w:type="dxa"/>
            </w:tcMar>
            <w:vAlign w:val="center"/>
          </w:tcPr>
          <w:p w14:paraId="72DD9801" w14:textId="77777777"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 xml:space="preserve">Pedro </w:t>
            </w:r>
            <w:proofErr w:type="spellStart"/>
            <w:r w:rsidRPr="00FF5B68">
              <w:rPr>
                <w:rFonts w:ascii="Arial" w:hAnsi="Arial" w:cs="Arial"/>
                <w:lang w:val="es-ES_tradnl"/>
              </w:rPr>
              <w:t>Perisse</w:t>
            </w:r>
            <w:proofErr w:type="spellEnd"/>
          </w:p>
        </w:tc>
        <w:tc>
          <w:tcPr>
            <w:tcW w:w="1857" w:type="dxa"/>
            <w:tcMar>
              <w:top w:w="0" w:type="dxa"/>
              <w:left w:w="108" w:type="dxa"/>
              <w:bottom w:w="0" w:type="dxa"/>
              <w:right w:w="108" w:type="dxa"/>
            </w:tcMar>
            <w:vAlign w:val="center"/>
          </w:tcPr>
          <w:p w14:paraId="3A1D447E" w14:textId="77777777" w:rsidR="00D55152" w:rsidRPr="00A97579"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bl>
    <w:p w14:paraId="212EC7A5" w14:textId="77777777" w:rsidR="00A97579" w:rsidRDefault="00A97579" w:rsidP="00776CA5">
      <w:pPr>
        <w:autoSpaceDE w:val="0"/>
        <w:autoSpaceDN w:val="0"/>
        <w:rPr>
          <w:rFonts w:ascii="Arial" w:hAnsi="Arial" w:cs="Arial"/>
          <w:b/>
          <w:bCs/>
          <w:sz w:val="24"/>
          <w:szCs w:val="24"/>
        </w:rPr>
      </w:pPr>
    </w:p>
    <w:p w14:paraId="1AADBFC3" w14:textId="77777777" w:rsidR="00776CA5" w:rsidRPr="00BA7A48" w:rsidRDefault="00776CA5" w:rsidP="00776CA5">
      <w:pPr>
        <w:autoSpaceDE w:val="0"/>
        <w:autoSpaceDN w:val="0"/>
        <w:rPr>
          <w:rFonts w:ascii="Arial" w:hAnsi="Arial" w:cs="Arial"/>
          <w:b/>
          <w:bCs/>
          <w:i/>
          <w:iCs/>
          <w:sz w:val="24"/>
          <w:szCs w:val="24"/>
        </w:rPr>
      </w:pPr>
      <w:r w:rsidRPr="00BA7A48">
        <w:rPr>
          <w:rFonts w:ascii="Arial" w:hAnsi="Arial" w:cs="Arial"/>
          <w:b/>
          <w:bCs/>
          <w:sz w:val="24"/>
          <w:szCs w:val="24"/>
        </w:rPr>
        <w:t xml:space="preserve">Historia y Expansión </w:t>
      </w:r>
    </w:p>
    <w:p w14:paraId="16A265DF" w14:textId="77777777" w:rsidR="00776CA5" w:rsidRPr="00C21BB4" w:rsidRDefault="00776CA5" w:rsidP="00776CA5">
      <w:pPr>
        <w:autoSpaceDE w:val="0"/>
        <w:autoSpaceDN w:val="0"/>
        <w:jc w:val="both"/>
        <w:rPr>
          <w:rFonts w:ascii="Arial" w:hAnsi="Arial" w:cs="Arial"/>
          <w:b/>
          <w:bCs/>
          <w:sz w:val="24"/>
          <w:szCs w:val="24"/>
        </w:rPr>
      </w:pPr>
    </w:p>
    <w:p w14:paraId="6F2AE12B" w14:textId="77777777" w:rsidR="00776CA5" w:rsidRPr="002746C4" w:rsidRDefault="00776CA5" w:rsidP="00776CA5">
      <w:pPr>
        <w:jc w:val="both"/>
        <w:rPr>
          <w:rFonts w:ascii="Arial" w:hAnsi="Arial" w:cs="Arial"/>
          <w:sz w:val="24"/>
          <w:szCs w:val="24"/>
        </w:rPr>
      </w:pPr>
      <w:r w:rsidRPr="00C21BB4">
        <w:rPr>
          <w:rFonts w:ascii="Arial" w:hAnsi="Arial" w:cs="Arial"/>
          <w:sz w:val="24"/>
          <w:szCs w:val="24"/>
        </w:rPr>
        <w:t xml:space="preserve">Banco Comafi comenzó a operar en 1984 bajo la denominación de Comafi S.A, como agente de mercado abierto autorizado por la CNV, y en un lapso muy breve de tiempo </w:t>
      </w:r>
      <w:r w:rsidRPr="00C21BB4">
        <w:rPr>
          <w:rFonts w:ascii="Arial" w:hAnsi="Arial" w:cs="Arial"/>
          <w:sz w:val="24"/>
          <w:szCs w:val="24"/>
        </w:rPr>
        <w:lastRenderedPageBreak/>
        <w:t xml:space="preserve">ganó una excelente reputación por su actividad en el </w:t>
      </w:r>
      <w:r w:rsidRPr="00C21BB4">
        <w:rPr>
          <w:rFonts w:ascii="Arial" w:hAnsi="Arial" w:cs="Arial"/>
          <w:i/>
          <w:iCs/>
          <w:sz w:val="24"/>
          <w:szCs w:val="24"/>
        </w:rPr>
        <w:t>trading</w:t>
      </w:r>
      <w:r w:rsidRPr="00C21BB4">
        <w:rPr>
          <w:rFonts w:ascii="Arial" w:hAnsi="Arial" w:cs="Arial"/>
          <w:sz w:val="24"/>
          <w:szCs w:val="24"/>
        </w:rPr>
        <w:t xml:space="preserve"> de instrumentos locales e internacionales. </w:t>
      </w:r>
    </w:p>
    <w:p w14:paraId="5B0D218F" w14:textId="77777777" w:rsidR="00776CA5" w:rsidRPr="002746C4" w:rsidRDefault="00776CA5" w:rsidP="00776CA5">
      <w:pPr>
        <w:jc w:val="both"/>
        <w:rPr>
          <w:rFonts w:ascii="Arial" w:hAnsi="Arial" w:cs="Arial"/>
          <w:sz w:val="24"/>
          <w:szCs w:val="24"/>
        </w:rPr>
      </w:pPr>
    </w:p>
    <w:p w14:paraId="21CD5D5E"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A partir de 1992, Banco Comafi inició sus operaciones como banco comercial cuando compró los activos y pasivos de la sucursal argentina del ex Banco di Napoli, obteniendo una licencia bancaria y cambiando su denominación por la actual de “Banco Comafi S.A.”. Se convirtió así en una entidad mayorista, con una participación muy activa en operaciones de mercados de capitales y en banca corporativa y de inversión. </w:t>
      </w:r>
    </w:p>
    <w:p w14:paraId="5E83A0A2" w14:textId="77777777" w:rsidR="00776CA5" w:rsidRPr="002746C4" w:rsidRDefault="00776CA5" w:rsidP="00776CA5">
      <w:pPr>
        <w:jc w:val="both"/>
        <w:rPr>
          <w:rFonts w:ascii="Arial" w:hAnsi="Arial" w:cs="Arial"/>
          <w:sz w:val="24"/>
          <w:szCs w:val="24"/>
        </w:rPr>
      </w:pPr>
    </w:p>
    <w:p w14:paraId="7AB65D9C"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Su incursión en el sector financiero minorista se produjo en 1996 mediante la adquisición del 75% de Banco del Tucumán S.A., un banco provincial con 21 sucursales, complementado en 1998 con la compra y absorción de Banco San Miguel </w:t>
      </w:r>
      <w:proofErr w:type="spellStart"/>
      <w:r w:rsidRPr="002746C4">
        <w:rPr>
          <w:rFonts w:ascii="Arial" w:hAnsi="Arial" w:cs="Arial"/>
          <w:sz w:val="24"/>
          <w:szCs w:val="24"/>
        </w:rPr>
        <w:t>del</w:t>
      </w:r>
      <w:proofErr w:type="spellEnd"/>
      <w:r w:rsidRPr="002746C4">
        <w:rPr>
          <w:rFonts w:ascii="Arial" w:hAnsi="Arial" w:cs="Arial"/>
          <w:sz w:val="24"/>
          <w:szCs w:val="24"/>
        </w:rPr>
        <w:t xml:space="preserve"> Tucumán S.A. Estas adquisiciones le permitieron a Banco Comafi comenzar a brindar diversos servicios financieros a más de 50.000 clientes provinciales, además de convertirse en el agente financiero de la provincia de Tucumán y de la Municipalidad de la ciudad de San Miguel de Tucumán. En mayo de 2006 Banco Comafi vendió a Banco Macro S.A. la totalidad de su paquete accionario mayoritario en Banco del Tucumán S.A.</w:t>
      </w:r>
    </w:p>
    <w:p w14:paraId="4132260E" w14:textId="77777777" w:rsidR="00776CA5" w:rsidRPr="002746C4" w:rsidRDefault="00776CA5" w:rsidP="00776CA5">
      <w:pPr>
        <w:jc w:val="both"/>
        <w:rPr>
          <w:rFonts w:ascii="Arial" w:hAnsi="Arial" w:cs="Arial"/>
          <w:sz w:val="24"/>
          <w:szCs w:val="24"/>
        </w:rPr>
      </w:pPr>
    </w:p>
    <w:p w14:paraId="3BEAAEA5"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Durante la misma década, además de la expansión en el negocio minorista en la ciudad de Buenos Aires y área metropolitana, el Banco se afianzó en otros negocios específicos que aparecieron en el mercado, como la estructuración y oferta global de los Programas de Propiedad Participada de YPF S.A, Central Puerto S.A, EDERSA, Central Costanera S.A, Telefónica de Argentina S.A. y Telecom Argentina S.A., que involucraron la venta del 10% de los respectivos paquetes accionarios de titularidad de los empleados de estas compañías. </w:t>
      </w:r>
    </w:p>
    <w:p w14:paraId="353AB553" w14:textId="77777777" w:rsidR="00776CA5" w:rsidRPr="002746C4" w:rsidRDefault="00776CA5" w:rsidP="00776CA5">
      <w:pPr>
        <w:jc w:val="both"/>
        <w:rPr>
          <w:rFonts w:ascii="Arial" w:hAnsi="Arial" w:cs="Arial"/>
          <w:sz w:val="24"/>
          <w:szCs w:val="24"/>
        </w:rPr>
      </w:pPr>
    </w:p>
    <w:p w14:paraId="284B12A3"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Ni durante la crisis de liquidez que enfrentó el sistema financiero con la crisis denominada “Tequila” en 1998, ni durante la profunda crisis </w:t>
      </w:r>
      <w:proofErr w:type="gramStart"/>
      <w:r w:rsidRPr="002746C4">
        <w:rPr>
          <w:rFonts w:ascii="Arial" w:hAnsi="Arial" w:cs="Arial"/>
          <w:sz w:val="24"/>
          <w:szCs w:val="24"/>
        </w:rPr>
        <w:t>Argentina</w:t>
      </w:r>
      <w:proofErr w:type="gramEnd"/>
      <w:r w:rsidRPr="002746C4">
        <w:rPr>
          <w:rFonts w:ascii="Arial" w:hAnsi="Arial" w:cs="Arial"/>
          <w:sz w:val="24"/>
          <w:szCs w:val="24"/>
        </w:rPr>
        <w:t xml:space="preserve"> ocurrida a fines de 2001, Banco Comafi tuvo necesidad de acudir al Banco Central en busca de asistencia transitoria por iliquidez. Por el contrario, en esta última crisis el Banco contaba con un excedente que utilizó para contribuir a la formación de un fondo de liquidez destinado a asistir a otros bancos. Estos hechos posicionaron a Banco Comafi favorablemente ante el Banco Central como uno de los bancos elegibles para la eventual absorción de activos y pasivos de bancos liquidados.</w:t>
      </w:r>
    </w:p>
    <w:p w14:paraId="6316B6C1" w14:textId="77777777" w:rsidR="00776CA5" w:rsidRPr="002746C4" w:rsidRDefault="00776CA5" w:rsidP="00776CA5">
      <w:pPr>
        <w:jc w:val="both"/>
        <w:rPr>
          <w:rFonts w:ascii="Arial" w:hAnsi="Arial" w:cs="Arial"/>
          <w:i/>
          <w:iCs/>
          <w:sz w:val="24"/>
          <w:szCs w:val="24"/>
        </w:rPr>
      </w:pPr>
    </w:p>
    <w:p w14:paraId="796DE526"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Así, en agosto de 2002, Banco Comafi realizó una fuerte expansión de tamaño, al asumir una porción importante de sucursales, empleados y depósitos de Scotiabank, una subsidiaria argentina de Banco de Nova </w:t>
      </w:r>
      <w:proofErr w:type="spellStart"/>
      <w:r w:rsidRPr="002746C4">
        <w:rPr>
          <w:rFonts w:ascii="Arial" w:hAnsi="Arial" w:cs="Arial"/>
          <w:sz w:val="24"/>
          <w:szCs w:val="24"/>
        </w:rPr>
        <w:t>Scotia</w:t>
      </w:r>
      <w:proofErr w:type="spellEnd"/>
      <w:r w:rsidRPr="002746C4">
        <w:rPr>
          <w:rFonts w:ascii="Arial" w:hAnsi="Arial" w:cs="Arial"/>
          <w:sz w:val="24"/>
          <w:szCs w:val="24"/>
        </w:rPr>
        <w:t xml:space="preserve"> (Canadá). Ello se consumó a través de la transferencia del 65% de los depósitos a la vista y reprogramados que pertenecían a Scotiabank a favor de Banco Comafi, que les fueron compensados a través de la titularidad en igual porcentual de títulos de deuda de un fideicomiso constituido </w:t>
      </w:r>
      <w:proofErr w:type="gramStart"/>
      <w:r w:rsidRPr="002746C4">
        <w:rPr>
          <w:rFonts w:ascii="Arial" w:hAnsi="Arial" w:cs="Arial"/>
          <w:sz w:val="24"/>
          <w:szCs w:val="24"/>
        </w:rPr>
        <w:t>por  activos</w:t>
      </w:r>
      <w:proofErr w:type="gramEnd"/>
      <w:r w:rsidRPr="002746C4">
        <w:rPr>
          <w:rFonts w:ascii="Arial" w:hAnsi="Arial" w:cs="Arial"/>
          <w:sz w:val="24"/>
          <w:szCs w:val="24"/>
        </w:rPr>
        <w:t xml:space="preserve"> de Scotiabank. Como resultado de la transferencia aludida, Banco Comafi sumó 55 sucursales (en su mayoría situadas en la Ciudad Autónoma de Buenos Aires y el Gran Buenos Aires), incorporó la suma de </w:t>
      </w:r>
      <w:proofErr w:type="spellStart"/>
      <w:r w:rsidRPr="002746C4">
        <w:rPr>
          <w:rFonts w:ascii="Arial" w:hAnsi="Arial" w:cs="Arial"/>
          <w:sz w:val="24"/>
          <w:szCs w:val="24"/>
        </w:rPr>
        <w:t>Ps</w:t>
      </w:r>
      <w:proofErr w:type="spellEnd"/>
      <w:r w:rsidRPr="002746C4">
        <w:rPr>
          <w:rFonts w:ascii="Arial" w:hAnsi="Arial" w:cs="Arial"/>
          <w:sz w:val="24"/>
          <w:szCs w:val="24"/>
        </w:rPr>
        <w:t xml:space="preserve">. 250,8 millones en nuevos depósitos, y una gran cantidad de clientes provenientes de los segmentos minorista y mayorista de Scotiabank. A partir de dicha adquisición, Banco Comafi comenzó a recorrer una etapa de </w:t>
      </w:r>
      <w:r w:rsidRPr="002746C4">
        <w:rPr>
          <w:rStyle w:val="Textoennegrita"/>
          <w:rFonts w:ascii="Arial" w:hAnsi="Arial" w:cs="Arial"/>
          <w:b w:val="0"/>
          <w:bCs w:val="0"/>
          <w:sz w:val="24"/>
          <w:szCs w:val="24"/>
        </w:rPr>
        <w:lastRenderedPageBreak/>
        <w:t>relanzamiento comercial</w:t>
      </w:r>
      <w:r w:rsidRPr="002746C4">
        <w:rPr>
          <w:rFonts w:ascii="Arial" w:hAnsi="Arial" w:cs="Arial"/>
          <w:sz w:val="24"/>
          <w:szCs w:val="24"/>
        </w:rPr>
        <w:t xml:space="preserve"> dirigida al mercado minorista, con la apertura de una red que en la actualidad llega a 63 sucursales, ubicadas en el área metropolitana de Buenos Aires y en las principales ciudades del interior del país. </w:t>
      </w:r>
    </w:p>
    <w:p w14:paraId="07FCD73F" w14:textId="77777777" w:rsidR="00776CA5" w:rsidRPr="002746C4" w:rsidRDefault="00776CA5" w:rsidP="00776CA5">
      <w:pPr>
        <w:jc w:val="both"/>
        <w:rPr>
          <w:rFonts w:ascii="Arial" w:hAnsi="Arial" w:cs="Arial"/>
          <w:sz w:val="24"/>
          <w:szCs w:val="24"/>
        </w:rPr>
      </w:pPr>
    </w:p>
    <w:p w14:paraId="09DA49DB"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Este relanzamiento se vio fortalecido por dos transacciones adicionales. En el año 2003, y como parte de la estrategia de crecimiento de su sector de banca minorista, Banco Comafi compró al Fideicomiso </w:t>
      </w:r>
      <w:proofErr w:type="spellStart"/>
      <w:r w:rsidRPr="002746C4">
        <w:rPr>
          <w:rFonts w:ascii="Arial" w:hAnsi="Arial" w:cs="Arial"/>
          <w:sz w:val="24"/>
          <w:szCs w:val="24"/>
        </w:rPr>
        <w:t>Laverc</w:t>
      </w:r>
      <w:proofErr w:type="spellEnd"/>
      <w:r w:rsidRPr="002746C4">
        <w:rPr>
          <w:rFonts w:ascii="Arial" w:hAnsi="Arial" w:cs="Arial"/>
          <w:sz w:val="24"/>
          <w:szCs w:val="24"/>
        </w:rPr>
        <w:t xml:space="preserve"> gran parte de su cartera de tarjetas de crédito </w:t>
      </w:r>
      <w:r w:rsidRPr="002746C4">
        <w:rPr>
          <w:rFonts w:ascii="Arial" w:hAnsi="Arial" w:cs="Arial"/>
          <w:i/>
          <w:iCs/>
          <w:sz w:val="24"/>
          <w:szCs w:val="24"/>
        </w:rPr>
        <w:t>Visa</w:t>
      </w:r>
      <w:r w:rsidRPr="002746C4">
        <w:rPr>
          <w:rFonts w:ascii="Arial" w:hAnsi="Arial" w:cs="Arial"/>
          <w:sz w:val="24"/>
          <w:szCs w:val="24"/>
        </w:rPr>
        <w:t xml:space="preserve">, y también adquirió de </w:t>
      </w:r>
      <w:proofErr w:type="spellStart"/>
      <w:r w:rsidRPr="002746C4">
        <w:rPr>
          <w:rFonts w:ascii="Arial" w:hAnsi="Arial" w:cs="Arial"/>
          <w:sz w:val="24"/>
          <w:szCs w:val="24"/>
        </w:rPr>
        <w:t>Providian</w:t>
      </w:r>
      <w:proofErr w:type="spellEnd"/>
      <w:r w:rsidRPr="002746C4">
        <w:rPr>
          <w:rFonts w:ascii="Arial" w:hAnsi="Arial" w:cs="Arial"/>
          <w:sz w:val="24"/>
          <w:szCs w:val="24"/>
        </w:rPr>
        <w:t xml:space="preserve"> Bank S.A. gran parte de la cartera de tarjetas de crédito </w:t>
      </w:r>
      <w:proofErr w:type="spellStart"/>
      <w:r w:rsidRPr="002746C4">
        <w:rPr>
          <w:rFonts w:ascii="Arial" w:hAnsi="Arial" w:cs="Arial"/>
          <w:i/>
          <w:iCs/>
          <w:sz w:val="24"/>
          <w:szCs w:val="24"/>
        </w:rPr>
        <w:t>Mastercard</w:t>
      </w:r>
      <w:proofErr w:type="spellEnd"/>
      <w:r w:rsidRPr="002746C4">
        <w:rPr>
          <w:rFonts w:ascii="Arial" w:hAnsi="Arial" w:cs="Arial"/>
          <w:i/>
          <w:iCs/>
          <w:sz w:val="24"/>
          <w:szCs w:val="24"/>
        </w:rPr>
        <w:t>.</w:t>
      </w:r>
      <w:r w:rsidRPr="002746C4">
        <w:rPr>
          <w:rFonts w:ascii="Arial" w:hAnsi="Arial" w:cs="Arial"/>
          <w:sz w:val="24"/>
          <w:szCs w:val="24"/>
        </w:rPr>
        <w:t xml:space="preserve"> Estas adquisiciones posicionaron al Banco como uno de los más importantes participantes en el negocio de las tarjetas de crédito de la Argentina.</w:t>
      </w:r>
    </w:p>
    <w:p w14:paraId="1650125B" w14:textId="77777777" w:rsidR="00776CA5" w:rsidRPr="002746C4" w:rsidRDefault="00776CA5" w:rsidP="00776CA5">
      <w:pPr>
        <w:pStyle w:val="Textoindependiente"/>
        <w:rPr>
          <w:rFonts w:ascii="Arial" w:hAnsi="Arial" w:cs="Arial"/>
          <w:szCs w:val="24"/>
        </w:rPr>
      </w:pPr>
    </w:p>
    <w:p w14:paraId="18DCDE97"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Esta estrategia se complementó a partir de 2004 a través del inicio en la financiación de operaciones de </w:t>
      </w:r>
      <w:r w:rsidRPr="002746C4">
        <w:rPr>
          <w:rFonts w:ascii="Arial" w:hAnsi="Arial" w:cs="Arial"/>
          <w:i/>
          <w:iCs/>
          <w:sz w:val="24"/>
          <w:szCs w:val="24"/>
        </w:rPr>
        <w:t>leasing</w:t>
      </w:r>
      <w:r w:rsidRPr="002746C4">
        <w:rPr>
          <w:rFonts w:ascii="Arial" w:hAnsi="Arial" w:cs="Arial"/>
          <w:sz w:val="24"/>
          <w:szCs w:val="24"/>
        </w:rPr>
        <w:t xml:space="preserve"> desarrolladas hoy por TCC Leasing S.A., una compañía afiliada de Banco Comafi. En la actualidad, Banco Comafi es el líder del mercado argentino de </w:t>
      </w:r>
      <w:r w:rsidRPr="002746C4">
        <w:rPr>
          <w:rFonts w:ascii="Arial" w:hAnsi="Arial" w:cs="Arial"/>
          <w:i/>
          <w:iCs/>
          <w:sz w:val="24"/>
          <w:szCs w:val="24"/>
        </w:rPr>
        <w:t>leasing</w:t>
      </w:r>
      <w:r w:rsidRPr="002746C4">
        <w:rPr>
          <w:rFonts w:ascii="Arial" w:hAnsi="Arial" w:cs="Arial"/>
          <w:sz w:val="24"/>
          <w:szCs w:val="24"/>
        </w:rPr>
        <w:t>.</w:t>
      </w:r>
    </w:p>
    <w:p w14:paraId="6C53FCCD" w14:textId="77777777" w:rsidR="00776CA5" w:rsidRPr="002746C4" w:rsidRDefault="00776CA5" w:rsidP="00776CA5">
      <w:pPr>
        <w:jc w:val="both"/>
        <w:rPr>
          <w:rFonts w:ascii="Arial" w:hAnsi="Arial" w:cs="Arial"/>
          <w:sz w:val="24"/>
          <w:szCs w:val="24"/>
        </w:rPr>
      </w:pPr>
    </w:p>
    <w:p w14:paraId="6D163C48"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Banco Comafi cuenta además con una vasta experiencia en la pres</w:t>
      </w:r>
      <w:r w:rsidR="008E3057" w:rsidRPr="002746C4">
        <w:rPr>
          <w:rFonts w:ascii="Arial" w:hAnsi="Arial" w:cs="Arial"/>
          <w:sz w:val="24"/>
          <w:szCs w:val="24"/>
        </w:rPr>
        <w:t xml:space="preserve">tación de servicios fiduciarios </w:t>
      </w:r>
      <w:r w:rsidRPr="002746C4">
        <w:rPr>
          <w:rFonts w:ascii="Arial" w:hAnsi="Arial" w:cs="Arial"/>
          <w:sz w:val="24"/>
          <w:szCs w:val="24"/>
        </w:rPr>
        <w:t xml:space="preserve">acumulada a partir de su desempeño como fiduciario y administrador de la mayor parte de las entidades financieras liquidadas por el BCRA desde el año 1997 al presente. A ese fin, cuenta con una estructura especialmente afectada como unidad de negocios a la administración integral de patrimonios de afectación. Junto al desempeño de esas funciones también ha intervenido activamente en el asesoramiento, puesta en marcha y colocación de productos </w:t>
      </w:r>
      <w:proofErr w:type="spellStart"/>
      <w:r w:rsidRPr="002746C4">
        <w:rPr>
          <w:rFonts w:ascii="Arial" w:hAnsi="Arial" w:cs="Arial"/>
          <w:sz w:val="24"/>
          <w:szCs w:val="24"/>
        </w:rPr>
        <w:t>securitizados</w:t>
      </w:r>
      <w:proofErr w:type="spellEnd"/>
      <w:r w:rsidRPr="002746C4">
        <w:rPr>
          <w:rFonts w:ascii="Arial" w:hAnsi="Arial" w:cs="Arial"/>
          <w:sz w:val="24"/>
          <w:szCs w:val="24"/>
        </w:rPr>
        <w:t xml:space="preserve"> a través de oferta pública, proceso en el que interviene el propio Banco, o ha intervenido su controlada Comafi Fiduciario Financiero S.A. que a tal fin cuentan con las aprobaciones regulatorias de la Comisión Nacional de Valores y las restantes reparticiones con competencia en la materia, incluyendo el Banco Central en relación con Banco Comafi.</w:t>
      </w:r>
    </w:p>
    <w:p w14:paraId="09138115" w14:textId="77777777" w:rsidR="00776CA5" w:rsidRPr="002746C4" w:rsidRDefault="00776CA5" w:rsidP="00776CA5">
      <w:pPr>
        <w:jc w:val="both"/>
        <w:rPr>
          <w:rFonts w:ascii="Arial" w:hAnsi="Arial" w:cs="Arial"/>
          <w:sz w:val="24"/>
          <w:szCs w:val="24"/>
          <w:lang w:val="es-AR"/>
        </w:rPr>
      </w:pPr>
    </w:p>
    <w:p w14:paraId="4C4BBDE6"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En febrero de 2009 Banco Comafi adquirió de la Sucursal de Citibank N.A. establecida en la República Argentina, una cartera de aproximadamente 62.000 tarjetas de crédito </w:t>
      </w:r>
      <w:proofErr w:type="spellStart"/>
      <w:r w:rsidRPr="002746C4">
        <w:rPr>
          <w:rFonts w:ascii="Arial" w:hAnsi="Arial" w:cs="Arial"/>
          <w:sz w:val="24"/>
          <w:szCs w:val="24"/>
        </w:rPr>
        <w:t>Provencred</w:t>
      </w:r>
      <w:proofErr w:type="spellEnd"/>
      <w:r w:rsidRPr="002746C4">
        <w:rPr>
          <w:rFonts w:ascii="Arial" w:hAnsi="Arial" w:cs="Arial"/>
          <w:sz w:val="24"/>
          <w:szCs w:val="24"/>
        </w:rPr>
        <w:t xml:space="preserve">-Visa. Asimismo, </w:t>
      </w:r>
      <w:proofErr w:type="spellStart"/>
      <w:r w:rsidRPr="002746C4">
        <w:rPr>
          <w:rFonts w:ascii="Arial" w:hAnsi="Arial" w:cs="Arial"/>
          <w:sz w:val="24"/>
          <w:szCs w:val="24"/>
        </w:rPr>
        <w:t>PVCred</w:t>
      </w:r>
      <w:proofErr w:type="spellEnd"/>
      <w:r w:rsidRPr="002746C4">
        <w:rPr>
          <w:rFonts w:ascii="Arial" w:hAnsi="Arial" w:cs="Arial"/>
          <w:sz w:val="24"/>
          <w:szCs w:val="24"/>
        </w:rPr>
        <w:t xml:space="preserve">, una sociedad vinculada a Banco Comafi </w:t>
      </w:r>
      <w:proofErr w:type="gramStart"/>
      <w:r w:rsidRPr="002746C4">
        <w:rPr>
          <w:rFonts w:ascii="Arial" w:hAnsi="Arial" w:cs="Arial"/>
          <w:sz w:val="24"/>
          <w:szCs w:val="24"/>
        </w:rPr>
        <w:t>de acuerdo a</w:t>
      </w:r>
      <w:proofErr w:type="gramEnd"/>
      <w:r w:rsidRPr="002746C4">
        <w:rPr>
          <w:rFonts w:ascii="Arial" w:hAnsi="Arial" w:cs="Arial"/>
          <w:sz w:val="24"/>
          <w:szCs w:val="24"/>
        </w:rPr>
        <w:t xml:space="preserve"> la normativa del BCRA, adquirió de </w:t>
      </w:r>
      <w:proofErr w:type="spellStart"/>
      <w:r w:rsidRPr="002746C4">
        <w:rPr>
          <w:rFonts w:ascii="Arial" w:hAnsi="Arial" w:cs="Arial"/>
          <w:sz w:val="24"/>
          <w:szCs w:val="24"/>
        </w:rPr>
        <w:t>Diners</w:t>
      </w:r>
      <w:proofErr w:type="spellEnd"/>
      <w:r w:rsidRPr="002746C4">
        <w:rPr>
          <w:rFonts w:ascii="Arial" w:hAnsi="Arial" w:cs="Arial"/>
          <w:sz w:val="24"/>
          <w:szCs w:val="24"/>
        </w:rPr>
        <w:t xml:space="preserve"> Club Argentina S.R.L. C. y de T., el denominado Negocio </w:t>
      </w:r>
      <w:proofErr w:type="spellStart"/>
      <w:r w:rsidRPr="002746C4">
        <w:rPr>
          <w:rFonts w:ascii="Arial" w:hAnsi="Arial" w:cs="Arial"/>
          <w:sz w:val="24"/>
          <w:szCs w:val="24"/>
        </w:rPr>
        <w:t>Provencred</w:t>
      </w:r>
      <w:proofErr w:type="spellEnd"/>
      <w:r w:rsidRPr="002746C4">
        <w:rPr>
          <w:rFonts w:ascii="Arial" w:hAnsi="Arial" w:cs="Arial"/>
          <w:sz w:val="24"/>
          <w:szCs w:val="24"/>
        </w:rPr>
        <w:t xml:space="preserve"> dedicado al otorgamiento de financiación no bancaria al consumo.</w:t>
      </w:r>
    </w:p>
    <w:p w14:paraId="10C0EE09" w14:textId="77777777" w:rsidR="00776CA5" w:rsidRPr="002746C4" w:rsidRDefault="00776CA5" w:rsidP="00776CA5">
      <w:pPr>
        <w:autoSpaceDE w:val="0"/>
        <w:autoSpaceDN w:val="0"/>
        <w:jc w:val="both"/>
        <w:rPr>
          <w:rFonts w:ascii="Arial" w:hAnsi="Arial" w:cs="Arial"/>
          <w:sz w:val="24"/>
          <w:szCs w:val="24"/>
        </w:rPr>
      </w:pPr>
    </w:p>
    <w:p w14:paraId="54787BB3"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El 1° de julio de 2011, Banco Comafi adquirió, en el marco del procedimiento establecido por la Ley N° 11.867 y modificatorias, el negocio argentino de </w:t>
      </w:r>
      <w:proofErr w:type="spellStart"/>
      <w:r w:rsidRPr="002746C4">
        <w:rPr>
          <w:rFonts w:ascii="Arial" w:hAnsi="Arial" w:cs="Arial"/>
          <w:sz w:val="24"/>
          <w:szCs w:val="24"/>
        </w:rPr>
        <w:t>The</w:t>
      </w:r>
      <w:proofErr w:type="spellEnd"/>
      <w:r w:rsidRPr="002746C4">
        <w:rPr>
          <w:rFonts w:ascii="Arial" w:hAnsi="Arial" w:cs="Arial"/>
          <w:sz w:val="24"/>
          <w:szCs w:val="24"/>
        </w:rPr>
        <w:t xml:space="preserve"> Royal Bank </w:t>
      </w:r>
      <w:proofErr w:type="spellStart"/>
      <w:r w:rsidRPr="002746C4">
        <w:rPr>
          <w:rFonts w:ascii="Arial" w:hAnsi="Arial" w:cs="Arial"/>
          <w:sz w:val="24"/>
          <w:szCs w:val="24"/>
        </w:rPr>
        <w:t>of</w:t>
      </w:r>
      <w:proofErr w:type="spellEnd"/>
      <w:r w:rsidRPr="002746C4">
        <w:rPr>
          <w:rFonts w:ascii="Arial" w:hAnsi="Arial" w:cs="Arial"/>
          <w:sz w:val="24"/>
          <w:szCs w:val="24"/>
        </w:rPr>
        <w:t xml:space="preserve"> Scotland N.V. operado por ABN AMRO Bank N.V., Sucursal Argentina. Esta transacción se inscribe en la actual estrategia de crecimiento en todas las áreas del sector financiero y representa una importante oportunidad de seguir desarrollando su presencia en el segmento de banca corporativa. </w:t>
      </w:r>
    </w:p>
    <w:p w14:paraId="2D2E7737" w14:textId="77777777" w:rsidR="00776CA5" w:rsidRPr="002746C4" w:rsidRDefault="00776CA5" w:rsidP="00776CA5">
      <w:pPr>
        <w:jc w:val="both"/>
        <w:rPr>
          <w:rFonts w:ascii="Arial" w:hAnsi="Arial" w:cs="Arial"/>
          <w:sz w:val="24"/>
          <w:szCs w:val="24"/>
        </w:rPr>
      </w:pPr>
    </w:p>
    <w:p w14:paraId="6AA0561D" w14:textId="77777777" w:rsidR="00776CA5" w:rsidRPr="002746C4" w:rsidRDefault="00776CA5" w:rsidP="00776CA5">
      <w:pPr>
        <w:jc w:val="both"/>
        <w:rPr>
          <w:rFonts w:ascii="Arial" w:hAnsi="Arial" w:cs="Arial"/>
          <w:sz w:val="24"/>
          <w:szCs w:val="24"/>
        </w:rPr>
      </w:pPr>
      <w:r w:rsidRPr="002746C4">
        <w:rPr>
          <w:rFonts w:ascii="Arial" w:hAnsi="Arial" w:cs="Arial"/>
          <w:sz w:val="24"/>
          <w:szCs w:val="24"/>
        </w:rPr>
        <w:t xml:space="preserve">En diciembre de 2013, Banco Comafi adquirió la cartera de créditos y contratos de la tarjeta de crédito </w:t>
      </w:r>
      <w:proofErr w:type="spellStart"/>
      <w:r w:rsidRPr="002746C4">
        <w:rPr>
          <w:rFonts w:ascii="Arial" w:hAnsi="Arial" w:cs="Arial"/>
          <w:sz w:val="24"/>
          <w:szCs w:val="24"/>
        </w:rPr>
        <w:t>Diners</w:t>
      </w:r>
      <w:proofErr w:type="spellEnd"/>
      <w:r w:rsidRPr="002746C4">
        <w:rPr>
          <w:rFonts w:ascii="Arial" w:hAnsi="Arial" w:cs="Arial"/>
          <w:sz w:val="24"/>
          <w:szCs w:val="24"/>
        </w:rPr>
        <w:t xml:space="preserve"> Club en Argentina. La operación implicó la incorporación de 90.000 nuevos contratos de tarjetas de crédito y contribuyó a ampliar en más de un 60% de la cartera total de créditos en el producto tarjetas.</w:t>
      </w:r>
    </w:p>
    <w:p w14:paraId="24148E46" w14:textId="77777777" w:rsidR="00776CA5" w:rsidRPr="002746C4" w:rsidRDefault="00776CA5" w:rsidP="00776CA5">
      <w:pPr>
        <w:jc w:val="both"/>
        <w:rPr>
          <w:rFonts w:ascii="Arial" w:hAnsi="Arial" w:cs="Arial"/>
          <w:sz w:val="24"/>
          <w:szCs w:val="24"/>
        </w:rPr>
      </w:pPr>
    </w:p>
    <w:p w14:paraId="43A2D0F2" w14:textId="77777777" w:rsidR="00776CA5" w:rsidRPr="002746C4" w:rsidRDefault="00520203" w:rsidP="00776CA5">
      <w:pPr>
        <w:jc w:val="both"/>
        <w:rPr>
          <w:rFonts w:ascii="Arial" w:hAnsi="Arial" w:cs="Arial"/>
          <w:sz w:val="24"/>
          <w:szCs w:val="24"/>
        </w:rPr>
      </w:pPr>
      <w:r w:rsidRPr="002746C4">
        <w:rPr>
          <w:rFonts w:ascii="Arial" w:hAnsi="Arial" w:cs="Arial"/>
          <w:sz w:val="24"/>
          <w:szCs w:val="24"/>
        </w:rPr>
        <w:t>En el año 2016, Banco Comafi, adquirió el 100% del capital accionario de Deutsche Bank Argentina, y posteriormente se fusionó con esta entidad absorbiéndola, quedando inscripta la fusión en noviembre de 2017. Esta adquisición le ha permitido</w:t>
      </w:r>
      <w:r w:rsidR="00776CA5" w:rsidRPr="002746C4">
        <w:rPr>
          <w:rFonts w:ascii="Arial" w:hAnsi="Arial" w:cs="Arial"/>
          <w:sz w:val="24"/>
          <w:szCs w:val="24"/>
        </w:rPr>
        <w:t xml:space="preserve"> al Banco ampliar y reforzar su base de clientes institucionales e incorporar e</w:t>
      </w:r>
      <w:r w:rsidRPr="002746C4">
        <w:rPr>
          <w:rFonts w:ascii="Arial" w:hAnsi="Arial" w:cs="Arial"/>
          <w:sz w:val="24"/>
          <w:szCs w:val="24"/>
        </w:rPr>
        <w:t>l capital humano de la entidad absorbida</w:t>
      </w:r>
      <w:r w:rsidR="00776CA5" w:rsidRPr="002746C4">
        <w:rPr>
          <w:rFonts w:ascii="Arial" w:hAnsi="Arial" w:cs="Arial"/>
          <w:sz w:val="24"/>
          <w:szCs w:val="24"/>
        </w:rPr>
        <w:t>., para aprovechar las significativas oportunidades de un mercado de capitales en pleno desarrollo.</w:t>
      </w:r>
      <w:r w:rsidRPr="002746C4">
        <w:rPr>
          <w:rFonts w:ascii="Arial" w:hAnsi="Arial" w:cs="Arial"/>
          <w:sz w:val="24"/>
          <w:szCs w:val="24"/>
        </w:rPr>
        <w:t xml:space="preserve"> De esta manera, Banco </w:t>
      </w:r>
      <w:proofErr w:type="gramStart"/>
      <w:r w:rsidRPr="002746C4">
        <w:rPr>
          <w:rFonts w:ascii="Arial" w:hAnsi="Arial" w:cs="Arial"/>
          <w:sz w:val="24"/>
          <w:szCs w:val="24"/>
        </w:rPr>
        <w:t>Comafi  en</w:t>
      </w:r>
      <w:proofErr w:type="gramEnd"/>
      <w:r w:rsidRPr="002746C4">
        <w:rPr>
          <w:rFonts w:ascii="Arial" w:hAnsi="Arial" w:cs="Arial"/>
          <w:sz w:val="24"/>
          <w:szCs w:val="24"/>
        </w:rPr>
        <w:t xml:space="preserve"> la actualidad se desempeña como sociedad custodia de una gran cantidad de fondos comunes de inversión, cuyas sociedades gerentes son independientes, y al mismo tiempo continúa con la actividad de emisión de CEDEARs, abarcando toda la gama de negocios que tenía la entidad absorbida y  con la mira puesta en crecer, ampliar y diversificar los productos ofrecidos. </w:t>
      </w:r>
    </w:p>
    <w:p w14:paraId="5836B29F" w14:textId="77777777" w:rsidR="004079B7" w:rsidRPr="002746C4" w:rsidRDefault="004079B7">
      <w:pPr>
        <w:suppressAutoHyphens/>
        <w:jc w:val="both"/>
        <w:rPr>
          <w:rFonts w:ascii="Arial" w:hAnsi="Arial" w:cs="Arial"/>
          <w:spacing w:val="-2"/>
          <w:sz w:val="24"/>
          <w:szCs w:val="24"/>
        </w:rPr>
      </w:pPr>
    </w:p>
    <w:p w14:paraId="456F6E61" w14:textId="77777777" w:rsidR="00E20D34" w:rsidRPr="002746C4" w:rsidRDefault="00E20D34" w:rsidP="00E20D34">
      <w:pPr>
        <w:spacing w:before="120"/>
        <w:jc w:val="both"/>
        <w:rPr>
          <w:rFonts w:ascii="Arial" w:hAnsi="Arial" w:cs="Arial"/>
          <w:b/>
          <w:bCs/>
          <w:sz w:val="24"/>
          <w:szCs w:val="24"/>
        </w:rPr>
      </w:pPr>
      <w:r w:rsidRPr="002746C4">
        <w:rPr>
          <w:rFonts w:ascii="Arial" w:hAnsi="Arial" w:cs="Arial"/>
          <w:b/>
          <w:bCs/>
          <w:sz w:val="24"/>
          <w:szCs w:val="24"/>
        </w:rPr>
        <w:t xml:space="preserve">Descripción de Prevención de Lavado de Activos y Financiamiento al Terrorismo. </w:t>
      </w:r>
    </w:p>
    <w:p w14:paraId="5EEA594D" w14:textId="77777777" w:rsidR="00E20D34" w:rsidRPr="002746C4" w:rsidRDefault="00E20D34" w:rsidP="000C2512">
      <w:pPr>
        <w:suppressAutoHyphens/>
        <w:rPr>
          <w:rFonts w:ascii="Arial" w:hAnsi="Arial" w:cs="Arial"/>
          <w:spacing w:val="-2"/>
          <w:sz w:val="24"/>
          <w:szCs w:val="24"/>
        </w:rPr>
      </w:pPr>
    </w:p>
    <w:p w14:paraId="5F70C58C"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El “Lavado de Activos (LA)” puede definirse como</w:t>
      </w:r>
      <w:r w:rsidR="00C05CD7" w:rsidRPr="002746C4">
        <w:rPr>
          <w:rFonts w:ascii="Arial" w:hAnsi="Arial" w:cs="Arial"/>
          <w:bCs/>
          <w:sz w:val="24"/>
          <w:szCs w:val="24"/>
        </w:rPr>
        <w:t xml:space="preserve"> </w:t>
      </w:r>
      <w:r w:rsidRPr="002746C4">
        <w:rPr>
          <w:rFonts w:ascii="Arial" w:hAnsi="Arial" w:cs="Arial"/>
          <w:bCs/>
          <w:sz w:val="24"/>
          <w:szCs w:val="24"/>
        </w:rPr>
        <w:t>“el proceso en virtud del cual los bienes de origen delictivo se integran en el sistema económico legal con la apariencia de haber sido obtenidos en forma lícita”</w:t>
      </w:r>
      <w:r w:rsidRPr="002746C4">
        <w:rPr>
          <w:rFonts w:ascii="Arial" w:hAnsi="Arial" w:cs="Arial"/>
          <w:bCs/>
          <w:sz w:val="24"/>
          <w:szCs w:val="24"/>
          <w:vertAlign w:val="superscript"/>
        </w:rPr>
        <w:footnoteReference w:id="2"/>
      </w:r>
      <w:r w:rsidR="00C05CD7" w:rsidRPr="002746C4">
        <w:rPr>
          <w:rFonts w:ascii="Arial" w:hAnsi="Arial" w:cs="Arial"/>
          <w:bCs/>
          <w:sz w:val="24"/>
          <w:szCs w:val="24"/>
        </w:rPr>
        <w:t>.</w:t>
      </w:r>
      <w:r w:rsidRPr="002746C4">
        <w:rPr>
          <w:rFonts w:ascii="Arial" w:hAnsi="Arial" w:cs="Arial"/>
          <w:bCs/>
          <w:sz w:val="24"/>
          <w:szCs w:val="24"/>
          <w:vertAlign w:val="superscript"/>
        </w:rPr>
        <w:t xml:space="preserve"> </w:t>
      </w:r>
    </w:p>
    <w:p w14:paraId="04577F41"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En general, el proceso de lavado de activos se encuentra integrado por tres etapas básicas:</w:t>
      </w:r>
    </w:p>
    <w:p w14:paraId="2BB9899A" w14:textId="77777777" w:rsidR="00E20D34" w:rsidRPr="002746C4" w:rsidRDefault="00E20D34" w:rsidP="00E20D34">
      <w:pPr>
        <w:spacing w:before="120"/>
        <w:jc w:val="both"/>
        <w:rPr>
          <w:rFonts w:ascii="Arial" w:hAnsi="Arial" w:cs="Arial"/>
          <w:bCs/>
          <w:sz w:val="24"/>
          <w:szCs w:val="24"/>
        </w:rPr>
      </w:pPr>
    </w:p>
    <w:p w14:paraId="07E09A23" w14:textId="77777777" w:rsidR="00E20D34" w:rsidRPr="002746C4" w:rsidRDefault="00E20D34" w:rsidP="00E20D34">
      <w:pPr>
        <w:spacing w:before="120"/>
        <w:jc w:val="both"/>
        <w:rPr>
          <w:rFonts w:ascii="Arial" w:hAnsi="Arial" w:cs="Arial"/>
          <w:bCs/>
          <w:sz w:val="24"/>
          <w:szCs w:val="24"/>
        </w:rPr>
      </w:pPr>
      <w:proofErr w:type="gramStart"/>
      <w:r w:rsidRPr="002746C4">
        <w:rPr>
          <w:rFonts w:ascii="Arial" w:hAnsi="Arial" w:cs="Arial"/>
          <w:bCs/>
          <w:sz w:val="24"/>
          <w:szCs w:val="24"/>
        </w:rPr>
        <w:t>  Colocación</w:t>
      </w:r>
      <w:proofErr w:type="gramEnd"/>
      <w:r w:rsidRPr="002746C4">
        <w:rPr>
          <w:rFonts w:ascii="Arial" w:hAnsi="Arial" w:cs="Arial"/>
          <w:bCs/>
          <w:sz w:val="24"/>
          <w:szCs w:val="24"/>
        </w:rPr>
        <w:t>: Es la disposición física del dinero en efectivo proveniente de actividades delictivas. Durante esta fase inicial, quien pretende lavar de dinero introduce sus fondos ilegales en el sistema financiero y otros negocios, tanto nacionales como internacionales.</w:t>
      </w:r>
    </w:p>
    <w:p w14:paraId="4E85E53D" w14:textId="77777777" w:rsidR="00E20D34" w:rsidRPr="002746C4" w:rsidRDefault="00E20D34" w:rsidP="00E20D34">
      <w:pPr>
        <w:spacing w:before="120"/>
        <w:jc w:val="both"/>
        <w:rPr>
          <w:rFonts w:ascii="Arial" w:hAnsi="Arial" w:cs="Arial"/>
          <w:bCs/>
          <w:sz w:val="24"/>
          <w:szCs w:val="24"/>
        </w:rPr>
      </w:pPr>
      <w:proofErr w:type="gramStart"/>
      <w:r w:rsidRPr="002746C4">
        <w:rPr>
          <w:rFonts w:ascii="Arial" w:hAnsi="Arial" w:cs="Arial"/>
          <w:bCs/>
          <w:sz w:val="24"/>
          <w:szCs w:val="24"/>
        </w:rPr>
        <w:t>  Estratificación</w:t>
      </w:r>
      <w:proofErr w:type="gramEnd"/>
      <w:r w:rsidRPr="002746C4">
        <w:rPr>
          <w:rFonts w:ascii="Arial" w:hAnsi="Arial" w:cs="Arial"/>
          <w:bCs/>
          <w:sz w:val="24"/>
          <w:szCs w:val="24"/>
        </w:rPr>
        <w:t>: Es la separación de fondos ilícitos de su fuente mediante una serie de transacciones financieras sofisticadas, cuyo fin es desdibujar la transacción original. Esta etapa supone la conversión de los fondos procedentes de actividades ilícitas a otra forma y crear esquemas complejos de transacciones financieras para disimular el rastro documentado, la fuente y la propiedad de los fondos.</w:t>
      </w:r>
    </w:p>
    <w:p w14:paraId="01B83BAB" w14:textId="77777777" w:rsidR="00E20D34" w:rsidRPr="002746C4" w:rsidRDefault="00E20D34" w:rsidP="00E20D34">
      <w:pPr>
        <w:spacing w:before="120"/>
        <w:jc w:val="both"/>
        <w:rPr>
          <w:rFonts w:ascii="Arial" w:hAnsi="Arial" w:cs="Arial"/>
          <w:bCs/>
          <w:sz w:val="24"/>
          <w:szCs w:val="24"/>
        </w:rPr>
      </w:pPr>
      <w:proofErr w:type="gramStart"/>
      <w:r w:rsidRPr="002746C4">
        <w:rPr>
          <w:rFonts w:ascii="Arial" w:hAnsi="Arial" w:cs="Arial"/>
          <w:bCs/>
          <w:sz w:val="24"/>
          <w:szCs w:val="24"/>
        </w:rPr>
        <w:t>  Integración</w:t>
      </w:r>
      <w:proofErr w:type="gramEnd"/>
      <w:r w:rsidRPr="002746C4">
        <w:rPr>
          <w:rFonts w:ascii="Arial" w:hAnsi="Arial" w:cs="Arial"/>
          <w:bCs/>
          <w:sz w:val="24"/>
          <w:szCs w:val="24"/>
        </w:rPr>
        <w:t>: Es dar apariencia legítima a riqueza ilícita mediante el reingreso en la economía con transacciones comerciales o personales que aparentan ser normales. Esta fase conlleva la colocación de los fondos lavados de vuelta en la economía para crear una percepción de legitimidad. El lavador podría optar por invertir los fondos en bienes raíces, artículos de lujo o proyectos comerciales, entre otros.</w:t>
      </w:r>
    </w:p>
    <w:p w14:paraId="13D5AED2"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Las entidades financieras y los Agentes mencionados en la Ley 27.440 modificatoria de la ley 25.246 pueden ser utilizados en cualquier punto del proceso de lavado de activos.</w:t>
      </w:r>
    </w:p>
    <w:p w14:paraId="07A05B67"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 xml:space="preserve">En la República Argentina, siguiendo los parámetros establecidos por el Grupo de Acción Financiera Internacional (GAFI), se sancionó en el año 2000 la Ley 25.246, estableciendo en nuestro país los preceptos que gobiernan la materia vinculada al delito de lavado de dinero, disponiendo asimismo la creación de la Unidad de Información Financiera (UIF) como máxima autoridad a este respecto. </w:t>
      </w:r>
    </w:p>
    <w:p w14:paraId="2DDF2FDF" w14:textId="77777777" w:rsidR="00E20D34" w:rsidRPr="002746C4" w:rsidRDefault="00E20D34" w:rsidP="00E20D34">
      <w:pPr>
        <w:jc w:val="both"/>
        <w:rPr>
          <w:rFonts w:ascii="Arial" w:hAnsi="Arial" w:cs="Arial"/>
          <w:bCs/>
          <w:sz w:val="24"/>
          <w:szCs w:val="24"/>
        </w:rPr>
      </w:pPr>
    </w:p>
    <w:p w14:paraId="663C535A"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 xml:space="preserve"> “Financiamiento del Terrorismo (FT)” podría definirse como el acto de proporcionar apoyo financiero a terroristas u organizaciones terroristas a fin de permitirles realizar y/o participar de cualquier modo de actos de terrorismo. Dicho concepto está basado en la definición de financiamiento del terrorismo aceptada internacionalmente por la Convención de Naciones Unidas para la Supresión del Financiamiento del Terrorismo (1999) y en las Recomendaciones del FATF/GAFI sobre dicho delito. </w:t>
      </w:r>
    </w:p>
    <w:p w14:paraId="33569FA1"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 xml:space="preserve">A diferencia del lavado de dinero, los fondos utilizados pueden contar con un origen lícito siendo su destino final el que se encuentra al margen de la ley. </w:t>
      </w:r>
    </w:p>
    <w:p w14:paraId="1D36A79A"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Conforme la Recomendación Especial II GAFI, “todos los países deben tipificar como delito el financiamiento del terrorismo, de los actos terroristas y de las organizaciones terroristas”, teniendo como base la Convención Internacional de UN de 1999”.</w:t>
      </w:r>
    </w:p>
    <w:p w14:paraId="54C876B1" w14:textId="77777777" w:rsidR="00E20D34" w:rsidRPr="002746C4" w:rsidRDefault="00E20D34" w:rsidP="00E20D34">
      <w:pPr>
        <w:spacing w:before="120"/>
        <w:jc w:val="both"/>
        <w:rPr>
          <w:rFonts w:ascii="Arial" w:hAnsi="Arial" w:cs="Arial"/>
          <w:bCs/>
          <w:sz w:val="24"/>
          <w:szCs w:val="24"/>
        </w:rPr>
      </w:pPr>
      <w:proofErr w:type="gramStart"/>
      <w:r w:rsidRPr="002746C4">
        <w:rPr>
          <w:rFonts w:ascii="Arial" w:hAnsi="Arial" w:cs="Arial"/>
          <w:bCs/>
          <w:sz w:val="24"/>
          <w:szCs w:val="24"/>
        </w:rPr>
        <w:t>De acuerdo a</w:t>
      </w:r>
      <w:proofErr w:type="gramEnd"/>
      <w:r w:rsidRPr="002746C4">
        <w:rPr>
          <w:rFonts w:ascii="Arial" w:hAnsi="Arial" w:cs="Arial"/>
          <w:bCs/>
          <w:sz w:val="24"/>
          <w:szCs w:val="24"/>
        </w:rPr>
        <w:t xml:space="preserve"> la Nota Interpretativa, “el delito de FT debería extenderse a cualquier persona que deliberadamente provea o recolecte fondos (activos de toda clase) por cualquier medio, directa o indirectamente, con la intención de que dichos fondos sean utilizados, en todo o en parte para: I) realizar un acto terrorista, II) por una organización terrorista, III) por un terrorista individual”.</w:t>
      </w:r>
    </w:p>
    <w:p w14:paraId="297E4389"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 xml:space="preserve">La Convención de 1999 establece el concepto de financiamiento del acto terrorista, sosteniendo que </w:t>
      </w:r>
      <w:proofErr w:type="gramStart"/>
      <w:r w:rsidRPr="002746C4">
        <w:rPr>
          <w:rFonts w:ascii="Arial" w:hAnsi="Arial" w:cs="Arial"/>
          <w:bCs/>
          <w:sz w:val="24"/>
          <w:szCs w:val="24"/>
        </w:rPr>
        <w:t>“ Comete</w:t>
      </w:r>
      <w:proofErr w:type="gramEnd"/>
      <w:r w:rsidRPr="002746C4">
        <w:rPr>
          <w:rFonts w:ascii="Arial" w:hAnsi="Arial" w:cs="Arial"/>
          <w:bCs/>
          <w:sz w:val="24"/>
          <w:szCs w:val="24"/>
        </w:rPr>
        <w:t xml:space="preserve"> delito en el sentido del presente Convenio quien por el medio que fuere, directa o indirectamente, ilícita y deliberadamente, provea o recolecte fondos con la intención de que se utilicen, o que tengan conocimiento de que serán utilizados, en todo o en parte, para cometer:</w:t>
      </w:r>
    </w:p>
    <w:p w14:paraId="6BF1B370"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a)</w:t>
      </w:r>
      <w:r w:rsidRPr="002746C4">
        <w:rPr>
          <w:rFonts w:ascii="Arial" w:hAnsi="Arial" w:cs="Arial"/>
          <w:bCs/>
          <w:sz w:val="24"/>
          <w:szCs w:val="24"/>
        </w:rPr>
        <w:tab/>
        <w:t>Un acto que constituya un delito comprendido en el ámbito de uno de los tratados enumerados en el Anexo “A”</w:t>
      </w:r>
      <w:r w:rsidRPr="002746C4">
        <w:rPr>
          <w:rFonts w:ascii="Arial" w:hAnsi="Arial" w:cs="Arial"/>
          <w:bCs/>
          <w:sz w:val="24"/>
          <w:szCs w:val="24"/>
          <w:vertAlign w:val="superscript"/>
        </w:rPr>
        <w:footnoteReference w:id="3"/>
      </w:r>
      <w:r w:rsidRPr="002746C4">
        <w:rPr>
          <w:rFonts w:ascii="Arial" w:hAnsi="Arial" w:cs="Arial"/>
          <w:bCs/>
          <w:sz w:val="24"/>
          <w:szCs w:val="24"/>
        </w:rPr>
        <w:t xml:space="preserve"> y tal como esté definido en ese tratado; </w:t>
      </w:r>
    </w:p>
    <w:p w14:paraId="327DB345"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b)</w:t>
      </w:r>
      <w:r w:rsidRPr="002746C4">
        <w:rPr>
          <w:rFonts w:ascii="Arial" w:hAnsi="Arial" w:cs="Arial"/>
          <w:bCs/>
          <w:sz w:val="24"/>
          <w:szCs w:val="24"/>
        </w:rPr>
        <w:tab/>
        <w:t>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w:t>
      </w:r>
    </w:p>
    <w:p w14:paraId="1B5320FB" w14:textId="77777777" w:rsidR="00E20D34" w:rsidRPr="002746C4" w:rsidRDefault="00E20D34" w:rsidP="00E20D34">
      <w:pPr>
        <w:spacing w:before="120"/>
        <w:jc w:val="both"/>
        <w:rPr>
          <w:rFonts w:ascii="Arial" w:hAnsi="Arial" w:cs="Arial"/>
          <w:bCs/>
          <w:sz w:val="24"/>
          <w:szCs w:val="24"/>
        </w:rPr>
      </w:pPr>
      <w:r w:rsidRPr="002746C4">
        <w:rPr>
          <w:rFonts w:ascii="Arial" w:hAnsi="Arial" w:cs="Arial"/>
          <w:bCs/>
          <w:sz w:val="24"/>
          <w:szCs w:val="24"/>
        </w:rPr>
        <w:t xml:space="preserve">La República Argentina, comprometida en la defensa de la paz, la seguridad y el desarrollo sustentable de las naciones, ha asumido una serie de obligaciones </w:t>
      </w:r>
      <w:r w:rsidRPr="002746C4">
        <w:rPr>
          <w:rFonts w:ascii="Arial" w:hAnsi="Arial" w:cs="Arial"/>
          <w:bCs/>
          <w:sz w:val="24"/>
          <w:szCs w:val="24"/>
        </w:rPr>
        <w:lastRenderedPageBreak/>
        <w:t>internacionales destinadas a fortalecer la lucha contra el terrorismo internacional y, en particular, contra las diversas formas de su financiación.</w:t>
      </w:r>
    </w:p>
    <w:p w14:paraId="5F24F886" w14:textId="77777777" w:rsidR="00E20D34" w:rsidRPr="002746C4" w:rsidRDefault="00E20D34" w:rsidP="00E20D34">
      <w:pPr>
        <w:jc w:val="both"/>
        <w:rPr>
          <w:rFonts w:ascii="Arial" w:hAnsi="Arial" w:cs="Arial"/>
          <w:bCs/>
          <w:sz w:val="24"/>
          <w:szCs w:val="24"/>
        </w:rPr>
      </w:pPr>
    </w:p>
    <w:p w14:paraId="285F277D"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Ha aprobado la Resolución 1373 adoptada por el Consejo de Seguridad de la Organización de las Naciones Unidas el 28 de septiembre de 2001, mediante el Decreto 1235 del 5 de octubre de 2001.</w:t>
      </w:r>
    </w:p>
    <w:p w14:paraId="657AB515" w14:textId="77777777" w:rsidR="00E20D34" w:rsidRPr="002746C4" w:rsidRDefault="00E20D34" w:rsidP="00E20D34">
      <w:pPr>
        <w:jc w:val="both"/>
        <w:rPr>
          <w:rFonts w:ascii="Arial" w:hAnsi="Arial" w:cs="Arial"/>
          <w:bCs/>
          <w:sz w:val="24"/>
          <w:szCs w:val="24"/>
        </w:rPr>
      </w:pPr>
    </w:p>
    <w:p w14:paraId="2F81DC31"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La Ley 26.024 aprobó el Convenio Internacional para la Represión de la Financiación del Terrorismo, adoptado el 9.12.1999 por la Asamblea General de las Naciones Unidas, adhiriendo a “los propósitos y principios de la Carta de la UN relativos al mantenimiento de la paz y la seguridad internacionales y al fomento de las relaciones de amistad y buena vecindad y la cooperación entre los Estados profundamente preocupados por el hecho de que se intensifican en todo el mundo los atentados terroristas en todas sus formas y manifestaciones”. </w:t>
      </w:r>
    </w:p>
    <w:p w14:paraId="23E91D6B" w14:textId="77777777" w:rsidR="00E20D34" w:rsidRPr="002746C4" w:rsidRDefault="00E20D34" w:rsidP="00E20D34">
      <w:pPr>
        <w:jc w:val="both"/>
        <w:rPr>
          <w:rFonts w:ascii="Arial" w:hAnsi="Arial" w:cs="Arial"/>
          <w:bCs/>
          <w:sz w:val="24"/>
          <w:szCs w:val="24"/>
        </w:rPr>
      </w:pPr>
    </w:p>
    <w:p w14:paraId="411A4EA3"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El 4 de julio de 2007 fue promulgada la Ley 26.268 la cual introduce modificaciones en el Código Penal a los fines de incorporar normas destinadas a la “penalización de asociaciones ilícitas terroristas y su financiación”. </w:t>
      </w:r>
    </w:p>
    <w:p w14:paraId="2947A8F8" w14:textId="77777777" w:rsidR="00E20D34" w:rsidRPr="002746C4" w:rsidRDefault="00E20D34" w:rsidP="00E20D34">
      <w:pPr>
        <w:jc w:val="both"/>
        <w:rPr>
          <w:rFonts w:ascii="Arial" w:hAnsi="Arial" w:cs="Arial"/>
          <w:bCs/>
          <w:sz w:val="24"/>
          <w:szCs w:val="24"/>
        </w:rPr>
      </w:pPr>
    </w:p>
    <w:p w14:paraId="3D29FF32"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Finalmente, la Ley 26.734 sancionada el 22 de diciembre de 2011 y promulgada el 27 de diciembre de 2011, introduce importantes modificaciones en el Código Penal en la materia, modificando la estructura de la normativa </w:t>
      </w:r>
      <w:proofErr w:type="gramStart"/>
      <w:r w:rsidRPr="002746C4">
        <w:rPr>
          <w:rFonts w:ascii="Arial" w:hAnsi="Arial" w:cs="Arial"/>
          <w:bCs/>
          <w:sz w:val="24"/>
          <w:szCs w:val="24"/>
        </w:rPr>
        <w:t>anti financiamiento</w:t>
      </w:r>
      <w:proofErr w:type="gramEnd"/>
      <w:r w:rsidRPr="002746C4">
        <w:rPr>
          <w:rFonts w:ascii="Arial" w:hAnsi="Arial" w:cs="Arial"/>
          <w:bCs/>
          <w:sz w:val="24"/>
          <w:szCs w:val="24"/>
        </w:rPr>
        <w:t xml:space="preserve"> al terrorismo.</w:t>
      </w:r>
    </w:p>
    <w:p w14:paraId="0F2FF77C" w14:textId="77777777" w:rsidR="00E20D34" w:rsidRPr="002746C4" w:rsidRDefault="00E20D34" w:rsidP="00E20D34">
      <w:pPr>
        <w:jc w:val="both"/>
        <w:rPr>
          <w:rFonts w:ascii="Arial" w:hAnsi="Arial" w:cs="Arial"/>
          <w:bCs/>
          <w:sz w:val="24"/>
          <w:szCs w:val="24"/>
        </w:rPr>
      </w:pPr>
    </w:p>
    <w:p w14:paraId="3E360D1D"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En apartado que se expone a continuación, se describe con mayor detalle, el marco normativo en la República Argentina en la materia, respecto a estos sujetos.</w:t>
      </w:r>
    </w:p>
    <w:p w14:paraId="3AA1ECCC" w14:textId="77777777" w:rsidR="00E20D34" w:rsidRPr="002746C4" w:rsidRDefault="00E20D34" w:rsidP="00E20D34">
      <w:pPr>
        <w:jc w:val="both"/>
        <w:rPr>
          <w:rFonts w:ascii="Arial" w:hAnsi="Arial" w:cs="Arial"/>
          <w:bCs/>
          <w:sz w:val="24"/>
          <w:szCs w:val="24"/>
        </w:rPr>
      </w:pPr>
    </w:p>
    <w:p w14:paraId="71063116"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Marco Normativo en la República Argentina.</w:t>
      </w:r>
    </w:p>
    <w:p w14:paraId="1596172D" w14:textId="77777777" w:rsidR="00E20D34" w:rsidRPr="002746C4" w:rsidRDefault="00E20D34" w:rsidP="00E20D34">
      <w:pPr>
        <w:jc w:val="both"/>
        <w:rPr>
          <w:rFonts w:ascii="Arial" w:hAnsi="Arial" w:cs="Arial"/>
          <w:bCs/>
          <w:sz w:val="24"/>
          <w:szCs w:val="24"/>
        </w:rPr>
      </w:pPr>
    </w:p>
    <w:p w14:paraId="3A03C854"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A continuación, se incluye una breve descripción de los principales antecedentes normativos que componen el régimen de lavado de dinero y financiamiento del terrorismo, así como de determinadas disposiciones vinculadas a las mismas que los complementan, modifican y/o reglamentan la LAFT (que como tal se define en el párrafo que se menciona a continuación) y demás normas incorporadas al Código Penal vinculadas a las mismas. Se recomienda a los inversores consultar con sus propios asesores legales y dar una lectura completa a las leyes mencionadas y sus decretos reglamentarios. A tal efecto los interesados podrán consultar los textos actualizados en el sitio web de la Unidad de Información Financiera, el Banco Central de la República Argentina o la Comisión Nacional de Valores, www.argentina.fob.ar/uif/ www.infoleg.gov.ar/ </w:t>
      </w:r>
      <w:hyperlink r:id="rId21" w:history="1">
        <w:r w:rsidRPr="002746C4">
          <w:rPr>
            <w:rFonts w:ascii="Arial" w:hAnsi="Arial" w:cs="Arial"/>
            <w:bCs/>
            <w:sz w:val="24"/>
            <w:szCs w:val="24"/>
          </w:rPr>
          <w:t>www.bcra.gob.ar/</w:t>
        </w:r>
      </w:hyperlink>
      <w:r w:rsidRPr="002746C4">
        <w:rPr>
          <w:rFonts w:ascii="Arial" w:hAnsi="Arial" w:cs="Arial"/>
          <w:bCs/>
          <w:sz w:val="24"/>
          <w:szCs w:val="24"/>
        </w:rPr>
        <w:t xml:space="preserve"> www.cnv.gob.ar/ </w:t>
      </w:r>
    </w:p>
    <w:p w14:paraId="3E291416" w14:textId="77777777" w:rsidR="00E20D34" w:rsidRPr="002746C4" w:rsidRDefault="00E20D34" w:rsidP="00E20D34">
      <w:pPr>
        <w:jc w:val="both"/>
        <w:rPr>
          <w:rFonts w:ascii="Arial" w:hAnsi="Arial" w:cs="Arial"/>
          <w:bCs/>
          <w:sz w:val="24"/>
          <w:szCs w:val="24"/>
        </w:rPr>
      </w:pPr>
    </w:p>
    <w:p w14:paraId="48F4541A"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La ley 25.246, ha sido publicada en el Boletín Oficial de la Nación Argentina el día 11 de </w:t>
      </w:r>
      <w:proofErr w:type="gramStart"/>
      <w:r w:rsidRPr="002746C4">
        <w:rPr>
          <w:rFonts w:ascii="Arial" w:hAnsi="Arial" w:cs="Arial"/>
          <w:bCs/>
          <w:sz w:val="24"/>
          <w:szCs w:val="24"/>
        </w:rPr>
        <w:t>Mayo</w:t>
      </w:r>
      <w:proofErr w:type="gramEnd"/>
      <w:r w:rsidRPr="002746C4">
        <w:rPr>
          <w:rFonts w:ascii="Arial" w:hAnsi="Arial" w:cs="Arial"/>
          <w:bCs/>
          <w:sz w:val="24"/>
          <w:szCs w:val="24"/>
        </w:rPr>
        <w:t xml:space="preserve"> del año 2000, habiendo sufrido desde dicha fecha hasta la actualidad gran cantidad de modificaciones que fueron establecidas por las leyes </w:t>
      </w:r>
      <w:proofErr w:type="spellStart"/>
      <w:r w:rsidRPr="002746C4">
        <w:rPr>
          <w:rFonts w:ascii="Arial" w:hAnsi="Arial" w:cs="Arial"/>
          <w:bCs/>
          <w:sz w:val="24"/>
          <w:szCs w:val="24"/>
        </w:rPr>
        <w:t>nros</w:t>
      </w:r>
      <w:proofErr w:type="spellEnd"/>
      <w:r w:rsidRPr="002746C4">
        <w:rPr>
          <w:rFonts w:ascii="Arial" w:hAnsi="Arial" w:cs="Arial"/>
          <w:bCs/>
          <w:sz w:val="24"/>
          <w:szCs w:val="24"/>
        </w:rPr>
        <w:t>. 26.087 (Boletín Oficial del 24/04/2006), 26.119 (B.O del 27/7/2006), 26.268 (B.O. del 5/7/2007), 26.683 (B.O. del 21/6/2011), 27.260 (B.O. del 22/7/2016), 27.304 (B.O. del 2/11/2016) y 27.440 (B.O. del 11/5/2018).</w:t>
      </w:r>
    </w:p>
    <w:p w14:paraId="604B478E"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lastRenderedPageBreak/>
        <w:t xml:space="preserve">También incidieron en la Ley 25.246 los Decretos del Poder Ejecutivo Nacional </w:t>
      </w:r>
      <w:proofErr w:type="spellStart"/>
      <w:r w:rsidRPr="002746C4">
        <w:rPr>
          <w:rFonts w:ascii="Arial" w:hAnsi="Arial" w:cs="Arial"/>
          <w:bCs/>
          <w:sz w:val="24"/>
          <w:szCs w:val="24"/>
        </w:rPr>
        <w:t>nros</w:t>
      </w:r>
      <w:proofErr w:type="spellEnd"/>
      <w:r w:rsidRPr="002746C4">
        <w:rPr>
          <w:rFonts w:ascii="Arial" w:hAnsi="Arial" w:cs="Arial"/>
          <w:bCs/>
          <w:sz w:val="24"/>
          <w:szCs w:val="24"/>
        </w:rPr>
        <w:t xml:space="preserve">. 370/2000, 1500/2001, 290/ 2007, 1036/2010, 2/2017 y 27/2018. </w:t>
      </w:r>
    </w:p>
    <w:p w14:paraId="4304F1D2" w14:textId="77777777" w:rsidR="00E20D34" w:rsidRPr="002746C4" w:rsidRDefault="00E20D34" w:rsidP="00E20D34">
      <w:pPr>
        <w:jc w:val="both"/>
        <w:rPr>
          <w:rFonts w:ascii="Arial" w:hAnsi="Arial" w:cs="Arial"/>
          <w:bCs/>
          <w:sz w:val="24"/>
          <w:szCs w:val="24"/>
        </w:rPr>
      </w:pPr>
    </w:p>
    <w:p w14:paraId="2FBDD9F6"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Como así también decretos: Decreto 1025/2016, Decreto 360/2016, Decreto 233/2016, Decreto 146/2016, Decreto 469/2013, Decreto 918/2012, Decreto 826/2011, Decreto 826/2011, Decreto 1936/2010, Decreto 2226/2008 y Decreto 1225/2007.   </w:t>
      </w:r>
    </w:p>
    <w:p w14:paraId="215F6F96" w14:textId="77777777" w:rsidR="00E20D34" w:rsidRPr="002746C4" w:rsidRDefault="00E20D34" w:rsidP="00E20D34">
      <w:pPr>
        <w:jc w:val="both"/>
        <w:rPr>
          <w:rFonts w:ascii="Arial" w:hAnsi="Arial" w:cs="Arial"/>
          <w:bCs/>
          <w:sz w:val="24"/>
          <w:szCs w:val="24"/>
        </w:rPr>
      </w:pPr>
    </w:p>
    <w:p w14:paraId="65489054"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 xml:space="preserve">Conforme a las mencionadas modificaciones introducidas en el Código Penal de la Nación a través de las leyes citadas en los párrafos precedentes, los delitos de lavado de activos, Terrorismo y Financiación del </w:t>
      </w:r>
      <w:proofErr w:type="gramStart"/>
      <w:r w:rsidRPr="002746C4">
        <w:rPr>
          <w:rFonts w:ascii="Arial" w:hAnsi="Arial" w:cs="Arial"/>
          <w:bCs/>
          <w:sz w:val="24"/>
          <w:szCs w:val="24"/>
        </w:rPr>
        <w:t>Terrorismo,</w:t>
      </w:r>
      <w:proofErr w:type="gramEnd"/>
      <w:r w:rsidRPr="002746C4">
        <w:rPr>
          <w:rFonts w:ascii="Arial" w:hAnsi="Arial" w:cs="Arial"/>
          <w:bCs/>
          <w:sz w:val="24"/>
          <w:szCs w:val="24"/>
        </w:rPr>
        <w:t xml:space="preserve"> han quedado tipificados en la actualidad en los artículos 303 a 304 y 306 y 41 quinquies. </w:t>
      </w:r>
    </w:p>
    <w:p w14:paraId="2BD5C141" w14:textId="77777777" w:rsidR="00E20D34" w:rsidRPr="002746C4" w:rsidRDefault="00E20D34" w:rsidP="00E20D34">
      <w:pPr>
        <w:jc w:val="both"/>
        <w:rPr>
          <w:rFonts w:ascii="Arial" w:hAnsi="Arial" w:cs="Arial"/>
          <w:bCs/>
          <w:sz w:val="24"/>
          <w:szCs w:val="24"/>
        </w:rPr>
      </w:pPr>
    </w:p>
    <w:p w14:paraId="4263B32E" w14:textId="77777777" w:rsidR="00E20D34" w:rsidRPr="002746C4" w:rsidRDefault="00E20D34" w:rsidP="00E20D34">
      <w:pPr>
        <w:jc w:val="both"/>
        <w:rPr>
          <w:rFonts w:ascii="Arial" w:hAnsi="Arial" w:cs="Arial"/>
          <w:bCs/>
          <w:sz w:val="24"/>
          <w:szCs w:val="24"/>
        </w:rPr>
      </w:pPr>
      <w:r w:rsidRPr="002746C4">
        <w:rPr>
          <w:rFonts w:ascii="Arial" w:hAnsi="Arial" w:cs="Arial"/>
          <w:bCs/>
          <w:sz w:val="24"/>
          <w:szCs w:val="24"/>
        </w:rPr>
        <w:t>Se realiza una breve reseña de las normas penales más relevantes:</w:t>
      </w:r>
    </w:p>
    <w:p w14:paraId="05DDBA04" w14:textId="77777777" w:rsidR="00E20D34" w:rsidRPr="002746C4" w:rsidRDefault="00E20D34" w:rsidP="00E20D34">
      <w:pPr>
        <w:jc w:val="both"/>
        <w:rPr>
          <w:rFonts w:ascii="Arial" w:hAnsi="Arial" w:cs="Arial"/>
          <w:bCs/>
          <w:sz w:val="24"/>
          <w:szCs w:val="24"/>
        </w:rPr>
      </w:pPr>
    </w:p>
    <w:p w14:paraId="2635D7D0" w14:textId="77777777" w:rsidR="00E20D34" w:rsidRPr="002746C4"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2746C4">
        <w:rPr>
          <w:rFonts w:ascii="Arial" w:hAnsi="Arial" w:cs="Arial"/>
          <w:bCs/>
          <w:sz w:val="24"/>
          <w:szCs w:val="24"/>
          <w:lang w:val="es-ES" w:eastAsia="es-AR"/>
        </w:rPr>
        <w:t xml:space="preserve">Será reprimido con prisión de tres (3) a diez (10) años y multa de dos (2) a diez (10) veces del monto de la operación, el que convirtiere, transfiriere, administrare, vendiere, gravare, disimulare o de cualquier otro modo pusiere en circulación en el mercado, bienes provenientes de un ilícito penal, con la consecuencia posible de que el origen de los bienes originarios o los subrogantes adquieran la apariencia de un origen lícito, y siempre que su valor supere la suma de pesos trescientos mil ($ 300.000), sea en un solo acto o por la reiteración de hechos diversos vinculados entre sí. (art. 303 </w:t>
      </w:r>
      <w:proofErr w:type="spellStart"/>
      <w:r w:rsidRPr="002746C4">
        <w:rPr>
          <w:rFonts w:ascii="Arial" w:hAnsi="Arial" w:cs="Arial"/>
          <w:bCs/>
          <w:sz w:val="24"/>
          <w:szCs w:val="24"/>
          <w:lang w:val="es-ES" w:eastAsia="es-AR"/>
        </w:rPr>
        <w:t>inc</w:t>
      </w:r>
      <w:proofErr w:type="spellEnd"/>
      <w:r w:rsidRPr="002746C4">
        <w:rPr>
          <w:rFonts w:ascii="Arial" w:hAnsi="Arial" w:cs="Arial"/>
          <w:bCs/>
          <w:sz w:val="24"/>
          <w:szCs w:val="24"/>
          <w:lang w:val="es-ES" w:eastAsia="es-AR"/>
        </w:rPr>
        <w:t xml:space="preserve"> 1). La pena prevista en el inciso 1 será aumentada en un tercio del máximo y en la mitad del mínimo, en los siguientes </w:t>
      </w:r>
      <w:proofErr w:type="gramStart"/>
      <w:r w:rsidRPr="002746C4">
        <w:rPr>
          <w:rFonts w:ascii="Arial" w:hAnsi="Arial" w:cs="Arial"/>
          <w:bCs/>
          <w:sz w:val="24"/>
          <w:szCs w:val="24"/>
          <w:lang w:val="es-ES" w:eastAsia="es-AR"/>
        </w:rPr>
        <w:t>casos  a</w:t>
      </w:r>
      <w:proofErr w:type="gramEnd"/>
      <w:r w:rsidRPr="002746C4">
        <w:rPr>
          <w:rFonts w:ascii="Arial" w:hAnsi="Arial" w:cs="Arial"/>
          <w:bCs/>
          <w:sz w:val="24"/>
          <w:szCs w:val="24"/>
          <w:lang w:val="es-ES" w:eastAsia="es-AR"/>
        </w:rPr>
        <w:t xml:space="preserve">) Cuando el autor realizare el hecho con habitualidad o como miembro de una asociación o banda formada para la comisión continuada de hechos de esta naturaleza; b) Cuando el autor fuera funcionario público que hubiera cometido el hecho en ejercicio u ocasión de sus funciones. En este caso, sufrirá además pena de inhabilitación especial de tres (3) a diez (10) años. La misma pena sufrirá el que hubiere actuado en ejercicio de una profesión u oficio que requirieran habilitación especial. (art. 303 inc. 2). El que recibiere dinero u otros bienes provenientes de un ilícito penal, con el fin de hacerlos aplicar en una operación de las previstas en el inciso 1, que les dé la apariencia posible de un origen lícito, será reprimido con la pena de prisión de seis (6) meses a tres (3) años. (art. 303 </w:t>
      </w:r>
      <w:proofErr w:type="spellStart"/>
      <w:r w:rsidRPr="002746C4">
        <w:rPr>
          <w:rFonts w:ascii="Arial" w:hAnsi="Arial" w:cs="Arial"/>
          <w:bCs/>
          <w:sz w:val="24"/>
          <w:szCs w:val="24"/>
          <w:lang w:val="es-ES" w:eastAsia="es-AR"/>
        </w:rPr>
        <w:t>inc</w:t>
      </w:r>
      <w:proofErr w:type="spellEnd"/>
      <w:r w:rsidRPr="002746C4">
        <w:rPr>
          <w:rFonts w:ascii="Arial" w:hAnsi="Arial" w:cs="Arial"/>
          <w:bCs/>
          <w:sz w:val="24"/>
          <w:szCs w:val="24"/>
          <w:lang w:val="es-ES" w:eastAsia="es-AR"/>
        </w:rPr>
        <w:t xml:space="preserve"> 3). Si el valor de los bienes no superare la suma indicada en el inciso 1, el autor será reprimido con la pena de prisión de seis (6) meses a tres (3) años. (art. 303 inc. 4). Las disposiciones de este artículo regirán aun cuando el ilícito penal precedente hubiera sido cometido fuera del ámbito de aplicación espacial de este Código, en tanto el hecho que lo tipificara también hubiera estado sancionado con pena en el lugar de su comisión. (Art. 303 </w:t>
      </w:r>
      <w:proofErr w:type="spellStart"/>
      <w:r w:rsidRPr="002746C4">
        <w:rPr>
          <w:rFonts w:ascii="Arial" w:hAnsi="Arial" w:cs="Arial"/>
          <w:bCs/>
          <w:sz w:val="24"/>
          <w:szCs w:val="24"/>
          <w:lang w:val="es-ES" w:eastAsia="es-AR"/>
        </w:rPr>
        <w:t>inc</w:t>
      </w:r>
      <w:proofErr w:type="spellEnd"/>
      <w:r w:rsidRPr="002746C4">
        <w:rPr>
          <w:rFonts w:ascii="Arial" w:hAnsi="Arial" w:cs="Arial"/>
          <w:bCs/>
          <w:sz w:val="24"/>
          <w:szCs w:val="24"/>
          <w:lang w:val="es-ES" w:eastAsia="es-AR"/>
        </w:rPr>
        <w:t xml:space="preserve"> 5). </w:t>
      </w:r>
    </w:p>
    <w:p w14:paraId="7AA50E6A" w14:textId="77777777"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2746C4">
        <w:rPr>
          <w:rFonts w:ascii="Arial" w:hAnsi="Arial" w:cs="Arial"/>
          <w:bCs/>
          <w:sz w:val="24"/>
          <w:szCs w:val="24"/>
          <w:lang w:val="es-ES" w:eastAsia="es-AR"/>
        </w:rPr>
        <w:t>Cuando los hechos delictivos previstos en el artículo 303 hubieren sido realizados en nombre, o con la intervención, o en beneficio de una persona de existencia ideal, se impondrán a la entidad las siguientes sanciones conjunta o alternativamente: 1. Multa de dos (2) a diez (10) veces el valor de los bienes objeto del delito.2. Suspensión total o parcial de actividades, que en ningún caso podrá</w:t>
      </w:r>
      <w:r w:rsidRPr="006306C6">
        <w:rPr>
          <w:rFonts w:ascii="Arial" w:hAnsi="Arial" w:cs="Arial"/>
          <w:bCs/>
          <w:sz w:val="24"/>
          <w:szCs w:val="24"/>
          <w:lang w:val="es-ES" w:eastAsia="es-AR"/>
        </w:rPr>
        <w:t xml:space="preserve"> exceder de diez (10) años. 3. Suspensión para participar en concursos o licitaciones estatales de obras o servicios públicos o en cualquier otra actividad </w:t>
      </w:r>
      <w:r w:rsidRPr="006306C6">
        <w:rPr>
          <w:rFonts w:ascii="Arial" w:hAnsi="Arial" w:cs="Arial"/>
          <w:bCs/>
          <w:sz w:val="24"/>
          <w:szCs w:val="24"/>
          <w:lang w:val="es-ES" w:eastAsia="es-AR"/>
        </w:rPr>
        <w:lastRenderedPageBreak/>
        <w:t xml:space="preserve">vinculada con el Estado, que en ningún caso podrá exceder de diez (10) años. 4. Cancelación de la personería cuando hubiese sido creada al solo efecto de la comisión del delito, o esos actos constituyan la principal actividad de la entidad. 5. Pérdida o suspensión de los beneficios estatales que tuviere. 6. Publicación de un extracto de la sentencia condenatoria a costa de la persona jurídica. Para graduar estas sanciones, los jueces tendrán en cuenta el incumplimiento de reglas y procedimientos internos, la omisión de vigilancia sobre la actividad de los autores y partícipes, la extensión del daño causado, el monto de dinero involucrado en la comisión del delito, el tamaño, la naturaleza y la capacidad económica de la persona jurídica. Cuando fuere indispensable mantener la continuidad operativa de la entidad, o de una obra, o de un servicio en particular, no serán aplicables las sanciones previstas por el inciso 2 y el inciso 4. (Art. 304) </w:t>
      </w:r>
    </w:p>
    <w:p w14:paraId="29270021" w14:textId="77777777"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Cuando alguno de los delitos previstos en el Código Penal de la Nación Argentina hubiere sido cometido con la finalidad de aterrorizar a la población u obligar a las autoridades públicas nacionales o gobiernos extranjeros o agentes de una organización internacional a realizar un acto o abstenerse de hacerlo, la escala se incrementará en el doble del mínimo y el máximo. Las agravantes previstas en este artículo no se aplicarán cuando el o los hechos de que se traten tuvieren lugar en ocasión del ejercicio de derechos humanos y/o sociales o de cualquier otro derecho constitucional. (artículo 41 - quinquies) </w:t>
      </w:r>
    </w:p>
    <w:p w14:paraId="583CC322" w14:textId="77777777"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Será reprimido con prisión de cinco (5) a quince (15) años y multa de dos (2) a diez (10) veces del monto de la operación, el que directa o indirectamente recolectare o proveyere bienes o dinero, con la intención de que se utilicen, o a sabiendas de que serán utilizados, en todo o en parte: a) Para financiar la comisión de un delito con la finalidad establecida en el artículo 41 quinquies; b) Por una organización que cometa o intente cometer delitos con la finalidad establecida en el artículo 41 quinquies; c) Por un individuo que cometa, intente cometer o participe de cualquier modo en la comisión de delitos con la finalidad establecida en el artículo 41 quinquies. Las penas establecidas se aplicarán independientemente del acaecimiento del delito al que se destinara el financiamiento y, si éste se cometiere, aún si los bienes o el dinero no fueran utilizados para su comisión. Si la escala penal prevista para el delito que se financia o pretende financiar fuera menor que la establecida en este artículo, se aplicará al caso la escala penal del delito que se trate. Las disposiciones de este artículo regirán </w:t>
      </w:r>
      <w:r w:rsidR="004B43B6" w:rsidRPr="006306C6">
        <w:rPr>
          <w:rFonts w:ascii="Arial" w:hAnsi="Arial" w:cs="Arial"/>
          <w:bCs/>
          <w:sz w:val="24"/>
          <w:szCs w:val="24"/>
          <w:lang w:val="es-ES" w:eastAsia="es-AR"/>
        </w:rPr>
        <w:t>aun</w:t>
      </w:r>
      <w:r w:rsidRPr="006306C6">
        <w:rPr>
          <w:rFonts w:ascii="Arial" w:hAnsi="Arial" w:cs="Arial"/>
          <w:bCs/>
          <w:sz w:val="24"/>
          <w:szCs w:val="24"/>
          <w:lang w:val="es-ES" w:eastAsia="es-AR"/>
        </w:rPr>
        <w:t xml:space="preserve"> cuando el ilícito penal que se pretende financiar tuviere lugar fuera del ámbito de aplicación espacial de este Código, o cuando en el caso del inciso b) y c) la organización o el individuo se encontraren fuera del territorio nacional, en tanto el hecho también hubiera estado sancionado con pena en la jurisdicción competente para su juzgamiento. (artículo 306)</w:t>
      </w:r>
    </w:p>
    <w:p w14:paraId="2E16E4B1" w14:textId="77777777" w:rsidR="00E20D34" w:rsidRPr="006306C6" w:rsidRDefault="00E20D34" w:rsidP="00E20D34">
      <w:pPr>
        <w:jc w:val="both"/>
        <w:rPr>
          <w:rFonts w:ascii="Arial" w:hAnsi="Arial" w:cs="Arial"/>
          <w:bCs/>
          <w:sz w:val="24"/>
          <w:szCs w:val="24"/>
        </w:rPr>
      </w:pPr>
    </w:p>
    <w:p w14:paraId="3F501F03"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Asimismo, con el objeto de evitar y prevenir el delito de lavado de dinero y tomando en cuenta la legislación internacional emanada siguiendo los paradigmas delineado por el Grupo de Acción Financiera Internacional (GAFI), entendía que el control de las operaciones de lavado de activos y financiamiento del terrorismo, no podía atribuírsele solamente a los órganos del Estado, la LAFT estableció una importante función en el control de las operaciones de lavado de activos y financiamiento del terrorismo, a </w:t>
      </w:r>
      <w:r w:rsidRPr="006306C6">
        <w:rPr>
          <w:rFonts w:ascii="Arial" w:hAnsi="Arial" w:cs="Arial"/>
          <w:bCs/>
          <w:sz w:val="24"/>
          <w:szCs w:val="24"/>
        </w:rPr>
        <w:lastRenderedPageBreak/>
        <w:t>determinados sujetos que por su profesión, industria o actividad el legislador consideró que ocupan una posición clave en la detección de “operaciones sospechosas”, imponiendo la obligación de informar las mismas a la UIF, entre otras imposiciones. Dichos sujetos se encuentran enumerados de manera taxativa en el artículo 20 de la LAFT (en adelante los Sujetos Obligados). La nómina  comprende, entre otros, a las entidades financieras sujetas al régimen de la ley 21.526 y modificatorias, a las entidades sujetas al régimen de la ley 18.924 y modificatorias y a las personas humanas o jurídicas autorizadas por el Banco Central de la República Argentina para operar en la compraventa de divisas bajo forma de dinero o de cheques extendidos en divisas o mediante el uso de tarjetas de crédito o pago, o en la transmisión de fondos dentro y fuera del territorio nacional,  a las personas físicas y jurídicas autorizadas por la Comisión Nacional de Valores como intermediarios en mercados autorizados por la citada comisión y a aquellos que actúen en la colocación de Fondos Comunes de Inversión o de otros productos de inversión colectiva autorizados por dicho organismo,  a las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ámbito del mercado de capitales,  a los organismos de la Administración Pública y entidades descentralizadas y/o autárquicas que ejercen funciones regulatorias, de control, supervisión y/o superintendencia sobre actividades económicas y/o negocios jurídicos y/o sobre sujetos de derecho, individuales o colectivos: el Banco Central de la República Argentina, la Administración Federal de Ingresos Públicos, la Superintendencia de Seguros de la Nación, la Comisión Nacional de Valores, la Inspección General de Justicia, el Instituto Nacional de Asociativismo y Economía Social y el Tribunal Nacional de Defensa de la Competencia; entre otros.</w:t>
      </w:r>
    </w:p>
    <w:p w14:paraId="7FC27F37" w14:textId="77777777" w:rsidR="00E20D34" w:rsidRPr="006306C6" w:rsidRDefault="00E20D34" w:rsidP="00E20D34">
      <w:pPr>
        <w:jc w:val="both"/>
        <w:rPr>
          <w:rFonts w:ascii="Arial" w:hAnsi="Arial" w:cs="Arial"/>
          <w:bCs/>
          <w:sz w:val="24"/>
          <w:szCs w:val="24"/>
        </w:rPr>
      </w:pPr>
    </w:p>
    <w:p w14:paraId="63976BF8"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Las obligaciones de los citados sujetos obligados, se encuentran enumeradas en los artículos 20 bis, 21 y 21 bis, y 22 de la LAFT, y se componen en líneas generales, de: (i) la obligación de identificar y conocer a sus clientes, así como el propósito y la naturaleza del vínculo comercial que se entabla, (ii) determinar su riesgo y de su operatoria, implementando medidas de mitigación de los peligros detectados aplicando un enfoque basado en riesgos, (iii) informar cualquier hecho u operación sospechosa, absteniéndose de revelar al cliente o terceros las actuaciones que se estén realizando en cumplimiento de la Ley, (iv) establecer normas y manuales de procedimiento al efecto, (v) conservar la documentación, por lo menos, que sirva como elemento de prueba en toda investigación en materia de Lavado de Activos y Financiamiento del Terrorismo, manteniéndola a disposición de las autoridades competentes de manera que permita reconstruir la operatoria, por el plazo establecido en la reglamentación pertinente, (vi) registrarse ante la UIF, y (vii) designar un oficial de cumplimiento en el supuesto de que el sujeto obligado se trate de una persona jurídica regularmente constituida, entre otras.</w:t>
      </w:r>
    </w:p>
    <w:p w14:paraId="43160733" w14:textId="77777777" w:rsidR="00E20D34" w:rsidRPr="006306C6" w:rsidRDefault="00E20D34" w:rsidP="00E20D34">
      <w:pPr>
        <w:jc w:val="both"/>
        <w:rPr>
          <w:rFonts w:ascii="Arial" w:hAnsi="Arial" w:cs="Arial"/>
          <w:bCs/>
          <w:sz w:val="24"/>
          <w:szCs w:val="24"/>
        </w:rPr>
      </w:pPr>
    </w:p>
    <w:p w14:paraId="3F1EFDE7"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El artículo 21 b. de la LAFT define a las operaciones sospechosas a aquellas transacciones que de acuerdo con los usos y costumbres de la actividad que se trate, como así también de la experiencia e idoneidad de las personas obligadas a informar, </w:t>
      </w:r>
      <w:r w:rsidRPr="006306C6">
        <w:rPr>
          <w:rFonts w:ascii="Arial" w:hAnsi="Arial" w:cs="Arial"/>
          <w:bCs/>
          <w:sz w:val="24"/>
          <w:szCs w:val="24"/>
        </w:rPr>
        <w:lastRenderedPageBreak/>
        <w:t>resulten inusuales, sin justificación económica o jurídica o de complejidad inusitada o injustificada, sean realizadas en forma aislada o reiterada.</w:t>
      </w:r>
    </w:p>
    <w:p w14:paraId="22FF609C" w14:textId="77777777" w:rsidR="00E20D34" w:rsidRPr="006306C6" w:rsidRDefault="00E20D34" w:rsidP="00E20D34">
      <w:pPr>
        <w:jc w:val="both"/>
        <w:rPr>
          <w:rFonts w:ascii="Arial" w:hAnsi="Arial" w:cs="Arial"/>
          <w:bCs/>
          <w:sz w:val="24"/>
          <w:szCs w:val="24"/>
        </w:rPr>
      </w:pPr>
    </w:p>
    <w:p w14:paraId="3A2A0468"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el </w:t>
      </w:r>
      <w:r w:rsidR="00C62062">
        <w:rPr>
          <w:rFonts w:ascii="Arial" w:hAnsi="Arial" w:cs="Arial"/>
          <w:bCs/>
          <w:sz w:val="24"/>
          <w:szCs w:val="24"/>
        </w:rPr>
        <w:t>a</w:t>
      </w:r>
      <w:r w:rsidRPr="006306C6">
        <w:rPr>
          <w:rFonts w:ascii="Arial" w:hAnsi="Arial" w:cs="Arial"/>
          <w:bCs/>
          <w:sz w:val="24"/>
          <w:szCs w:val="24"/>
        </w:rPr>
        <w:t>rtículo 21 bis inciso d) de la LAFT el plazo máximo de reporte de una operación sospechosa por Lavado de Activos, ante la UIF, es de QUINCE (15) días corridos, contados a partir de la fecha en que el sujeto obligado concluya que la operación reviste tal carácter. Dicha fecha no podrá superar los CIENTO CINCUENTA (150) días corridos contados desde la fecha de la Operación Sospechosa realizada o tentada.</w:t>
      </w:r>
    </w:p>
    <w:p w14:paraId="78F7EB69"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el inciso e) el plazo máximo para reportar “hechos” u “operaciones sospechosas” de Financiación de Terrorismo, es de cuarenta y ocho horas (48 </w:t>
      </w:r>
      <w:proofErr w:type="spellStart"/>
      <w:r w:rsidRPr="006306C6">
        <w:rPr>
          <w:rFonts w:ascii="Arial" w:hAnsi="Arial" w:cs="Arial"/>
          <w:bCs/>
          <w:sz w:val="24"/>
          <w:szCs w:val="24"/>
        </w:rPr>
        <w:t>hs</w:t>
      </w:r>
      <w:proofErr w:type="spellEnd"/>
      <w:r w:rsidRPr="006306C6">
        <w:rPr>
          <w:rFonts w:ascii="Arial" w:hAnsi="Arial" w:cs="Arial"/>
          <w:bCs/>
          <w:sz w:val="24"/>
          <w:szCs w:val="24"/>
        </w:rPr>
        <w:t>) a partir de la operación realizada o tentada, habilitándose días y horas inhábiles al efecto.</w:t>
      </w:r>
    </w:p>
    <w:p w14:paraId="5A0F0EFB" w14:textId="77777777" w:rsidR="00E20D34" w:rsidRPr="006306C6" w:rsidRDefault="00E20D34" w:rsidP="00E20D34">
      <w:pPr>
        <w:jc w:val="both"/>
        <w:rPr>
          <w:rFonts w:ascii="Arial" w:hAnsi="Arial" w:cs="Arial"/>
          <w:bCs/>
          <w:sz w:val="24"/>
          <w:szCs w:val="24"/>
        </w:rPr>
      </w:pPr>
    </w:p>
    <w:p w14:paraId="0EBEAC7F"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El artículo 21 bis. Define a los “Clientes” a todas aquellas personas humanas, jurídicas, patrimonios de afectación, u otras estructuras jurídicas, y quienes actúen por cuenta y orden de éstas; con los cuales se establezca, de manera ocasional o permanente, una relación contractual de carácter financiero, económico o comercial.</w:t>
      </w:r>
    </w:p>
    <w:p w14:paraId="43EC3A89" w14:textId="77777777" w:rsidR="00E20D34" w:rsidRPr="006306C6" w:rsidRDefault="00E20D34" w:rsidP="00E20D34">
      <w:pPr>
        <w:jc w:val="both"/>
        <w:rPr>
          <w:rFonts w:ascii="Arial" w:hAnsi="Arial" w:cs="Arial"/>
          <w:bCs/>
          <w:sz w:val="24"/>
          <w:szCs w:val="24"/>
        </w:rPr>
      </w:pPr>
    </w:p>
    <w:p w14:paraId="588E6EAA"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Conforme al artículo 6º in fine de la Ley Nº 25.246 y modificatorias, al Decreto N° 918/2012 y a la Resolución Nº 29/2013 de la UIF, en caso que la Unidad se encuentre investigando un Reporte de Operación Sospechosa de Financiación del Terrorismo, la UIF tiene la facultad de disponer, mediante Resolución, el congelamiento administrativo de bienes o activos que sean propiedad o estén bajo el control, directa o indirectamente del sujeto reportado.</w:t>
      </w:r>
    </w:p>
    <w:p w14:paraId="6B3841E0" w14:textId="77777777" w:rsidR="00E20D34" w:rsidRPr="006306C6" w:rsidRDefault="00E20D34" w:rsidP="00E20D34">
      <w:pPr>
        <w:jc w:val="both"/>
        <w:rPr>
          <w:rFonts w:ascii="Arial" w:hAnsi="Arial" w:cs="Arial"/>
          <w:bCs/>
          <w:sz w:val="24"/>
          <w:szCs w:val="24"/>
        </w:rPr>
      </w:pPr>
    </w:p>
    <w:p w14:paraId="68443193"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otra parte, en cumplimiento de las atribuciones conferidas por la LAFT, la UIF reglamentó las disposiciones de la citada normativa, estableciendo sus lineamientos y medidas específicas que los sujetos obligados bajo su órbita deben aplicar para el cumplimiento de las mismas. Por ende, la Unidad dictó Resoluciones aplicables a todos los sujetos obligados, entre las que se encuentran las Resoluciones UIF 125/2009 (modificada por la Resolución UIF 28/2012) y la 29/2013 vinculadas a la prevención de la financiación del terrorismo. Resoluciones 111/2012, 10/2003, 185/2013 y 43/2018 vinculadas al Régimen Penal Administrativo, Resoluciones UIF 11/2011 y 52/2012 sobre Personas Políticamente Expuestas, 51/2011 sobre reporte de Operaciones Sospechosas on-line, Reporte Sistémico de Operaciones On-line Resoluciones 3/14, 70/2011, 2/2012, 66/2012, 93/2012 y 196/2012, entre otras. </w:t>
      </w:r>
    </w:p>
    <w:p w14:paraId="1B2EB058" w14:textId="77777777" w:rsidR="00E20D34" w:rsidRPr="006306C6" w:rsidRDefault="00E20D34" w:rsidP="00E20D34">
      <w:pPr>
        <w:jc w:val="both"/>
        <w:rPr>
          <w:rFonts w:ascii="Arial" w:hAnsi="Arial" w:cs="Arial"/>
          <w:bCs/>
          <w:sz w:val="24"/>
          <w:szCs w:val="24"/>
        </w:rPr>
      </w:pPr>
    </w:p>
    <w:p w14:paraId="692FCE92"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Asimismo, dictó Resoluciones específicas para cada uno de los sujetos obligados, las cuales fueron complementadas por previsiones del Banco Central de la República Argentina y/o la CNV, entre otros, Organismos que reglamentaron lineamientos y medidas específicas que deben aplicar cada uno de los citados sujetos obligados, conforme a su industria, profesión o actividad.</w:t>
      </w:r>
    </w:p>
    <w:p w14:paraId="6A14B67D" w14:textId="77777777" w:rsidR="00E20D34" w:rsidRPr="006306C6" w:rsidRDefault="00E20D34" w:rsidP="00E20D34">
      <w:pPr>
        <w:jc w:val="both"/>
        <w:rPr>
          <w:rFonts w:ascii="Arial" w:hAnsi="Arial" w:cs="Arial"/>
          <w:bCs/>
          <w:sz w:val="24"/>
          <w:szCs w:val="24"/>
        </w:rPr>
      </w:pPr>
    </w:p>
    <w:p w14:paraId="37A9D87D"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En este último aspecto, las Entidades Financieras y Cambiarias enumeradas en el artículo 1 y 2 de la Ley 25.246, se encuentran sujetas a la Resoluciones 30-E/2017, de fecha 16 de junio del 2017. Dicha Resolución es aplicable a: Inciso 1. Entidades financieras sujetas al régimen de la Ley 21.526 y modificatorias. Inciso 2. Entidades </w:t>
      </w:r>
      <w:r w:rsidRPr="006306C6">
        <w:rPr>
          <w:rFonts w:ascii="Arial" w:hAnsi="Arial" w:cs="Arial"/>
          <w:bCs/>
          <w:sz w:val="24"/>
          <w:szCs w:val="24"/>
        </w:rPr>
        <w:lastRenderedPageBreak/>
        <w:t xml:space="preserve">sujetas al régimen de la ley 18.924 y modificatorias y las personas humanas o jurídicas autorizadas por el BCRA a operar en la compraventa de divisas bajo forma de dinero o cheques extendidos en divisas o mediante el uso de tarjetas de crédito o pago o transmisión de fondos dentro o fuera del territorio nacional, La Resolución 30-E se encuentra en proceso de implementación conforme al cronograma establecido en su artículo 45 siendo la última fecha de implantación el 30 de junio de 2018. La citada resolución establece los lineamientos para la Gestión de Riesgo de Lavado de Activos y Financiamiento de Terrorismo (LA/FT) y de cumplimiento que las citadas entidades deberán adoptar y aplicar para gestionar, de acuerdo a sus políticas, procedimientos y controles el riesgo de ser utilizadas por terceros con fines de LA/FT. Es importante destacar que la citada resolución, deroga a partir de su plena entrada en vigencia, la Resolución 121/2011, estableciendo la </w:t>
      </w:r>
      <w:proofErr w:type="spellStart"/>
      <w:r w:rsidRPr="006306C6">
        <w:rPr>
          <w:rFonts w:ascii="Arial" w:hAnsi="Arial" w:cs="Arial"/>
          <w:bCs/>
          <w:sz w:val="24"/>
          <w:szCs w:val="24"/>
        </w:rPr>
        <w:t>ultractividad</w:t>
      </w:r>
      <w:proofErr w:type="spellEnd"/>
      <w:r w:rsidRPr="006306C6">
        <w:rPr>
          <w:rFonts w:ascii="Arial" w:hAnsi="Arial" w:cs="Arial"/>
          <w:bCs/>
          <w:sz w:val="24"/>
          <w:szCs w:val="24"/>
        </w:rPr>
        <w:t xml:space="preserve"> de esta última, a los procedimientos sumariales que se encuentres en trámite a la fecha del dictado de la Resolución 30-E/2007, o bien al análisis y supervisión de los hechos, circunstancias y cumplimientos ocurridos con anterioridad a dicha fecha, dejando a salvo el principio de la norma más benigna. Asimismo, todos aquellos preceptos cuya implementación no haya sido diferida en el tiempo en los términos del artículo 45, entraron en vigencia el 15 de septiembre de 2017. Para facilitar su implementación, el citado organismo de contralor ha emitido una Guía para la implementación de la Resolución 30-E/2017. </w:t>
      </w:r>
    </w:p>
    <w:p w14:paraId="09E30FA7"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Entre otras resoluciones dictadas por el citado organismo regulador, aplicable a los suj</w:t>
      </w:r>
      <w:r w:rsidR="00DD01A8">
        <w:rPr>
          <w:rFonts w:ascii="Arial" w:hAnsi="Arial" w:cs="Arial"/>
          <w:bCs/>
          <w:sz w:val="24"/>
          <w:szCs w:val="24"/>
        </w:rPr>
        <w:t>etos obligados mencionados en los</w:t>
      </w:r>
      <w:r w:rsidRPr="006306C6">
        <w:rPr>
          <w:rFonts w:ascii="Arial" w:hAnsi="Arial" w:cs="Arial"/>
          <w:bCs/>
          <w:sz w:val="24"/>
          <w:szCs w:val="24"/>
        </w:rPr>
        <w:t xml:space="preserve"> artículos 1 y 2 de la Ley 25.246, se encuentran la resolución 67-E/2017 para revisores externos, la resolución 4/2017 (respecto de la apertura de cuentas especiales de inversión para sujetos extranjeros, debida diligencia especial para la apertura a distancia de cuentas especiales de inversión de inversores extranjeros y debida diligencia especial entre sujetos obligados).</w:t>
      </w:r>
    </w:p>
    <w:p w14:paraId="66DC1DC8" w14:textId="77777777" w:rsidR="00E20D34" w:rsidRPr="006306C6" w:rsidRDefault="00E20D34" w:rsidP="00E20D34">
      <w:pPr>
        <w:jc w:val="both"/>
        <w:rPr>
          <w:rFonts w:ascii="Arial" w:hAnsi="Arial" w:cs="Arial"/>
          <w:bCs/>
          <w:sz w:val="24"/>
          <w:szCs w:val="24"/>
        </w:rPr>
      </w:pPr>
    </w:p>
    <w:p w14:paraId="256F70A1"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surge de los considerandos de la Resolución 30-E/2017, en febrero de 2012 los estándares de GAFI fueron revisados y como consecuencia de ello se modificaron los criterios para la prevención del LA/FT, pasando así de un enfoque de cumplimiento normativo formalista a un Enfoque Basado en Riesgo, que es el recogido en la citada resolución. </w:t>
      </w:r>
    </w:p>
    <w:p w14:paraId="3F408457" w14:textId="77777777" w:rsidR="00E20D34" w:rsidRPr="006306C6" w:rsidRDefault="00E20D34" w:rsidP="00E20D34">
      <w:pPr>
        <w:jc w:val="both"/>
        <w:rPr>
          <w:rFonts w:ascii="Arial" w:hAnsi="Arial" w:cs="Arial"/>
          <w:bCs/>
          <w:sz w:val="24"/>
          <w:szCs w:val="24"/>
        </w:rPr>
      </w:pPr>
    </w:p>
    <w:p w14:paraId="2921CBC2"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su parte el Banco Central de la República Argentina, en el Texto Ordenado de Prevención del Lavado de Activos y Financiamiento del Terrorismo, y otras actividades ilícitas, establece las disposiciones complementarias, que deberán ser observadas por las entidades financieras y cambiarias bajo su órbita.  </w:t>
      </w:r>
    </w:p>
    <w:p w14:paraId="10929644" w14:textId="77777777" w:rsidR="00E20D34" w:rsidRPr="006306C6" w:rsidRDefault="00E20D34" w:rsidP="00E20D34">
      <w:pPr>
        <w:jc w:val="both"/>
        <w:rPr>
          <w:rFonts w:ascii="Arial" w:hAnsi="Arial" w:cs="Arial"/>
          <w:bCs/>
          <w:sz w:val="24"/>
          <w:szCs w:val="24"/>
        </w:rPr>
      </w:pPr>
    </w:p>
    <w:p w14:paraId="629B5870"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otro lado, respecto de los, sujetos enumerados en los incisos 4 y 5 del artículo 20 de la Ley 25.246, es decir, (inciso 4. Personas humanas y/o jurídicas registradas ante la Comisión Nacional de Valores para actuar como intermediarios en mercados autorizados por la citada comisión y aquellos que actúen en la colocación de Fondos Comunes de Inversión o de otros productos de inversión colectiva autorizados por dicho organismo. </w:t>
      </w:r>
      <w:proofErr w:type="spellStart"/>
      <w:r w:rsidRPr="006306C6">
        <w:rPr>
          <w:rFonts w:ascii="Arial" w:hAnsi="Arial" w:cs="Arial"/>
          <w:bCs/>
          <w:sz w:val="24"/>
          <w:szCs w:val="24"/>
        </w:rPr>
        <w:t>y</w:t>
      </w:r>
      <w:proofErr w:type="spellEnd"/>
      <w:r w:rsidRPr="006306C6">
        <w:rPr>
          <w:rFonts w:ascii="Arial" w:hAnsi="Arial" w:cs="Arial"/>
          <w:bCs/>
          <w:sz w:val="24"/>
          <w:szCs w:val="24"/>
        </w:rPr>
        <w:t xml:space="preserve"> inciso 5.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w:t>
      </w:r>
      <w:r w:rsidRPr="006306C6">
        <w:rPr>
          <w:rFonts w:ascii="Arial" w:hAnsi="Arial" w:cs="Arial"/>
          <w:bCs/>
          <w:sz w:val="24"/>
          <w:szCs w:val="24"/>
        </w:rPr>
        <w:lastRenderedPageBreak/>
        <w:t xml:space="preserve">ámbito del mercado de capitales), la UIF ha dictado las Resoluciones 21/2018, de fecha 1 de marzo de 2018, la cual dispone las obligaciones que deben llevar adelante dichos sujetos obligados. La misma se encuentra en proceso de implementación conforme al cronograma establecido en el artículo 41 de la citada resolución, siendo la última fecha de implantación el 31 de marzo de 2019. La citada resolución establece los lineamientos para la Gestión de Riesgo de Lavado de Activos y Financiamiento de Terrorismo (LA/FT) y de cumplimiento que las citadas entidades deberán adoptar y aplicar para gestionar, de acuerdo a sus políticas, procedimientos y controles el riesgo de ser utilizadas por terceros con fines de LA/FT. Es importante destacar que la citada resolución, deroga a partir de su plena entrada en vigencia conforme al cronograma establecido, la Resolución 229/11, disponiendo la </w:t>
      </w:r>
      <w:proofErr w:type="spellStart"/>
      <w:r w:rsidRPr="006306C6">
        <w:rPr>
          <w:rFonts w:ascii="Arial" w:hAnsi="Arial" w:cs="Arial"/>
          <w:bCs/>
          <w:sz w:val="24"/>
          <w:szCs w:val="24"/>
        </w:rPr>
        <w:t>ultractividad</w:t>
      </w:r>
      <w:proofErr w:type="spellEnd"/>
      <w:r w:rsidRPr="006306C6">
        <w:rPr>
          <w:rFonts w:ascii="Arial" w:hAnsi="Arial" w:cs="Arial"/>
          <w:bCs/>
          <w:sz w:val="24"/>
          <w:szCs w:val="24"/>
        </w:rPr>
        <w:t xml:space="preserve"> de la misma así como de la Resolución 140/12 (en lo que respecta a Fideicomisos Financieros), a los procedimientos sumariales que se encuentres en trámite a la fecha del dictado de la Resolución 21/2018, o bien al análisis y supervisión de los hechos, circunstancias y cumplimientos ocurridos con anterioridad a dicha fecha, o en el caso de Fideicomisos Financieros la Resolución 140/12 (dejando a salvo el principio de la norma más benigna). Asimismo, todos aquellos preceptos cuya implementación no haya sido diferida en el tiempo en los términos del artículo 41, entraran en vigencia el 1 de junio de 2018. </w:t>
      </w:r>
    </w:p>
    <w:p w14:paraId="7C9CA131"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Respecto de la Resolución 140/12 a partir de la plena entrada en vigencia de la resolución 21/2018, la deroga parcialmente, perdiendo vigencia respecto de los Fideicomisos Financieros con oferta pública, sus fiduciantes, y las personas físicas y jurídicas vinculadas directa o indirectamente a éste, debiendo aplicarse las disposiciones de la nueva resolución.  </w:t>
      </w:r>
    </w:p>
    <w:p w14:paraId="1FE0D335" w14:textId="77777777" w:rsidR="00E20D34" w:rsidRPr="006306C6" w:rsidRDefault="00E20D34" w:rsidP="00E20D34">
      <w:pPr>
        <w:jc w:val="both"/>
        <w:rPr>
          <w:rFonts w:ascii="Arial" w:hAnsi="Arial" w:cs="Arial"/>
          <w:bCs/>
          <w:sz w:val="24"/>
          <w:szCs w:val="24"/>
        </w:rPr>
      </w:pPr>
    </w:p>
    <w:p w14:paraId="0F135C38"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La resolución 21/2018, al igual que la resolución 30 E/2017, responde a la necesidad de reforma del marco normativo vigente a los sujetos obligados, pasando de un enfoque de cumplimiento normativo formalista a un Enfoque Basado en Riesgo, el cual es recogido en la citada resolución.</w:t>
      </w:r>
    </w:p>
    <w:p w14:paraId="74C57A27" w14:textId="77777777" w:rsidR="00E20D34" w:rsidRPr="006306C6" w:rsidRDefault="00E20D34" w:rsidP="00E20D34">
      <w:pPr>
        <w:jc w:val="both"/>
        <w:rPr>
          <w:rFonts w:ascii="Arial" w:hAnsi="Arial" w:cs="Arial"/>
          <w:bCs/>
          <w:sz w:val="24"/>
          <w:szCs w:val="24"/>
        </w:rPr>
      </w:pPr>
    </w:p>
    <w:p w14:paraId="56EC11A5" w14:textId="77777777"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su parte las Normas de la Comisión Nacional de Valores (TO2013), reglamentaria de la Ley 26.831 (Ley de Mercado de Capitales) y su decreto reglamentario, dictada por dicho organismo en el marco de las atribuciones conferidas por el artículo 19 de la citada Ley de Mercado de Capitales, establece normas complementarias a ser aplicadas por los sujetos obligados que actúan en el ámbito de la Ley de Mercado de Capitales, mencionados en los inc. 4 y 5 del </w:t>
      </w:r>
      <w:r w:rsidR="00C62062">
        <w:rPr>
          <w:rFonts w:ascii="Arial" w:hAnsi="Arial" w:cs="Arial"/>
          <w:bCs/>
          <w:sz w:val="24"/>
          <w:szCs w:val="24"/>
        </w:rPr>
        <w:t>a</w:t>
      </w:r>
      <w:r w:rsidRPr="006306C6">
        <w:rPr>
          <w:rFonts w:ascii="Arial" w:hAnsi="Arial" w:cs="Arial"/>
          <w:bCs/>
          <w:sz w:val="24"/>
          <w:szCs w:val="24"/>
        </w:rPr>
        <w:t xml:space="preserve">rtículo 20 de la Ley 25.246 y sus modificatorias, así como los sujetos indicados en el inciso 22 del citado artículo 20 en tanto intervengan en fideicomisos financieros registrados ante la CNV. </w:t>
      </w:r>
    </w:p>
    <w:p w14:paraId="396DBAF0" w14:textId="77777777" w:rsidR="00E20D34" w:rsidRPr="006306C6" w:rsidRDefault="00E20D34" w:rsidP="00E20D34">
      <w:pPr>
        <w:jc w:val="both"/>
        <w:rPr>
          <w:rFonts w:ascii="Arial" w:hAnsi="Arial" w:cs="Arial"/>
          <w:bCs/>
          <w:sz w:val="24"/>
          <w:szCs w:val="24"/>
        </w:rPr>
      </w:pPr>
    </w:p>
    <w:p w14:paraId="41A9546A" w14:textId="77777777" w:rsidR="00FB2341" w:rsidRDefault="00E20D34" w:rsidP="00FB2341">
      <w:pPr>
        <w:jc w:val="both"/>
        <w:rPr>
          <w:sz w:val="24"/>
          <w:szCs w:val="24"/>
          <w:lang w:val="es-AR"/>
        </w:rPr>
      </w:pPr>
      <w:r w:rsidRPr="006306C6">
        <w:rPr>
          <w:rFonts w:ascii="Arial" w:hAnsi="Arial" w:cs="Arial"/>
          <w:bCs/>
          <w:sz w:val="24"/>
          <w:szCs w:val="24"/>
        </w:rPr>
        <w:t xml:space="preserve">Para un análisis extensivo del régimen de prevención de lavado de activos vigente a la fecha del prospecto, los inversores deberán consultar con sus asesores legales y leer el Titulo XIII, Libro 2 del Código Penal de la Nación, el artículo 41 quinquies, las regulaciones emitidas por la UIF, la CNV y el Banco Central de la República Argentina en su totalidad. A tales efectos, los interesados, podrán visitar los sitios de internet de los citados organismos, </w:t>
      </w:r>
      <w:hyperlink r:id="rId22" w:history="1">
        <w:r w:rsidRPr="006306C6">
          <w:rPr>
            <w:rFonts w:ascii="Arial" w:hAnsi="Arial" w:cs="Arial"/>
            <w:bCs/>
            <w:sz w:val="24"/>
            <w:szCs w:val="24"/>
          </w:rPr>
          <w:t>www.argentina.fob.ar/uif/</w:t>
        </w:r>
      </w:hyperlink>
      <w:r w:rsidRPr="006306C6">
        <w:rPr>
          <w:rFonts w:ascii="Arial" w:hAnsi="Arial" w:cs="Arial"/>
          <w:bCs/>
          <w:sz w:val="24"/>
          <w:szCs w:val="24"/>
        </w:rPr>
        <w:t xml:space="preserve"> www.infoleg.gov.ar/ www.bcra.gob.ar/ </w:t>
      </w:r>
      <w:hyperlink r:id="rId23" w:history="1">
        <w:r w:rsidRPr="006306C6">
          <w:rPr>
            <w:rFonts w:ascii="Arial" w:hAnsi="Arial" w:cs="Arial"/>
            <w:bCs/>
            <w:sz w:val="24"/>
            <w:szCs w:val="24"/>
          </w:rPr>
          <w:t>www.cnv.gob.ar/</w:t>
        </w:r>
      </w:hyperlink>
      <w:r w:rsidRPr="006306C6">
        <w:rPr>
          <w:rFonts w:ascii="Arial" w:hAnsi="Arial" w:cs="Arial"/>
          <w:bCs/>
          <w:sz w:val="24"/>
          <w:szCs w:val="24"/>
        </w:rPr>
        <w:t>, no formando parte del presente prospecto, la información contenida en los sitios web mencionados</w:t>
      </w:r>
      <w:r w:rsidRPr="00FA3A67">
        <w:rPr>
          <w:sz w:val="24"/>
          <w:szCs w:val="24"/>
          <w:lang w:val="es-AR"/>
        </w:rPr>
        <w:t xml:space="preserve">. </w:t>
      </w:r>
    </w:p>
    <w:p w14:paraId="18184E70" w14:textId="77777777" w:rsidR="004079B7" w:rsidRPr="00FB2341" w:rsidRDefault="003128FC" w:rsidP="00FB2341">
      <w:pPr>
        <w:jc w:val="both"/>
        <w:rPr>
          <w:sz w:val="24"/>
          <w:szCs w:val="24"/>
          <w:lang w:val="es-AR"/>
        </w:rPr>
      </w:pPr>
      <w:r>
        <w:rPr>
          <w:rFonts w:ascii="Arial" w:hAnsi="Arial" w:cs="Arial"/>
          <w:b/>
          <w:sz w:val="24"/>
          <w:szCs w:val="24"/>
          <w:u w:val="single"/>
          <w:lang w:val="es-AR"/>
        </w:rPr>
        <w:lastRenderedPageBreak/>
        <w:t xml:space="preserve">EL </w:t>
      </w:r>
      <w:r>
        <w:rPr>
          <w:rFonts w:ascii="Arial" w:hAnsi="Arial" w:cs="Arial"/>
          <w:b/>
          <w:sz w:val="24"/>
          <w:szCs w:val="24"/>
          <w:u w:val="single"/>
        </w:rPr>
        <w:t xml:space="preserve"> PROGRAMA</w:t>
      </w:r>
      <w:r w:rsidR="004079B7" w:rsidRPr="00C9078B">
        <w:rPr>
          <w:rFonts w:ascii="Arial" w:hAnsi="Arial" w:cs="Arial"/>
          <w:b/>
          <w:sz w:val="24"/>
          <w:szCs w:val="24"/>
          <w:u w:val="single"/>
        </w:rPr>
        <w:t xml:space="preserve"> DE CERTIFICADOS</w:t>
      </w:r>
      <w:r w:rsidR="00E972D5">
        <w:rPr>
          <w:rFonts w:ascii="Arial" w:hAnsi="Arial" w:cs="Arial"/>
          <w:b/>
          <w:sz w:val="24"/>
          <w:szCs w:val="24"/>
          <w:u w:val="single"/>
        </w:rPr>
        <w:t xml:space="preserve"> DE DEPOSITO ARGENTINOS (CEDEAR</w:t>
      </w:r>
      <w:r w:rsidR="004079B7" w:rsidRPr="00C9078B">
        <w:rPr>
          <w:rFonts w:ascii="Arial" w:hAnsi="Arial" w:cs="Arial"/>
          <w:b/>
          <w:sz w:val="24"/>
          <w:szCs w:val="24"/>
          <w:u w:val="single"/>
        </w:rPr>
        <w:t xml:space="preserve">) QUE EMITIRA </w:t>
      </w:r>
      <w:r w:rsidR="00D55152" w:rsidRPr="00C9078B">
        <w:rPr>
          <w:rFonts w:ascii="Arial" w:hAnsi="Arial" w:cs="Arial"/>
          <w:b/>
          <w:sz w:val="24"/>
          <w:szCs w:val="24"/>
          <w:u w:val="single"/>
        </w:rPr>
        <w:t>BANCO COMAFI S.A.</w:t>
      </w:r>
    </w:p>
    <w:p w14:paraId="7785CFB0" w14:textId="77777777" w:rsidR="00C23D14" w:rsidRPr="00C9078B" w:rsidRDefault="00C23D14" w:rsidP="00C9078B">
      <w:pPr>
        <w:suppressAutoHyphens/>
        <w:jc w:val="center"/>
        <w:rPr>
          <w:rFonts w:ascii="Arial" w:hAnsi="Arial" w:cs="Arial"/>
          <w:b/>
          <w:spacing w:val="-2"/>
          <w:sz w:val="24"/>
          <w:szCs w:val="24"/>
          <w:u w:val="single"/>
        </w:rPr>
      </w:pPr>
    </w:p>
    <w:p w14:paraId="637D8B32" w14:textId="77777777" w:rsidR="00C23D14" w:rsidRPr="00C23D14" w:rsidRDefault="00477BC5" w:rsidP="00C23D14">
      <w:pPr>
        <w:suppressAutoHyphens/>
        <w:jc w:val="both"/>
        <w:rPr>
          <w:rFonts w:ascii="Arial" w:hAnsi="Arial" w:cs="Arial"/>
          <w:spacing w:val="-2"/>
          <w:sz w:val="24"/>
          <w:szCs w:val="24"/>
          <w:lang w:val="es-AR"/>
        </w:rPr>
      </w:pPr>
      <w:r>
        <w:rPr>
          <w:rFonts w:ascii="Arial" w:hAnsi="Arial" w:cs="Arial"/>
          <w:spacing w:val="-2"/>
          <w:sz w:val="24"/>
          <w:szCs w:val="24"/>
          <w:lang w:val="es-AR"/>
        </w:rPr>
        <w:t>El</w:t>
      </w:r>
      <w:r w:rsidR="00702B54">
        <w:rPr>
          <w:rFonts w:ascii="Arial" w:hAnsi="Arial" w:cs="Arial"/>
          <w:spacing w:val="-2"/>
          <w:sz w:val="24"/>
          <w:szCs w:val="24"/>
          <w:lang w:val="es-AR"/>
        </w:rPr>
        <w:t xml:space="preserve"> Programa de </w:t>
      </w:r>
      <w:proofErr w:type="spellStart"/>
      <w:r w:rsidR="00702B54">
        <w:rPr>
          <w:rFonts w:ascii="Arial" w:hAnsi="Arial" w:cs="Arial"/>
          <w:spacing w:val="-2"/>
          <w:sz w:val="24"/>
          <w:szCs w:val="24"/>
          <w:lang w:val="es-AR"/>
        </w:rPr>
        <w:t>CEDEAR</w:t>
      </w:r>
      <w:r w:rsidR="001F26EF">
        <w:rPr>
          <w:rFonts w:ascii="Arial" w:hAnsi="Arial" w:cs="Arial"/>
          <w:spacing w:val="-2"/>
          <w:sz w:val="24"/>
          <w:szCs w:val="24"/>
          <w:lang w:val="es-AR"/>
        </w:rPr>
        <w:t>s</w:t>
      </w:r>
      <w:proofErr w:type="spellEnd"/>
      <w:r w:rsidR="00C23D14" w:rsidRPr="00C23D14">
        <w:rPr>
          <w:rFonts w:ascii="Arial" w:hAnsi="Arial" w:cs="Arial"/>
          <w:spacing w:val="-2"/>
          <w:sz w:val="24"/>
          <w:szCs w:val="24"/>
          <w:lang w:val="es-AR"/>
        </w:rPr>
        <w:t xml:space="preserve"> a ser emitido por el Banco ha sido autorizado por la Comisión Nacional de Valores mediante </w:t>
      </w:r>
      <w:r w:rsidR="003128FC">
        <w:rPr>
          <w:rFonts w:ascii="Arial" w:hAnsi="Arial" w:cs="Arial"/>
          <w:spacing w:val="-2"/>
          <w:sz w:val="24"/>
          <w:szCs w:val="24"/>
          <w:lang w:val="es-AR"/>
        </w:rPr>
        <w:t>RESFC-2019-</w:t>
      </w:r>
      <w:r w:rsidR="00BD7FEB">
        <w:rPr>
          <w:rFonts w:ascii="Arial" w:hAnsi="Arial" w:cs="Arial"/>
          <w:spacing w:val="-2"/>
          <w:sz w:val="24"/>
          <w:szCs w:val="24"/>
          <w:lang w:val="es-AR"/>
        </w:rPr>
        <w:t>20495</w:t>
      </w:r>
      <w:r w:rsidR="003128FC">
        <w:rPr>
          <w:rFonts w:ascii="Arial" w:hAnsi="Arial" w:cs="Arial"/>
          <w:spacing w:val="-2"/>
          <w:sz w:val="24"/>
          <w:szCs w:val="24"/>
          <w:lang w:val="es-AR"/>
        </w:rPr>
        <w:t>-APN-DIR#CNV</w:t>
      </w:r>
      <w:r w:rsidR="002A0F3D">
        <w:rPr>
          <w:rFonts w:ascii="Arial" w:hAnsi="Arial" w:cs="Arial"/>
          <w:spacing w:val="-2"/>
          <w:sz w:val="24"/>
          <w:szCs w:val="24"/>
          <w:lang w:val="es-AR"/>
        </w:rPr>
        <w:t xml:space="preserve"> de fecha </w:t>
      </w:r>
      <w:r w:rsidR="00BD7FEB">
        <w:rPr>
          <w:rFonts w:ascii="Arial" w:hAnsi="Arial" w:cs="Arial"/>
          <w:spacing w:val="-2"/>
          <w:sz w:val="24"/>
          <w:szCs w:val="24"/>
          <w:lang w:val="es-AR"/>
        </w:rPr>
        <w:t>21</w:t>
      </w:r>
      <w:r w:rsidR="003128FC">
        <w:rPr>
          <w:rFonts w:ascii="Arial" w:hAnsi="Arial" w:cs="Arial"/>
          <w:spacing w:val="-2"/>
          <w:sz w:val="24"/>
          <w:szCs w:val="24"/>
          <w:lang w:val="es-AR"/>
        </w:rPr>
        <w:t xml:space="preserve"> de</w:t>
      </w:r>
      <w:r w:rsidR="00C753CA">
        <w:rPr>
          <w:rFonts w:ascii="Arial" w:hAnsi="Arial" w:cs="Arial"/>
          <w:spacing w:val="-2"/>
          <w:sz w:val="24"/>
          <w:szCs w:val="24"/>
          <w:lang w:val="es-AR"/>
        </w:rPr>
        <w:t xml:space="preserve"> </w:t>
      </w:r>
      <w:r w:rsidR="00BD7FEB">
        <w:rPr>
          <w:rFonts w:ascii="Arial" w:hAnsi="Arial" w:cs="Arial"/>
          <w:spacing w:val="-2"/>
          <w:sz w:val="24"/>
          <w:szCs w:val="24"/>
          <w:lang w:val="es-AR"/>
        </w:rPr>
        <w:t xml:space="preserve">octubre </w:t>
      </w:r>
      <w:r w:rsidR="003128FC">
        <w:rPr>
          <w:rFonts w:ascii="Arial" w:hAnsi="Arial" w:cs="Arial"/>
          <w:spacing w:val="-2"/>
          <w:sz w:val="24"/>
          <w:szCs w:val="24"/>
          <w:lang w:val="es-AR"/>
        </w:rPr>
        <w:t>de 20</w:t>
      </w:r>
      <w:r w:rsidR="00C753CA">
        <w:rPr>
          <w:rFonts w:ascii="Arial" w:hAnsi="Arial" w:cs="Arial"/>
          <w:spacing w:val="-2"/>
          <w:sz w:val="24"/>
          <w:szCs w:val="24"/>
          <w:lang w:val="es-AR"/>
        </w:rPr>
        <w:t>19</w:t>
      </w:r>
      <w:r w:rsidR="00CE49F1">
        <w:rPr>
          <w:rFonts w:ascii="Arial" w:hAnsi="Arial" w:cs="Arial"/>
          <w:spacing w:val="-2"/>
          <w:sz w:val="24"/>
          <w:szCs w:val="24"/>
          <w:lang w:val="es-AR"/>
        </w:rPr>
        <w:t xml:space="preserve"> </w:t>
      </w:r>
      <w:r w:rsidR="00C23D14" w:rsidRPr="00C23D14">
        <w:rPr>
          <w:rFonts w:ascii="Arial" w:hAnsi="Arial" w:cs="Arial"/>
          <w:spacing w:val="-2"/>
          <w:sz w:val="24"/>
          <w:szCs w:val="24"/>
          <w:lang w:val="es-AR"/>
        </w:rPr>
        <w:t>conforme al régimen del Capítulo VIII Certificados de Depósito Argentinos (CEDEAR) – Título II de las Normas de la Comisión Nacional de Valores (“CNV”), (T.O. 2013)</w:t>
      </w:r>
      <w:r w:rsidR="00593C31">
        <w:rPr>
          <w:rFonts w:ascii="Arial" w:hAnsi="Arial" w:cs="Arial"/>
          <w:spacing w:val="-2"/>
          <w:sz w:val="24"/>
          <w:szCs w:val="24"/>
          <w:lang w:val="es-AR"/>
        </w:rPr>
        <w:t>.</w:t>
      </w:r>
      <w:r w:rsidR="00C23D14" w:rsidRPr="00C23D14">
        <w:rPr>
          <w:rFonts w:ascii="Arial" w:hAnsi="Arial" w:cs="Arial"/>
          <w:spacing w:val="-2"/>
          <w:sz w:val="24"/>
          <w:szCs w:val="24"/>
          <w:lang w:val="es-AR"/>
        </w:rPr>
        <w:t xml:space="preserve"> Se trata de </w:t>
      </w:r>
      <w:r w:rsidR="003128FC">
        <w:rPr>
          <w:rFonts w:ascii="Arial" w:hAnsi="Arial" w:cs="Arial"/>
          <w:spacing w:val="-2"/>
          <w:sz w:val="24"/>
          <w:szCs w:val="24"/>
          <w:lang w:val="es-AR"/>
        </w:rPr>
        <w:t>1</w:t>
      </w:r>
      <w:r w:rsidR="00C23D14" w:rsidRPr="00C23D14">
        <w:rPr>
          <w:rFonts w:ascii="Arial" w:hAnsi="Arial" w:cs="Arial"/>
          <w:spacing w:val="-2"/>
          <w:sz w:val="24"/>
          <w:szCs w:val="24"/>
          <w:lang w:val="es-AR"/>
        </w:rPr>
        <w:t xml:space="preserve"> programa</w:t>
      </w:r>
      <w:r w:rsidR="003128FC">
        <w:rPr>
          <w:rFonts w:ascii="Arial" w:hAnsi="Arial" w:cs="Arial"/>
          <w:spacing w:val="-2"/>
          <w:sz w:val="24"/>
          <w:szCs w:val="24"/>
          <w:lang w:val="es-AR"/>
        </w:rPr>
        <w:t xml:space="preserve"> no patrocinado por la</w:t>
      </w:r>
      <w:r w:rsidR="00C23D14" w:rsidRPr="00C23D14">
        <w:rPr>
          <w:rFonts w:ascii="Arial" w:hAnsi="Arial" w:cs="Arial"/>
          <w:spacing w:val="-2"/>
          <w:sz w:val="24"/>
          <w:szCs w:val="24"/>
          <w:lang w:val="es-AR"/>
        </w:rPr>
        <w:t xml:space="preserve"> sociedad emisora </w:t>
      </w:r>
      <w:r w:rsidR="00685E50">
        <w:rPr>
          <w:rFonts w:ascii="Arial" w:hAnsi="Arial" w:cs="Arial"/>
          <w:spacing w:val="-2"/>
          <w:sz w:val="24"/>
          <w:szCs w:val="24"/>
          <w:lang w:val="es-AR"/>
        </w:rPr>
        <w:t xml:space="preserve">de las </w:t>
      </w:r>
      <w:r w:rsidR="003128FC">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3128FC">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C23D14" w:rsidRPr="00C23D14">
        <w:rPr>
          <w:rFonts w:ascii="Arial" w:hAnsi="Arial" w:cs="Arial"/>
          <w:spacing w:val="-2"/>
          <w:sz w:val="24"/>
          <w:szCs w:val="24"/>
          <w:lang w:val="es-AR"/>
        </w:rPr>
        <w:t>de l</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 xml:space="preserve">s </w:t>
      </w:r>
      <w:proofErr w:type="spellStart"/>
      <w:r>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xml:space="preserve"> </w:t>
      </w:r>
      <w:r w:rsidR="00C23D14" w:rsidRPr="00C23D14">
        <w:rPr>
          <w:rFonts w:ascii="Arial" w:hAnsi="Arial" w:cs="Arial"/>
          <w:spacing w:val="-2"/>
          <w:sz w:val="24"/>
          <w:szCs w:val="24"/>
          <w:lang w:val="es-AR"/>
        </w:rPr>
        <w:t>representad</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1F26EF">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14:paraId="6251EB88" w14:textId="77777777" w:rsidR="00C23D14" w:rsidRPr="00C23D14" w:rsidRDefault="00C23D14" w:rsidP="00C23D14">
      <w:pPr>
        <w:suppressAutoHyphens/>
        <w:jc w:val="both"/>
        <w:rPr>
          <w:rFonts w:ascii="Arial" w:hAnsi="Arial" w:cs="Arial"/>
          <w:spacing w:val="-2"/>
          <w:sz w:val="24"/>
          <w:szCs w:val="24"/>
          <w:lang w:val="es-AR"/>
        </w:rPr>
      </w:pPr>
    </w:p>
    <w:p w14:paraId="7BC5AF99" w14:textId="77777777"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Este Programa</w:t>
      </w:r>
      <w:r w:rsidR="00C23D14" w:rsidRPr="00C23D14">
        <w:rPr>
          <w:rFonts w:ascii="Arial" w:hAnsi="Arial" w:cs="Arial"/>
          <w:spacing w:val="-2"/>
          <w:sz w:val="24"/>
          <w:szCs w:val="24"/>
          <w:lang w:val="es-AR"/>
        </w:rPr>
        <w:t xml:space="preserve"> de CEDEAR</w:t>
      </w:r>
      <w:r w:rsidR="001F26EF">
        <w:rPr>
          <w:rFonts w:ascii="Arial" w:hAnsi="Arial" w:cs="Arial"/>
          <w:spacing w:val="-2"/>
          <w:sz w:val="24"/>
          <w:szCs w:val="24"/>
          <w:lang w:val="es-AR"/>
        </w:rPr>
        <w:t>s</w:t>
      </w:r>
      <w:r>
        <w:rPr>
          <w:rFonts w:ascii="Arial" w:hAnsi="Arial" w:cs="Arial"/>
          <w:spacing w:val="-2"/>
          <w:sz w:val="24"/>
          <w:szCs w:val="24"/>
          <w:lang w:val="es-AR"/>
        </w:rPr>
        <w:t xml:space="preserve"> se rige</w:t>
      </w:r>
      <w:r w:rsidR="00C23D14" w:rsidRPr="00C23D14">
        <w:rPr>
          <w:rFonts w:ascii="Arial" w:hAnsi="Arial" w:cs="Arial"/>
          <w:spacing w:val="-2"/>
          <w:sz w:val="24"/>
          <w:szCs w:val="24"/>
          <w:lang w:val="es-AR"/>
        </w:rPr>
        <w:t xml:space="preserve"> por los Términos y Condiciones de Emisión que se transcriben más adelante, y fueron aprobados por </w:t>
      </w:r>
      <w:r w:rsidR="006F5CC2">
        <w:rPr>
          <w:rFonts w:ascii="Arial" w:hAnsi="Arial" w:cs="Arial"/>
          <w:spacing w:val="-2"/>
          <w:sz w:val="24"/>
          <w:szCs w:val="24"/>
          <w:lang w:val="es-AR"/>
        </w:rPr>
        <w:t xml:space="preserve">la decisión </w:t>
      </w:r>
      <w:r w:rsidR="00C23D14" w:rsidRPr="00C23D14">
        <w:rPr>
          <w:rFonts w:ascii="Arial" w:hAnsi="Arial" w:cs="Arial"/>
          <w:spacing w:val="-2"/>
          <w:sz w:val="24"/>
          <w:szCs w:val="24"/>
          <w:lang w:val="es-AR"/>
        </w:rPr>
        <w:t xml:space="preserve">del Directorio del Banco </w:t>
      </w:r>
      <w:proofErr w:type="gramStart"/>
      <w:r w:rsidR="00C23D14" w:rsidRPr="00C23D14">
        <w:rPr>
          <w:rFonts w:ascii="Arial" w:hAnsi="Arial" w:cs="Arial"/>
          <w:spacing w:val="-2"/>
          <w:sz w:val="24"/>
          <w:szCs w:val="24"/>
          <w:lang w:val="es-AR"/>
        </w:rPr>
        <w:t xml:space="preserve">de acuerdo </w:t>
      </w:r>
      <w:r w:rsidR="006F5CC2" w:rsidRPr="006F5CC2">
        <w:rPr>
          <w:rFonts w:ascii="Arial" w:hAnsi="Arial" w:cs="Arial"/>
          <w:spacing w:val="-2"/>
          <w:sz w:val="24"/>
          <w:szCs w:val="24"/>
          <w:lang w:val="es-AR"/>
        </w:rPr>
        <w:t>a</w:t>
      </w:r>
      <w:r w:rsidR="001C1245">
        <w:rPr>
          <w:rFonts w:ascii="Arial" w:hAnsi="Arial" w:cs="Arial"/>
          <w:spacing w:val="-2"/>
          <w:sz w:val="24"/>
          <w:szCs w:val="24"/>
          <w:lang w:val="es-AR"/>
        </w:rPr>
        <w:t>l</w:t>
      </w:r>
      <w:proofErr w:type="gramEnd"/>
      <w:r w:rsidR="001C1245">
        <w:rPr>
          <w:rFonts w:ascii="Arial" w:hAnsi="Arial" w:cs="Arial"/>
          <w:spacing w:val="-2"/>
          <w:sz w:val="24"/>
          <w:szCs w:val="24"/>
          <w:lang w:val="es-AR"/>
        </w:rPr>
        <w:t xml:space="preserve"> Acta de Director</w:t>
      </w:r>
      <w:r>
        <w:rPr>
          <w:rFonts w:ascii="Arial" w:hAnsi="Arial" w:cs="Arial"/>
          <w:spacing w:val="-2"/>
          <w:sz w:val="24"/>
          <w:szCs w:val="24"/>
          <w:lang w:val="es-AR"/>
        </w:rPr>
        <w:t xml:space="preserve">io de fecha </w:t>
      </w:r>
      <w:r w:rsidR="00BD7FEB">
        <w:rPr>
          <w:rFonts w:ascii="Arial" w:hAnsi="Arial" w:cs="Arial"/>
          <w:spacing w:val="-2"/>
          <w:sz w:val="24"/>
          <w:szCs w:val="24"/>
          <w:lang w:val="es-AR"/>
        </w:rPr>
        <w:t>21</w:t>
      </w:r>
      <w:r>
        <w:rPr>
          <w:rFonts w:ascii="Arial" w:hAnsi="Arial" w:cs="Arial"/>
          <w:spacing w:val="-2"/>
          <w:sz w:val="24"/>
          <w:szCs w:val="24"/>
          <w:lang w:val="es-AR"/>
        </w:rPr>
        <w:t xml:space="preserve"> de</w:t>
      </w:r>
      <w:r w:rsidR="00BD7FEB">
        <w:rPr>
          <w:rFonts w:ascii="Arial" w:hAnsi="Arial" w:cs="Arial"/>
          <w:spacing w:val="-2"/>
          <w:sz w:val="24"/>
          <w:szCs w:val="24"/>
          <w:lang w:val="es-AR"/>
        </w:rPr>
        <w:t xml:space="preserve"> octubre</w:t>
      </w:r>
      <w:r>
        <w:rPr>
          <w:rFonts w:ascii="Arial" w:hAnsi="Arial" w:cs="Arial"/>
          <w:spacing w:val="-2"/>
          <w:sz w:val="24"/>
          <w:szCs w:val="24"/>
          <w:lang w:val="es-AR"/>
        </w:rPr>
        <w:t xml:space="preserve"> de 20</w:t>
      </w:r>
      <w:r w:rsidR="00332A2D">
        <w:rPr>
          <w:rFonts w:ascii="Arial" w:hAnsi="Arial" w:cs="Arial"/>
          <w:spacing w:val="-2"/>
          <w:sz w:val="24"/>
          <w:szCs w:val="24"/>
          <w:lang w:val="es-AR"/>
        </w:rPr>
        <w:t>19</w:t>
      </w:r>
      <w:r w:rsidR="001C1245">
        <w:rPr>
          <w:rFonts w:ascii="Arial" w:hAnsi="Arial" w:cs="Arial"/>
          <w:spacing w:val="-2"/>
          <w:sz w:val="24"/>
          <w:szCs w:val="24"/>
          <w:lang w:val="es-AR"/>
        </w:rPr>
        <w:t>.</w:t>
      </w:r>
    </w:p>
    <w:p w14:paraId="69EE6FB3" w14:textId="77777777" w:rsidR="00C23D14" w:rsidRPr="00C23D14" w:rsidRDefault="00C23D14" w:rsidP="00C23D14">
      <w:pPr>
        <w:suppressAutoHyphens/>
        <w:jc w:val="both"/>
        <w:rPr>
          <w:rFonts w:ascii="Arial" w:hAnsi="Arial" w:cs="Arial"/>
          <w:spacing w:val="-2"/>
          <w:sz w:val="24"/>
          <w:szCs w:val="24"/>
          <w:lang w:val="es-AR"/>
        </w:rPr>
      </w:pPr>
    </w:p>
    <w:p w14:paraId="7B400E40" w14:textId="77777777"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 xml:space="preserve">Los </w:t>
      </w:r>
      <w:proofErr w:type="spellStart"/>
      <w:r w:rsidRPr="00C23D14">
        <w:rPr>
          <w:rFonts w:ascii="Arial" w:hAnsi="Arial" w:cs="Arial"/>
          <w:spacing w:val="-2"/>
          <w:sz w:val="24"/>
          <w:szCs w:val="24"/>
        </w:rPr>
        <w:t>CEDEAR</w:t>
      </w:r>
      <w:r w:rsidR="0063049C">
        <w:rPr>
          <w:rFonts w:ascii="Arial" w:hAnsi="Arial" w:cs="Arial"/>
          <w:spacing w:val="-2"/>
          <w:sz w:val="24"/>
          <w:szCs w:val="24"/>
        </w:rPr>
        <w:t>s</w:t>
      </w:r>
      <w:proofErr w:type="spellEnd"/>
      <w:r w:rsidRPr="00C23D14">
        <w:rPr>
          <w:rFonts w:ascii="Arial" w:hAnsi="Arial" w:cs="Arial"/>
          <w:spacing w:val="-2"/>
          <w:sz w:val="24"/>
          <w:szCs w:val="24"/>
        </w:rPr>
        <w:t xml:space="preserve"> representan</w:t>
      </w:r>
      <w:r w:rsidR="006B7689">
        <w:rPr>
          <w:rFonts w:ascii="Arial" w:hAnsi="Arial" w:cs="Arial"/>
          <w:spacing w:val="-2"/>
          <w:sz w:val="24"/>
          <w:szCs w:val="24"/>
        </w:rPr>
        <w:t xml:space="preserve"> </w:t>
      </w:r>
      <w:r w:rsidR="00332A2D">
        <w:rPr>
          <w:rFonts w:ascii="Arial" w:hAnsi="Arial" w:cs="Arial"/>
          <w:spacing w:val="-2"/>
          <w:sz w:val="24"/>
          <w:szCs w:val="24"/>
        </w:rPr>
        <w:t xml:space="preserve">Acciones en </w:t>
      </w:r>
      <w:r w:rsidR="00D36A22">
        <w:rPr>
          <w:rFonts w:ascii="Arial" w:hAnsi="Arial" w:cs="Arial"/>
          <w:spacing w:val="-2"/>
          <w:sz w:val="24"/>
          <w:szCs w:val="24"/>
        </w:rPr>
        <w:t xml:space="preserve">Depósito o </w:t>
      </w:r>
      <w:r w:rsidR="00D36A22" w:rsidRPr="00D36A22">
        <w:rPr>
          <w:rFonts w:ascii="Arial" w:hAnsi="Arial" w:cs="Arial"/>
          <w:i/>
          <w:spacing w:val="-2"/>
          <w:sz w:val="24"/>
          <w:szCs w:val="24"/>
        </w:rPr>
        <w:t xml:space="preserve">American </w:t>
      </w:r>
      <w:proofErr w:type="spellStart"/>
      <w:r w:rsidR="00D36A22" w:rsidRPr="00D36A22">
        <w:rPr>
          <w:rFonts w:ascii="Arial" w:hAnsi="Arial" w:cs="Arial"/>
          <w:i/>
          <w:spacing w:val="-2"/>
          <w:sz w:val="24"/>
          <w:szCs w:val="24"/>
        </w:rPr>
        <w:t>Depositary</w:t>
      </w:r>
      <w:proofErr w:type="spellEnd"/>
      <w:r w:rsidR="00D36A22" w:rsidRPr="00D36A22">
        <w:rPr>
          <w:rFonts w:ascii="Arial" w:hAnsi="Arial" w:cs="Arial"/>
          <w:i/>
          <w:spacing w:val="-2"/>
          <w:sz w:val="24"/>
          <w:szCs w:val="24"/>
        </w:rPr>
        <w:t xml:space="preserve"> </w:t>
      </w:r>
      <w:r w:rsidR="00477BC5">
        <w:rPr>
          <w:rFonts w:ascii="Arial" w:hAnsi="Arial" w:cs="Arial"/>
          <w:i/>
          <w:spacing w:val="-2"/>
          <w:sz w:val="24"/>
          <w:szCs w:val="24"/>
        </w:rPr>
        <w:t>Shares</w:t>
      </w:r>
      <w:r w:rsidR="00D36A22">
        <w:rPr>
          <w:rFonts w:ascii="Arial" w:hAnsi="Arial" w:cs="Arial"/>
          <w:spacing w:val="-2"/>
          <w:sz w:val="24"/>
          <w:szCs w:val="24"/>
        </w:rPr>
        <w:t xml:space="preserve"> (“</w:t>
      </w:r>
      <w:proofErr w:type="spellStart"/>
      <w:r w:rsidR="00D36A22">
        <w:rPr>
          <w:rFonts w:ascii="Arial" w:hAnsi="Arial" w:cs="Arial"/>
          <w:spacing w:val="-2"/>
          <w:sz w:val="24"/>
          <w:szCs w:val="24"/>
        </w:rPr>
        <w:t>AD</w:t>
      </w:r>
      <w:r w:rsidR="00477BC5">
        <w:rPr>
          <w:rFonts w:ascii="Arial" w:hAnsi="Arial" w:cs="Arial"/>
          <w:spacing w:val="-2"/>
          <w:sz w:val="24"/>
          <w:szCs w:val="24"/>
        </w:rPr>
        <w:t>S</w:t>
      </w:r>
      <w:r w:rsidR="00D36A22">
        <w:rPr>
          <w:rFonts w:ascii="Arial" w:hAnsi="Arial" w:cs="Arial"/>
          <w:spacing w:val="-2"/>
          <w:sz w:val="24"/>
          <w:szCs w:val="24"/>
        </w:rPr>
        <w:t>s</w:t>
      </w:r>
      <w:proofErr w:type="spellEnd"/>
      <w:r w:rsidR="00D36A22">
        <w:rPr>
          <w:rFonts w:ascii="Arial" w:hAnsi="Arial" w:cs="Arial"/>
          <w:spacing w:val="-2"/>
          <w:sz w:val="24"/>
          <w:szCs w:val="24"/>
        </w:rPr>
        <w:t xml:space="preserve">”) emitidos </w:t>
      </w:r>
      <w:r w:rsidR="00332A2D">
        <w:rPr>
          <w:rFonts w:ascii="Arial" w:hAnsi="Arial" w:cs="Arial"/>
          <w:spacing w:val="-2"/>
          <w:sz w:val="24"/>
          <w:szCs w:val="24"/>
        </w:rPr>
        <w:t xml:space="preserve">por la Compañía y custodiados </w:t>
      </w:r>
      <w:r w:rsidR="00D36A22">
        <w:rPr>
          <w:rFonts w:ascii="Arial" w:hAnsi="Arial" w:cs="Arial"/>
          <w:spacing w:val="-2"/>
          <w:sz w:val="24"/>
          <w:szCs w:val="24"/>
        </w:rPr>
        <w:t>en los Est</w:t>
      </w:r>
      <w:r w:rsidR="00F65E94">
        <w:rPr>
          <w:rFonts w:ascii="Arial" w:hAnsi="Arial" w:cs="Arial"/>
          <w:spacing w:val="-2"/>
          <w:sz w:val="24"/>
          <w:szCs w:val="24"/>
        </w:rPr>
        <w:t>ados Unidos de América, por el</w:t>
      </w:r>
      <w:r w:rsidR="00D36A22">
        <w:rPr>
          <w:rFonts w:ascii="Arial" w:hAnsi="Arial" w:cs="Arial"/>
          <w:spacing w:val="-2"/>
          <w:sz w:val="24"/>
          <w:szCs w:val="24"/>
        </w:rPr>
        <w:t xml:space="preserve"> banco</w:t>
      </w:r>
      <w:r w:rsidR="00F65E94">
        <w:rPr>
          <w:rFonts w:ascii="Arial" w:hAnsi="Arial" w:cs="Arial"/>
          <w:spacing w:val="-2"/>
          <w:sz w:val="24"/>
          <w:szCs w:val="24"/>
        </w:rPr>
        <w:t xml:space="preserve"> depositario</w:t>
      </w:r>
      <w:r w:rsidR="00D36A22">
        <w:rPr>
          <w:rFonts w:ascii="Arial" w:hAnsi="Arial" w:cs="Arial"/>
          <w:spacing w:val="-2"/>
          <w:sz w:val="24"/>
          <w:szCs w:val="24"/>
        </w:rPr>
        <w:t xml:space="preserve"> consigna</w:t>
      </w:r>
      <w:r w:rsidR="00F65E94">
        <w:rPr>
          <w:rFonts w:ascii="Arial" w:hAnsi="Arial" w:cs="Arial"/>
          <w:spacing w:val="-2"/>
          <w:sz w:val="24"/>
          <w:szCs w:val="24"/>
        </w:rPr>
        <w:t>do</w:t>
      </w:r>
      <w:r w:rsidR="00D36A22">
        <w:rPr>
          <w:rFonts w:ascii="Arial" w:hAnsi="Arial" w:cs="Arial"/>
          <w:spacing w:val="-2"/>
          <w:sz w:val="24"/>
          <w:szCs w:val="24"/>
        </w:rPr>
        <w:t xml:space="preserve"> en la columna (V) </w:t>
      </w:r>
      <w:r w:rsidRPr="00C23D14">
        <w:rPr>
          <w:rFonts w:ascii="Arial" w:hAnsi="Arial" w:cs="Arial"/>
          <w:spacing w:val="-2"/>
          <w:sz w:val="24"/>
          <w:szCs w:val="24"/>
        </w:rPr>
        <w:t>de la Tabla N° 3 y que representan acciones de la</w:t>
      </w:r>
      <w:r w:rsidR="00F65E94">
        <w:rPr>
          <w:rFonts w:ascii="Arial" w:hAnsi="Arial" w:cs="Arial"/>
          <w:spacing w:val="-2"/>
          <w:sz w:val="24"/>
          <w:szCs w:val="24"/>
        </w:rPr>
        <w:t xml:space="preserve"> sociedad que se detalla</w:t>
      </w:r>
      <w:r w:rsidRPr="00C23D14">
        <w:rPr>
          <w:rFonts w:ascii="Arial" w:hAnsi="Arial" w:cs="Arial"/>
          <w:spacing w:val="-2"/>
          <w:sz w:val="24"/>
          <w:szCs w:val="24"/>
        </w:rPr>
        <w:t xml:space="preserve"> en la Tabla Nº 1 y cuyas características se encuentran especificadas en la Tabla Nº 3.</w:t>
      </w:r>
    </w:p>
    <w:p w14:paraId="636FA07D" w14:textId="77777777" w:rsidR="00C23D14" w:rsidRPr="00C23D14" w:rsidRDefault="00C23D14" w:rsidP="00C23D14">
      <w:pPr>
        <w:suppressAutoHyphens/>
        <w:jc w:val="both"/>
        <w:rPr>
          <w:rFonts w:ascii="Arial" w:hAnsi="Arial" w:cs="Arial"/>
          <w:spacing w:val="-2"/>
          <w:sz w:val="24"/>
          <w:szCs w:val="24"/>
        </w:rPr>
      </w:pPr>
    </w:p>
    <w:p w14:paraId="4C6CC356" w14:textId="77777777" w:rsidR="00C23D14" w:rsidRPr="00C23D14" w:rsidRDefault="00F65E94" w:rsidP="007E6FE0">
      <w:pPr>
        <w:numPr>
          <w:ilvl w:val="0"/>
          <w:numId w:val="21"/>
        </w:numPr>
        <w:suppressAutoHyphens/>
        <w:jc w:val="both"/>
        <w:rPr>
          <w:rFonts w:ascii="Arial" w:hAnsi="Arial" w:cs="Arial"/>
          <w:spacing w:val="-2"/>
          <w:sz w:val="24"/>
          <w:szCs w:val="24"/>
        </w:rPr>
      </w:pPr>
      <w:proofErr w:type="spellStart"/>
      <w:r w:rsidRPr="00F65E94">
        <w:rPr>
          <w:rFonts w:ascii="Arial" w:hAnsi="Arial" w:cs="Arial"/>
          <w:spacing w:val="-2"/>
          <w:sz w:val="24"/>
          <w:szCs w:val="24"/>
        </w:rPr>
        <w:t>The</w:t>
      </w:r>
      <w:proofErr w:type="spellEnd"/>
      <w:r w:rsidRPr="00F65E94">
        <w:rPr>
          <w:rFonts w:ascii="Arial" w:hAnsi="Arial" w:cs="Arial"/>
          <w:spacing w:val="-2"/>
          <w:sz w:val="24"/>
          <w:szCs w:val="24"/>
        </w:rPr>
        <w:t xml:space="preserve"> Bank </w:t>
      </w:r>
      <w:proofErr w:type="spellStart"/>
      <w:r w:rsidRPr="00F65E94">
        <w:rPr>
          <w:rFonts w:ascii="Arial" w:hAnsi="Arial" w:cs="Arial"/>
          <w:spacing w:val="-2"/>
          <w:sz w:val="24"/>
          <w:szCs w:val="24"/>
        </w:rPr>
        <w:t>of</w:t>
      </w:r>
      <w:proofErr w:type="spellEnd"/>
      <w:r w:rsidRPr="00F65E94">
        <w:rPr>
          <w:rFonts w:ascii="Arial" w:hAnsi="Arial" w:cs="Arial"/>
          <w:spacing w:val="-2"/>
          <w:sz w:val="24"/>
          <w:szCs w:val="24"/>
        </w:rPr>
        <w:t xml:space="preserve"> New York Mellon</w:t>
      </w:r>
      <w:r w:rsidR="00C23D14" w:rsidRPr="00C23D14">
        <w:rPr>
          <w:rFonts w:ascii="Arial" w:hAnsi="Arial" w:cs="Arial"/>
          <w:spacing w:val="-2"/>
          <w:sz w:val="24"/>
          <w:szCs w:val="24"/>
        </w:rPr>
        <w:t xml:space="preserve"> será el Banco Custodio (“el Banco Custodio”) de l</w:t>
      </w:r>
      <w:r w:rsidR="00536B9F">
        <w:rPr>
          <w:rFonts w:ascii="Arial" w:hAnsi="Arial" w:cs="Arial"/>
          <w:spacing w:val="-2"/>
          <w:sz w:val="24"/>
          <w:szCs w:val="24"/>
        </w:rPr>
        <w:t>o</w:t>
      </w:r>
      <w:r w:rsidR="003A0B7F">
        <w:rPr>
          <w:rFonts w:ascii="Arial" w:hAnsi="Arial" w:cs="Arial"/>
          <w:spacing w:val="-2"/>
          <w:sz w:val="24"/>
          <w:szCs w:val="24"/>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rPr>
        <w:t xml:space="preserve"> </w:t>
      </w:r>
      <w:r w:rsidR="00F40B5A">
        <w:rPr>
          <w:rFonts w:ascii="Arial" w:hAnsi="Arial" w:cs="Arial"/>
          <w:spacing w:val="-2"/>
          <w:sz w:val="24"/>
          <w:szCs w:val="24"/>
        </w:rPr>
        <w:t>representado</w:t>
      </w:r>
      <w:r w:rsidR="00C23D14" w:rsidRPr="00C23D14">
        <w:rPr>
          <w:rFonts w:ascii="Arial" w:hAnsi="Arial" w:cs="Arial"/>
          <w:spacing w:val="-2"/>
          <w:sz w:val="24"/>
          <w:szCs w:val="24"/>
        </w:rPr>
        <w:t xml:space="preserve">s por los </w:t>
      </w:r>
      <w:proofErr w:type="spellStart"/>
      <w:r w:rsidR="00C23D14" w:rsidRPr="00C23D14">
        <w:rPr>
          <w:rFonts w:ascii="Arial" w:hAnsi="Arial" w:cs="Arial"/>
          <w:spacing w:val="-2"/>
          <w:sz w:val="24"/>
          <w:szCs w:val="24"/>
        </w:rPr>
        <w:t>CEDEAR</w:t>
      </w:r>
      <w:r w:rsidR="001F26EF">
        <w:rPr>
          <w:rFonts w:ascii="Arial" w:hAnsi="Arial" w:cs="Arial"/>
          <w:spacing w:val="-2"/>
          <w:sz w:val="24"/>
          <w:szCs w:val="24"/>
        </w:rPr>
        <w:t>s</w:t>
      </w:r>
      <w:proofErr w:type="spellEnd"/>
      <w:r w:rsidR="00C23D14" w:rsidRPr="00C23D14">
        <w:rPr>
          <w:rFonts w:ascii="Arial" w:hAnsi="Arial" w:cs="Arial"/>
          <w:spacing w:val="-2"/>
          <w:sz w:val="24"/>
          <w:szCs w:val="24"/>
        </w:rPr>
        <w:t xml:space="preserve">, </w:t>
      </w:r>
      <w:proofErr w:type="gramStart"/>
      <w:r w:rsidR="00C23D14" w:rsidRPr="00C23D14">
        <w:rPr>
          <w:rFonts w:ascii="Arial" w:hAnsi="Arial" w:cs="Arial"/>
          <w:spacing w:val="-2"/>
          <w:sz w:val="24"/>
          <w:szCs w:val="24"/>
        </w:rPr>
        <w:t>de acuerdo al</w:t>
      </w:r>
      <w:proofErr w:type="gramEnd"/>
      <w:r w:rsidR="00C23D14" w:rsidRPr="00C23D14">
        <w:rPr>
          <w:rFonts w:ascii="Arial" w:hAnsi="Arial" w:cs="Arial"/>
          <w:spacing w:val="-2"/>
          <w:sz w:val="24"/>
          <w:szCs w:val="24"/>
        </w:rPr>
        <w:t xml:space="preserve"> Contrato de Custodia suscripto entre aquél y el Banco Emisor, que puede consultarse en el Banco Emisor. El Banco Custodio es una entidad que cumplimenta lo dispuesto por el artículo 11° inc. d), Sección </w:t>
      </w:r>
      <w:proofErr w:type="gramStart"/>
      <w:r w:rsidR="00C23D14" w:rsidRPr="00C23D14">
        <w:rPr>
          <w:rFonts w:ascii="Arial" w:hAnsi="Arial" w:cs="Arial"/>
          <w:spacing w:val="-2"/>
          <w:sz w:val="24"/>
          <w:szCs w:val="24"/>
        </w:rPr>
        <w:t>III  Capítulo</w:t>
      </w:r>
      <w:proofErr w:type="gramEnd"/>
      <w:r w:rsidR="00C23D14" w:rsidRPr="00C23D14">
        <w:rPr>
          <w:rFonts w:ascii="Arial" w:hAnsi="Arial" w:cs="Arial"/>
          <w:spacing w:val="-2"/>
          <w:sz w:val="24"/>
          <w:szCs w:val="24"/>
        </w:rPr>
        <w:t xml:space="preserve"> VIII, Titulo II de las No</w:t>
      </w:r>
      <w:r w:rsidR="005946EB">
        <w:rPr>
          <w:rFonts w:ascii="Arial" w:hAnsi="Arial" w:cs="Arial"/>
          <w:spacing w:val="-2"/>
          <w:sz w:val="24"/>
          <w:szCs w:val="24"/>
        </w:rPr>
        <w:t xml:space="preserve">rmas de la C.N.V. (T.O. 2013) - </w:t>
      </w:r>
      <w:r w:rsidR="00C23D14" w:rsidRPr="00C23D14">
        <w:rPr>
          <w:rFonts w:ascii="Arial" w:hAnsi="Arial" w:cs="Arial"/>
          <w:spacing w:val="-2"/>
          <w:sz w:val="24"/>
          <w:szCs w:val="24"/>
        </w:rPr>
        <w:t xml:space="preserve">exigencia de un patrimonio no inferior a   $ 200.000.000  (pesos dos cientos millones), pues el Banco Custodio </w:t>
      </w:r>
      <w:r w:rsidR="005946EB">
        <w:rPr>
          <w:rFonts w:ascii="Arial" w:hAnsi="Arial" w:cs="Arial"/>
          <w:spacing w:val="-2"/>
          <w:sz w:val="24"/>
          <w:szCs w:val="24"/>
        </w:rPr>
        <w:t>tiene un</w:t>
      </w:r>
      <w:r w:rsidR="00C23D14" w:rsidRPr="00C23D14">
        <w:rPr>
          <w:rFonts w:ascii="Arial" w:hAnsi="Arial" w:cs="Arial"/>
          <w:spacing w:val="-2"/>
          <w:sz w:val="24"/>
          <w:szCs w:val="24"/>
        </w:rPr>
        <w:t xml:space="preserve"> patrimonio</w:t>
      </w:r>
      <w:r w:rsidR="005946EB">
        <w:rPr>
          <w:rFonts w:ascii="Arial" w:hAnsi="Arial" w:cs="Arial"/>
          <w:spacing w:val="-2"/>
          <w:sz w:val="24"/>
          <w:szCs w:val="24"/>
        </w:rPr>
        <w:t xml:space="preserve"> que</w:t>
      </w:r>
      <w:r w:rsidR="00C23D14" w:rsidRPr="00C23D14">
        <w:rPr>
          <w:rFonts w:ascii="Arial" w:hAnsi="Arial" w:cs="Arial"/>
          <w:spacing w:val="-2"/>
          <w:sz w:val="24"/>
          <w:szCs w:val="24"/>
        </w:rPr>
        <w:t xml:space="preserve"> asciende a </w:t>
      </w:r>
      <w:r w:rsidR="00780234">
        <w:rPr>
          <w:rFonts w:ascii="Arial" w:hAnsi="Arial" w:cs="Arial"/>
          <w:spacing w:val="-2"/>
          <w:sz w:val="24"/>
          <w:szCs w:val="24"/>
        </w:rPr>
        <w:t xml:space="preserve"> </w:t>
      </w:r>
      <w:r w:rsidR="005946EB">
        <w:rPr>
          <w:rFonts w:ascii="Arial" w:hAnsi="Arial" w:cs="Arial"/>
          <w:spacing w:val="-2"/>
          <w:sz w:val="24"/>
          <w:szCs w:val="24"/>
        </w:rPr>
        <w:t xml:space="preserve">USD </w:t>
      </w:r>
      <w:r w:rsidR="003008FF">
        <w:rPr>
          <w:rFonts w:ascii="Arial" w:hAnsi="Arial" w:cs="Arial"/>
          <w:spacing w:val="-2"/>
          <w:sz w:val="24"/>
          <w:szCs w:val="24"/>
        </w:rPr>
        <w:t>41.533</w:t>
      </w:r>
      <w:r w:rsidR="005946EB">
        <w:rPr>
          <w:rFonts w:ascii="Arial" w:hAnsi="Arial" w:cs="Arial"/>
          <w:spacing w:val="-2"/>
          <w:sz w:val="24"/>
          <w:szCs w:val="24"/>
        </w:rPr>
        <w:t xml:space="preserve"> MM</w:t>
      </w:r>
      <w:r w:rsidR="00780234" w:rsidRPr="00C23D14">
        <w:rPr>
          <w:rFonts w:ascii="Arial" w:hAnsi="Arial" w:cs="Arial"/>
          <w:spacing w:val="-2"/>
          <w:sz w:val="24"/>
          <w:szCs w:val="24"/>
        </w:rPr>
        <w:t xml:space="preserve">, </w:t>
      </w:r>
      <w:r w:rsidRPr="00F65E94">
        <w:rPr>
          <w:rFonts w:ascii="Arial" w:hAnsi="Arial" w:cs="Arial"/>
          <w:spacing w:val="-2"/>
          <w:sz w:val="24"/>
          <w:szCs w:val="24"/>
        </w:rPr>
        <w:t xml:space="preserve">según surge de sus estados contables </w:t>
      </w:r>
      <w:r w:rsidR="005946EB">
        <w:rPr>
          <w:rFonts w:ascii="Arial" w:hAnsi="Arial" w:cs="Arial"/>
          <w:spacing w:val="-2"/>
          <w:sz w:val="24"/>
          <w:szCs w:val="24"/>
        </w:rPr>
        <w:t>al 3</w:t>
      </w:r>
      <w:r w:rsidR="003008FF">
        <w:rPr>
          <w:rFonts w:ascii="Arial" w:hAnsi="Arial" w:cs="Arial"/>
          <w:spacing w:val="-2"/>
          <w:sz w:val="24"/>
          <w:szCs w:val="24"/>
        </w:rPr>
        <w:t>0</w:t>
      </w:r>
      <w:r w:rsidR="005946EB">
        <w:rPr>
          <w:rFonts w:ascii="Arial" w:hAnsi="Arial" w:cs="Arial"/>
          <w:spacing w:val="-2"/>
          <w:sz w:val="24"/>
          <w:szCs w:val="24"/>
        </w:rPr>
        <w:t xml:space="preserve"> de </w:t>
      </w:r>
      <w:r w:rsidR="003008FF">
        <w:rPr>
          <w:rFonts w:ascii="Arial" w:hAnsi="Arial" w:cs="Arial"/>
          <w:spacing w:val="-2"/>
          <w:sz w:val="24"/>
          <w:szCs w:val="24"/>
        </w:rPr>
        <w:t>junio</w:t>
      </w:r>
      <w:r w:rsidR="00C23D14" w:rsidRPr="00C23D14">
        <w:rPr>
          <w:rFonts w:ascii="Arial" w:hAnsi="Arial" w:cs="Arial"/>
          <w:spacing w:val="-2"/>
          <w:sz w:val="24"/>
          <w:szCs w:val="24"/>
        </w:rPr>
        <w:t xml:space="preserve"> de 201</w:t>
      </w:r>
      <w:r w:rsidR="003008FF">
        <w:rPr>
          <w:rFonts w:ascii="Arial" w:hAnsi="Arial" w:cs="Arial"/>
          <w:spacing w:val="-2"/>
          <w:sz w:val="24"/>
          <w:szCs w:val="24"/>
        </w:rPr>
        <w:t>9</w:t>
      </w:r>
      <w:r w:rsidR="007E6FE0">
        <w:rPr>
          <w:rStyle w:val="Refdenotaalpie"/>
          <w:rFonts w:ascii="Arial" w:hAnsi="Arial" w:cs="Arial"/>
          <w:spacing w:val="-2"/>
          <w:sz w:val="24"/>
          <w:szCs w:val="24"/>
        </w:rPr>
        <w:footnoteReference w:customMarkFollows="1" w:id="4"/>
        <w:t>1</w:t>
      </w:r>
    </w:p>
    <w:p w14:paraId="038E919D" w14:textId="77777777" w:rsidR="00C23D14" w:rsidRPr="00C23D14" w:rsidRDefault="00C23D14" w:rsidP="00C23D14">
      <w:pPr>
        <w:suppressAutoHyphens/>
        <w:jc w:val="both"/>
        <w:rPr>
          <w:rFonts w:ascii="Arial" w:hAnsi="Arial" w:cs="Arial"/>
          <w:spacing w:val="-2"/>
          <w:sz w:val="24"/>
          <w:szCs w:val="24"/>
        </w:rPr>
      </w:pPr>
    </w:p>
    <w:p w14:paraId="0F74DF92" w14:textId="77777777" w:rsidR="00C23D14" w:rsidRPr="00C23D14" w:rsidRDefault="00C23D14" w:rsidP="00C23D14">
      <w:pPr>
        <w:suppressAutoHyphens/>
        <w:jc w:val="both"/>
        <w:rPr>
          <w:rFonts w:ascii="Arial" w:hAnsi="Arial" w:cs="Arial"/>
          <w:spacing w:val="-2"/>
          <w:sz w:val="24"/>
          <w:szCs w:val="24"/>
        </w:rPr>
      </w:pPr>
    </w:p>
    <w:p w14:paraId="11B1ABF9" w14:textId="77777777" w:rsidR="003128FC"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Custodio prestará en Nueva York los servicios de custodia de l</w:t>
      </w:r>
      <w:r w:rsidR="00F40B5A">
        <w:rPr>
          <w:rFonts w:ascii="Arial" w:hAnsi="Arial" w:cs="Arial"/>
          <w:spacing w:val="-2"/>
          <w:sz w:val="24"/>
          <w:szCs w:val="24"/>
        </w:rPr>
        <w:t>o</w:t>
      </w:r>
      <w:r w:rsidRPr="00C23D14">
        <w:rPr>
          <w:rFonts w:ascii="Arial" w:hAnsi="Arial" w:cs="Arial"/>
          <w:spacing w:val="-2"/>
          <w:sz w:val="24"/>
          <w:szCs w:val="24"/>
        </w:rPr>
        <w:t xml:space="preserve">s </w:t>
      </w:r>
      <w:proofErr w:type="spellStart"/>
      <w:r w:rsidR="00477BC5">
        <w:rPr>
          <w:rFonts w:ascii="Arial" w:hAnsi="Arial" w:cs="Arial"/>
          <w:spacing w:val="-2"/>
          <w:sz w:val="24"/>
          <w:szCs w:val="24"/>
        </w:rPr>
        <w:t>ADS</w:t>
      </w:r>
      <w:r w:rsidR="00F40B5A">
        <w:rPr>
          <w:rFonts w:ascii="Arial" w:hAnsi="Arial" w:cs="Arial"/>
          <w:spacing w:val="-2"/>
          <w:sz w:val="24"/>
          <w:szCs w:val="24"/>
        </w:rPr>
        <w:t>s</w:t>
      </w:r>
      <w:proofErr w:type="spellEnd"/>
      <w:r w:rsidRPr="00C23D14">
        <w:rPr>
          <w:rFonts w:ascii="Arial" w:hAnsi="Arial" w:cs="Arial"/>
          <w:spacing w:val="-2"/>
          <w:sz w:val="24"/>
          <w:szCs w:val="24"/>
        </w:rPr>
        <w:t>, recibirá la información que le enví</w:t>
      </w:r>
      <w:r w:rsidR="005946EB">
        <w:rPr>
          <w:rFonts w:ascii="Arial" w:hAnsi="Arial" w:cs="Arial"/>
          <w:spacing w:val="-2"/>
          <w:sz w:val="24"/>
          <w:szCs w:val="24"/>
        </w:rPr>
        <w:t>e</w:t>
      </w:r>
      <w:r w:rsidR="00F40B5A">
        <w:rPr>
          <w:rFonts w:ascii="Arial" w:hAnsi="Arial" w:cs="Arial"/>
          <w:spacing w:val="-2"/>
          <w:sz w:val="24"/>
          <w:szCs w:val="24"/>
        </w:rPr>
        <w:t xml:space="preserve"> </w:t>
      </w:r>
      <w:r w:rsidR="005946EB">
        <w:rPr>
          <w:rFonts w:ascii="Arial" w:hAnsi="Arial" w:cs="Arial"/>
          <w:spacing w:val="-2"/>
          <w:sz w:val="24"/>
          <w:szCs w:val="24"/>
        </w:rPr>
        <w:t>el Banco</w:t>
      </w:r>
      <w:r w:rsidR="00EE0934">
        <w:rPr>
          <w:rFonts w:ascii="Arial" w:hAnsi="Arial" w:cs="Arial"/>
          <w:spacing w:val="-2"/>
          <w:sz w:val="24"/>
          <w:szCs w:val="24"/>
        </w:rPr>
        <w:t xml:space="preserve"> Depositario</w:t>
      </w:r>
      <w:r w:rsidR="00F40B5A">
        <w:rPr>
          <w:rFonts w:ascii="Arial" w:hAnsi="Arial" w:cs="Arial"/>
          <w:spacing w:val="-2"/>
          <w:sz w:val="24"/>
          <w:szCs w:val="24"/>
        </w:rPr>
        <w:t xml:space="preserve"> </w:t>
      </w:r>
      <w:r w:rsidR="00EE0934">
        <w:rPr>
          <w:rFonts w:ascii="Arial" w:hAnsi="Arial" w:cs="Arial"/>
          <w:spacing w:val="-2"/>
          <w:sz w:val="24"/>
          <w:szCs w:val="24"/>
        </w:rPr>
        <w:t>o l</w:t>
      </w:r>
      <w:r w:rsidR="005946EB">
        <w:rPr>
          <w:rFonts w:ascii="Arial" w:hAnsi="Arial" w:cs="Arial"/>
          <w:spacing w:val="-2"/>
          <w:sz w:val="24"/>
          <w:szCs w:val="24"/>
        </w:rPr>
        <w:t>a</w:t>
      </w:r>
      <w:r w:rsidR="007B6DCA">
        <w:rPr>
          <w:rFonts w:ascii="Arial" w:hAnsi="Arial" w:cs="Arial"/>
          <w:spacing w:val="-2"/>
          <w:sz w:val="24"/>
          <w:szCs w:val="24"/>
        </w:rPr>
        <w:t xml:space="preserve"> s</w:t>
      </w:r>
      <w:r w:rsidR="005946EB">
        <w:rPr>
          <w:rFonts w:ascii="Arial" w:hAnsi="Arial" w:cs="Arial"/>
          <w:spacing w:val="-2"/>
          <w:sz w:val="24"/>
          <w:szCs w:val="24"/>
        </w:rPr>
        <w:t>ociedad emisora</w:t>
      </w:r>
      <w:r w:rsidR="007B6DCA">
        <w:rPr>
          <w:rFonts w:ascii="Arial" w:hAnsi="Arial" w:cs="Arial"/>
          <w:spacing w:val="-2"/>
          <w:sz w:val="24"/>
          <w:szCs w:val="24"/>
        </w:rPr>
        <w:t xml:space="preserve"> de las A</w:t>
      </w:r>
      <w:r w:rsidR="00EE0934">
        <w:rPr>
          <w:rFonts w:ascii="Arial" w:hAnsi="Arial" w:cs="Arial"/>
          <w:spacing w:val="-2"/>
          <w:sz w:val="24"/>
          <w:szCs w:val="24"/>
        </w:rPr>
        <w:t xml:space="preserve">cciones </w:t>
      </w:r>
      <w:r w:rsidR="007B6DCA">
        <w:rPr>
          <w:rFonts w:ascii="Arial" w:hAnsi="Arial" w:cs="Arial"/>
          <w:spacing w:val="-2"/>
          <w:sz w:val="24"/>
          <w:szCs w:val="24"/>
        </w:rPr>
        <w:t>S</w:t>
      </w:r>
      <w:r w:rsidR="00EE0934">
        <w:rPr>
          <w:rFonts w:ascii="Arial" w:hAnsi="Arial" w:cs="Arial"/>
          <w:spacing w:val="-2"/>
          <w:sz w:val="24"/>
          <w:szCs w:val="24"/>
        </w:rPr>
        <w:t xml:space="preserve">ubyacentes </w:t>
      </w:r>
      <w:r w:rsidR="00F40B5A">
        <w:rPr>
          <w:rFonts w:ascii="Arial" w:hAnsi="Arial" w:cs="Arial"/>
          <w:spacing w:val="-2"/>
          <w:sz w:val="24"/>
          <w:szCs w:val="24"/>
        </w:rPr>
        <w:t>de lo</w:t>
      </w:r>
      <w:r w:rsidRPr="00C23D14">
        <w:rPr>
          <w:rFonts w:ascii="Arial" w:hAnsi="Arial" w:cs="Arial"/>
          <w:spacing w:val="-2"/>
          <w:sz w:val="24"/>
          <w:szCs w:val="24"/>
        </w:rPr>
        <w:t xml:space="preserve">s </w:t>
      </w:r>
      <w:proofErr w:type="spellStart"/>
      <w:r w:rsidR="00477BC5">
        <w:rPr>
          <w:rFonts w:ascii="Arial" w:hAnsi="Arial" w:cs="Arial"/>
          <w:spacing w:val="-2"/>
          <w:sz w:val="24"/>
          <w:szCs w:val="24"/>
          <w:lang w:val="es-AR"/>
        </w:rPr>
        <w:t>ADS</w:t>
      </w:r>
      <w:r w:rsidR="00F40B5A">
        <w:rPr>
          <w:rFonts w:ascii="Arial" w:hAnsi="Arial" w:cs="Arial"/>
          <w:spacing w:val="-2"/>
          <w:sz w:val="24"/>
          <w:szCs w:val="24"/>
          <w:lang w:val="es-AR"/>
        </w:rPr>
        <w:t>s</w:t>
      </w:r>
      <w:proofErr w:type="spellEnd"/>
      <w:r w:rsidRPr="00C23D14">
        <w:rPr>
          <w:rFonts w:ascii="Arial" w:hAnsi="Arial" w:cs="Arial"/>
          <w:spacing w:val="-2"/>
          <w:sz w:val="24"/>
          <w:szCs w:val="24"/>
        </w:rPr>
        <w:t>, informará sobre las asambleas a realizarse y los pagos de dividendos, efectuará la transferencia de los dividendos que perciba, y ejercerá las instrucciones de voto que reciba por cuenta y orden del Banco Emisor y en beneficio de los tenedores de los CEDEAR</w:t>
      </w:r>
      <w:r w:rsidR="001F26EF">
        <w:rPr>
          <w:rFonts w:ascii="Arial" w:hAnsi="Arial" w:cs="Arial"/>
          <w:spacing w:val="-2"/>
          <w:sz w:val="24"/>
          <w:szCs w:val="24"/>
        </w:rPr>
        <w:t>s</w:t>
      </w:r>
      <w:r w:rsidRPr="00C23D14">
        <w:rPr>
          <w:rFonts w:ascii="Arial" w:hAnsi="Arial" w:cs="Arial"/>
          <w:spacing w:val="-2"/>
          <w:sz w:val="24"/>
          <w:szCs w:val="24"/>
        </w:rPr>
        <w:t>, y cualquier otro servicio que corresponda prestar conforme a los contratos y regulaciones vigentes</w:t>
      </w:r>
      <w:r w:rsidR="003128FC">
        <w:rPr>
          <w:rFonts w:ascii="Arial" w:hAnsi="Arial" w:cs="Arial"/>
          <w:spacing w:val="-2"/>
          <w:sz w:val="24"/>
          <w:szCs w:val="24"/>
        </w:rPr>
        <w:t>.</w:t>
      </w:r>
    </w:p>
    <w:p w14:paraId="681F3151" w14:textId="77777777"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 xml:space="preserve"> </w:t>
      </w:r>
    </w:p>
    <w:p w14:paraId="0FB3E3AB" w14:textId="77777777" w:rsidR="00C23D14" w:rsidRPr="00C23D14" w:rsidRDefault="00C23D14" w:rsidP="00C23D14">
      <w:pPr>
        <w:suppressAutoHyphens/>
        <w:jc w:val="both"/>
        <w:rPr>
          <w:rFonts w:ascii="Arial" w:hAnsi="Arial" w:cs="Arial"/>
          <w:spacing w:val="-2"/>
          <w:sz w:val="24"/>
          <w:szCs w:val="24"/>
          <w:lang w:val="es-ES_tradnl"/>
        </w:rPr>
      </w:pPr>
      <w:r w:rsidRPr="00C23D14">
        <w:rPr>
          <w:rFonts w:ascii="Arial" w:hAnsi="Arial" w:cs="Arial"/>
          <w:spacing w:val="-2"/>
          <w:sz w:val="24"/>
          <w:szCs w:val="24"/>
          <w:lang w:val="es-ES_tradnl"/>
        </w:rPr>
        <w:t>En la tabla de Ho</w:t>
      </w:r>
      <w:r w:rsidR="00C16911">
        <w:rPr>
          <w:rFonts w:ascii="Arial" w:hAnsi="Arial" w:cs="Arial"/>
          <w:spacing w:val="-2"/>
          <w:sz w:val="24"/>
          <w:szCs w:val="24"/>
          <w:lang w:val="es-ES_tradnl"/>
        </w:rPr>
        <w:t>norarios y Comisiones anexa al a</w:t>
      </w:r>
      <w:r w:rsidRPr="00C23D14">
        <w:rPr>
          <w:rFonts w:ascii="Arial" w:hAnsi="Arial" w:cs="Arial"/>
          <w:spacing w:val="-2"/>
          <w:sz w:val="24"/>
          <w:szCs w:val="24"/>
          <w:lang w:val="es-ES_tradnl"/>
        </w:rPr>
        <w:t xml:space="preserve">rtículo </w:t>
      </w:r>
      <w:r w:rsidR="00B66FC2">
        <w:rPr>
          <w:rFonts w:ascii="Arial" w:hAnsi="Arial" w:cs="Arial"/>
          <w:spacing w:val="-2"/>
          <w:sz w:val="24"/>
          <w:szCs w:val="24"/>
          <w:lang w:val="es-ES_tradnl"/>
        </w:rPr>
        <w:t>20</w:t>
      </w:r>
      <w:r w:rsidR="004F0ACF">
        <w:rPr>
          <w:rFonts w:ascii="Arial" w:hAnsi="Arial" w:cs="Arial"/>
          <w:spacing w:val="-2"/>
          <w:sz w:val="24"/>
          <w:szCs w:val="24"/>
          <w:lang w:val="es-ES_tradnl"/>
        </w:rPr>
        <w:t xml:space="preserve"> de los Términos y C</w:t>
      </w:r>
      <w:r w:rsidRPr="00C23D14">
        <w:rPr>
          <w:rFonts w:ascii="Arial" w:hAnsi="Arial" w:cs="Arial"/>
          <w:spacing w:val="-2"/>
          <w:sz w:val="24"/>
          <w:szCs w:val="24"/>
          <w:lang w:val="es-ES_tradnl"/>
        </w:rPr>
        <w:t xml:space="preserve">ondiciones se especifican las comisiones de emisión, cancelación, ejercicio de derechos de voto, y comisión por pago de dividendos que percibirá Banco Comafi S.A. </w:t>
      </w:r>
    </w:p>
    <w:p w14:paraId="0331D88A" w14:textId="77777777" w:rsidR="00C23D14" w:rsidRPr="00C23D14" w:rsidRDefault="00C23D14" w:rsidP="00C23D14">
      <w:pPr>
        <w:suppressAutoHyphens/>
        <w:jc w:val="both"/>
        <w:rPr>
          <w:rFonts w:ascii="Arial" w:hAnsi="Arial" w:cs="Arial"/>
          <w:spacing w:val="-2"/>
          <w:sz w:val="24"/>
          <w:szCs w:val="24"/>
        </w:rPr>
      </w:pPr>
    </w:p>
    <w:p w14:paraId="2A4CC933"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lastRenderedPageBreak/>
        <w:t>Caja de Valores S.A. será el Agente de Reg</w:t>
      </w:r>
      <w:r w:rsidR="003128FC">
        <w:rPr>
          <w:rFonts w:ascii="Arial" w:hAnsi="Arial" w:cs="Arial"/>
          <w:spacing w:val="-2"/>
          <w:sz w:val="24"/>
          <w:szCs w:val="24"/>
          <w:lang w:val="es-AR"/>
        </w:rPr>
        <w:t>istro y Servicios de Pago del</w:t>
      </w:r>
      <w:r w:rsidRPr="00C23D14">
        <w:rPr>
          <w:rFonts w:ascii="Arial" w:hAnsi="Arial" w:cs="Arial"/>
          <w:spacing w:val="-2"/>
          <w:sz w:val="24"/>
          <w:szCs w:val="24"/>
          <w:lang w:val="es-AR"/>
        </w:rPr>
        <w:t xml:space="preserve"> Programa de CEDEAR</w:t>
      </w:r>
      <w:r w:rsidR="001F26EF">
        <w:rPr>
          <w:rFonts w:ascii="Arial" w:hAnsi="Arial" w:cs="Arial"/>
          <w:spacing w:val="-2"/>
          <w:sz w:val="24"/>
          <w:szCs w:val="24"/>
          <w:lang w:val="es-AR"/>
        </w:rPr>
        <w:t>s</w:t>
      </w:r>
      <w:r w:rsidRPr="00C23D14">
        <w:rPr>
          <w:rFonts w:ascii="Arial" w:hAnsi="Arial" w:cs="Arial"/>
          <w:spacing w:val="-2"/>
          <w:sz w:val="24"/>
          <w:szCs w:val="24"/>
          <w:lang w:val="es-AR"/>
        </w:rPr>
        <w:t xml:space="preserve"> del Banco, en los términos del Contrato de Agente de Registro y otros servicios suscripto</w:t>
      </w:r>
      <w:r w:rsidR="00EB164B">
        <w:rPr>
          <w:rFonts w:ascii="Arial" w:hAnsi="Arial" w:cs="Arial"/>
          <w:spacing w:val="-2"/>
          <w:sz w:val="24"/>
          <w:szCs w:val="24"/>
          <w:lang w:val="es-AR"/>
        </w:rPr>
        <w:t>s</w:t>
      </w:r>
      <w:r w:rsidRPr="00C23D14">
        <w:rPr>
          <w:rFonts w:ascii="Arial" w:hAnsi="Arial" w:cs="Arial"/>
          <w:spacing w:val="-2"/>
          <w:sz w:val="24"/>
          <w:szCs w:val="24"/>
          <w:lang w:val="es-AR"/>
        </w:rPr>
        <w:t xml:space="preserve"> entre aquélla y el Banco, que puede consultarse en el Banco.</w:t>
      </w:r>
    </w:p>
    <w:p w14:paraId="5ECF83AB" w14:textId="77777777" w:rsidR="00C23D14" w:rsidRPr="00C23D14" w:rsidRDefault="00C23D14" w:rsidP="00C23D14">
      <w:pPr>
        <w:suppressAutoHyphens/>
        <w:jc w:val="both"/>
        <w:rPr>
          <w:rFonts w:ascii="Arial" w:hAnsi="Arial" w:cs="Arial"/>
          <w:spacing w:val="-2"/>
          <w:sz w:val="24"/>
          <w:szCs w:val="24"/>
          <w:lang w:val="es-AR"/>
        </w:rPr>
      </w:pPr>
    </w:p>
    <w:p w14:paraId="59FB154E" w14:textId="77777777"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El Programa</w:t>
      </w:r>
      <w:r w:rsidR="00C23D14" w:rsidRPr="00C23D14">
        <w:rPr>
          <w:rFonts w:ascii="Arial" w:hAnsi="Arial" w:cs="Arial"/>
          <w:spacing w:val="-2"/>
          <w:sz w:val="24"/>
          <w:szCs w:val="24"/>
          <w:lang w:val="es-AR"/>
        </w:rPr>
        <w:t xml:space="preserve"> de CEDEAR llevará la denominación correspondient</w:t>
      </w:r>
      <w:r w:rsidR="00F40B5A">
        <w:rPr>
          <w:rFonts w:ascii="Arial" w:hAnsi="Arial" w:cs="Arial"/>
          <w:spacing w:val="-2"/>
          <w:sz w:val="24"/>
          <w:szCs w:val="24"/>
          <w:lang w:val="es-AR"/>
        </w:rPr>
        <w:t xml:space="preserve">e a la sociedad </w:t>
      </w:r>
      <w:proofErr w:type="gramStart"/>
      <w:r w:rsidR="00F40B5A">
        <w:rPr>
          <w:rFonts w:ascii="Arial" w:hAnsi="Arial" w:cs="Arial"/>
          <w:spacing w:val="-2"/>
          <w:sz w:val="24"/>
          <w:szCs w:val="24"/>
          <w:lang w:val="es-AR"/>
        </w:rPr>
        <w:t xml:space="preserve">emisora </w:t>
      </w:r>
      <w:r w:rsidR="007B6DCA">
        <w:rPr>
          <w:rFonts w:ascii="Arial" w:hAnsi="Arial" w:cs="Arial"/>
          <w:spacing w:val="-2"/>
          <w:sz w:val="24"/>
          <w:szCs w:val="24"/>
          <w:lang w:val="es-AR"/>
        </w:rPr>
        <w:t xml:space="preserve"> de</w:t>
      </w:r>
      <w:proofErr w:type="gramEnd"/>
      <w:r w:rsidR="007B6DCA">
        <w:rPr>
          <w:rFonts w:ascii="Arial" w:hAnsi="Arial" w:cs="Arial"/>
          <w:spacing w:val="-2"/>
          <w:sz w:val="24"/>
          <w:szCs w:val="24"/>
          <w:lang w:val="es-AR"/>
        </w:rPr>
        <w:t xml:space="preserve">  las 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F40B5A">
        <w:rPr>
          <w:rFonts w:ascii="Arial" w:hAnsi="Arial" w:cs="Arial"/>
          <w:spacing w:val="-2"/>
          <w:sz w:val="24"/>
          <w:szCs w:val="24"/>
          <w:lang w:val="es-AR"/>
        </w:rPr>
        <w:t>de lo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F40B5A">
        <w:rPr>
          <w:rFonts w:ascii="Arial" w:hAnsi="Arial" w:cs="Arial"/>
          <w:spacing w:val="-2"/>
          <w:sz w:val="24"/>
          <w:szCs w:val="24"/>
          <w:lang w:val="es-AR"/>
        </w:rPr>
        <w:t>s</w:t>
      </w:r>
      <w:proofErr w:type="spellEnd"/>
      <w:r w:rsidR="00C23D14" w:rsidRPr="00C23D14">
        <w:rPr>
          <w:rFonts w:ascii="Arial" w:hAnsi="Arial" w:cs="Arial"/>
          <w:spacing w:val="-2"/>
          <w:sz w:val="24"/>
          <w:szCs w:val="24"/>
          <w:lang w:val="es-AR"/>
        </w:rPr>
        <w:t>, representad</w:t>
      </w:r>
      <w:r w:rsidR="00F40B5A">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63049C">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14:paraId="106D378B" w14:textId="77777777" w:rsidR="00C23D14" w:rsidRPr="00C23D14" w:rsidRDefault="00C23D14" w:rsidP="00C23D14">
      <w:pPr>
        <w:suppressAutoHyphens/>
        <w:jc w:val="both"/>
        <w:rPr>
          <w:rFonts w:ascii="Arial" w:hAnsi="Arial" w:cs="Arial"/>
          <w:spacing w:val="-2"/>
          <w:sz w:val="24"/>
          <w:szCs w:val="24"/>
          <w:lang w:val="es-AR"/>
        </w:rPr>
      </w:pPr>
    </w:p>
    <w:p w14:paraId="48F879AE"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Cada CED</w:t>
      </w:r>
      <w:r w:rsidR="003128FC">
        <w:rPr>
          <w:rFonts w:ascii="Arial" w:hAnsi="Arial" w:cs="Arial"/>
          <w:spacing w:val="-2"/>
          <w:sz w:val="24"/>
          <w:szCs w:val="24"/>
          <w:lang w:val="es-AR"/>
        </w:rPr>
        <w:t xml:space="preserve">EAR de V/N $1 (UN PESO) </w:t>
      </w:r>
      <w:r w:rsidRPr="00C23D14">
        <w:rPr>
          <w:rFonts w:ascii="Arial" w:hAnsi="Arial" w:cs="Arial"/>
          <w:spacing w:val="-2"/>
          <w:sz w:val="24"/>
          <w:szCs w:val="24"/>
          <w:lang w:val="es-AR"/>
        </w:rPr>
        <w:t xml:space="preserve">que se emita </w:t>
      </w:r>
      <w:proofErr w:type="gramStart"/>
      <w:r w:rsidRPr="00C23D14">
        <w:rPr>
          <w:rFonts w:ascii="Arial" w:hAnsi="Arial" w:cs="Arial"/>
          <w:spacing w:val="-2"/>
          <w:sz w:val="24"/>
          <w:szCs w:val="24"/>
          <w:lang w:val="es-AR"/>
        </w:rPr>
        <w:t>de</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acuerdo</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w:t>
      </w:r>
      <w:r w:rsidR="003128FC">
        <w:rPr>
          <w:rFonts w:ascii="Arial" w:hAnsi="Arial" w:cs="Arial"/>
          <w:spacing w:val="-2"/>
          <w:sz w:val="24"/>
          <w:szCs w:val="24"/>
          <w:lang w:val="es-AR"/>
        </w:rPr>
        <w:t>l</w:t>
      </w:r>
      <w:proofErr w:type="gramEnd"/>
      <w:r w:rsidRPr="00C23D14">
        <w:rPr>
          <w:rFonts w:ascii="Arial" w:hAnsi="Arial" w:cs="Arial"/>
          <w:spacing w:val="-2"/>
          <w:sz w:val="24"/>
          <w:szCs w:val="24"/>
          <w:lang w:val="es-AR"/>
        </w:rPr>
        <w:t xml:space="preserve"> Programa representará la fracción </w:t>
      </w:r>
      <w:r w:rsidR="002E4254">
        <w:rPr>
          <w:rFonts w:ascii="Arial" w:hAnsi="Arial" w:cs="Arial"/>
          <w:spacing w:val="-2"/>
          <w:sz w:val="24"/>
          <w:szCs w:val="24"/>
          <w:lang w:val="es-AR"/>
        </w:rPr>
        <w:t xml:space="preserve">del </w:t>
      </w:r>
      <w:r w:rsidR="00477BC5">
        <w:rPr>
          <w:rFonts w:ascii="Arial" w:hAnsi="Arial" w:cs="Arial"/>
          <w:spacing w:val="-2"/>
          <w:sz w:val="24"/>
          <w:szCs w:val="24"/>
          <w:lang w:val="es-AR"/>
        </w:rPr>
        <w:t>ADS</w:t>
      </w:r>
      <w:r w:rsidR="002E4254" w:rsidRPr="00C23D14">
        <w:rPr>
          <w:rFonts w:ascii="Arial" w:hAnsi="Arial" w:cs="Arial"/>
          <w:spacing w:val="-2"/>
          <w:sz w:val="24"/>
          <w:szCs w:val="24"/>
          <w:lang w:val="es-AR"/>
        </w:rPr>
        <w:t xml:space="preserve"> </w:t>
      </w:r>
      <w:r w:rsidRPr="00C23D14">
        <w:rPr>
          <w:rFonts w:ascii="Arial" w:hAnsi="Arial" w:cs="Arial"/>
          <w:spacing w:val="-2"/>
          <w:sz w:val="24"/>
          <w:szCs w:val="24"/>
          <w:lang w:val="es-AR"/>
        </w:rPr>
        <w:t xml:space="preserve">que se indica en la Tabla </w:t>
      </w:r>
      <w:proofErr w:type="spellStart"/>
      <w:r w:rsidRPr="00C23D14">
        <w:rPr>
          <w:rFonts w:ascii="Arial" w:hAnsi="Arial" w:cs="Arial"/>
          <w:spacing w:val="-2"/>
          <w:sz w:val="24"/>
          <w:szCs w:val="24"/>
          <w:lang w:val="es-AR"/>
        </w:rPr>
        <w:t>Nº</w:t>
      </w:r>
      <w:proofErr w:type="spellEnd"/>
      <w:r w:rsidRPr="00C23D14">
        <w:rPr>
          <w:rFonts w:ascii="Arial" w:hAnsi="Arial" w:cs="Arial"/>
          <w:spacing w:val="-2"/>
          <w:sz w:val="24"/>
          <w:szCs w:val="24"/>
          <w:lang w:val="es-AR"/>
        </w:rPr>
        <w:t xml:space="preserve"> 3 (CEDEAR/</w:t>
      </w:r>
      <w:r w:rsidR="00477BC5">
        <w:rPr>
          <w:rFonts w:ascii="Arial" w:hAnsi="Arial" w:cs="Arial"/>
          <w:spacing w:val="-2"/>
          <w:sz w:val="24"/>
          <w:szCs w:val="24"/>
          <w:lang w:val="es-AR"/>
        </w:rPr>
        <w:t>ADS</w:t>
      </w:r>
      <w:r w:rsidR="00BE583E" w:rsidRPr="00C23D14">
        <w:rPr>
          <w:rFonts w:ascii="Arial" w:hAnsi="Arial" w:cs="Arial"/>
          <w:spacing w:val="-2"/>
          <w:sz w:val="24"/>
          <w:szCs w:val="24"/>
          <w:lang w:val="es-AR"/>
        </w:rPr>
        <w:t xml:space="preserve"> </w:t>
      </w:r>
      <w:r w:rsidRPr="00C23D14">
        <w:rPr>
          <w:rFonts w:ascii="Arial" w:hAnsi="Arial" w:cs="Arial"/>
          <w:spacing w:val="-2"/>
          <w:sz w:val="24"/>
          <w:szCs w:val="24"/>
          <w:lang w:val="es-AR"/>
        </w:rPr>
        <w:t xml:space="preserve">– n CEDEAR equivalen a x </w:t>
      </w:r>
      <w:proofErr w:type="spellStart"/>
      <w:r w:rsidR="00477BC5">
        <w:rPr>
          <w:rFonts w:ascii="Arial" w:hAnsi="Arial" w:cs="Arial"/>
          <w:spacing w:val="-2"/>
          <w:sz w:val="24"/>
          <w:szCs w:val="24"/>
          <w:lang w:val="es-AR"/>
        </w:rPr>
        <w:t>ADS</w:t>
      </w:r>
      <w:r w:rsidR="002E4254">
        <w:rPr>
          <w:rFonts w:ascii="Arial" w:hAnsi="Arial" w:cs="Arial"/>
          <w:spacing w:val="-2"/>
          <w:sz w:val="24"/>
          <w:szCs w:val="24"/>
          <w:lang w:val="es-AR"/>
        </w:rPr>
        <w:t>s</w:t>
      </w:r>
      <w:proofErr w:type="spellEnd"/>
      <w:r w:rsidRPr="00C23D14">
        <w:rPr>
          <w:rFonts w:ascii="Arial" w:hAnsi="Arial" w:cs="Arial"/>
          <w:spacing w:val="-2"/>
          <w:sz w:val="24"/>
          <w:szCs w:val="24"/>
          <w:lang w:val="es-AR"/>
        </w:rPr>
        <w:t>).</w:t>
      </w:r>
    </w:p>
    <w:p w14:paraId="7F60EC29" w14:textId="77777777" w:rsidR="00C23D14" w:rsidRPr="00C23D14" w:rsidRDefault="00C23D14" w:rsidP="00C23D14">
      <w:pPr>
        <w:suppressAutoHyphens/>
        <w:jc w:val="both"/>
        <w:rPr>
          <w:rFonts w:ascii="Arial" w:hAnsi="Arial" w:cs="Arial"/>
          <w:spacing w:val="-2"/>
          <w:sz w:val="24"/>
          <w:szCs w:val="24"/>
          <w:lang w:val="es-AR"/>
        </w:rPr>
      </w:pPr>
    </w:p>
    <w:p w14:paraId="4450ECF0"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En la Tabla Nº 3 se consigna también el monto máximo de CEDEAR</w:t>
      </w:r>
      <w:r w:rsidR="001F26EF">
        <w:rPr>
          <w:rFonts w:ascii="Arial" w:hAnsi="Arial" w:cs="Arial"/>
          <w:spacing w:val="-2"/>
          <w:sz w:val="24"/>
          <w:szCs w:val="24"/>
          <w:lang w:val="es-AR"/>
        </w:rPr>
        <w:t>s</w:t>
      </w:r>
      <w:r w:rsidR="004B0AF5">
        <w:rPr>
          <w:rFonts w:ascii="Arial" w:hAnsi="Arial" w:cs="Arial"/>
          <w:spacing w:val="-2"/>
          <w:sz w:val="24"/>
          <w:szCs w:val="24"/>
          <w:lang w:val="es-AR"/>
        </w:rPr>
        <w:t xml:space="preserve"> admitido por la CNV para este </w:t>
      </w:r>
      <w:r w:rsidRPr="00C23D14">
        <w:rPr>
          <w:rFonts w:ascii="Arial" w:hAnsi="Arial" w:cs="Arial"/>
          <w:spacing w:val="-2"/>
          <w:sz w:val="24"/>
          <w:szCs w:val="24"/>
          <w:lang w:val="es-AR"/>
        </w:rPr>
        <w:t>Programa.</w:t>
      </w:r>
    </w:p>
    <w:p w14:paraId="6F9E7965" w14:textId="77777777" w:rsidR="00C23D14" w:rsidRPr="00C23D14" w:rsidRDefault="00C23D14" w:rsidP="00C23D14">
      <w:pPr>
        <w:suppressAutoHyphens/>
        <w:jc w:val="both"/>
        <w:rPr>
          <w:rFonts w:ascii="Arial" w:hAnsi="Arial" w:cs="Arial"/>
          <w:spacing w:val="-2"/>
          <w:sz w:val="24"/>
          <w:szCs w:val="24"/>
          <w:lang w:val="es-AR"/>
        </w:rPr>
      </w:pPr>
    </w:p>
    <w:p w14:paraId="2DA3F91A" w14:textId="77777777" w:rsidR="00B552C7"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Emisor  proporcionará la información prevista en el artículo 14 y 16, Sección III, Capitulo VIII, Título</w:t>
      </w:r>
      <w:r w:rsidR="0057673A">
        <w:rPr>
          <w:rFonts w:ascii="Arial" w:hAnsi="Arial" w:cs="Arial"/>
          <w:spacing w:val="-2"/>
          <w:sz w:val="24"/>
          <w:szCs w:val="24"/>
        </w:rPr>
        <w:t xml:space="preserve"> </w:t>
      </w:r>
      <w:r w:rsidRPr="00C23D14">
        <w:rPr>
          <w:rFonts w:ascii="Arial" w:hAnsi="Arial" w:cs="Arial"/>
          <w:spacing w:val="-2"/>
          <w:sz w:val="24"/>
          <w:szCs w:val="24"/>
        </w:rPr>
        <w:t xml:space="preserve">II de las Normas de la </w:t>
      </w:r>
      <w:smartTag w:uri="urn:schemas-microsoft-com:office:smarttags" w:element="stockticker">
        <w:r w:rsidRPr="00C23D14">
          <w:rPr>
            <w:rFonts w:ascii="Arial" w:hAnsi="Arial" w:cs="Arial"/>
            <w:spacing w:val="-2"/>
            <w:sz w:val="24"/>
            <w:szCs w:val="24"/>
          </w:rPr>
          <w:t>CNV</w:t>
        </w:r>
      </w:smartTag>
      <w:r w:rsidRPr="00C23D14">
        <w:rPr>
          <w:rFonts w:ascii="Arial" w:hAnsi="Arial" w:cs="Arial"/>
          <w:spacing w:val="-2"/>
          <w:sz w:val="24"/>
          <w:szCs w:val="24"/>
        </w:rPr>
        <w:t xml:space="preserve"> (T.O.2013)</w:t>
      </w:r>
      <w:r w:rsidR="00B552C7">
        <w:rPr>
          <w:rFonts w:ascii="Arial" w:hAnsi="Arial" w:cs="Arial"/>
          <w:spacing w:val="-2"/>
          <w:sz w:val="24"/>
          <w:szCs w:val="24"/>
        </w:rPr>
        <w:t>:</w:t>
      </w:r>
    </w:p>
    <w:p w14:paraId="06981305" w14:textId="77777777" w:rsidR="00B552C7" w:rsidRDefault="00C23D14" w:rsidP="002C3DCE">
      <w:pPr>
        <w:numPr>
          <w:ilvl w:val="0"/>
          <w:numId w:val="15"/>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sidR="00B552C7">
        <w:rPr>
          <w:rFonts w:ascii="Arial" w:hAnsi="Arial" w:cs="Arial"/>
          <w:spacing w:val="-2"/>
          <w:sz w:val="24"/>
          <w:szCs w:val="24"/>
        </w:rPr>
        <w:t xml:space="preserve">al sitio web de la CNV </w:t>
      </w:r>
      <w:hyperlink r:id="rId24" w:history="1">
        <w:r w:rsidR="00AC3AEF" w:rsidRPr="003A3830">
          <w:rPr>
            <w:rStyle w:val="Hipervnculo"/>
            <w:rFonts w:ascii="Arial" w:hAnsi="Arial" w:cs="Arial"/>
            <w:spacing w:val="-2"/>
            <w:sz w:val="24"/>
            <w:szCs w:val="24"/>
          </w:rPr>
          <w:t>http://www.cnv.gov.ar/sitioWeb</w:t>
        </w:r>
      </w:hyperlink>
      <w:r w:rsidR="00B552C7" w:rsidRPr="004F5A88">
        <w:rPr>
          <w:rStyle w:val="Hipervnculo"/>
          <w:rFonts w:ascii="Arial" w:hAnsi="Arial" w:cs="Arial"/>
          <w:spacing w:val="-2"/>
          <w:sz w:val="24"/>
          <w:szCs w:val="24"/>
          <w:u w:val="none"/>
        </w:rPr>
        <w:t>/</w:t>
      </w:r>
      <w:r w:rsidR="003F5432" w:rsidRPr="004F5A88">
        <w:rPr>
          <w:rStyle w:val="Hipervnculo"/>
          <w:color w:val="auto"/>
          <w:u w:val="none"/>
        </w:rPr>
        <w:t>;</w:t>
      </w:r>
    </w:p>
    <w:p w14:paraId="131E5F9D" w14:textId="77777777" w:rsidR="00B552C7" w:rsidRDefault="003F5432" w:rsidP="002C3DCE">
      <w:pPr>
        <w:numPr>
          <w:ilvl w:val="0"/>
          <w:numId w:val="15"/>
        </w:numPr>
        <w:suppressAutoHyphens/>
        <w:jc w:val="both"/>
        <w:rPr>
          <w:rFonts w:ascii="Arial" w:hAnsi="Arial" w:cs="Arial"/>
          <w:spacing w:val="-2"/>
          <w:sz w:val="24"/>
          <w:szCs w:val="24"/>
        </w:rPr>
      </w:pPr>
      <w:r>
        <w:rPr>
          <w:rFonts w:ascii="Arial" w:hAnsi="Arial" w:cs="Arial"/>
          <w:spacing w:val="-2"/>
          <w:sz w:val="24"/>
          <w:szCs w:val="24"/>
        </w:rPr>
        <w:t>m</w:t>
      </w:r>
      <w:r w:rsidR="00B552C7">
        <w:rPr>
          <w:rFonts w:ascii="Arial" w:hAnsi="Arial" w:cs="Arial"/>
          <w:spacing w:val="-2"/>
          <w:sz w:val="24"/>
          <w:szCs w:val="24"/>
        </w:rPr>
        <w:t xml:space="preserve">ediante el acceso al sitio web  del  </w:t>
      </w:r>
      <w:r w:rsidR="00C23D14" w:rsidRPr="00C23D14">
        <w:rPr>
          <w:rFonts w:ascii="Arial" w:hAnsi="Arial" w:cs="Arial"/>
          <w:spacing w:val="-2"/>
          <w:sz w:val="24"/>
          <w:szCs w:val="24"/>
        </w:rPr>
        <w:t xml:space="preserve">sistema EDGAR de la </w:t>
      </w:r>
      <w:proofErr w:type="spellStart"/>
      <w:r w:rsidR="00C23D14" w:rsidRPr="00C23D14">
        <w:rPr>
          <w:rFonts w:ascii="Arial" w:hAnsi="Arial" w:cs="Arial"/>
          <w:spacing w:val="-2"/>
          <w:sz w:val="24"/>
          <w:szCs w:val="24"/>
        </w:rPr>
        <w:t>Securities</w:t>
      </w:r>
      <w:proofErr w:type="spellEnd"/>
      <w:r w:rsidR="00C23D14" w:rsidRPr="00C23D14">
        <w:rPr>
          <w:rFonts w:ascii="Arial" w:hAnsi="Arial" w:cs="Arial"/>
          <w:spacing w:val="-2"/>
          <w:sz w:val="24"/>
          <w:szCs w:val="24"/>
        </w:rPr>
        <w:t xml:space="preserve"> and Exchange </w:t>
      </w:r>
      <w:proofErr w:type="spellStart"/>
      <w:r w:rsidR="00C23D14" w:rsidRPr="00C23D14">
        <w:rPr>
          <w:rFonts w:ascii="Arial" w:hAnsi="Arial" w:cs="Arial"/>
          <w:spacing w:val="-2"/>
          <w:sz w:val="24"/>
          <w:szCs w:val="24"/>
        </w:rPr>
        <w:t>Commission</w:t>
      </w:r>
      <w:proofErr w:type="spellEnd"/>
      <w:r w:rsidR="00C23D14" w:rsidRPr="00C23D14">
        <w:rPr>
          <w:rFonts w:ascii="Arial" w:hAnsi="Arial" w:cs="Arial"/>
          <w:spacing w:val="-2"/>
          <w:sz w:val="24"/>
          <w:szCs w:val="24"/>
        </w:rPr>
        <w:t xml:space="preserve"> (SEC) </w:t>
      </w:r>
      <w:hyperlink r:id="rId25" w:history="1">
        <w:r w:rsidR="00C23D14" w:rsidRPr="00C23D14">
          <w:rPr>
            <w:rStyle w:val="Hipervnculo"/>
            <w:rFonts w:ascii="Arial" w:hAnsi="Arial" w:cs="Arial"/>
            <w:spacing w:val="-2"/>
            <w:sz w:val="24"/>
            <w:szCs w:val="24"/>
            <w:u w:val="none"/>
          </w:rPr>
          <w:t>www.sec.gov</w:t>
        </w:r>
      </w:hyperlink>
      <w:r w:rsidR="00C23D14" w:rsidRPr="00C23D14">
        <w:rPr>
          <w:rFonts w:ascii="Arial" w:hAnsi="Arial" w:cs="Arial"/>
          <w:spacing w:val="-2"/>
          <w:sz w:val="24"/>
          <w:szCs w:val="24"/>
        </w:rPr>
        <w:t xml:space="preserve"> de los Estados Unidos</w:t>
      </w:r>
      <w:r>
        <w:rPr>
          <w:rFonts w:ascii="Arial" w:hAnsi="Arial" w:cs="Arial"/>
          <w:spacing w:val="-2"/>
          <w:sz w:val="24"/>
          <w:szCs w:val="24"/>
        </w:rPr>
        <w:t>;</w:t>
      </w:r>
    </w:p>
    <w:p w14:paraId="0F46D7BD" w14:textId="77777777" w:rsidR="00C23D14" w:rsidRPr="00C23D14" w:rsidRDefault="00801193" w:rsidP="003920C7">
      <w:pPr>
        <w:numPr>
          <w:ilvl w:val="0"/>
          <w:numId w:val="15"/>
        </w:numPr>
        <w:suppressAutoHyphens/>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sidR="00B552C7">
        <w:rPr>
          <w:rFonts w:ascii="Arial" w:hAnsi="Arial" w:cs="Arial"/>
          <w:spacing w:val="-2"/>
          <w:sz w:val="24"/>
          <w:szCs w:val="24"/>
        </w:rPr>
        <w:t>d</w:t>
      </w:r>
      <w:r w:rsidR="00C23D14" w:rsidRPr="00C23D14">
        <w:rPr>
          <w:rFonts w:ascii="Arial" w:hAnsi="Arial" w:cs="Arial"/>
          <w:spacing w:val="-2"/>
          <w:sz w:val="24"/>
          <w:szCs w:val="24"/>
        </w:rPr>
        <w:t xml:space="preserve">el acceso </w:t>
      </w:r>
      <w:r w:rsidR="00B552C7">
        <w:rPr>
          <w:rFonts w:ascii="Arial" w:hAnsi="Arial" w:cs="Arial"/>
          <w:spacing w:val="-2"/>
          <w:sz w:val="24"/>
          <w:szCs w:val="24"/>
        </w:rPr>
        <w:t>al sitio web</w:t>
      </w:r>
      <w:r w:rsidR="00C23D14" w:rsidRPr="00C23D14">
        <w:rPr>
          <w:rFonts w:ascii="Arial" w:hAnsi="Arial" w:cs="Arial"/>
          <w:spacing w:val="-2"/>
          <w:sz w:val="24"/>
          <w:szCs w:val="24"/>
        </w:rPr>
        <w:t xml:space="preserve"> </w:t>
      </w:r>
      <w:hyperlink r:id="rId26" w:history="1">
        <w:r w:rsidR="003920C7" w:rsidRPr="008E33B8">
          <w:rPr>
            <w:rStyle w:val="Hipervnculo"/>
            <w:rFonts w:ascii="Arial" w:hAnsi="Arial" w:cs="Arial"/>
            <w:spacing w:val="-2"/>
            <w:sz w:val="24"/>
            <w:szCs w:val="24"/>
          </w:rPr>
          <w:t>https://www.comafi.com.ar/2258-CEDEARs.note.aspx</w:t>
        </w:r>
      </w:hyperlink>
      <w:r w:rsidR="00C23D14" w:rsidRPr="00C23D14">
        <w:rPr>
          <w:rFonts w:ascii="Arial" w:hAnsi="Arial" w:cs="Arial"/>
          <w:spacing w:val="-2"/>
          <w:sz w:val="24"/>
          <w:szCs w:val="24"/>
        </w:rPr>
        <w:t xml:space="preserve"> provista por el </w:t>
      </w:r>
      <w:r w:rsidR="00C23D14" w:rsidRPr="003210C9">
        <w:rPr>
          <w:rFonts w:ascii="Arial" w:hAnsi="Arial" w:cs="Arial"/>
          <w:spacing w:val="-2"/>
          <w:sz w:val="24"/>
          <w:szCs w:val="24"/>
        </w:rPr>
        <w:t xml:space="preserve">Banco y a través </w:t>
      </w:r>
      <w:r w:rsidR="00B552C7" w:rsidRPr="003210C9">
        <w:rPr>
          <w:rFonts w:ascii="Arial" w:hAnsi="Arial" w:cs="Arial"/>
          <w:spacing w:val="-2"/>
          <w:sz w:val="24"/>
          <w:szCs w:val="24"/>
        </w:rPr>
        <w:t>del</w:t>
      </w:r>
      <w:r w:rsidR="00C23D14" w:rsidRPr="003210C9">
        <w:rPr>
          <w:rFonts w:ascii="Arial" w:hAnsi="Arial" w:cs="Arial"/>
          <w:spacing w:val="-2"/>
          <w:sz w:val="24"/>
          <w:szCs w:val="24"/>
        </w:rPr>
        <w:t xml:space="preserve"> cual se tendrá acceso dire</w:t>
      </w:r>
      <w:r w:rsidR="004B0AF5">
        <w:rPr>
          <w:rFonts w:ascii="Arial" w:hAnsi="Arial" w:cs="Arial"/>
          <w:spacing w:val="-2"/>
          <w:sz w:val="24"/>
          <w:szCs w:val="24"/>
        </w:rPr>
        <w:t>cto a la página Internet de la sociedad  emisora</w:t>
      </w:r>
      <w:r w:rsidR="00685E50" w:rsidRPr="003210C9">
        <w:rPr>
          <w:rFonts w:ascii="Arial" w:hAnsi="Arial" w:cs="Arial"/>
          <w:spacing w:val="-2"/>
          <w:sz w:val="24"/>
          <w:szCs w:val="24"/>
        </w:rPr>
        <w:t xml:space="preserve"> de las</w:t>
      </w:r>
      <w:r w:rsidR="007B6DCA">
        <w:rPr>
          <w:rFonts w:ascii="Arial" w:hAnsi="Arial" w:cs="Arial"/>
          <w:spacing w:val="-2"/>
          <w:sz w:val="24"/>
          <w:szCs w:val="24"/>
        </w:rPr>
        <w:t xml:space="preserve"> A</w:t>
      </w:r>
      <w:r w:rsidR="00685E50">
        <w:rPr>
          <w:rFonts w:ascii="Arial" w:hAnsi="Arial" w:cs="Arial"/>
          <w:spacing w:val="-2"/>
          <w:sz w:val="24"/>
          <w:szCs w:val="24"/>
        </w:rPr>
        <w:t xml:space="preserve">cciones </w:t>
      </w:r>
      <w:r w:rsidR="007B6DCA">
        <w:rPr>
          <w:rFonts w:ascii="Arial" w:hAnsi="Arial" w:cs="Arial"/>
          <w:spacing w:val="-2"/>
          <w:sz w:val="24"/>
          <w:szCs w:val="24"/>
        </w:rPr>
        <w:t>S</w:t>
      </w:r>
      <w:r w:rsidR="00685E50">
        <w:rPr>
          <w:rFonts w:ascii="Arial" w:hAnsi="Arial" w:cs="Arial"/>
          <w:spacing w:val="-2"/>
          <w:sz w:val="24"/>
          <w:szCs w:val="24"/>
        </w:rPr>
        <w:t xml:space="preserve">ubyacentes de los </w:t>
      </w:r>
      <w:proofErr w:type="spellStart"/>
      <w:r w:rsidR="00477BC5">
        <w:rPr>
          <w:rFonts w:ascii="Arial" w:hAnsi="Arial" w:cs="Arial"/>
          <w:spacing w:val="-2"/>
          <w:sz w:val="24"/>
          <w:szCs w:val="24"/>
        </w:rPr>
        <w:t>ADS</w:t>
      </w:r>
      <w:r w:rsidR="00685E50">
        <w:rPr>
          <w:rFonts w:ascii="Arial" w:hAnsi="Arial" w:cs="Arial"/>
          <w:spacing w:val="-2"/>
          <w:sz w:val="24"/>
          <w:szCs w:val="24"/>
        </w:rPr>
        <w:t>s</w:t>
      </w:r>
      <w:proofErr w:type="spellEnd"/>
      <w:r w:rsidR="00C23D14"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14:paraId="2BCF2F00" w14:textId="77777777" w:rsidR="00C23D14" w:rsidRPr="00C23D14" w:rsidRDefault="00C23D14" w:rsidP="00C23D14">
      <w:pPr>
        <w:suppressAutoHyphens/>
        <w:jc w:val="both"/>
        <w:rPr>
          <w:rFonts w:ascii="Arial" w:hAnsi="Arial" w:cs="Arial"/>
          <w:spacing w:val="-2"/>
          <w:sz w:val="24"/>
          <w:szCs w:val="24"/>
          <w:lang w:val="es-AR"/>
        </w:rPr>
      </w:pPr>
    </w:p>
    <w:p w14:paraId="464AD576" w14:textId="77777777" w:rsidR="005E2B0E" w:rsidRPr="005E2B0E" w:rsidRDefault="005E2B0E" w:rsidP="00C23D14">
      <w:pPr>
        <w:suppressAutoHyphens/>
        <w:jc w:val="both"/>
        <w:rPr>
          <w:rFonts w:ascii="Arial" w:hAnsi="Arial" w:cs="Arial"/>
          <w:spacing w:val="-2"/>
          <w:sz w:val="24"/>
          <w:szCs w:val="24"/>
          <w:lang w:val="es-AR"/>
        </w:rPr>
      </w:pPr>
      <w:r w:rsidRPr="005E2B0E">
        <w:rPr>
          <w:rFonts w:ascii="Arial" w:hAnsi="Arial" w:cs="Arial"/>
          <w:spacing w:val="-2"/>
          <w:sz w:val="24"/>
          <w:szCs w:val="24"/>
          <w:lang w:val="es-AR"/>
        </w:rPr>
        <w:t>Asimismo a través de los mercados autorizados en los que se listen actualmente o en el futuro los CEDEARs (BYMA y/o MAE y/o cualquier otro), se proporcionará la información detallada en el art. 14 y 16 Sección III, Capitulo VIII, Título II de las Normas de la CNV (T.O.2013) y la que corresponda en función de los reglamentos por los que se regulen.</w:t>
      </w:r>
    </w:p>
    <w:p w14:paraId="3FEBEE21" w14:textId="77777777" w:rsidR="005E2B0E" w:rsidRDefault="005E2B0E" w:rsidP="00C23D14">
      <w:pPr>
        <w:suppressAutoHyphens/>
        <w:jc w:val="both"/>
        <w:rPr>
          <w:rFonts w:ascii="Arial" w:hAnsi="Arial" w:cs="Arial"/>
          <w:spacing w:val="-2"/>
          <w:sz w:val="24"/>
          <w:szCs w:val="24"/>
          <w:lang w:val="es-AR"/>
        </w:rPr>
      </w:pPr>
    </w:p>
    <w:p w14:paraId="591B2ECB" w14:textId="77777777" w:rsid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El Banco asume las obligaciones descriptas en los Términos y Condiciones de</w:t>
      </w:r>
      <w:r w:rsidR="00DB76ED">
        <w:rPr>
          <w:rFonts w:ascii="Arial" w:hAnsi="Arial" w:cs="Arial"/>
          <w:spacing w:val="-2"/>
          <w:sz w:val="24"/>
          <w:szCs w:val="24"/>
          <w:lang w:val="es-AR"/>
        </w:rPr>
        <w:t>l</w:t>
      </w:r>
      <w:r w:rsidRPr="00C23D14">
        <w:rPr>
          <w:rFonts w:ascii="Arial" w:hAnsi="Arial" w:cs="Arial"/>
          <w:spacing w:val="-2"/>
          <w:sz w:val="24"/>
          <w:szCs w:val="24"/>
          <w:lang w:val="es-AR"/>
        </w:rPr>
        <w:t xml:space="preserve"> Programa de </w:t>
      </w:r>
      <w:proofErr w:type="spellStart"/>
      <w:r w:rsidRPr="00C23D14">
        <w:rPr>
          <w:rFonts w:ascii="Arial" w:hAnsi="Arial" w:cs="Arial"/>
          <w:spacing w:val="-2"/>
          <w:sz w:val="24"/>
          <w:szCs w:val="24"/>
          <w:lang w:val="es-AR"/>
        </w:rPr>
        <w:t>CEDEAR</w:t>
      </w:r>
      <w:r w:rsidR="001F26EF">
        <w:rPr>
          <w:rFonts w:ascii="Arial" w:hAnsi="Arial" w:cs="Arial"/>
          <w:spacing w:val="-2"/>
          <w:sz w:val="24"/>
          <w:szCs w:val="24"/>
          <w:lang w:val="es-AR"/>
        </w:rPr>
        <w:t>s</w:t>
      </w:r>
      <w:proofErr w:type="spellEnd"/>
      <w:r w:rsidRPr="00C23D14">
        <w:rPr>
          <w:rFonts w:ascii="Arial" w:hAnsi="Arial" w:cs="Arial"/>
          <w:spacing w:val="-2"/>
          <w:sz w:val="24"/>
          <w:szCs w:val="24"/>
          <w:lang w:val="es-AR"/>
        </w:rPr>
        <w:t>, entre ellas las relativas a la información a proporcionar, pago de dividendos y ejercicio de los derechos de voto, previo pago de las comisiones, honorarios,  gastos e impuestos (entre ellos el Impuesto al Valor Agregado) que en cada caso corresponda, sin asumir responsabilidad alguna respecto al valor sustantivo e intrínseco de l</w:t>
      </w:r>
      <w:r w:rsidR="002E4254">
        <w:rPr>
          <w:rFonts w:ascii="Arial" w:hAnsi="Arial" w:cs="Arial"/>
          <w:spacing w:val="-2"/>
          <w:sz w:val="24"/>
          <w:szCs w:val="24"/>
          <w:lang w:val="es-AR"/>
        </w:rPr>
        <w:t>o</w:t>
      </w:r>
      <w:r w:rsidRPr="00C23D14">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2E4254">
        <w:rPr>
          <w:rFonts w:ascii="Arial" w:hAnsi="Arial" w:cs="Arial"/>
          <w:spacing w:val="-2"/>
          <w:sz w:val="24"/>
          <w:szCs w:val="24"/>
          <w:lang w:val="es-AR"/>
        </w:rPr>
        <w:t>s</w:t>
      </w:r>
      <w:proofErr w:type="spellEnd"/>
      <w:r w:rsidR="007B6DCA">
        <w:rPr>
          <w:rFonts w:ascii="Arial" w:hAnsi="Arial" w:cs="Arial"/>
          <w:spacing w:val="-2"/>
          <w:sz w:val="24"/>
          <w:szCs w:val="24"/>
          <w:lang w:val="es-AR"/>
        </w:rPr>
        <w:t xml:space="preserve"> o de las A</w:t>
      </w:r>
      <w:r w:rsidR="0009241B">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09241B">
        <w:rPr>
          <w:rFonts w:ascii="Arial" w:hAnsi="Arial" w:cs="Arial"/>
          <w:spacing w:val="-2"/>
          <w:sz w:val="24"/>
          <w:szCs w:val="24"/>
          <w:lang w:val="es-AR"/>
        </w:rPr>
        <w:t xml:space="preserve">ubyacentes </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5F4067">
        <w:rPr>
          <w:rFonts w:ascii="Arial" w:hAnsi="Arial" w:cs="Arial"/>
          <w:spacing w:val="-2"/>
          <w:sz w:val="24"/>
          <w:szCs w:val="24"/>
          <w:lang w:val="es-AR"/>
        </w:rPr>
        <w:t xml:space="preserve"> </w:t>
      </w:r>
      <w:r w:rsidRPr="00C23D14">
        <w:rPr>
          <w:rFonts w:ascii="Arial" w:hAnsi="Arial" w:cs="Arial"/>
          <w:spacing w:val="-2"/>
          <w:sz w:val="24"/>
          <w:szCs w:val="24"/>
          <w:lang w:val="es-AR"/>
        </w:rPr>
        <w:t xml:space="preserve">, ni su valor de mercado o de cotización bursátil, ni por el cumplimiento de </w:t>
      </w:r>
      <w:r w:rsidR="004B0AF5">
        <w:rPr>
          <w:rFonts w:ascii="Arial" w:hAnsi="Arial" w:cs="Arial"/>
          <w:spacing w:val="-2"/>
          <w:sz w:val="24"/>
          <w:szCs w:val="24"/>
          <w:lang w:val="es-AR"/>
        </w:rPr>
        <w:t>las obligaciones a cargo de la emisora</w:t>
      </w:r>
      <w:r w:rsidRPr="00C23D14">
        <w:rPr>
          <w:rFonts w:ascii="Arial" w:hAnsi="Arial" w:cs="Arial"/>
          <w:spacing w:val="-2"/>
          <w:sz w:val="24"/>
          <w:szCs w:val="24"/>
          <w:lang w:val="es-AR"/>
        </w:rPr>
        <w:t xml:space="preserve"> de </w:t>
      </w:r>
      <w:r w:rsidR="00EE0934">
        <w:rPr>
          <w:rFonts w:ascii="Arial" w:hAnsi="Arial" w:cs="Arial"/>
          <w:spacing w:val="-2"/>
          <w:sz w:val="24"/>
          <w:szCs w:val="24"/>
          <w:lang w:val="es-AR"/>
        </w:rPr>
        <w:t xml:space="preserve">los </w:t>
      </w:r>
      <w:proofErr w:type="spellStart"/>
      <w:r w:rsidR="00477BC5">
        <w:rPr>
          <w:rFonts w:ascii="Arial" w:hAnsi="Arial" w:cs="Arial"/>
          <w:spacing w:val="-2"/>
          <w:sz w:val="24"/>
          <w:szCs w:val="24"/>
          <w:lang w:val="es-AR"/>
        </w:rPr>
        <w:t>ADS</w:t>
      </w:r>
      <w:r w:rsidR="00EE0934">
        <w:rPr>
          <w:rFonts w:ascii="Arial" w:hAnsi="Arial" w:cs="Arial"/>
          <w:spacing w:val="-2"/>
          <w:sz w:val="24"/>
          <w:szCs w:val="24"/>
          <w:lang w:val="es-AR"/>
        </w:rPr>
        <w:t>s</w:t>
      </w:r>
      <w:proofErr w:type="spellEnd"/>
      <w:r w:rsidRPr="00C23D14">
        <w:rPr>
          <w:rFonts w:ascii="Arial" w:hAnsi="Arial" w:cs="Arial"/>
          <w:spacing w:val="-2"/>
          <w:sz w:val="24"/>
          <w:szCs w:val="24"/>
          <w:lang w:val="es-AR"/>
        </w:rPr>
        <w:t>, incluyendo el pago de dividendos.</w:t>
      </w:r>
    </w:p>
    <w:p w14:paraId="02DF148A" w14:textId="77777777" w:rsidR="0084066E" w:rsidRDefault="0084066E" w:rsidP="00C23D14">
      <w:pPr>
        <w:suppressAutoHyphens/>
        <w:jc w:val="both"/>
        <w:rPr>
          <w:rFonts w:ascii="Arial" w:hAnsi="Arial" w:cs="Arial"/>
          <w:spacing w:val="-2"/>
          <w:sz w:val="24"/>
          <w:szCs w:val="24"/>
          <w:lang w:val="es-AR"/>
        </w:rPr>
      </w:pPr>
    </w:p>
    <w:p w14:paraId="4323B019" w14:textId="77777777" w:rsidR="0084066E" w:rsidRDefault="0084066E" w:rsidP="00C23D14">
      <w:pPr>
        <w:suppressAutoHyphens/>
        <w:jc w:val="both"/>
        <w:rPr>
          <w:rFonts w:ascii="Arial" w:hAnsi="Arial" w:cs="Arial"/>
          <w:spacing w:val="-2"/>
          <w:sz w:val="24"/>
          <w:szCs w:val="24"/>
          <w:lang w:val="es-AR"/>
        </w:rPr>
      </w:pPr>
    </w:p>
    <w:p w14:paraId="4B27913D" w14:textId="77777777" w:rsidR="004079B7" w:rsidRDefault="004079B7">
      <w:pPr>
        <w:pStyle w:val="Textoindependiente"/>
        <w:suppressAutoHyphens/>
        <w:jc w:val="center"/>
        <w:outlineLvl w:val="0"/>
        <w:rPr>
          <w:rFonts w:ascii="Arial" w:hAnsi="Arial" w:cs="Arial"/>
          <w:b/>
          <w:spacing w:val="-2"/>
          <w:szCs w:val="24"/>
          <w:u w:val="single"/>
        </w:rPr>
      </w:pPr>
      <w:r w:rsidRPr="00C21BB4">
        <w:rPr>
          <w:rFonts w:ascii="Arial" w:hAnsi="Arial" w:cs="Arial"/>
          <w:b/>
          <w:spacing w:val="-2"/>
          <w:szCs w:val="24"/>
          <w:u w:val="single"/>
        </w:rPr>
        <w:t>CONSIDERACIONES PARA LA INVERSION</w:t>
      </w:r>
    </w:p>
    <w:p w14:paraId="47FBC00E" w14:textId="77777777" w:rsidR="0057673A" w:rsidRDefault="0057673A">
      <w:pPr>
        <w:pStyle w:val="Textoindependiente"/>
        <w:suppressAutoHyphens/>
        <w:jc w:val="center"/>
        <w:outlineLvl w:val="0"/>
        <w:rPr>
          <w:rFonts w:ascii="Arial" w:hAnsi="Arial" w:cs="Arial"/>
          <w:b/>
          <w:spacing w:val="-2"/>
          <w:szCs w:val="24"/>
          <w:u w:val="single"/>
        </w:rPr>
      </w:pPr>
    </w:p>
    <w:p w14:paraId="2003AC55"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potenciales inversores (tenedores) de los CEDEAR</w:t>
      </w:r>
      <w:r w:rsidR="001F26EF">
        <w:rPr>
          <w:rFonts w:ascii="Arial" w:hAnsi="Arial" w:cs="Arial"/>
          <w:spacing w:val="-2"/>
          <w:szCs w:val="24"/>
        </w:rPr>
        <w:t>s</w:t>
      </w:r>
      <w:r w:rsidRPr="0057673A">
        <w:rPr>
          <w:rFonts w:ascii="Arial" w:hAnsi="Arial" w:cs="Arial"/>
          <w:spacing w:val="-2"/>
          <w:szCs w:val="24"/>
        </w:rPr>
        <w:t xml:space="preserve"> deberán analizar y considerar detenidamente la información contenida en este Prospecto, y en particular las </w:t>
      </w:r>
      <w:r w:rsidRPr="0057673A">
        <w:rPr>
          <w:rFonts w:ascii="Arial" w:hAnsi="Arial" w:cs="Arial"/>
          <w:spacing w:val="-2"/>
          <w:szCs w:val="24"/>
        </w:rPr>
        <w:lastRenderedPageBreak/>
        <w:t>Consideraciones de Inversión que se efectúan en esta sección, como así también la información relativa a la situación económic</w:t>
      </w:r>
      <w:r w:rsidR="00EF7351">
        <w:rPr>
          <w:rFonts w:ascii="Arial" w:hAnsi="Arial" w:cs="Arial"/>
          <w:spacing w:val="-2"/>
          <w:szCs w:val="24"/>
        </w:rPr>
        <w:t>a</w:t>
      </w:r>
      <w:r w:rsidR="002E4254">
        <w:rPr>
          <w:rFonts w:ascii="Arial" w:hAnsi="Arial" w:cs="Arial"/>
          <w:spacing w:val="-2"/>
          <w:szCs w:val="24"/>
        </w:rPr>
        <w:t xml:space="preserve"> financiera y de mercado de lo</w:t>
      </w:r>
      <w:r w:rsidRPr="0057673A">
        <w:rPr>
          <w:rFonts w:ascii="Arial" w:hAnsi="Arial" w:cs="Arial"/>
          <w:spacing w:val="-2"/>
          <w:szCs w:val="24"/>
        </w:rPr>
        <w:t xml:space="preserve">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sidRPr="0057673A">
        <w:rPr>
          <w:rFonts w:ascii="Arial" w:hAnsi="Arial" w:cs="Arial"/>
          <w:spacing w:val="-2"/>
          <w:szCs w:val="24"/>
        </w:rPr>
        <w:t xml:space="preserve"> </w:t>
      </w:r>
      <w:r w:rsidRPr="0057673A">
        <w:rPr>
          <w:rFonts w:ascii="Arial" w:hAnsi="Arial" w:cs="Arial"/>
          <w:spacing w:val="-2"/>
          <w:szCs w:val="24"/>
        </w:rPr>
        <w:t>representad</w:t>
      </w:r>
      <w:r w:rsidR="002E4254">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000121FE">
        <w:rPr>
          <w:rFonts w:ascii="Arial" w:hAnsi="Arial" w:cs="Arial"/>
          <w:spacing w:val="-2"/>
          <w:szCs w:val="24"/>
        </w:rPr>
        <w:t>, y de la sociedad</w:t>
      </w:r>
      <w:r w:rsidRPr="0057673A">
        <w:rPr>
          <w:rFonts w:ascii="Arial" w:hAnsi="Arial" w:cs="Arial"/>
          <w:spacing w:val="-2"/>
          <w:szCs w:val="24"/>
        </w:rPr>
        <w:t xml:space="preserve"> </w:t>
      </w:r>
      <w:r w:rsidR="000121FE">
        <w:rPr>
          <w:rFonts w:ascii="Arial" w:hAnsi="Arial" w:cs="Arial"/>
          <w:spacing w:val="-2"/>
          <w:szCs w:val="24"/>
        </w:rPr>
        <w:t>emisora</w:t>
      </w:r>
      <w:r w:rsidR="00A1347A">
        <w:rPr>
          <w:rFonts w:ascii="Arial" w:hAnsi="Arial" w:cs="Arial"/>
          <w:spacing w:val="-2"/>
          <w:szCs w:val="24"/>
        </w:rPr>
        <w:t xml:space="preserve"> de las </w:t>
      </w:r>
      <w:r w:rsidR="007B6DCA">
        <w:rPr>
          <w:rFonts w:ascii="Arial" w:hAnsi="Arial" w:cs="Arial"/>
          <w:spacing w:val="-2"/>
          <w:szCs w:val="24"/>
        </w:rPr>
        <w:t>A</w:t>
      </w:r>
      <w:r w:rsidR="00A1347A">
        <w:rPr>
          <w:rFonts w:ascii="Arial" w:hAnsi="Arial" w:cs="Arial"/>
          <w:spacing w:val="-2"/>
          <w:szCs w:val="24"/>
        </w:rPr>
        <w:t xml:space="preserve">cciones </w:t>
      </w:r>
      <w:r w:rsidR="007B6DCA">
        <w:rPr>
          <w:rFonts w:ascii="Arial" w:hAnsi="Arial" w:cs="Arial"/>
          <w:spacing w:val="-2"/>
          <w:szCs w:val="24"/>
        </w:rPr>
        <w:t>S</w:t>
      </w:r>
      <w:r w:rsidR="00A1347A">
        <w:rPr>
          <w:rFonts w:ascii="Arial" w:hAnsi="Arial" w:cs="Arial"/>
          <w:spacing w:val="-2"/>
          <w:szCs w:val="24"/>
        </w:rPr>
        <w:t xml:space="preserve">ubyacentes representadas por los </w:t>
      </w:r>
      <w:proofErr w:type="spellStart"/>
      <w:r w:rsidR="00477BC5">
        <w:rPr>
          <w:rFonts w:ascii="Arial" w:hAnsi="Arial" w:cs="Arial"/>
          <w:spacing w:val="-2"/>
          <w:szCs w:val="24"/>
        </w:rPr>
        <w:t>ADS</w:t>
      </w:r>
      <w:r w:rsidR="00A1347A">
        <w:rPr>
          <w:rFonts w:ascii="Arial" w:hAnsi="Arial" w:cs="Arial"/>
          <w:spacing w:val="-2"/>
          <w:szCs w:val="24"/>
        </w:rPr>
        <w:t>s</w:t>
      </w:r>
      <w:proofErr w:type="spellEnd"/>
      <w:r w:rsidRPr="0057673A">
        <w:rPr>
          <w:rFonts w:ascii="Arial" w:hAnsi="Arial" w:cs="Arial"/>
          <w:spacing w:val="-2"/>
          <w:szCs w:val="24"/>
        </w:rPr>
        <w:t>, que se encuentra a su disposición de acuerdo a los</w:t>
      </w:r>
      <w:r w:rsidR="000121FE">
        <w:rPr>
          <w:rFonts w:ascii="Arial" w:hAnsi="Arial" w:cs="Arial"/>
          <w:spacing w:val="-2"/>
          <w:szCs w:val="24"/>
        </w:rPr>
        <w:t xml:space="preserve"> Términos  y Condiciones del Programa</w:t>
      </w:r>
      <w:r w:rsidRPr="0057673A">
        <w:rPr>
          <w:rFonts w:ascii="Arial" w:hAnsi="Arial" w:cs="Arial"/>
          <w:spacing w:val="-2"/>
          <w:szCs w:val="24"/>
        </w:rPr>
        <w:t xml:space="preserve"> de </w:t>
      </w:r>
      <w:proofErr w:type="spellStart"/>
      <w:r w:rsidRPr="0057673A">
        <w:rPr>
          <w:rFonts w:ascii="Arial" w:hAnsi="Arial" w:cs="Arial"/>
          <w:spacing w:val="-2"/>
          <w:szCs w:val="24"/>
        </w:rPr>
        <w:t>CEDEAR</w:t>
      </w:r>
      <w:r w:rsidR="001F26EF">
        <w:rPr>
          <w:rFonts w:ascii="Arial" w:hAnsi="Arial" w:cs="Arial"/>
          <w:spacing w:val="-2"/>
          <w:szCs w:val="24"/>
        </w:rPr>
        <w:t>s</w:t>
      </w:r>
      <w:proofErr w:type="spellEnd"/>
      <w:r w:rsidRPr="0057673A">
        <w:rPr>
          <w:rFonts w:ascii="Arial" w:hAnsi="Arial" w:cs="Arial"/>
          <w:spacing w:val="-2"/>
          <w:szCs w:val="24"/>
        </w:rPr>
        <w:t>.</w:t>
      </w:r>
    </w:p>
    <w:p w14:paraId="47F70B26" w14:textId="77777777" w:rsidR="0057673A" w:rsidRPr="0057673A" w:rsidRDefault="0057673A" w:rsidP="0057673A">
      <w:pPr>
        <w:pStyle w:val="Textoindependiente"/>
        <w:outlineLvl w:val="0"/>
        <w:rPr>
          <w:rFonts w:ascii="Arial" w:hAnsi="Arial" w:cs="Arial"/>
          <w:spacing w:val="-2"/>
          <w:szCs w:val="24"/>
        </w:rPr>
      </w:pPr>
    </w:p>
    <w:p w14:paraId="6B739B93" w14:textId="77777777" w:rsidR="0057673A" w:rsidRPr="0057673A" w:rsidRDefault="0057673A" w:rsidP="0057673A">
      <w:pPr>
        <w:pStyle w:val="Textoindependiente"/>
        <w:outlineLvl w:val="0"/>
        <w:rPr>
          <w:rFonts w:ascii="Arial" w:hAnsi="Arial" w:cs="Arial"/>
          <w:spacing w:val="-2"/>
          <w:szCs w:val="24"/>
        </w:rPr>
      </w:pPr>
      <w:r>
        <w:rPr>
          <w:rFonts w:ascii="Arial" w:hAnsi="Arial" w:cs="Arial"/>
          <w:spacing w:val="-2"/>
          <w:szCs w:val="24"/>
        </w:rPr>
        <w:t>La adquisición de CEDEAR</w:t>
      </w:r>
      <w:r w:rsidR="001F26EF">
        <w:rPr>
          <w:rFonts w:ascii="Arial" w:hAnsi="Arial" w:cs="Arial"/>
          <w:spacing w:val="-2"/>
          <w:szCs w:val="24"/>
        </w:rPr>
        <w:t>s</w:t>
      </w:r>
      <w:r w:rsidRPr="0057673A">
        <w:rPr>
          <w:rFonts w:ascii="Arial" w:hAnsi="Arial" w:cs="Arial"/>
          <w:spacing w:val="-2"/>
          <w:szCs w:val="24"/>
        </w:rPr>
        <w:t xml:space="preserve"> importa la asunción de riesgos, entre ellos la posibilidad de incumplimiento por parte </w:t>
      </w:r>
      <w:r w:rsidR="002E4254">
        <w:rPr>
          <w:rFonts w:ascii="Arial" w:hAnsi="Arial" w:cs="Arial"/>
          <w:spacing w:val="-2"/>
          <w:szCs w:val="24"/>
        </w:rPr>
        <w:t xml:space="preserve">de </w:t>
      </w:r>
      <w:r w:rsidR="000121FE">
        <w:rPr>
          <w:rFonts w:ascii="Arial" w:hAnsi="Arial" w:cs="Arial"/>
          <w:spacing w:val="-2"/>
          <w:szCs w:val="24"/>
        </w:rPr>
        <w:t>la sociedad representada</w:t>
      </w:r>
      <w:r w:rsidR="002E4254">
        <w:rPr>
          <w:rFonts w:ascii="Arial" w:hAnsi="Arial" w:cs="Arial"/>
          <w:spacing w:val="-2"/>
          <w:szCs w:val="24"/>
        </w:rPr>
        <w:t xml:space="preserve"> por los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sidRPr="0057673A">
        <w:rPr>
          <w:rFonts w:ascii="Arial" w:hAnsi="Arial" w:cs="Arial"/>
          <w:spacing w:val="-2"/>
          <w:szCs w:val="24"/>
        </w:rPr>
        <w:t xml:space="preserve"> </w:t>
      </w:r>
      <w:r w:rsidRPr="0057673A">
        <w:rPr>
          <w:rFonts w:ascii="Arial" w:hAnsi="Arial" w:cs="Arial"/>
          <w:spacing w:val="-2"/>
          <w:szCs w:val="24"/>
        </w:rPr>
        <w:t xml:space="preserve">de sus obligaciones con relación a los derechos políticos y económicos derivados de ellas. El Banco no asume obligación ni garantía alguna respecto de </w:t>
      </w:r>
      <w:r w:rsidR="002E4254">
        <w:rPr>
          <w:rFonts w:ascii="Arial" w:hAnsi="Arial" w:cs="Arial"/>
          <w:spacing w:val="-2"/>
          <w:szCs w:val="24"/>
        </w:rPr>
        <w:t xml:space="preserve">los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Pr>
          <w:rFonts w:ascii="Arial" w:hAnsi="Arial" w:cs="Arial"/>
          <w:spacing w:val="-2"/>
          <w:szCs w:val="24"/>
        </w:rPr>
        <w:t xml:space="preserve">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salvo las previstas en l</w:t>
      </w:r>
      <w:r w:rsidR="000121FE">
        <w:rPr>
          <w:rFonts w:ascii="Arial" w:hAnsi="Arial" w:cs="Arial"/>
          <w:spacing w:val="-2"/>
          <w:szCs w:val="24"/>
        </w:rPr>
        <w:t>os Términos y Condiciones del</w:t>
      </w:r>
      <w:r w:rsidRPr="0057673A">
        <w:rPr>
          <w:rFonts w:ascii="Arial" w:hAnsi="Arial" w:cs="Arial"/>
          <w:spacing w:val="-2"/>
          <w:szCs w:val="24"/>
        </w:rPr>
        <w:t xml:space="preserve"> Programa de </w:t>
      </w:r>
      <w:r w:rsidRPr="0084370D">
        <w:rPr>
          <w:rFonts w:ascii="Arial" w:hAnsi="Arial" w:cs="Arial"/>
          <w:spacing w:val="-2"/>
          <w:szCs w:val="24"/>
        </w:rPr>
        <w:t>CEDEAR</w:t>
      </w:r>
      <w:r w:rsidR="001F26EF" w:rsidRPr="0084370D">
        <w:rPr>
          <w:rFonts w:ascii="Arial" w:hAnsi="Arial" w:cs="Arial"/>
          <w:spacing w:val="-2"/>
          <w:szCs w:val="24"/>
        </w:rPr>
        <w:t>s</w:t>
      </w:r>
      <w:r w:rsidRPr="0084370D">
        <w:rPr>
          <w:rFonts w:ascii="Arial" w:hAnsi="Arial" w:cs="Arial"/>
          <w:spacing w:val="-2"/>
          <w:szCs w:val="24"/>
        </w:rPr>
        <w:t xml:space="preserve"> que se transcriben más abajo, ni responde con su patrimonio por las obligaciones asumidas por </w:t>
      </w:r>
      <w:r w:rsidR="007C0139" w:rsidRPr="0084370D">
        <w:rPr>
          <w:rFonts w:ascii="Arial" w:hAnsi="Arial" w:cs="Arial"/>
          <w:spacing w:val="-2"/>
          <w:szCs w:val="24"/>
        </w:rPr>
        <w:t xml:space="preserve">las sociedades emisoras de las </w:t>
      </w:r>
      <w:r w:rsidR="007B6DCA">
        <w:rPr>
          <w:rFonts w:ascii="Arial" w:hAnsi="Arial" w:cs="Arial"/>
          <w:spacing w:val="-2"/>
          <w:szCs w:val="24"/>
        </w:rPr>
        <w:t>A</w:t>
      </w:r>
      <w:r w:rsidR="007C0139" w:rsidRPr="0084370D">
        <w:rPr>
          <w:rFonts w:ascii="Arial" w:hAnsi="Arial" w:cs="Arial"/>
          <w:spacing w:val="-2"/>
          <w:szCs w:val="24"/>
        </w:rPr>
        <w:t xml:space="preserve">cciones </w:t>
      </w:r>
      <w:r w:rsidR="007B6DCA">
        <w:rPr>
          <w:rFonts w:ascii="Arial" w:hAnsi="Arial" w:cs="Arial"/>
          <w:spacing w:val="-2"/>
          <w:szCs w:val="24"/>
        </w:rPr>
        <w:t>S</w:t>
      </w:r>
      <w:r w:rsidRPr="0084370D">
        <w:rPr>
          <w:rFonts w:ascii="Arial" w:hAnsi="Arial" w:cs="Arial"/>
          <w:spacing w:val="-2"/>
          <w:szCs w:val="24"/>
        </w:rPr>
        <w:t>ubyacentes</w:t>
      </w:r>
      <w:r w:rsidR="002E4254" w:rsidRPr="0084370D">
        <w:rPr>
          <w:rFonts w:ascii="Arial" w:hAnsi="Arial" w:cs="Arial"/>
          <w:spacing w:val="-2"/>
          <w:szCs w:val="24"/>
        </w:rPr>
        <w:t xml:space="preserve"> de los </w:t>
      </w:r>
      <w:proofErr w:type="spellStart"/>
      <w:r w:rsidR="00477BC5">
        <w:rPr>
          <w:rFonts w:ascii="Arial" w:hAnsi="Arial" w:cs="Arial"/>
          <w:spacing w:val="-2"/>
          <w:szCs w:val="24"/>
        </w:rPr>
        <w:t>ADS</w:t>
      </w:r>
      <w:r w:rsidR="002E4254" w:rsidRPr="0084370D">
        <w:rPr>
          <w:rFonts w:ascii="Arial" w:hAnsi="Arial" w:cs="Arial"/>
          <w:spacing w:val="-2"/>
          <w:szCs w:val="24"/>
        </w:rPr>
        <w:t>s</w:t>
      </w:r>
      <w:proofErr w:type="spellEnd"/>
      <w:r w:rsidR="002E4254" w:rsidRPr="0084370D">
        <w:rPr>
          <w:rFonts w:ascii="Arial" w:hAnsi="Arial" w:cs="Arial"/>
          <w:spacing w:val="-2"/>
          <w:szCs w:val="24"/>
        </w:rPr>
        <w:t xml:space="preserve"> representado</w:t>
      </w:r>
      <w:r w:rsidRPr="0084370D">
        <w:rPr>
          <w:rFonts w:ascii="Arial" w:hAnsi="Arial" w:cs="Arial"/>
          <w:spacing w:val="-2"/>
          <w:szCs w:val="24"/>
        </w:rPr>
        <w:t>s por los CEDEAR</w:t>
      </w:r>
      <w:r w:rsidR="001F26EF" w:rsidRPr="0084370D">
        <w:rPr>
          <w:rFonts w:ascii="Arial" w:hAnsi="Arial" w:cs="Arial"/>
          <w:spacing w:val="-2"/>
          <w:szCs w:val="24"/>
        </w:rPr>
        <w:t>s</w:t>
      </w:r>
      <w:r w:rsidRPr="0084370D">
        <w:rPr>
          <w:rFonts w:ascii="Arial" w:hAnsi="Arial" w:cs="Arial"/>
          <w:spacing w:val="-2"/>
          <w:szCs w:val="24"/>
        </w:rPr>
        <w:t>.</w:t>
      </w:r>
      <w:r w:rsidRPr="0057673A">
        <w:rPr>
          <w:rFonts w:ascii="Arial" w:hAnsi="Arial" w:cs="Arial"/>
          <w:spacing w:val="-2"/>
          <w:szCs w:val="24"/>
        </w:rPr>
        <w:t xml:space="preserve"> </w:t>
      </w:r>
    </w:p>
    <w:p w14:paraId="4D245063" w14:textId="77777777" w:rsidR="0057673A" w:rsidRPr="0057673A" w:rsidRDefault="0057673A" w:rsidP="0057673A">
      <w:pPr>
        <w:pStyle w:val="Textoindependiente"/>
        <w:outlineLvl w:val="0"/>
        <w:rPr>
          <w:rFonts w:ascii="Arial" w:hAnsi="Arial" w:cs="Arial"/>
          <w:spacing w:val="-2"/>
          <w:szCs w:val="24"/>
        </w:rPr>
      </w:pPr>
    </w:p>
    <w:p w14:paraId="052CB4B8"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derechos de los tenedores de CEDEAR</w:t>
      </w:r>
      <w:r w:rsidR="001F26EF">
        <w:rPr>
          <w:rFonts w:ascii="Arial" w:hAnsi="Arial" w:cs="Arial"/>
          <w:spacing w:val="-2"/>
          <w:szCs w:val="24"/>
        </w:rPr>
        <w:t>s</w:t>
      </w:r>
      <w:r w:rsidRPr="0057673A">
        <w:rPr>
          <w:rFonts w:ascii="Arial" w:hAnsi="Arial" w:cs="Arial"/>
          <w:spacing w:val="-2"/>
          <w:szCs w:val="24"/>
        </w:rPr>
        <w:t xml:space="preserve"> no se verán afec</w:t>
      </w:r>
      <w:r w:rsidR="002802AF">
        <w:rPr>
          <w:rFonts w:ascii="Arial" w:hAnsi="Arial" w:cs="Arial"/>
          <w:spacing w:val="-2"/>
          <w:szCs w:val="24"/>
        </w:rPr>
        <w:t>tados por la situación económica</w:t>
      </w:r>
      <w:r w:rsidRPr="0057673A">
        <w:rPr>
          <w:rFonts w:ascii="Arial" w:hAnsi="Arial" w:cs="Arial"/>
          <w:spacing w:val="-2"/>
          <w:szCs w:val="24"/>
        </w:rPr>
        <w:t xml:space="preserve"> financie</w:t>
      </w:r>
      <w:r w:rsidR="000F5D62">
        <w:rPr>
          <w:rFonts w:ascii="Arial" w:hAnsi="Arial" w:cs="Arial"/>
          <w:spacing w:val="-2"/>
          <w:szCs w:val="24"/>
        </w:rPr>
        <w:t xml:space="preserve">ra del Banco </w:t>
      </w:r>
      <w:proofErr w:type="gramStart"/>
      <w:r w:rsidR="000F5D62">
        <w:rPr>
          <w:rFonts w:ascii="Arial" w:hAnsi="Arial" w:cs="Arial"/>
          <w:spacing w:val="-2"/>
          <w:szCs w:val="24"/>
        </w:rPr>
        <w:t>en</w:t>
      </w:r>
      <w:r w:rsidR="00DB76ED">
        <w:rPr>
          <w:rFonts w:ascii="Arial" w:hAnsi="Arial" w:cs="Arial"/>
          <w:spacing w:val="-2"/>
          <w:szCs w:val="24"/>
        </w:rPr>
        <w:t xml:space="preserve"> </w:t>
      </w:r>
      <w:r w:rsidR="000F5D62">
        <w:rPr>
          <w:rFonts w:ascii="Arial" w:hAnsi="Arial" w:cs="Arial"/>
          <w:spacing w:val="-2"/>
          <w:szCs w:val="24"/>
        </w:rPr>
        <w:t>razón de</w:t>
      </w:r>
      <w:proofErr w:type="gramEnd"/>
      <w:r w:rsidR="000F5D62">
        <w:rPr>
          <w:rFonts w:ascii="Arial" w:hAnsi="Arial" w:cs="Arial"/>
          <w:spacing w:val="-2"/>
          <w:szCs w:val="24"/>
        </w:rPr>
        <w:t xml:space="preserve"> que, lo</w:t>
      </w:r>
      <w:r w:rsidRPr="0057673A">
        <w:rPr>
          <w:rFonts w:ascii="Arial" w:hAnsi="Arial" w:cs="Arial"/>
          <w:spacing w:val="-2"/>
          <w:szCs w:val="24"/>
        </w:rPr>
        <w:t xml:space="preserve">s </w:t>
      </w:r>
      <w:proofErr w:type="spellStart"/>
      <w:r w:rsidR="00477BC5">
        <w:rPr>
          <w:rFonts w:ascii="Arial" w:hAnsi="Arial" w:cs="Arial"/>
          <w:spacing w:val="-2"/>
          <w:szCs w:val="24"/>
        </w:rPr>
        <w:t>ADS</w:t>
      </w:r>
      <w:r w:rsidR="000F5D62">
        <w:rPr>
          <w:rFonts w:ascii="Arial" w:hAnsi="Arial" w:cs="Arial"/>
          <w:spacing w:val="-2"/>
          <w:szCs w:val="24"/>
        </w:rPr>
        <w:t>s</w:t>
      </w:r>
      <w:proofErr w:type="spellEnd"/>
      <w:r w:rsidR="000F5D62">
        <w:rPr>
          <w:rFonts w:ascii="Arial" w:hAnsi="Arial" w:cs="Arial"/>
          <w:spacing w:val="-2"/>
          <w:szCs w:val="24"/>
        </w:rPr>
        <w:t xml:space="preserve"> </w:t>
      </w:r>
      <w:r w:rsidRPr="0057673A">
        <w:rPr>
          <w:rFonts w:ascii="Arial" w:hAnsi="Arial" w:cs="Arial"/>
          <w:spacing w:val="-2"/>
          <w:szCs w:val="24"/>
        </w:rPr>
        <w:t>representad</w:t>
      </w:r>
      <w:r w:rsidR="000F5D62">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no podrán ser objeto de acciones individuales o colectivas por parte de sus acreedores, y se encontrarán segregadas de los bienes del Banco en poder del Banco Custodio, como así también en la contabilidad del Banco como emisor de los CEDEAR</w:t>
      </w:r>
      <w:r w:rsidR="001F26EF">
        <w:rPr>
          <w:rFonts w:ascii="Arial" w:hAnsi="Arial" w:cs="Arial"/>
          <w:spacing w:val="-2"/>
          <w:szCs w:val="24"/>
        </w:rPr>
        <w:t>s</w:t>
      </w:r>
      <w:r w:rsidRPr="0057673A">
        <w:rPr>
          <w:rFonts w:ascii="Arial" w:hAnsi="Arial" w:cs="Arial"/>
          <w:spacing w:val="-2"/>
          <w:szCs w:val="24"/>
        </w:rPr>
        <w:t>.</w:t>
      </w:r>
    </w:p>
    <w:p w14:paraId="1F1DA6A6" w14:textId="77777777" w:rsidR="0057673A" w:rsidRPr="0057673A" w:rsidRDefault="0057673A" w:rsidP="0057673A">
      <w:pPr>
        <w:pStyle w:val="Textoindependiente"/>
        <w:outlineLvl w:val="0"/>
        <w:rPr>
          <w:rFonts w:ascii="Arial" w:hAnsi="Arial" w:cs="Arial"/>
          <w:spacing w:val="-2"/>
          <w:szCs w:val="24"/>
        </w:rPr>
      </w:pPr>
    </w:p>
    <w:p w14:paraId="4F8F03CC" w14:textId="77777777" w:rsidR="0057673A" w:rsidRPr="0057673A" w:rsidRDefault="000121FE" w:rsidP="0057673A">
      <w:pPr>
        <w:pStyle w:val="Textoindependiente"/>
        <w:outlineLvl w:val="0"/>
        <w:rPr>
          <w:rFonts w:ascii="Arial" w:hAnsi="Arial" w:cs="Arial"/>
          <w:spacing w:val="-2"/>
          <w:szCs w:val="24"/>
        </w:rPr>
      </w:pPr>
      <w:r>
        <w:rPr>
          <w:rFonts w:ascii="Arial" w:hAnsi="Arial" w:cs="Arial"/>
          <w:spacing w:val="-2"/>
          <w:szCs w:val="24"/>
        </w:rPr>
        <w:t>Los bienes de la sociedad emisora</w:t>
      </w:r>
      <w:r w:rsidR="000F5D62">
        <w:rPr>
          <w:rFonts w:ascii="Arial" w:hAnsi="Arial" w:cs="Arial"/>
          <w:spacing w:val="-2"/>
          <w:szCs w:val="24"/>
        </w:rPr>
        <w:t xml:space="preserve"> de </w:t>
      </w:r>
      <w:r w:rsidR="00BE583E">
        <w:rPr>
          <w:rFonts w:ascii="Arial" w:hAnsi="Arial" w:cs="Arial"/>
          <w:spacing w:val="-2"/>
          <w:szCs w:val="24"/>
        </w:rPr>
        <w:t xml:space="preserve">las </w:t>
      </w:r>
      <w:r w:rsidR="007B6DCA">
        <w:rPr>
          <w:rFonts w:ascii="Arial" w:hAnsi="Arial" w:cs="Arial"/>
          <w:spacing w:val="-2"/>
          <w:szCs w:val="24"/>
        </w:rPr>
        <w:t>A</w:t>
      </w:r>
      <w:r w:rsidR="00BE583E">
        <w:rPr>
          <w:rFonts w:ascii="Arial" w:hAnsi="Arial" w:cs="Arial"/>
          <w:spacing w:val="-2"/>
          <w:szCs w:val="24"/>
        </w:rPr>
        <w:t xml:space="preserve">cciones </w:t>
      </w:r>
      <w:r w:rsidR="007B6DCA">
        <w:rPr>
          <w:rFonts w:ascii="Arial" w:hAnsi="Arial" w:cs="Arial"/>
          <w:spacing w:val="-2"/>
          <w:szCs w:val="24"/>
        </w:rPr>
        <w:t>S</w:t>
      </w:r>
      <w:r w:rsidR="00BE583E">
        <w:rPr>
          <w:rFonts w:ascii="Arial" w:hAnsi="Arial" w:cs="Arial"/>
          <w:spacing w:val="-2"/>
          <w:szCs w:val="24"/>
        </w:rPr>
        <w:t xml:space="preserve">ubyacentes de </w:t>
      </w:r>
      <w:r w:rsidR="000F5D62">
        <w:rPr>
          <w:rFonts w:ascii="Arial" w:hAnsi="Arial" w:cs="Arial"/>
          <w:spacing w:val="-2"/>
          <w:szCs w:val="24"/>
        </w:rPr>
        <w:t>lo</w:t>
      </w:r>
      <w:r w:rsidR="002802AF">
        <w:rPr>
          <w:rFonts w:ascii="Arial" w:hAnsi="Arial" w:cs="Arial"/>
          <w:spacing w:val="-2"/>
          <w:szCs w:val="24"/>
        </w:rPr>
        <w:t xml:space="preserve">s </w:t>
      </w:r>
      <w:proofErr w:type="spellStart"/>
      <w:r w:rsidR="00477BC5">
        <w:rPr>
          <w:rFonts w:ascii="Arial" w:hAnsi="Arial" w:cs="Arial"/>
          <w:spacing w:val="-2"/>
          <w:szCs w:val="24"/>
        </w:rPr>
        <w:t>ADS</w:t>
      </w:r>
      <w:r w:rsidR="000F5D62">
        <w:rPr>
          <w:rFonts w:ascii="Arial" w:hAnsi="Arial" w:cs="Arial"/>
          <w:spacing w:val="-2"/>
          <w:szCs w:val="24"/>
        </w:rPr>
        <w:t>s</w:t>
      </w:r>
      <w:proofErr w:type="spellEnd"/>
      <w:r w:rsidR="000F5D62">
        <w:rPr>
          <w:rFonts w:ascii="Arial" w:hAnsi="Arial" w:cs="Arial"/>
          <w:spacing w:val="-2"/>
          <w:szCs w:val="24"/>
        </w:rPr>
        <w:t xml:space="preserve"> </w:t>
      </w:r>
      <w:r w:rsidR="0057673A" w:rsidRPr="0057673A">
        <w:rPr>
          <w:rFonts w:ascii="Arial" w:hAnsi="Arial" w:cs="Arial"/>
          <w:spacing w:val="-2"/>
          <w:szCs w:val="24"/>
        </w:rPr>
        <w:t>representad</w:t>
      </w:r>
      <w:r w:rsidR="000F5D62">
        <w:rPr>
          <w:rFonts w:ascii="Arial" w:hAnsi="Arial" w:cs="Arial"/>
          <w:spacing w:val="-2"/>
          <w:szCs w:val="24"/>
        </w:rPr>
        <w:t>o</w:t>
      </w:r>
      <w:r w:rsidR="0057673A" w:rsidRPr="0057673A">
        <w:rPr>
          <w:rFonts w:ascii="Arial" w:hAnsi="Arial" w:cs="Arial"/>
          <w:spacing w:val="-2"/>
          <w:szCs w:val="24"/>
        </w:rPr>
        <w:t>s por los CEDEAR</w:t>
      </w:r>
      <w:r w:rsidR="001F26EF">
        <w:rPr>
          <w:rFonts w:ascii="Arial" w:hAnsi="Arial" w:cs="Arial"/>
          <w:spacing w:val="-2"/>
          <w:szCs w:val="24"/>
        </w:rPr>
        <w:t>s</w:t>
      </w:r>
      <w:r w:rsidR="0057673A" w:rsidRPr="0057673A">
        <w:rPr>
          <w:rFonts w:ascii="Arial" w:hAnsi="Arial" w:cs="Arial"/>
          <w:spacing w:val="-2"/>
          <w:szCs w:val="24"/>
        </w:rPr>
        <w:t xml:space="preserve"> no responden por las obligaciones c</w:t>
      </w:r>
      <w:r>
        <w:rPr>
          <w:rFonts w:ascii="Arial" w:hAnsi="Arial" w:cs="Arial"/>
          <w:spacing w:val="-2"/>
          <w:szCs w:val="24"/>
        </w:rPr>
        <w:t>ontraídas en la ejecución del</w:t>
      </w:r>
      <w:r w:rsidR="0057673A" w:rsidRPr="0057673A">
        <w:rPr>
          <w:rFonts w:ascii="Arial" w:hAnsi="Arial" w:cs="Arial"/>
          <w:spacing w:val="-2"/>
          <w:szCs w:val="24"/>
        </w:rPr>
        <w:t xml:space="preserve"> Programa de </w:t>
      </w:r>
      <w:proofErr w:type="spellStart"/>
      <w:r w:rsidR="0057673A" w:rsidRPr="0057673A">
        <w:rPr>
          <w:rFonts w:ascii="Arial" w:hAnsi="Arial" w:cs="Arial"/>
          <w:spacing w:val="-2"/>
          <w:szCs w:val="24"/>
        </w:rPr>
        <w:t>CEDEAR</w:t>
      </w:r>
      <w:r w:rsidR="001F26EF">
        <w:rPr>
          <w:rFonts w:ascii="Arial" w:hAnsi="Arial" w:cs="Arial"/>
          <w:spacing w:val="-2"/>
          <w:szCs w:val="24"/>
        </w:rPr>
        <w:t>s</w:t>
      </w:r>
      <w:proofErr w:type="spellEnd"/>
      <w:r w:rsidR="0057673A" w:rsidRPr="0057673A">
        <w:rPr>
          <w:rFonts w:ascii="Arial" w:hAnsi="Arial" w:cs="Arial"/>
          <w:spacing w:val="-2"/>
          <w:szCs w:val="24"/>
        </w:rPr>
        <w:t xml:space="preserve">. Se trata en todos los casos de </w:t>
      </w:r>
      <w:r>
        <w:rPr>
          <w:rFonts w:ascii="Arial" w:hAnsi="Arial" w:cs="Arial"/>
          <w:spacing w:val="-2"/>
          <w:szCs w:val="24"/>
        </w:rPr>
        <w:t>un Programa</w:t>
      </w:r>
      <w:r w:rsidR="0057673A" w:rsidRPr="0057673A">
        <w:rPr>
          <w:rFonts w:ascii="Arial" w:hAnsi="Arial" w:cs="Arial"/>
          <w:spacing w:val="-2"/>
          <w:szCs w:val="24"/>
        </w:rPr>
        <w:t xml:space="preserve"> no patroci</w:t>
      </w:r>
      <w:r w:rsidR="005C7F43">
        <w:rPr>
          <w:rFonts w:ascii="Arial" w:hAnsi="Arial" w:cs="Arial"/>
          <w:spacing w:val="-2"/>
          <w:szCs w:val="24"/>
        </w:rPr>
        <w:t>nado</w:t>
      </w:r>
      <w:r w:rsidR="00F359CA">
        <w:rPr>
          <w:rFonts w:ascii="Arial" w:hAnsi="Arial" w:cs="Arial"/>
          <w:spacing w:val="-2"/>
          <w:szCs w:val="24"/>
        </w:rPr>
        <w:t xml:space="preserve"> de CEDEARs, y </w:t>
      </w:r>
      <w:r w:rsidR="0057673A" w:rsidRPr="0057673A">
        <w:rPr>
          <w:rFonts w:ascii="Arial" w:hAnsi="Arial" w:cs="Arial"/>
          <w:spacing w:val="-2"/>
          <w:szCs w:val="24"/>
        </w:rPr>
        <w:t xml:space="preserve">la información relativa a </w:t>
      </w:r>
      <w:r>
        <w:rPr>
          <w:rFonts w:ascii="Arial" w:hAnsi="Arial" w:cs="Arial"/>
          <w:spacing w:val="-2"/>
          <w:szCs w:val="24"/>
        </w:rPr>
        <w:t>la</w:t>
      </w:r>
      <w:r w:rsidR="00F359CA">
        <w:rPr>
          <w:rFonts w:ascii="Arial" w:hAnsi="Arial" w:cs="Arial"/>
          <w:spacing w:val="-2"/>
          <w:szCs w:val="24"/>
        </w:rPr>
        <w:t xml:space="preserve"> </w:t>
      </w:r>
      <w:r>
        <w:rPr>
          <w:rFonts w:ascii="Arial" w:hAnsi="Arial" w:cs="Arial"/>
          <w:spacing w:val="-2"/>
          <w:szCs w:val="24"/>
        </w:rPr>
        <w:t>sociedad</w:t>
      </w:r>
      <w:r w:rsidR="0057673A" w:rsidRPr="0057673A">
        <w:rPr>
          <w:rFonts w:ascii="Arial" w:hAnsi="Arial" w:cs="Arial"/>
          <w:spacing w:val="-2"/>
          <w:szCs w:val="24"/>
        </w:rPr>
        <w:t xml:space="preserve"> </w:t>
      </w:r>
      <w:r w:rsidR="00F359CA">
        <w:rPr>
          <w:rFonts w:ascii="Arial" w:hAnsi="Arial" w:cs="Arial"/>
          <w:spacing w:val="-2"/>
          <w:szCs w:val="24"/>
        </w:rPr>
        <w:t>emi</w:t>
      </w:r>
      <w:r>
        <w:rPr>
          <w:rFonts w:ascii="Arial" w:hAnsi="Arial" w:cs="Arial"/>
          <w:spacing w:val="-2"/>
          <w:szCs w:val="24"/>
        </w:rPr>
        <w:t>sora</w:t>
      </w:r>
      <w:r w:rsidR="007B6DCA">
        <w:rPr>
          <w:rFonts w:ascii="Arial" w:hAnsi="Arial" w:cs="Arial"/>
          <w:spacing w:val="-2"/>
          <w:szCs w:val="24"/>
        </w:rPr>
        <w:t xml:space="preserve"> de las A</w:t>
      </w:r>
      <w:r w:rsidR="00F359CA">
        <w:rPr>
          <w:rFonts w:ascii="Arial" w:hAnsi="Arial" w:cs="Arial"/>
          <w:spacing w:val="-2"/>
          <w:szCs w:val="24"/>
        </w:rPr>
        <w:t xml:space="preserve">cciones </w:t>
      </w:r>
      <w:r w:rsidR="007B6DCA">
        <w:rPr>
          <w:rFonts w:ascii="Arial" w:hAnsi="Arial" w:cs="Arial"/>
          <w:spacing w:val="-2"/>
          <w:szCs w:val="24"/>
        </w:rPr>
        <w:t>S</w:t>
      </w:r>
      <w:r w:rsidR="00F359CA">
        <w:rPr>
          <w:rFonts w:ascii="Arial" w:hAnsi="Arial" w:cs="Arial"/>
          <w:spacing w:val="-2"/>
          <w:szCs w:val="24"/>
        </w:rPr>
        <w:t xml:space="preserve">ubyacentes de los </w:t>
      </w:r>
      <w:proofErr w:type="spellStart"/>
      <w:r w:rsidR="00477BC5">
        <w:rPr>
          <w:rFonts w:ascii="Arial" w:hAnsi="Arial" w:cs="Arial"/>
          <w:spacing w:val="-2"/>
          <w:szCs w:val="24"/>
        </w:rPr>
        <w:t>ADS</w:t>
      </w:r>
      <w:r w:rsidR="00F359CA">
        <w:rPr>
          <w:rFonts w:ascii="Arial" w:hAnsi="Arial" w:cs="Arial"/>
          <w:spacing w:val="-2"/>
          <w:szCs w:val="24"/>
        </w:rPr>
        <w:t>s</w:t>
      </w:r>
      <w:proofErr w:type="spellEnd"/>
      <w:r w:rsidR="00F359CA">
        <w:rPr>
          <w:rFonts w:ascii="Arial" w:hAnsi="Arial" w:cs="Arial"/>
          <w:spacing w:val="-2"/>
          <w:szCs w:val="24"/>
        </w:rPr>
        <w:t xml:space="preserve"> representados por los CEDEARs, se encuentra </w:t>
      </w:r>
      <w:r w:rsidR="0057673A" w:rsidRPr="0057673A">
        <w:rPr>
          <w:rFonts w:ascii="Arial" w:hAnsi="Arial" w:cs="Arial"/>
          <w:spacing w:val="-2"/>
          <w:szCs w:val="24"/>
        </w:rPr>
        <w:t xml:space="preserve">disponible para los inversores </w:t>
      </w:r>
      <w:r w:rsidR="00F359CA">
        <w:rPr>
          <w:rFonts w:ascii="Arial" w:hAnsi="Arial" w:cs="Arial"/>
          <w:spacing w:val="-2"/>
          <w:szCs w:val="24"/>
        </w:rPr>
        <w:t xml:space="preserve">en la </w:t>
      </w:r>
      <w:r w:rsidR="0057673A" w:rsidRPr="0057673A">
        <w:rPr>
          <w:rFonts w:ascii="Arial" w:hAnsi="Arial" w:cs="Arial"/>
          <w:spacing w:val="-2"/>
          <w:szCs w:val="24"/>
        </w:rPr>
        <w:t>SEC</w:t>
      </w:r>
      <w:r>
        <w:rPr>
          <w:rFonts w:ascii="Arial" w:hAnsi="Arial" w:cs="Arial"/>
          <w:spacing w:val="-2"/>
          <w:szCs w:val="24"/>
        </w:rPr>
        <w:t xml:space="preserve"> y en la página</w:t>
      </w:r>
      <w:r w:rsidR="00EB5F78">
        <w:rPr>
          <w:rFonts w:ascii="Arial" w:hAnsi="Arial" w:cs="Arial"/>
          <w:spacing w:val="-2"/>
          <w:szCs w:val="24"/>
        </w:rPr>
        <w:t xml:space="preserve"> de </w:t>
      </w:r>
      <w:r>
        <w:rPr>
          <w:rFonts w:ascii="Arial" w:hAnsi="Arial" w:cs="Arial"/>
          <w:spacing w:val="-2"/>
          <w:szCs w:val="24"/>
        </w:rPr>
        <w:t>la sociedad</w:t>
      </w:r>
      <w:r w:rsidR="007B6DCA">
        <w:rPr>
          <w:rFonts w:ascii="Arial" w:hAnsi="Arial" w:cs="Arial"/>
          <w:spacing w:val="-2"/>
          <w:szCs w:val="24"/>
        </w:rPr>
        <w:t xml:space="preserve"> emisora de las A</w:t>
      </w:r>
      <w:r w:rsidR="00EB5F78">
        <w:rPr>
          <w:rFonts w:ascii="Arial" w:hAnsi="Arial" w:cs="Arial"/>
          <w:spacing w:val="-2"/>
          <w:szCs w:val="24"/>
        </w:rPr>
        <w:t xml:space="preserve">cciones </w:t>
      </w:r>
      <w:r w:rsidR="007B6DCA">
        <w:rPr>
          <w:rFonts w:ascii="Arial" w:hAnsi="Arial" w:cs="Arial"/>
          <w:spacing w:val="-2"/>
          <w:szCs w:val="24"/>
        </w:rPr>
        <w:t>S</w:t>
      </w:r>
      <w:r w:rsidR="00EB5F78">
        <w:rPr>
          <w:rFonts w:ascii="Arial" w:hAnsi="Arial" w:cs="Arial"/>
          <w:spacing w:val="-2"/>
          <w:szCs w:val="24"/>
        </w:rPr>
        <w:t xml:space="preserve">ubyacentes de los </w:t>
      </w:r>
      <w:proofErr w:type="spellStart"/>
      <w:r w:rsidR="00477BC5">
        <w:rPr>
          <w:rFonts w:ascii="Arial" w:hAnsi="Arial" w:cs="Arial"/>
          <w:spacing w:val="-2"/>
          <w:szCs w:val="24"/>
        </w:rPr>
        <w:t>ADS</w:t>
      </w:r>
      <w:r w:rsidR="00EB5F78">
        <w:rPr>
          <w:rFonts w:ascii="Arial" w:hAnsi="Arial" w:cs="Arial"/>
          <w:spacing w:val="-2"/>
          <w:szCs w:val="24"/>
        </w:rPr>
        <w:t>s</w:t>
      </w:r>
      <w:proofErr w:type="spellEnd"/>
      <w:r w:rsidR="00EB5F78">
        <w:rPr>
          <w:rFonts w:ascii="Arial" w:hAnsi="Arial" w:cs="Arial"/>
          <w:spacing w:val="-2"/>
          <w:szCs w:val="24"/>
        </w:rPr>
        <w:t xml:space="preserve"> representados por los CEDEARs. </w:t>
      </w:r>
      <w:r w:rsidR="00DA439B">
        <w:rPr>
          <w:rFonts w:ascii="Arial" w:hAnsi="Arial" w:cs="Arial"/>
          <w:spacing w:val="-2"/>
          <w:szCs w:val="24"/>
        </w:rPr>
        <w:t xml:space="preserve">  </w:t>
      </w:r>
    </w:p>
    <w:p w14:paraId="3C918C9D" w14:textId="77777777" w:rsidR="0057673A" w:rsidRPr="0057673A" w:rsidRDefault="0057673A" w:rsidP="0057673A">
      <w:pPr>
        <w:pStyle w:val="Textoindependiente"/>
        <w:outlineLvl w:val="0"/>
        <w:rPr>
          <w:rFonts w:ascii="Arial" w:hAnsi="Arial" w:cs="Arial"/>
          <w:spacing w:val="-2"/>
          <w:szCs w:val="24"/>
        </w:rPr>
      </w:pPr>
    </w:p>
    <w:p w14:paraId="36CC4544"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En el supuesto de cancelación del CEDEAR, el tenedor po</w:t>
      </w:r>
      <w:r w:rsidR="00C0766F">
        <w:rPr>
          <w:rFonts w:ascii="Arial" w:hAnsi="Arial" w:cs="Arial"/>
          <w:spacing w:val="-2"/>
          <w:szCs w:val="24"/>
        </w:rPr>
        <w:t xml:space="preserve">see derecho a recibir el </w:t>
      </w:r>
      <w:r w:rsidR="00477BC5">
        <w:rPr>
          <w:rFonts w:ascii="Arial" w:hAnsi="Arial" w:cs="Arial"/>
          <w:spacing w:val="-2"/>
          <w:szCs w:val="24"/>
        </w:rPr>
        <w:t>ADS</w:t>
      </w:r>
      <w:r w:rsidRPr="0057673A">
        <w:rPr>
          <w:rFonts w:ascii="Arial" w:hAnsi="Arial" w:cs="Arial"/>
          <w:spacing w:val="-2"/>
          <w:szCs w:val="24"/>
        </w:rPr>
        <w:t xml:space="preserve"> representad</w:t>
      </w:r>
      <w:r w:rsidR="00C0766F">
        <w:rPr>
          <w:rFonts w:ascii="Arial" w:hAnsi="Arial" w:cs="Arial"/>
          <w:spacing w:val="-2"/>
          <w:szCs w:val="24"/>
        </w:rPr>
        <w:t>o</w:t>
      </w:r>
      <w:r w:rsidRPr="0057673A">
        <w:rPr>
          <w:rFonts w:ascii="Arial" w:hAnsi="Arial" w:cs="Arial"/>
          <w:spacing w:val="-2"/>
          <w:szCs w:val="24"/>
        </w:rPr>
        <w:t xml:space="preserve"> por éste, salvo en el caso de fracciones de éste en el cual recibirá su importe en dólares estadounidenses según cotización bursátil d</w:t>
      </w:r>
      <w:r w:rsidR="00BE583E">
        <w:rPr>
          <w:rFonts w:ascii="Arial" w:hAnsi="Arial" w:cs="Arial"/>
          <w:spacing w:val="-2"/>
          <w:szCs w:val="24"/>
        </w:rPr>
        <w:t xml:space="preserve">el </w:t>
      </w:r>
      <w:r w:rsidR="00477BC5">
        <w:rPr>
          <w:rFonts w:ascii="Arial" w:hAnsi="Arial" w:cs="Arial"/>
          <w:spacing w:val="-2"/>
          <w:szCs w:val="24"/>
        </w:rPr>
        <w:t>ADS</w:t>
      </w:r>
      <w:r w:rsidRPr="0057673A">
        <w:rPr>
          <w:rFonts w:ascii="Arial" w:hAnsi="Arial" w:cs="Arial"/>
          <w:spacing w:val="-2"/>
          <w:szCs w:val="24"/>
        </w:rPr>
        <w:t xml:space="preserve"> a la fecha de cancelación en el mercado respectivo.</w:t>
      </w:r>
    </w:p>
    <w:p w14:paraId="558A2090" w14:textId="77777777" w:rsidR="0057673A" w:rsidRPr="0057673A" w:rsidRDefault="0057673A" w:rsidP="0057673A">
      <w:pPr>
        <w:pStyle w:val="Textoindependiente"/>
        <w:outlineLvl w:val="0"/>
        <w:rPr>
          <w:rFonts w:ascii="Arial" w:hAnsi="Arial" w:cs="Arial"/>
          <w:spacing w:val="-2"/>
          <w:szCs w:val="24"/>
        </w:rPr>
      </w:pPr>
    </w:p>
    <w:p w14:paraId="2F100C81"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Todos los pagos derivados de los CEDEAR</w:t>
      </w:r>
      <w:r w:rsidR="001F26EF">
        <w:rPr>
          <w:rFonts w:ascii="Arial" w:hAnsi="Arial" w:cs="Arial"/>
          <w:spacing w:val="-2"/>
          <w:szCs w:val="24"/>
        </w:rPr>
        <w:t>s</w:t>
      </w:r>
      <w:r w:rsidRPr="0057673A">
        <w:rPr>
          <w:rFonts w:ascii="Arial" w:hAnsi="Arial" w:cs="Arial"/>
          <w:spacing w:val="-2"/>
          <w:szCs w:val="24"/>
        </w:rPr>
        <w:t xml:space="preserve">, como así también su emisión y cancelación, estarán subordinados al previo pago de las sumas debidas en concepto de comisiones, honorarios y gastos, sumas que incluyen las deducciones o retenciones que corresponda realizar a cuenta de impuestos actuales o futuros de cualquier naturaleza. El tenedor deberá pagar, si correspondiere, el impuesto al valor agregado sobre las comisiones pagaderas al Banco. El Banco deberá pagar, si correspondiere, el impuesto sobre las comisiones pagaderas al Agente de Registro y Pago y los honorarios y gastos razonables de los asesores legales del Banco y a toda otra persona que preste cualquier otro tipo de servicios al Programa de CEDEAR al que corresponda. </w:t>
      </w:r>
    </w:p>
    <w:p w14:paraId="15BC82B0" w14:textId="77777777" w:rsidR="0057673A" w:rsidRPr="0057673A" w:rsidRDefault="0057673A" w:rsidP="0057673A">
      <w:pPr>
        <w:pStyle w:val="Textoindependiente"/>
        <w:outlineLvl w:val="0"/>
        <w:rPr>
          <w:rFonts w:ascii="Arial" w:hAnsi="Arial" w:cs="Arial"/>
          <w:spacing w:val="-2"/>
          <w:szCs w:val="24"/>
        </w:rPr>
      </w:pPr>
    </w:p>
    <w:p w14:paraId="7BEE5AE6"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 xml:space="preserve">Los </w:t>
      </w:r>
      <w:proofErr w:type="spellStart"/>
      <w:r w:rsidRPr="0057673A">
        <w:rPr>
          <w:rFonts w:ascii="Arial" w:hAnsi="Arial" w:cs="Arial"/>
          <w:spacing w:val="-2"/>
          <w:szCs w:val="24"/>
        </w:rPr>
        <w:t>CEDEAR</w:t>
      </w:r>
      <w:r w:rsidR="001F26EF">
        <w:rPr>
          <w:rFonts w:ascii="Arial" w:hAnsi="Arial" w:cs="Arial"/>
          <w:spacing w:val="-2"/>
          <w:szCs w:val="24"/>
        </w:rPr>
        <w:t>s</w:t>
      </w:r>
      <w:proofErr w:type="spellEnd"/>
      <w:r w:rsidR="004B43B6">
        <w:rPr>
          <w:rFonts w:ascii="Arial" w:hAnsi="Arial" w:cs="Arial"/>
          <w:spacing w:val="-2"/>
          <w:szCs w:val="24"/>
        </w:rPr>
        <w:t xml:space="preserve"> y l</w:t>
      </w:r>
      <w:r w:rsidR="005C7F43">
        <w:rPr>
          <w:rFonts w:ascii="Arial" w:hAnsi="Arial" w:cs="Arial"/>
          <w:spacing w:val="-2"/>
          <w:szCs w:val="24"/>
        </w:rPr>
        <w:t>o</w:t>
      </w:r>
      <w:r w:rsidR="004B43B6">
        <w:rPr>
          <w:rFonts w:ascii="Arial" w:hAnsi="Arial" w:cs="Arial"/>
          <w:spacing w:val="-2"/>
          <w:szCs w:val="24"/>
        </w:rPr>
        <w:t xml:space="preserve">s </w:t>
      </w:r>
      <w:proofErr w:type="spellStart"/>
      <w:r w:rsidR="00477BC5">
        <w:rPr>
          <w:rFonts w:ascii="Arial" w:hAnsi="Arial" w:cs="Arial"/>
          <w:spacing w:val="-2"/>
          <w:szCs w:val="24"/>
        </w:rPr>
        <w:t>ADS</w:t>
      </w:r>
      <w:r w:rsidR="005C7F43">
        <w:rPr>
          <w:rFonts w:ascii="Arial" w:hAnsi="Arial" w:cs="Arial"/>
          <w:spacing w:val="-2"/>
          <w:szCs w:val="24"/>
        </w:rPr>
        <w:t>s</w:t>
      </w:r>
      <w:proofErr w:type="spellEnd"/>
      <w:r w:rsidR="005C7F43">
        <w:rPr>
          <w:rFonts w:ascii="Arial" w:hAnsi="Arial" w:cs="Arial"/>
          <w:spacing w:val="-2"/>
          <w:szCs w:val="24"/>
        </w:rPr>
        <w:t xml:space="preserve"> </w:t>
      </w:r>
      <w:r w:rsidRPr="0057673A">
        <w:rPr>
          <w:rFonts w:ascii="Arial" w:hAnsi="Arial" w:cs="Arial"/>
          <w:spacing w:val="-2"/>
          <w:szCs w:val="24"/>
        </w:rPr>
        <w:t>representad</w:t>
      </w:r>
      <w:r w:rsidR="005C7F43">
        <w:rPr>
          <w:rFonts w:ascii="Arial" w:hAnsi="Arial" w:cs="Arial"/>
          <w:spacing w:val="-2"/>
          <w:szCs w:val="24"/>
        </w:rPr>
        <w:t>o</w:t>
      </w:r>
      <w:r w:rsidR="004B43B6">
        <w:rPr>
          <w:rFonts w:ascii="Arial" w:hAnsi="Arial" w:cs="Arial"/>
          <w:spacing w:val="-2"/>
          <w:szCs w:val="24"/>
        </w:rPr>
        <w:t>s</w:t>
      </w:r>
      <w:r w:rsidRPr="0057673A">
        <w:rPr>
          <w:rFonts w:ascii="Arial" w:hAnsi="Arial" w:cs="Arial"/>
          <w:spacing w:val="-2"/>
          <w:szCs w:val="24"/>
        </w:rPr>
        <w:t xml:space="preserve"> por éstos constituyen bienes separados del patrimonio del Banco y del Banco Custodio, en razón de su naturaleza jurídica, y se hallan </w:t>
      </w:r>
      <w:r w:rsidRPr="0057673A">
        <w:rPr>
          <w:rFonts w:ascii="Arial" w:hAnsi="Arial" w:cs="Arial"/>
          <w:spacing w:val="-2"/>
          <w:szCs w:val="24"/>
        </w:rPr>
        <w:lastRenderedPageBreak/>
        <w:t xml:space="preserve">exentos de la acción singular o colectiva de los acreedores de la </w:t>
      </w:r>
      <w:proofErr w:type="gramStart"/>
      <w:r w:rsidRPr="0057673A">
        <w:rPr>
          <w:rFonts w:ascii="Arial" w:hAnsi="Arial" w:cs="Arial"/>
          <w:spacing w:val="-2"/>
          <w:szCs w:val="24"/>
        </w:rPr>
        <w:t>sociedad  emisora</w:t>
      </w:r>
      <w:proofErr w:type="gramEnd"/>
      <w:r w:rsidRPr="0057673A">
        <w:rPr>
          <w:rFonts w:ascii="Arial" w:hAnsi="Arial" w:cs="Arial"/>
          <w:spacing w:val="-2"/>
          <w:szCs w:val="24"/>
        </w:rPr>
        <w:t xml:space="preserve"> </w:t>
      </w:r>
      <w:r w:rsidR="00685E50">
        <w:rPr>
          <w:rFonts w:ascii="Arial" w:hAnsi="Arial" w:cs="Arial"/>
          <w:spacing w:val="-2"/>
          <w:szCs w:val="24"/>
        </w:rPr>
        <w:t xml:space="preserve">de las </w:t>
      </w:r>
      <w:r w:rsidR="007B6DCA">
        <w:rPr>
          <w:rFonts w:ascii="Arial" w:hAnsi="Arial" w:cs="Arial"/>
          <w:spacing w:val="-2"/>
          <w:szCs w:val="24"/>
        </w:rPr>
        <w:t>A</w:t>
      </w:r>
      <w:r w:rsidR="00685E50">
        <w:rPr>
          <w:rFonts w:ascii="Arial" w:hAnsi="Arial" w:cs="Arial"/>
          <w:spacing w:val="-2"/>
          <w:szCs w:val="24"/>
        </w:rPr>
        <w:t xml:space="preserve">cciones </w:t>
      </w:r>
      <w:r w:rsidR="007B6DCA">
        <w:rPr>
          <w:rFonts w:ascii="Arial" w:hAnsi="Arial" w:cs="Arial"/>
          <w:spacing w:val="-2"/>
          <w:szCs w:val="24"/>
        </w:rPr>
        <w:t>S</w:t>
      </w:r>
      <w:r w:rsidR="00685E50">
        <w:rPr>
          <w:rFonts w:ascii="Arial" w:hAnsi="Arial" w:cs="Arial"/>
          <w:spacing w:val="-2"/>
          <w:szCs w:val="24"/>
        </w:rPr>
        <w:t xml:space="preserve">ubyacentes </w:t>
      </w:r>
      <w:r w:rsidRPr="0057673A">
        <w:rPr>
          <w:rFonts w:ascii="Arial" w:hAnsi="Arial" w:cs="Arial"/>
          <w:spacing w:val="-2"/>
          <w:szCs w:val="24"/>
        </w:rPr>
        <w:t xml:space="preserve">de </w:t>
      </w:r>
      <w:r w:rsidR="004B43B6">
        <w:rPr>
          <w:rFonts w:ascii="Arial" w:hAnsi="Arial" w:cs="Arial"/>
          <w:spacing w:val="-2"/>
          <w:szCs w:val="24"/>
        </w:rPr>
        <w:t>l</w:t>
      </w:r>
      <w:r w:rsidR="005C7F43">
        <w:rPr>
          <w:rFonts w:ascii="Arial" w:hAnsi="Arial" w:cs="Arial"/>
          <w:spacing w:val="-2"/>
          <w:szCs w:val="24"/>
        </w:rPr>
        <w:t>o</w:t>
      </w:r>
      <w:r w:rsidR="004B43B6">
        <w:rPr>
          <w:rFonts w:ascii="Arial" w:hAnsi="Arial" w:cs="Arial"/>
          <w:spacing w:val="-2"/>
          <w:szCs w:val="24"/>
        </w:rPr>
        <w:t xml:space="preserve">s </w:t>
      </w:r>
      <w:proofErr w:type="spellStart"/>
      <w:r w:rsidR="00477BC5">
        <w:rPr>
          <w:rFonts w:ascii="Arial" w:hAnsi="Arial" w:cs="Arial"/>
          <w:spacing w:val="-2"/>
          <w:szCs w:val="24"/>
        </w:rPr>
        <w:t>ADS</w:t>
      </w:r>
      <w:r w:rsidR="005C7F43">
        <w:rPr>
          <w:rFonts w:ascii="Arial" w:hAnsi="Arial" w:cs="Arial"/>
          <w:spacing w:val="-2"/>
          <w:szCs w:val="24"/>
        </w:rPr>
        <w:t>s</w:t>
      </w:r>
      <w:proofErr w:type="spellEnd"/>
      <w:r w:rsidR="005C7F43">
        <w:rPr>
          <w:rFonts w:ascii="Arial" w:hAnsi="Arial" w:cs="Arial"/>
          <w:spacing w:val="-2"/>
          <w:szCs w:val="24"/>
        </w:rPr>
        <w:t xml:space="preserve">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del Banco Custodio</w:t>
      </w:r>
      <w:r w:rsidR="00685E50">
        <w:rPr>
          <w:rFonts w:ascii="Arial" w:hAnsi="Arial" w:cs="Arial"/>
          <w:spacing w:val="-2"/>
          <w:szCs w:val="24"/>
        </w:rPr>
        <w:t>, del Banco Depositario</w:t>
      </w:r>
      <w:r w:rsidRPr="0057673A">
        <w:rPr>
          <w:rFonts w:ascii="Arial" w:hAnsi="Arial" w:cs="Arial"/>
          <w:spacing w:val="-2"/>
          <w:szCs w:val="24"/>
        </w:rPr>
        <w:t xml:space="preserve"> o del Banco, salvo la acción de fraude.</w:t>
      </w:r>
    </w:p>
    <w:p w14:paraId="022215E8" w14:textId="77777777" w:rsidR="001266DD" w:rsidRPr="006C1DFA" w:rsidRDefault="00B95ED0" w:rsidP="001266DD">
      <w:pPr>
        <w:pStyle w:val="Textoindependiente"/>
        <w:suppressAutoHyphens/>
        <w:jc w:val="center"/>
        <w:rPr>
          <w:rFonts w:ascii="Arial" w:hAnsi="Arial" w:cs="Arial"/>
          <w:b/>
          <w:spacing w:val="-2"/>
          <w:szCs w:val="24"/>
          <w:u w:val="single"/>
        </w:rPr>
      </w:pPr>
      <w:r>
        <w:rPr>
          <w:rFonts w:ascii="Arial" w:hAnsi="Arial" w:cs="Arial"/>
          <w:b/>
          <w:spacing w:val="-2"/>
          <w:szCs w:val="24"/>
          <w:u w:val="single"/>
        </w:rPr>
        <w:t>LA SOCIEDAD EMISORA</w:t>
      </w:r>
      <w:r w:rsidR="001266DD" w:rsidRPr="006C1DFA">
        <w:rPr>
          <w:rFonts w:ascii="Arial" w:hAnsi="Arial" w:cs="Arial"/>
          <w:b/>
          <w:spacing w:val="-2"/>
          <w:szCs w:val="24"/>
          <w:u w:val="single"/>
        </w:rPr>
        <w:t xml:space="preserve"> DE LAS ACCIONES </w:t>
      </w:r>
      <w:r w:rsidR="00E43560">
        <w:rPr>
          <w:rFonts w:ascii="Arial" w:hAnsi="Arial" w:cs="Arial"/>
          <w:b/>
          <w:spacing w:val="-2"/>
          <w:szCs w:val="24"/>
          <w:u w:val="single"/>
        </w:rPr>
        <w:t xml:space="preserve">SUBYACENTES </w:t>
      </w:r>
      <w:r w:rsidR="00DA439B">
        <w:rPr>
          <w:rFonts w:ascii="Arial" w:hAnsi="Arial" w:cs="Arial"/>
          <w:b/>
          <w:spacing w:val="-2"/>
          <w:szCs w:val="24"/>
          <w:u w:val="single"/>
        </w:rPr>
        <w:t>DE</w:t>
      </w:r>
      <w:r w:rsidR="001266DD" w:rsidRPr="006C1DFA">
        <w:rPr>
          <w:rFonts w:ascii="Arial" w:hAnsi="Arial" w:cs="Arial"/>
          <w:b/>
          <w:spacing w:val="-2"/>
          <w:szCs w:val="24"/>
          <w:u w:val="single"/>
        </w:rPr>
        <w:t xml:space="preserve"> LOS </w:t>
      </w:r>
      <w:proofErr w:type="spellStart"/>
      <w:r w:rsidR="00477BC5">
        <w:rPr>
          <w:rFonts w:ascii="Arial" w:hAnsi="Arial" w:cs="Arial"/>
          <w:b/>
          <w:spacing w:val="-2"/>
          <w:szCs w:val="24"/>
          <w:u w:val="single"/>
        </w:rPr>
        <w:t>ADS</w:t>
      </w:r>
      <w:r w:rsidR="003F5871">
        <w:rPr>
          <w:rFonts w:ascii="Arial" w:hAnsi="Arial" w:cs="Arial"/>
          <w:b/>
          <w:spacing w:val="-2"/>
          <w:szCs w:val="24"/>
          <w:u w:val="single"/>
        </w:rPr>
        <w:t>s</w:t>
      </w:r>
      <w:proofErr w:type="spellEnd"/>
      <w:r w:rsidR="001266DD" w:rsidRPr="006C1DFA">
        <w:rPr>
          <w:rFonts w:ascii="Arial" w:hAnsi="Arial" w:cs="Arial"/>
          <w:b/>
          <w:spacing w:val="-2"/>
          <w:szCs w:val="24"/>
          <w:u w:val="single"/>
        </w:rPr>
        <w:t xml:space="preserve"> A SU VEZ REPRESENTADOS POR LOS </w:t>
      </w:r>
      <w:proofErr w:type="spellStart"/>
      <w:r w:rsidR="001266DD" w:rsidRPr="006C1DFA">
        <w:rPr>
          <w:rFonts w:ascii="Arial" w:hAnsi="Arial" w:cs="Arial"/>
          <w:b/>
          <w:spacing w:val="-2"/>
          <w:szCs w:val="24"/>
          <w:u w:val="single"/>
        </w:rPr>
        <w:t>CEDEAR</w:t>
      </w:r>
      <w:r w:rsidR="00F9317E">
        <w:rPr>
          <w:rFonts w:ascii="Arial" w:hAnsi="Arial" w:cs="Arial"/>
          <w:b/>
          <w:spacing w:val="-2"/>
          <w:szCs w:val="24"/>
          <w:u w:val="single"/>
        </w:rPr>
        <w:t>s</w:t>
      </w:r>
      <w:proofErr w:type="spellEnd"/>
    </w:p>
    <w:p w14:paraId="70AF0B91" w14:textId="77777777" w:rsidR="004079B7" w:rsidRPr="00C21BB4" w:rsidRDefault="004079B7" w:rsidP="00E67464">
      <w:pPr>
        <w:pStyle w:val="Textoindependiente"/>
        <w:suppressAutoHyphens/>
        <w:rPr>
          <w:rFonts w:ascii="Arial" w:hAnsi="Arial" w:cs="Arial"/>
          <w:b/>
          <w:spacing w:val="-2"/>
          <w:szCs w:val="24"/>
          <w:u w:val="single"/>
        </w:rPr>
      </w:pPr>
    </w:p>
    <w:p w14:paraId="065BB2EA" w14:textId="77777777" w:rsidR="0059414A" w:rsidRPr="0059414A" w:rsidRDefault="0059414A" w:rsidP="0059414A">
      <w:pPr>
        <w:pStyle w:val="Ttulo4"/>
        <w:jc w:val="both"/>
        <w:rPr>
          <w:rFonts w:ascii="Arial" w:hAnsi="Arial" w:cs="Arial"/>
          <w:b w:val="0"/>
          <w:szCs w:val="24"/>
          <w:u w:val="none"/>
        </w:rPr>
      </w:pPr>
      <w:r w:rsidRPr="009F270F">
        <w:rPr>
          <w:rFonts w:ascii="Arial" w:hAnsi="Arial" w:cs="Arial"/>
          <w:b w:val="0"/>
          <w:szCs w:val="24"/>
          <w:u w:val="none"/>
        </w:rPr>
        <w:t>La</w:t>
      </w:r>
      <w:r w:rsidRPr="009F270F">
        <w:rPr>
          <w:rFonts w:ascii="Arial" w:hAnsi="Arial" w:cs="Arial"/>
          <w:szCs w:val="24"/>
          <w:u w:val="none"/>
        </w:rPr>
        <w:t xml:space="preserve"> 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1</w:t>
      </w:r>
      <w:r w:rsidRPr="0059414A">
        <w:rPr>
          <w:rFonts w:ascii="Arial" w:hAnsi="Arial" w:cs="Arial"/>
          <w:b w:val="0"/>
          <w:szCs w:val="24"/>
          <w:u w:val="none"/>
        </w:rPr>
        <w:t xml:space="preserve"> que seguidamente se transcribe contiene la denominación, domicilio y di</w:t>
      </w:r>
      <w:r w:rsidR="00B95ED0">
        <w:rPr>
          <w:rFonts w:ascii="Arial" w:hAnsi="Arial" w:cs="Arial"/>
          <w:b w:val="0"/>
          <w:szCs w:val="24"/>
          <w:u w:val="none"/>
        </w:rPr>
        <w:t>rección de Internet de la sociedad emisora</w:t>
      </w:r>
      <w:r w:rsidR="004B43B6">
        <w:rPr>
          <w:rFonts w:ascii="Arial" w:hAnsi="Arial" w:cs="Arial"/>
          <w:b w:val="0"/>
          <w:szCs w:val="24"/>
          <w:u w:val="none"/>
        </w:rPr>
        <w:t xml:space="preserve"> de las </w:t>
      </w:r>
      <w:r w:rsidR="007B6DCA">
        <w:rPr>
          <w:rFonts w:ascii="Arial" w:hAnsi="Arial" w:cs="Arial"/>
          <w:b w:val="0"/>
          <w:szCs w:val="24"/>
          <w:u w:val="none"/>
        </w:rPr>
        <w:t>A</w:t>
      </w:r>
      <w:r w:rsidR="004032F1">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4032F1">
        <w:rPr>
          <w:rFonts w:ascii="Arial" w:hAnsi="Arial" w:cs="Arial"/>
          <w:b w:val="0"/>
          <w:szCs w:val="24"/>
          <w:u w:val="none"/>
        </w:rPr>
        <w:t xml:space="preserve">de los </w:t>
      </w:r>
      <w:proofErr w:type="spellStart"/>
      <w:r w:rsidR="00477BC5">
        <w:rPr>
          <w:rFonts w:ascii="Arial" w:hAnsi="Arial" w:cs="Arial"/>
          <w:b w:val="0"/>
          <w:szCs w:val="24"/>
          <w:u w:val="none"/>
          <w:lang w:val="es-ES"/>
        </w:rPr>
        <w:t>ADS</w:t>
      </w:r>
      <w:r w:rsidR="004032F1" w:rsidRPr="004032F1">
        <w:rPr>
          <w:rFonts w:ascii="Arial" w:hAnsi="Arial" w:cs="Arial"/>
          <w:b w:val="0"/>
          <w:szCs w:val="24"/>
          <w:u w:val="none"/>
          <w:lang w:val="es-ES"/>
        </w:rPr>
        <w:t>s</w:t>
      </w:r>
      <w:proofErr w:type="spellEnd"/>
      <w:r w:rsidR="004032F1" w:rsidRPr="004032F1">
        <w:rPr>
          <w:rFonts w:ascii="Arial" w:hAnsi="Arial" w:cs="Arial"/>
          <w:b w:val="0"/>
          <w:szCs w:val="24"/>
          <w:u w:val="none"/>
          <w:lang w:val="es-ES"/>
        </w:rPr>
        <w:t xml:space="preserve"> </w:t>
      </w:r>
      <w:r w:rsidRPr="0059414A">
        <w:rPr>
          <w:rFonts w:ascii="Arial" w:hAnsi="Arial" w:cs="Arial"/>
          <w:b w:val="0"/>
          <w:szCs w:val="24"/>
          <w:u w:val="none"/>
        </w:rPr>
        <w:t>representa</w:t>
      </w:r>
      <w:r w:rsidR="004B43B6">
        <w:rPr>
          <w:rFonts w:ascii="Arial" w:hAnsi="Arial" w:cs="Arial"/>
          <w:b w:val="0"/>
          <w:szCs w:val="24"/>
          <w:u w:val="none"/>
        </w:rPr>
        <w:t>d</w:t>
      </w:r>
      <w:r w:rsidR="004032F1">
        <w:rPr>
          <w:rFonts w:ascii="Arial" w:hAnsi="Arial" w:cs="Arial"/>
          <w:b w:val="0"/>
          <w:szCs w:val="24"/>
          <w:u w:val="none"/>
        </w:rPr>
        <w:t>o</w:t>
      </w:r>
      <w:r w:rsidR="00B95ED0">
        <w:rPr>
          <w:rFonts w:ascii="Arial" w:hAnsi="Arial" w:cs="Arial"/>
          <w:b w:val="0"/>
          <w:szCs w:val="24"/>
          <w:u w:val="none"/>
        </w:rPr>
        <w:t>s por el Programa</w:t>
      </w:r>
      <w:r>
        <w:rPr>
          <w:rFonts w:ascii="Arial" w:hAnsi="Arial" w:cs="Arial"/>
          <w:b w:val="0"/>
          <w:szCs w:val="24"/>
          <w:u w:val="none"/>
        </w:rPr>
        <w:t xml:space="preserve"> de </w:t>
      </w:r>
      <w:proofErr w:type="spellStart"/>
      <w:r>
        <w:rPr>
          <w:rFonts w:ascii="Arial" w:hAnsi="Arial" w:cs="Arial"/>
          <w:b w:val="0"/>
          <w:szCs w:val="24"/>
          <w:u w:val="none"/>
        </w:rPr>
        <w:t>CEDEAR</w:t>
      </w:r>
      <w:r w:rsidR="001F26EF">
        <w:rPr>
          <w:rFonts w:ascii="Arial" w:hAnsi="Arial" w:cs="Arial"/>
          <w:b w:val="0"/>
          <w:szCs w:val="24"/>
          <w:u w:val="none"/>
        </w:rPr>
        <w:t>s</w:t>
      </w:r>
      <w:proofErr w:type="spellEnd"/>
      <w:r w:rsidRPr="0059414A">
        <w:rPr>
          <w:rFonts w:ascii="Arial" w:hAnsi="Arial" w:cs="Arial"/>
          <w:b w:val="0"/>
          <w:szCs w:val="24"/>
          <w:u w:val="none"/>
        </w:rPr>
        <w:t xml:space="preserve"> que emitirá el Banco Emisor.</w:t>
      </w:r>
    </w:p>
    <w:p w14:paraId="06EB8185" w14:textId="77777777" w:rsidR="0059414A" w:rsidRPr="0059414A" w:rsidRDefault="0059414A" w:rsidP="0059414A">
      <w:pPr>
        <w:pStyle w:val="Ttulo4"/>
        <w:jc w:val="both"/>
        <w:rPr>
          <w:rFonts w:ascii="Arial" w:hAnsi="Arial" w:cs="Arial"/>
          <w:b w:val="0"/>
          <w:szCs w:val="24"/>
          <w:u w:val="none"/>
        </w:rPr>
      </w:pPr>
    </w:p>
    <w:p w14:paraId="13D47BDF" w14:textId="77777777"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 xml:space="preserve">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2 </w:t>
      </w:r>
      <w:r w:rsidRPr="0059414A">
        <w:rPr>
          <w:rFonts w:ascii="Arial" w:hAnsi="Arial" w:cs="Arial"/>
          <w:b w:val="0"/>
          <w:szCs w:val="24"/>
          <w:u w:val="none"/>
        </w:rPr>
        <w:t>contiene la des</w:t>
      </w:r>
      <w:r w:rsidR="00B95ED0">
        <w:rPr>
          <w:rFonts w:ascii="Arial" w:hAnsi="Arial" w:cs="Arial"/>
          <w:b w:val="0"/>
          <w:szCs w:val="24"/>
          <w:u w:val="none"/>
        </w:rPr>
        <w:t>cripción de la actividad de la sociedad emisora</w:t>
      </w:r>
      <w:r w:rsidR="007B6DCA">
        <w:rPr>
          <w:rFonts w:ascii="Arial" w:hAnsi="Arial" w:cs="Arial"/>
          <w:b w:val="0"/>
          <w:szCs w:val="24"/>
          <w:u w:val="none"/>
        </w:rPr>
        <w:t xml:space="preserve"> de las A</w:t>
      </w:r>
      <w:r w:rsidRPr="0059414A">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D013F7">
        <w:rPr>
          <w:rFonts w:ascii="Arial" w:hAnsi="Arial" w:cs="Arial"/>
          <w:b w:val="0"/>
          <w:szCs w:val="24"/>
          <w:u w:val="none"/>
        </w:rPr>
        <w:t xml:space="preserve">de los </w:t>
      </w:r>
      <w:proofErr w:type="spellStart"/>
      <w:r w:rsidR="00477BC5">
        <w:rPr>
          <w:rFonts w:ascii="Arial" w:hAnsi="Arial" w:cs="Arial"/>
          <w:b w:val="0"/>
          <w:szCs w:val="24"/>
          <w:u w:val="none"/>
          <w:lang w:val="es-ES"/>
        </w:rPr>
        <w:t>ADS</w:t>
      </w:r>
      <w:r w:rsidR="00D013F7" w:rsidRPr="004032F1">
        <w:rPr>
          <w:rFonts w:ascii="Arial" w:hAnsi="Arial" w:cs="Arial"/>
          <w:b w:val="0"/>
          <w:szCs w:val="24"/>
          <w:u w:val="none"/>
          <w:lang w:val="es-ES"/>
        </w:rPr>
        <w:t>s</w:t>
      </w:r>
      <w:proofErr w:type="spellEnd"/>
      <w:r w:rsidR="00D013F7" w:rsidRPr="0059414A">
        <w:rPr>
          <w:rFonts w:ascii="Arial" w:hAnsi="Arial" w:cs="Arial"/>
          <w:b w:val="0"/>
          <w:szCs w:val="24"/>
          <w:u w:val="none"/>
        </w:rPr>
        <w:t xml:space="preserve"> </w:t>
      </w:r>
      <w:r w:rsidRPr="0059414A">
        <w:rPr>
          <w:rFonts w:ascii="Arial" w:hAnsi="Arial" w:cs="Arial"/>
          <w:b w:val="0"/>
          <w:szCs w:val="24"/>
          <w:u w:val="none"/>
        </w:rPr>
        <w:t>representad</w:t>
      </w:r>
      <w:r w:rsidR="00D013F7">
        <w:rPr>
          <w:rFonts w:ascii="Arial" w:hAnsi="Arial" w:cs="Arial"/>
          <w:b w:val="0"/>
          <w:szCs w:val="24"/>
          <w:u w:val="none"/>
        </w:rPr>
        <w:t>o</w:t>
      </w:r>
      <w:r w:rsidR="00B95ED0">
        <w:rPr>
          <w:rFonts w:ascii="Arial" w:hAnsi="Arial" w:cs="Arial"/>
          <w:b w:val="0"/>
          <w:szCs w:val="24"/>
          <w:u w:val="none"/>
        </w:rPr>
        <w:t>s por el Programa</w:t>
      </w:r>
      <w:r w:rsidRPr="0059414A">
        <w:rPr>
          <w:rFonts w:ascii="Arial" w:hAnsi="Arial" w:cs="Arial"/>
          <w:b w:val="0"/>
          <w:szCs w:val="24"/>
          <w:u w:val="none"/>
        </w:rPr>
        <w:t xml:space="preserve"> de </w:t>
      </w:r>
      <w:proofErr w:type="spellStart"/>
      <w:r w:rsidRPr="0059414A">
        <w:rPr>
          <w:rFonts w:ascii="Arial" w:hAnsi="Arial" w:cs="Arial"/>
          <w:b w:val="0"/>
          <w:szCs w:val="24"/>
          <w:u w:val="none"/>
        </w:rPr>
        <w:t>CEDEAR</w:t>
      </w:r>
      <w:r w:rsidR="001F26EF">
        <w:rPr>
          <w:rFonts w:ascii="Arial" w:hAnsi="Arial" w:cs="Arial"/>
          <w:b w:val="0"/>
          <w:szCs w:val="24"/>
          <w:u w:val="none"/>
        </w:rPr>
        <w:t>s</w:t>
      </w:r>
      <w:proofErr w:type="spellEnd"/>
      <w:r w:rsidRPr="0059414A">
        <w:rPr>
          <w:rFonts w:ascii="Arial" w:hAnsi="Arial" w:cs="Arial"/>
          <w:b w:val="0"/>
          <w:szCs w:val="24"/>
          <w:u w:val="none"/>
        </w:rPr>
        <w:t xml:space="preserve"> del Banco, extractada de la información dispo</w:t>
      </w:r>
      <w:r w:rsidR="00B95ED0">
        <w:rPr>
          <w:rFonts w:ascii="Arial" w:hAnsi="Arial" w:cs="Arial"/>
          <w:b w:val="0"/>
          <w:szCs w:val="24"/>
          <w:u w:val="none"/>
        </w:rPr>
        <w:t>nible de la</w:t>
      </w:r>
      <w:r w:rsidRPr="0059414A">
        <w:rPr>
          <w:rFonts w:ascii="Arial" w:hAnsi="Arial" w:cs="Arial"/>
          <w:b w:val="0"/>
          <w:szCs w:val="24"/>
          <w:u w:val="none"/>
        </w:rPr>
        <w:t xml:space="preserve"> sociedad en la terminal Bloomberg.</w:t>
      </w:r>
    </w:p>
    <w:p w14:paraId="59A0E876" w14:textId="77777777" w:rsidR="0059414A" w:rsidRPr="0059414A" w:rsidRDefault="0059414A" w:rsidP="0059414A">
      <w:pPr>
        <w:pStyle w:val="Ttulo4"/>
        <w:jc w:val="both"/>
        <w:rPr>
          <w:rFonts w:ascii="Arial" w:hAnsi="Arial" w:cs="Arial"/>
          <w:b w:val="0"/>
          <w:szCs w:val="24"/>
          <w:u w:val="none"/>
        </w:rPr>
      </w:pPr>
    </w:p>
    <w:p w14:paraId="0D02D787" w14:textId="77777777"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 xml:space="preserve">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3</w:t>
      </w:r>
      <w:r w:rsidRPr="0059414A">
        <w:rPr>
          <w:rFonts w:ascii="Arial" w:hAnsi="Arial" w:cs="Arial"/>
          <w:b w:val="0"/>
          <w:szCs w:val="24"/>
          <w:u w:val="none"/>
        </w:rPr>
        <w:t xml:space="preserve"> contiene la siguiente información correspondiente a l</w:t>
      </w:r>
      <w:r w:rsidR="00D013F7">
        <w:rPr>
          <w:rFonts w:ascii="Arial" w:hAnsi="Arial" w:cs="Arial"/>
          <w:b w:val="0"/>
          <w:szCs w:val="24"/>
          <w:u w:val="none"/>
        </w:rPr>
        <w:t>o</w:t>
      </w:r>
      <w:r w:rsidRPr="0059414A">
        <w:rPr>
          <w:rFonts w:ascii="Arial" w:hAnsi="Arial" w:cs="Arial"/>
          <w:b w:val="0"/>
          <w:szCs w:val="24"/>
          <w:u w:val="none"/>
        </w:rPr>
        <w:t xml:space="preserve">s </w:t>
      </w:r>
      <w:proofErr w:type="spellStart"/>
      <w:r w:rsidR="00477BC5">
        <w:rPr>
          <w:rFonts w:ascii="Arial" w:hAnsi="Arial" w:cs="Arial"/>
          <w:b w:val="0"/>
          <w:szCs w:val="24"/>
          <w:u w:val="none"/>
          <w:lang w:val="es-ES"/>
        </w:rPr>
        <w:t>ADS</w:t>
      </w:r>
      <w:r w:rsidR="00D013F7" w:rsidRPr="004032F1">
        <w:rPr>
          <w:rFonts w:ascii="Arial" w:hAnsi="Arial" w:cs="Arial"/>
          <w:b w:val="0"/>
          <w:szCs w:val="24"/>
          <w:u w:val="none"/>
          <w:lang w:val="es-ES"/>
        </w:rPr>
        <w:t>s</w:t>
      </w:r>
      <w:proofErr w:type="spellEnd"/>
      <w:r w:rsidR="00D013F7" w:rsidRPr="0059414A">
        <w:rPr>
          <w:rFonts w:ascii="Arial" w:hAnsi="Arial" w:cs="Arial"/>
          <w:b w:val="0"/>
          <w:szCs w:val="24"/>
          <w:u w:val="none"/>
        </w:rPr>
        <w:t xml:space="preserve"> </w:t>
      </w:r>
      <w:r w:rsidRPr="0059414A">
        <w:rPr>
          <w:rFonts w:ascii="Arial" w:hAnsi="Arial" w:cs="Arial"/>
          <w:b w:val="0"/>
          <w:szCs w:val="24"/>
          <w:u w:val="none"/>
        </w:rPr>
        <w:t>re</w:t>
      </w:r>
      <w:r w:rsidR="004B43B6">
        <w:rPr>
          <w:rFonts w:ascii="Arial" w:hAnsi="Arial" w:cs="Arial"/>
          <w:b w:val="0"/>
          <w:szCs w:val="24"/>
          <w:u w:val="none"/>
        </w:rPr>
        <w:t>presentad</w:t>
      </w:r>
      <w:r w:rsidR="00D013F7">
        <w:rPr>
          <w:rFonts w:ascii="Arial" w:hAnsi="Arial" w:cs="Arial"/>
          <w:b w:val="0"/>
          <w:szCs w:val="24"/>
          <w:u w:val="none"/>
        </w:rPr>
        <w:t>o</w:t>
      </w:r>
      <w:r w:rsidR="002F1F54">
        <w:rPr>
          <w:rFonts w:ascii="Arial" w:hAnsi="Arial" w:cs="Arial"/>
          <w:b w:val="0"/>
          <w:szCs w:val="24"/>
          <w:u w:val="none"/>
        </w:rPr>
        <w:t xml:space="preserve">s por los </w:t>
      </w:r>
      <w:proofErr w:type="spellStart"/>
      <w:r w:rsidR="002F1F54">
        <w:rPr>
          <w:rFonts w:ascii="Arial" w:hAnsi="Arial" w:cs="Arial"/>
          <w:b w:val="0"/>
          <w:szCs w:val="24"/>
          <w:u w:val="none"/>
        </w:rPr>
        <w:t>CEDEAR</w:t>
      </w:r>
      <w:r w:rsidR="001F26EF">
        <w:rPr>
          <w:rFonts w:ascii="Arial" w:hAnsi="Arial" w:cs="Arial"/>
          <w:b w:val="0"/>
          <w:szCs w:val="24"/>
          <w:u w:val="none"/>
        </w:rPr>
        <w:t>s</w:t>
      </w:r>
      <w:proofErr w:type="spellEnd"/>
      <w:r w:rsidR="002F1F54">
        <w:rPr>
          <w:rFonts w:ascii="Arial" w:hAnsi="Arial" w:cs="Arial"/>
          <w:b w:val="0"/>
          <w:szCs w:val="24"/>
          <w:u w:val="none"/>
        </w:rPr>
        <w:t xml:space="preserve">: </w:t>
      </w:r>
      <w:r w:rsidR="00D013F7">
        <w:rPr>
          <w:rFonts w:ascii="Arial" w:hAnsi="Arial" w:cs="Arial"/>
          <w:b w:val="0"/>
          <w:szCs w:val="24"/>
          <w:u w:val="none"/>
        </w:rPr>
        <w:t xml:space="preserve"> </w:t>
      </w:r>
      <w:r w:rsidR="00D013F7" w:rsidRPr="006C1DFA">
        <w:rPr>
          <w:rFonts w:ascii="Arial" w:hAnsi="Arial" w:cs="Arial"/>
          <w:b w:val="0"/>
          <w:szCs w:val="24"/>
          <w:u w:val="none"/>
        </w:rPr>
        <w:t>(I) número de identificación en la tabla (II) nombre de la compañía; (III) Identificación en el mercado de cotización; (IV) Número de identificación en el mercado – ISIN (V) Nombre del Banco Depositario; (VI) Dirección Internet de la compañía emisora de</w:t>
      </w:r>
      <w:r w:rsidR="00685E50">
        <w:rPr>
          <w:rFonts w:ascii="Arial" w:hAnsi="Arial" w:cs="Arial"/>
          <w:b w:val="0"/>
          <w:szCs w:val="24"/>
          <w:u w:val="none"/>
        </w:rPr>
        <w:t xml:space="preserve"> </w:t>
      </w:r>
      <w:r w:rsidR="00D013F7" w:rsidRPr="006C1DFA">
        <w:rPr>
          <w:rFonts w:ascii="Arial" w:hAnsi="Arial" w:cs="Arial"/>
          <w:b w:val="0"/>
          <w:szCs w:val="24"/>
          <w:u w:val="none"/>
        </w:rPr>
        <w:t>l</w:t>
      </w:r>
      <w:r w:rsidR="00685E50">
        <w:rPr>
          <w:rFonts w:ascii="Arial" w:hAnsi="Arial" w:cs="Arial"/>
          <w:b w:val="0"/>
          <w:szCs w:val="24"/>
          <w:u w:val="none"/>
        </w:rPr>
        <w:t>a</w:t>
      </w:r>
      <w:r w:rsidR="007C0DAD">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685E50">
        <w:rPr>
          <w:rFonts w:ascii="Arial" w:hAnsi="Arial" w:cs="Arial"/>
          <w:b w:val="0"/>
          <w:szCs w:val="24"/>
          <w:u w:val="none"/>
        </w:rPr>
        <w:t>cci</w:t>
      </w:r>
      <w:r w:rsidR="007C0DAD">
        <w:rPr>
          <w:rFonts w:ascii="Arial" w:hAnsi="Arial" w:cs="Arial"/>
          <w:b w:val="0"/>
          <w:szCs w:val="24"/>
          <w:u w:val="none"/>
        </w:rPr>
        <w:t>o</w:t>
      </w:r>
      <w:r w:rsidR="00685E50">
        <w:rPr>
          <w:rFonts w:ascii="Arial" w:hAnsi="Arial" w:cs="Arial"/>
          <w:b w:val="0"/>
          <w:szCs w:val="24"/>
          <w:u w:val="none"/>
        </w:rPr>
        <w:t>n</w:t>
      </w:r>
      <w:r w:rsidR="007C0DAD">
        <w:rPr>
          <w:rFonts w:ascii="Arial" w:hAnsi="Arial" w:cs="Arial"/>
          <w:b w:val="0"/>
          <w:szCs w:val="24"/>
          <w:u w:val="none"/>
        </w:rPr>
        <w:t>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ubyacente</w:t>
      </w:r>
      <w:r w:rsidR="007C0DAD">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D013F7" w:rsidRPr="006C1DFA">
        <w:rPr>
          <w:rFonts w:ascii="Arial" w:hAnsi="Arial" w:cs="Arial"/>
          <w:b w:val="0"/>
          <w:szCs w:val="24"/>
          <w:u w:val="none"/>
        </w:rPr>
        <w:t>; (VII) País de origen de la emisora de l</w:t>
      </w:r>
      <w:r w:rsidR="00685E50">
        <w:rPr>
          <w:rFonts w:ascii="Arial" w:hAnsi="Arial" w:cs="Arial"/>
          <w:b w:val="0"/>
          <w:szCs w:val="24"/>
          <w:u w:val="none"/>
        </w:rPr>
        <w:t>a</w:t>
      </w:r>
      <w:r w:rsidR="00B21D09">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DA439B">
        <w:rPr>
          <w:rFonts w:ascii="Arial" w:hAnsi="Arial" w:cs="Arial"/>
          <w:b w:val="0"/>
          <w:szCs w:val="24"/>
          <w:u w:val="none"/>
        </w:rPr>
        <w:t>cci</w:t>
      </w:r>
      <w:r w:rsidR="00B21D09">
        <w:rPr>
          <w:rFonts w:ascii="Arial" w:hAnsi="Arial" w:cs="Arial"/>
          <w:b w:val="0"/>
          <w:szCs w:val="24"/>
          <w:u w:val="none"/>
        </w:rPr>
        <w:t>ones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w:t>
      </w:r>
      <w:r w:rsidR="007C0DAD">
        <w:rPr>
          <w:rFonts w:ascii="Arial" w:hAnsi="Arial" w:cs="Arial"/>
          <w:b w:val="0"/>
          <w:szCs w:val="24"/>
          <w:u w:val="none"/>
        </w:rPr>
        <w:t>ente</w:t>
      </w:r>
      <w:r w:rsidR="00B21D09">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7B6DCA">
        <w:rPr>
          <w:rFonts w:ascii="Arial" w:hAnsi="Arial" w:cs="Arial"/>
          <w:b w:val="0"/>
          <w:szCs w:val="24"/>
          <w:u w:val="none"/>
        </w:rPr>
        <w:t>; (VIII) Valor Nominal por A</w:t>
      </w:r>
      <w:r w:rsidR="007C0DAD">
        <w:rPr>
          <w:rFonts w:ascii="Arial" w:hAnsi="Arial" w:cs="Arial"/>
          <w:b w:val="0"/>
          <w:szCs w:val="24"/>
          <w:u w:val="none"/>
        </w:rPr>
        <w:t xml:space="preserve">cción </w:t>
      </w:r>
      <w:r w:rsidR="007B6DCA">
        <w:rPr>
          <w:rFonts w:ascii="Arial" w:hAnsi="Arial" w:cs="Arial"/>
          <w:b w:val="0"/>
          <w:szCs w:val="24"/>
          <w:u w:val="none"/>
        </w:rPr>
        <w:t>S</w:t>
      </w:r>
      <w:r w:rsidR="00D013F7" w:rsidRPr="006C1DFA">
        <w:rPr>
          <w:rFonts w:ascii="Arial" w:hAnsi="Arial" w:cs="Arial"/>
          <w:b w:val="0"/>
          <w:szCs w:val="24"/>
          <w:u w:val="none"/>
        </w:rPr>
        <w:t>ubyacente</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D013F7" w:rsidRPr="006C1DFA">
        <w:rPr>
          <w:rFonts w:ascii="Arial" w:hAnsi="Arial" w:cs="Arial"/>
          <w:b w:val="0"/>
          <w:szCs w:val="24"/>
          <w:u w:val="none"/>
        </w:rPr>
        <w:t xml:space="preserve">; (IX) Clase de Acción (X) Número de </w:t>
      </w:r>
      <w:proofErr w:type="spellStart"/>
      <w:r w:rsidR="00477BC5">
        <w:rPr>
          <w:rFonts w:ascii="Arial" w:hAnsi="Arial" w:cs="Arial"/>
          <w:b w:val="0"/>
          <w:szCs w:val="24"/>
          <w:u w:val="none"/>
        </w:rPr>
        <w:t>ADS</w:t>
      </w:r>
      <w:r w:rsidR="00D013F7" w:rsidRPr="006C1DFA">
        <w:rPr>
          <w:rFonts w:ascii="Arial" w:hAnsi="Arial" w:cs="Arial"/>
          <w:b w:val="0"/>
          <w:szCs w:val="24"/>
          <w:u w:val="none"/>
        </w:rPr>
        <w:t>s</w:t>
      </w:r>
      <w:proofErr w:type="spellEnd"/>
      <w:r w:rsidR="00D013F7" w:rsidRPr="006C1DFA">
        <w:rPr>
          <w:rFonts w:ascii="Arial" w:hAnsi="Arial" w:cs="Arial"/>
          <w:b w:val="0"/>
          <w:szCs w:val="24"/>
          <w:u w:val="none"/>
        </w:rPr>
        <w:t xml:space="preserve"> en circulación a la fecha consignada; (XI) Fecha de aprobación de cotización en Bolsa o Mercado; (XII) Relación  </w:t>
      </w:r>
      <w:r w:rsidR="00477BC5">
        <w:rPr>
          <w:rFonts w:ascii="Arial" w:hAnsi="Arial" w:cs="Arial"/>
          <w:b w:val="0"/>
          <w:szCs w:val="24"/>
          <w:u w:val="none"/>
        </w:rPr>
        <w:t>ADS</w:t>
      </w:r>
      <w:r w:rsidR="00D013F7" w:rsidRPr="006C1DFA">
        <w:rPr>
          <w:rFonts w:ascii="Arial" w:hAnsi="Arial" w:cs="Arial"/>
          <w:b w:val="0"/>
          <w:szCs w:val="24"/>
          <w:u w:val="none"/>
        </w:rPr>
        <w:t xml:space="preserve">/Acción; (XIII) Relación </w:t>
      </w:r>
      <w:proofErr w:type="spellStart"/>
      <w:r w:rsidR="00D013F7" w:rsidRPr="006C1DFA">
        <w:rPr>
          <w:rFonts w:ascii="Arial" w:hAnsi="Arial" w:cs="Arial"/>
          <w:b w:val="0"/>
          <w:szCs w:val="24"/>
          <w:u w:val="none"/>
        </w:rPr>
        <w:t>Cedear</w:t>
      </w:r>
      <w:proofErr w:type="spellEnd"/>
      <w:r w:rsidR="00D013F7" w:rsidRPr="006C1DFA">
        <w:rPr>
          <w:rFonts w:ascii="Arial" w:hAnsi="Arial" w:cs="Arial"/>
          <w:b w:val="0"/>
          <w:szCs w:val="24"/>
          <w:u w:val="none"/>
        </w:rPr>
        <w:t>/</w:t>
      </w:r>
      <w:r w:rsidR="00477BC5">
        <w:rPr>
          <w:rFonts w:ascii="Arial" w:hAnsi="Arial" w:cs="Arial"/>
          <w:b w:val="0"/>
          <w:szCs w:val="24"/>
          <w:u w:val="none"/>
        </w:rPr>
        <w:t>ADS</w:t>
      </w:r>
      <w:r w:rsidR="00D013F7" w:rsidRPr="006C1DFA">
        <w:rPr>
          <w:rFonts w:ascii="Arial" w:hAnsi="Arial" w:cs="Arial"/>
          <w:b w:val="0"/>
          <w:szCs w:val="24"/>
          <w:u w:val="none"/>
        </w:rPr>
        <w:t>; (XIV) Cantidad máxima a ser emitida en CEDEAR. S</w:t>
      </w:r>
      <w:r w:rsidR="00B95ED0">
        <w:rPr>
          <w:rFonts w:ascii="Arial" w:hAnsi="Arial" w:cs="Arial"/>
          <w:b w:val="0"/>
          <w:szCs w:val="24"/>
          <w:u w:val="none"/>
        </w:rPr>
        <w:t xml:space="preserve">e deja constancia que se trata, de </w:t>
      </w:r>
      <w:proofErr w:type="spellStart"/>
      <w:r w:rsidR="00477BC5">
        <w:rPr>
          <w:rFonts w:ascii="Arial" w:hAnsi="Arial" w:cs="Arial"/>
          <w:b w:val="0"/>
          <w:szCs w:val="24"/>
          <w:u w:val="none"/>
        </w:rPr>
        <w:t>ADS</w:t>
      </w:r>
      <w:r w:rsidR="00B95ED0">
        <w:rPr>
          <w:rFonts w:ascii="Arial" w:hAnsi="Arial" w:cs="Arial"/>
          <w:b w:val="0"/>
          <w:szCs w:val="24"/>
          <w:u w:val="none"/>
        </w:rPr>
        <w:t>s</w:t>
      </w:r>
      <w:proofErr w:type="spellEnd"/>
      <w:r w:rsidR="00B95ED0">
        <w:rPr>
          <w:rFonts w:ascii="Arial" w:hAnsi="Arial" w:cs="Arial"/>
          <w:b w:val="0"/>
          <w:szCs w:val="24"/>
          <w:u w:val="none"/>
        </w:rPr>
        <w:t xml:space="preserve"> autorizado</w:t>
      </w:r>
      <w:r w:rsidR="00D013F7" w:rsidRPr="006C1DFA">
        <w:rPr>
          <w:rFonts w:ascii="Arial" w:hAnsi="Arial" w:cs="Arial"/>
          <w:b w:val="0"/>
          <w:szCs w:val="24"/>
          <w:u w:val="none"/>
        </w:rPr>
        <w:t>s por la SEC, que cotizan en el New York Stock Exchange (NYSE - Bo</w:t>
      </w:r>
      <w:r w:rsidR="00B95ED0">
        <w:rPr>
          <w:rFonts w:ascii="Arial" w:hAnsi="Arial" w:cs="Arial"/>
          <w:b w:val="0"/>
          <w:szCs w:val="24"/>
          <w:u w:val="none"/>
        </w:rPr>
        <w:t>lsa de Comercio de Nueva York).</w:t>
      </w:r>
    </w:p>
    <w:p w14:paraId="411315A8" w14:textId="77777777" w:rsidR="00AC0BDE" w:rsidRDefault="00AC0BDE" w:rsidP="00AC0BDE">
      <w:pPr>
        <w:rPr>
          <w:rFonts w:ascii="Arial" w:hAnsi="Arial" w:cs="Arial"/>
          <w:spacing w:val="-2"/>
          <w:sz w:val="24"/>
          <w:szCs w:val="24"/>
          <w:lang w:val="es-AR" w:eastAsia="es-ES"/>
        </w:rPr>
      </w:pPr>
    </w:p>
    <w:p w14:paraId="1432B00A" w14:textId="77777777" w:rsidR="009F270F" w:rsidRDefault="009F270F" w:rsidP="00AC0BDE">
      <w:pPr>
        <w:rPr>
          <w:rFonts w:ascii="Arial" w:hAnsi="Arial" w:cs="Arial"/>
          <w:spacing w:val="-2"/>
          <w:sz w:val="24"/>
          <w:szCs w:val="24"/>
          <w:lang w:val="es-AR" w:eastAsia="es-ES"/>
        </w:rPr>
      </w:pPr>
    </w:p>
    <w:p w14:paraId="77983995" w14:textId="77777777" w:rsidR="009F270F" w:rsidRDefault="009F270F" w:rsidP="00AC0BDE">
      <w:pPr>
        <w:rPr>
          <w:rFonts w:ascii="Arial" w:hAnsi="Arial" w:cs="Arial"/>
          <w:spacing w:val="-2"/>
          <w:sz w:val="24"/>
          <w:szCs w:val="24"/>
          <w:lang w:val="es-AR" w:eastAsia="es-ES"/>
        </w:rPr>
      </w:pPr>
    </w:p>
    <w:p w14:paraId="25E6140C" w14:textId="77777777" w:rsidR="009F270F" w:rsidRDefault="009F270F" w:rsidP="00AC0BDE">
      <w:pPr>
        <w:rPr>
          <w:rFonts w:ascii="Arial" w:hAnsi="Arial" w:cs="Arial"/>
          <w:spacing w:val="-2"/>
          <w:sz w:val="24"/>
          <w:szCs w:val="24"/>
          <w:lang w:val="es-AR" w:eastAsia="es-ES"/>
        </w:rPr>
      </w:pPr>
    </w:p>
    <w:p w14:paraId="069BE136" w14:textId="77777777" w:rsidR="009F270F" w:rsidRDefault="009F270F" w:rsidP="00AC0BDE">
      <w:pPr>
        <w:rPr>
          <w:rFonts w:ascii="Arial" w:hAnsi="Arial" w:cs="Arial"/>
          <w:spacing w:val="-2"/>
          <w:sz w:val="24"/>
          <w:szCs w:val="24"/>
          <w:lang w:val="es-AR" w:eastAsia="es-ES"/>
        </w:rPr>
      </w:pPr>
    </w:p>
    <w:p w14:paraId="251B87B8" w14:textId="77777777" w:rsidR="009F270F" w:rsidRDefault="009F270F" w:rsidP="00AC0BDE">
      <w:pPr>
        <w:rPr>
          <w:rFonts w:ascii="Arial" w:hAnsi="Arial" w:cs="Arial"/>
          <w:spacing w:val="-2"/>
          <w:sz w:val="24"/>
          <w:szCs w:val="24"/>
          <w:lang w:val="es-AR" w:eastAsia="es-ES"/>
        </w:rPr>
      </w:pPr>
    </w:p>
    <w:p w14:paraId="2C32730A" w14:textId="77777777" w:rsidR="009F270F" w:rsidRDefault="009F270F" w:rsidP="00AC0BDE">
      <w:pPr>
        <w:rPr>
          <w:rFonts w:ascii="Arial" w:hAnsi="Arial" w:cs="Arial"/>
          <w:spacing w:val="-2"/>
          <w:sz w:val="24"/>
          <w:szCs w:val="24"/>
          <w:lang w:val="es-AR" w:eastAsia="es-ES"/>
        </w:rPr>
      </w:pPr>
    </w:p>
    <w:p w14:paraId="26740E44" w14:textId="77777777" w:rsidR="009F270F" w:rsidRDefault="009F270F" w:rsidP="00AC0BDE">
      <w:pPr>
        <w:rPr>
          <w:rFonts w:ascii="Arial" w:hAnsi="Arial" w:cs="Arial"/>
          <w:spacing w:val="-2"/>
          <w:sz w:val="24"/>
          <w:szCs w:val="24"/>
          <w:lang w:val="es-AR" w:eastAsia="es-ES"/>
        </w:rPr>
      </w:pPr>
    </w:p>
    <w:p w14:paraId="4D54130E" w14:textId="77777777" w:rsidR="009F270F" w:rsidRDefault="009F270F" w:rsidP="00AC0BDE">
      <w:pPr>
        <w:rPr>
          <w:rFonts w:ascii="Arial" w:hAnsi="Arial" w:cs="Arial"/>
          <w:spacing w:val="-2"/>
          <w:sz w:val="24"/>
          <w:szCs w:val="24"/>
          <w:lang w:val="es-AR" w:eastAsia="es-ES"/>
        </w:rPr>
      </w:pPr>
    </w:p>
    <w:p w14:paraId="2D6BDD73" w14:textId="77777777" w:rsidR="00FE0214" w:rsidRDefault="00FE0214" w:rsidP="00AC0BDE">
      <w:pPr>
        <w:rPr>
          <w:rFonts w:ascii="Arial" w:hAnsi="Arial" w:cs="Arial"/>
          <w:spacing w:val="-2"/>
          <w:sz w:val="24"/>
          <w:szCs w:val="24"/>
          <w:lang w:val="es-AR" w:eastAsia="es-ES"/>
        </w:rPr>
      </w:pPr>
    </w:p>
    <w:p w14:paraId="1E1B44B2" w14:textId="77777777" w:rsidR="00234988" w:rsidRDefault="00234988" w:rsidP="00AC0BDE">
      <w:pPr>
        <w:rPr>
          <w:rFonts w:ascii="Arial" w:hAnsi="Arial" w:cs="Arial"/>
          <w:spacing w:val="-2"/>
          <w:sz w:val="24"/>
          <w:szCs w:val="24"/>
          <w:lang w:val="es-AR" w:eastAsia="es-ES"/>
        </w:rPr>
      </w:pPr>
    </w:p>
    <w:p w14:paraId="172711D2" w14:textId="77777777" w:rsidR="00FE0214" w:rsidRDefault="00FE0214" w:rsidP="00AC0BDE">
      <w:pPr>
        <w:rPr>
          <w:rFonts w:ascii="Arial" w:hAnsi="Arial" w:cs="Arial"/>
          <w:spacing w:val="-2"/>
          <w:sz w:val="24"/>
          <w:szCs w:val="24"/>
          <w:lang w:val="es-AR" w:eastAsia="es-ES"/>
        </w:rPr>
      </w:pPr>
    </w:p>
    <w:p w14:paraId="50E35EC2" w14:textId="77777777" w:rsidR="00FE0214" w:rsidRDefault="00FE0214" w:rsidP="00AC0BDE">
      <w:pPr>
        <w:rPr>
          <w:rFonts w:ascii="Arial" w:hAnsi="Arial" w:cs="Arial"/>
          <w:spacing w:val="-2"/>
          <w:sz w:val="24"/>
          <w:szCs w:val="24"/>
          <w:lang w:val="es-AR" w:eastAsia="es-ES"/>
        </w:rPr>
      </w:pPr>
    </w:p>
    <w:p w14:paraId="3DB71E88" w14:textId="77777777" w:rsidR="00FE0214" w:rsidRDefault="00FE0214" w:rsidP="00AC0BDE">
      <w:pPr>
        <w:rPr>
          <w:rFonts w:ascii="Arial" w:hAnsi="Arial" w:cs="Arial"/>
          <w:spacing w:val="-2"/>
          <w:sz w:val="24"/>
          <w:szCs w:val="24"/>
          <w:lang w:val="es-AR" w:eastAsia="es-ES"/>
        </w:rPr>
      </w:pPr>
    </w:p>
    <w:p w14:paraId="351B0A05" w14:textId="77777777" w:rsidR="00FE0214" w:rsidRDefault="00FE0214" w:rsidP="00AC0BDE">
      <w:pPr>
        <w:rPr>
          <w:rFonts w:ascii="Arial" w:hAnsi="Arial" w:cs="Arial"/>
          <w:spacing w:val="-2"/>
          <w:sz w:val="24"/>
          <w:szCs w:val="24"/>
          <w:lang w:val="es-AR" w:eastAsia="es-ES"/>
        </w:rPr>
      </w:pPr>
    </w:p>
    <w:p w14:paraId="695C27A6" w14:textId="77777777" w:rsidR="00FE0214" w:rsidRDefault="00FE0214" w:rsidP="00AC0BDE">
      <w:pPr>
        <w:rPr>
          <w:rFonts w:ascii="Arial" w:hAnsi="Arial" w:cs="Arial"/>
          <w:spacing w:val="-2"/>
          <w:sz w:val="24"/>
          <w:szCs w:val="24"/>
          <w:lang w:val="es-AR" w:eastAsia="es-ES"/>
        </w:rPr>
      </w:pPr>
    </w:p>
    <w:p w14:paraId="0F69F03D" w14:textId="77777777" w:rsidR="00F9317E" w:rsidRDefault="00F9317E" w:rsidP="00AC0BDE">
      <w:pPr>
        <w:rPr>
          <w:rFonts w:ascii="Arial" w:hAnsi="Arial" w:cs="Arial"/>
          <w:spacing w:val="-2"/>
          <w:sz w:val="24"/>
          <w:szCs w:val="24"/>
          <w:lang w:val="es-AR" w:eastAsia="es-ES"/>
        </w:rPr>
      </w:pPr>
    </w:p>
    <w:p w14:paraId="6E31FAF8" w14:textId="77777777" w:rsidR="00F9317E" w:rsidRDefault="00F9317E" w:rsidP="00AC0BDE">
      <w:pPr>
        <w:rPr>
          <w:rFonts w:ascii="Arial" w:hAnsi="Arial" w:cs="Arial"/>
          <w:spacing w:val="-2"/>
          <w:sz w:val="24"/>
          <w:szCs w:val="24"/>
          <w:lang w:val="es-AR" w:eastAsia="es-ES"/>
        </w:rPr>
      </w:pPr>
    </w:p>
    <w:p w14:paraId="0E75FFBF" w14:textId="77777777" w:rsidR="0011754D" w:rsidRDefault="0011754D" w:rsidP="00AC0BDE">
      <w:pPr>
        <w:rPr>
          <w:rFonts w:ascii="Arial" w:hAnsi="Arial" w:cs="Arial"/>
          <w:spacing w:val="-2"/>
          <w:sz w:val="24"/>
          <w:szCs w:val="24"/>
          <w:lang w:val="es-AR" w:eastAsia="es-ES"/>
        </w:rPr>
      </w:pPr>
    </w:p>
    <w:p w14:paraId="5FE0FB68" w14:textId="77777777" w:rsidR="0011754D" w:rsidRDefault="0011754D" w:rsidP="00AC0BDE">
      <w:pPr>
        <w:rPr>
          <w:rFonts w:ascii="Arial" w:hAnsi="Arial" w:cs="Arial"/>
          <w:spacing w:val="-2"/>
          <w:sz w:val="24"/>
          <w:szCs w:val="24"/>
          <w:lang w:val="es-AR" w:eastAsia="es-ES"/>
        </w:rPr>
      </w:pPr>
    </w:p>
    <w:p w14:paraId="5519A763" w14:textId="77777777" w:rsidR="0011754D" w:rsidRDefault="0011754D" w:rsidP="00AC0BDE">
      <w:pPr>
        <w:rPr>
          <w:rFonts w:ascii="Arial" w:hAnsi="Arial" w:cs="Arial"/>
          <w:spacing w:val="-2"/>
          <w:sz w:val="24"/>
          <w:szCs w:val="24"/>
          <w:lang w:val="es-AR" w:eastAsia="es-ES"/>
        </w:rPr>
      </w:pPr>
    </w:p>
    <w:p w14:paraId="54375C4D" w14:textId="77777777" w:rsidR="0011754D" w:rsidRDefault="0011754D" w:rsidP="00AC0BDE">
      <w:pPr>
        <w:rPr>
          <w:rFonts w:ascii="Arial" w:hAnsi="Arial" w:cs="Arial"/>
          <w:spacing w:val="-2"/>
          <w:sz w:val="24"/>
          <w:szCs w:val="24"/>
          <w:lang w:val="es-AR" w:eastAsia="es-ES"/>
        </w:rPr>
      </w:pPr>
    </w:p>
    <w:p w14:paraId="6ADCDFEB" w14:textId="77777777" w:rsidR="0011754D" w:rsidRDefault="0011754D" w:rsidP="00AC0BDE">
      <w:pPr>
        <w:rPr>
          <w:rFonts w:ascii="Arial" w:hAnsi="Arial" w:cs="Arial"/>
          <w:spacing w:val="-2"/>
          <w:sz w:val="24"/>
          <w:szCs w:val="24"/>
          <w:lang w:val="es-AR" w:eastAsia="es-ES"/>
        </w:rPr>
      </w:pPr>
    </w:p>
    <w:p w14:paraId="3687346E" w14:textId="77777777" w:rsidR="0011754D" w:rsidRDefault="0011754D" w:rsidP="00AC0BDE">
      <w:pPr>
        <w:rPr>
          <w:rFonts w:ascii="Arial" w:hAnsi="Arial" w:cs="Arial"/>
          <w:spacing w:val="-2"/>
          <w:sz w:val="24"/>
          <w:szCs w:val="24"/>
          <w:lang w:val="es-AR" w:eastAsia="es-ES"/>
        </w:rPr>
      </w:pPr>
    </w:p>
    <w:p w14:paraId="7BF335C0" w14:textId="77777777" w:rsidR="008F7517" w:rsidRPr="0005554E" w:rsidRDefault="008F7517" w:rsidP="008F7517">
      <w:pPr>
        <w:pStyle w:val="Ttulo4"/>
        <w:tabs>
          <w:tab w:val="clear" w:pos="-720"/>
        </w:tabs>
        <w:rPr>
          <w:rFonts w:ascii="Arial" w:hAnsi="Arial" w:cs="Arial"/>
          <w:szCs w:val="24"/>
        </w:rPr>
      </w:pPr>
      <w:r w:rsidRPr="0005554E">
        <w:rPr>
          <w:rFonts w:ascii="Arial" w:hAnsi="Arial" w:cs="Arial"/>
          <w:szCs w:val="24"/>
        </w:rPr>
        <w:t xml:space="preserve">TABLA </w:t>
      </w:r>
      <w:proofErr w:type="spellStart"/>
      <w:r w:rsidRPr="0005554E">
        <w:rPr>
          <w:rFonts w:ascii="Arial" w:hAnsi="Arial" w:cs="Arial"/>
          <w:szCs w:val="24"/>
        </w:rPr>
        <w:t>Nº</w:t>
      </w:r>
      <w:proofErr w:type="spellEnd"/>
      <w:r w:rsidRPr="0005554E">
        <w:rPr>
          <w:rFonts w:ascii="Arial" w:hAnsi="Arial" w:cs="Arial"/>
          <w:szCs w:val="24"/>
        </w:rPr>
        <w:t xml:space="preserve"> 1</w:t>
      </w:r>
    </w:p>
    <w:p w14:paraId="3C620621" w14:textId="77777777" w:rsidR="008F7517" w:rsidRPr="0005554E" w:rsidRDefault="008F7517" w:rsidP="008F7517">
      <w:pPr>
        <w:rPr>
          <w:rFonts w:ascii="Arial" w:hAnsi="Arial" w:cs="Arial"/>
          <w:sz w:val="24"/>
          <w:szCs w:val="24"/>
          <w:lang w:val="es-AR" w:eastAsia="es-ES"/>
        </w:rPr>
      </w:pPr>
    </w:p>
    <w:p w14:paraId="1791F1BD" w14:textId="77777777" w:rsidR="008F7517" w:rsidRPr="0005554E" w:rsidRDefault="008F7517" w:rsidP="008F7517">
      <w:pPr>
        <w:jc w:val="center"/>
        <w:rPr>
          <w:rFonts w:ascii="Arial" w:hAnsi="Arial" w:cs="Arial"/>
          <w:sz w:val="24"/>
          <w:szCs w:val="24"/>
          <w:u w:val="single"/>
          <w:lang w:val="es-AR" w:eastAsia="es-ES"/>
        </w:rPr>
      </w:pPr>
      <w:r w:rsidRPr="0005554E">
        <w:rPr>
          <w:rFonts w:ascii="Arial" w:hAnsi="Arial" w:cs="Arial"/>
          <w:sz w:val="24"/>
          <w:szCs w:val="24"/>
          <w:u w:val="single"/>
          <w:lang w:val="es-AR" w:eastAsia="es-ES"/>
        </w:rPr>
        <w:t>DENOMINACION, DOMICILIO</w:t>
      </w:r>
      <w:r w:rsidR="00F9317E">
        <w:rPr>
          <w:rFonts w:ascii="Arial" w:hAnsi="Arial" w:cs="Arial"/>
          <w:sz w:val="24"/>
          <w:szCs w:val="24"/>
          <w:u w:val="single"/>
          <w:lang w:val="es-AR" w:eastAsia="es-ES"/>
        </w:rPr>
        <w:t xml:space="preserve"> DE LA OFICINA PRINCIPAL</w:t>
      </w:r>
      <w:r w:rsidR="0011754D">
        <w:rPr>
          <w:rFonts w:ascii="Arial" w:hAnsi="Arial" w:cs="Arial"/>
          <w:sz w:val="24"/>
          <w:szCs w:val="24"/>
          <w:u w:val="single"/>
          <w:lang w:val="es-AR" w:eastAsia="es-ES"/>
        </w:rPr>
        <w:t xml:space="preserve"> Y DIRECCION DE INTERNET DE LA SOCIEDAD EMISORA</w:t>
      </w:r>
      <w:r w:rsidRPr="0005554E">
        <w:rPr>
          <w:rFonts w:ascii="Arial" w:hAnsi="Arial" w:cs="Arial"/>
          <w:sz w:val="24"/>
          <w:szCs w:val="24"/>
          <w:u w:val="single"/>
          <w:lang w:val="es-AR" w:eastAsia="es-ES"/>
        </w:rPr>
        <w:t xml:space="preserve"> DE LAS ACCIONES </w:t>
      </w:r>
      <w:r w:rsidR="00E27901">
        <w:rPr>
          <w:rFonts w:ascii="Arial" w:hAnsi="Arial" w:cs="Arial"/>
          <w:sz w:val="24"/>
          <w:szCs w:val="24"/>
          <w:u w:val="single"/>
          <w:lang w:val="es-AR" w:eastAsia="es-ES"/>
        </w:rPr>
        <w:t xml:space="preserve">SUBYACENTES </w:t>
      </w:r>
      <w:r w:rsidRPr="0005554E">
        <w:rPr>
          <w:rFonts w:ascii="Arial" w:hAnsi="Arial" w:cs="Arial"/>
          <w:sz w:val="24"/>
          <w:szCs w:val="24"/>
          <w:u w:val="single"/>
          <w:lang w:val="es-AR" w:eastAsia="es-ES"/>
        </w:rPr>
        <w:t xml:space="preserve">DE LOS </w:t>
      </w:r>
      <w:proofErr w:type="spellStart"/>
      <w:r w:rsidR="00477BC5">
        <w:rPr>
          <w:rFonts w:ascii="Arial" w:hAnsi="Arial" w:cs="Arial"/>
          <w:sz w:val="24"/>
          <w:szCs w:val="24"/>
          <w:u w:val="single"/>
          <w:lang w:val="es-AR" w:eastAsia="es-ES"/>
        </w:rPr>
        <w:t>ADS</w:t>
      </w:r>
      <w:r w:rsidR="00FB1624">
        <w:rPr>
          <w:rFonts w:ascii="Arial" w:hAnsi="Arial" w:cs="Arial"/>
          <w:sz w:val="24"/>
          <w:szCs w:val="24"/>
          <w:u w:val="single"/>
          <w:lang w:val="es-AR" w:eastAsia="es-ES"/>
        </w:rPr>
        <w:t>s</w:t>
      </w:r>
      <w:proofErr w:type="spellEnd"/>
      <w:r w:rsidR="00A30C59">
        <w:rPr>
          <w:rFonts w:ascii="Arial" w:hAnsi="Arial" w:cs="Arial"/>
          <w:sz w:val="24"/>
          <w:szCs w:val="24"/>
          <w:u w:val="single"/>
          <w:lang w:val="es-AR" w:eastAsia="es-ES"/>
        </w:rPr>
        <w:t xml:space="preserve"> REPRESENTADOS POR LOS CEDEARS</w:t>
      </w:r>
    </w:p>
    <w:p w14:paraId="54F399A7" w14:textId="77777777" w:rsidR="008F7517" w:rsidRDefault="008F7517" w:rsidP="008F7517">
      <w:pPr>
        <w:spacing w:line="276" w:lineRule="auto"/>
        <w:rPr>
          <w:rFonts w:ascii="Arial" w:eastAsia="Calibri" w:hAnsi="Arial" w:cs="Arial"/>
          <w:sz w:val="24"/>
          <w:szCs w:val="24"/>
          <w:highlight w:val="green"/>
          <w:lang w:val="es-AR" w:eastAsia="en-US"/>
        </w:rPr>
      </w:pPr>
    </w:p>
    <w:p w14:paraId="205A8C23" w14:textId="77777777" w:rsidR="00F9317E" w:rsidRPr="0005554E" w:rsidRDefault="00F9317E" w:rsidP="008F7517">
      <w:pPr>
        <w:spacing w:line="276" w:lineRule="auto"/>
        <w:rPr>
          <w:rFonts w:ascii="Arial" w:eastAsia="Calibri" w:hAnsi="Arial" w:cs="Arial"/>
          <w:sz w:val="24"/>
          <w:szCs w:val="24"/>
          <w:highlight w:val="green"/>
          <w:lang w:val="es-AR" w:eastAsia="en-US"/>
        </w:rPr>
      </w:pPr>
    </w:p>
    <w:p w14:paraId="4CBEE6D7" w14:textId="77777777" w:rsidR="00FE0214" w:rsidRDefault="00FE0214" w:rsidP="00FE0214">
      <w:pPr>
        <w:spacing w:line="276" w:lineRule="auto"/>
        <w:rPr>
          <w:rFonts w:ascii="Arial" w:eastAsia="Calibri" w:hAnsi="Arial" w:cs="Arial"/>
          <w:b/>
          <w:sz w:val="24"/>
          <w:szCs w:val="24"/>
          <w:lang w:val="es-AR" w:eastAsia="en-US"/>
        </w:rPr>
      </w:pPr>
      <w:r w:rsidRPr="00FE0214">
        <w:rPr>
          <w:rFonts w:ascii="Arial" w:eastAsia="Calibri" w:hAnsi="Arial" w:cs="Arial"/>
          <w:b/>
          <w:sz w:val="24"/>
          <w:szCs w:val="24"/>
          <w:lang w:val="es-AR" w:eastAsia="en-US"/>
        </w:rPr>
        <w:t xml:space="preserve">Vista </w:t>
      </w:r>
      <w:proofErr w:type="spellStart"/>
      <w:r w:rsidRPr="00FE0214">
        <w:rPr>
          <w:rFonts w:ascii="Arial" w:eastAsia="Calibri" w:hAnsi="Arial" w:cs="Arial"/>
          <w:b/>
          <w:sz w:val="24"/>
          <w:szCs w:val="24"/>
          <w:lang w:val="es-AR" w:eastAsia="en-US"/>
        </w:rPr>
        <w:t>Oil</w:t>
      </w:r>
      <w:proofErr w:type="spellEnd"/>
      <w:r w:rsidRPr="00FE0214">
        <w:rPr>
          <w:rFonts w:ascii="Arial" w:eastAsia="Calibri" w:hAnsi="Arial" w:cs="Arial"/>
          <w:b/>
          <w:sz w:val="24"/>
          <w:szCs w:val="24"/>
          <w:lang w:val="es-AR" w:eastAsia="en-US"/>
        </w:rPr>
        <w:t xml:space="preserve"> &amp; Gas, S.A.B. de C.V. </w:t>
      </w:r>
    </w:p>
    <w:p w14:paraId="52AAB4EC" w14:textId="77777777" w:rsidR="00FE0214" w:rsidRDefault="00FE0214" w:rsidP="00FE0214">
      <w:pPr>
        <w:spacing w:line="276" w:lineRule="auto"/>
        <w:rPr>
          <w:rFonts w:ascii="Arial" w:eastAsia="Calibri" w:hAnsi="Arial" w:cs="Arial"/>
          <w:bCs/>
          <w:sz w:val="24"/>
          <w:szCs w:val="24"/>
          <w:lang w:val="es-AR" w:eastAsia="en-US"/>
        </w:rPr>
      </w:pPr>
    </w:p>
    <w:p w14:paraId="79EBB45F" w14:textId="77777777" w:rsidR="00FE0214" w:rsidRPr="00FE0214" w:rsidRDefault="00FE0214" w:rsidP="00FE0214">
      <w:pPr>
        <w:spacing w:line="276" w:lineRule="auto"/>
        <w:rPr>
          <w:rFonts w:ascii="Arial" w:eastAsia="Calibri" w:hAnsi="Arial" w:cs="Arial"/>
          <w:bCs/>
          <w:sz w:val="24"/>
          <w:szCs w:val="24"/>
          <w:lang w:val="es-AR" w:eastAsia="en-US"/>
        </w:rPr>
      </w:pPr>
      <w:r>
        <w:rPr>
          <w:rFonts w:ascii="Arial" w:eastAsia="Calibri" w:hAnsi="Arial" w:cs="Arial"/>
          <w:bCs/>
          <w:sz w:val="24"/>
          <w:szCs w:val="24"/>
          <w:lang w:val="es-AR" w:eastAsia="en-US"/>
        </w:rPr>
        <w:t>J</w:t>
      </w:r>
      <w:r w:rsidRPr="00FE0214">
        <w:rPr>
          <w:rFonts w:ascii="Arial" w:eastAsia="Calibri" w:hAnsi="Arial" w:cs="Arial"/>
          <w:bCs/>
          <w:sz w:val="24"/>
          <w:szCs w:val="24"/>
          <w:lang w:val="es-AR" w:eastAsia="en-US"/>
        </w:rPr>
        <w:t>AVIER BARROS SIERRA#540, TOWER2, FLR 2</w:t>
      </w:r>
    </w:p>
    <w:p w14:paraId="62739D44" w14:textId="77777777" w:rsidR="00FE0214" w:rsidRPr="00FE0214" w:rsidRDefault="00FE0214" w:rsidP="00FE0214">
      <w:pPr>
        <w:spacing w:line="276" w:lineRule="auto"/>
        <w:rPr>
          <w:rFonts w:ascii="Arial" w:eastAsia="Calibri" w:hAnsi="Arial" w:cs="Arial"/>
          <w:bCs/>
          <w:sz w:val="24"/>
          <w:szCs w:val="24"/>
          <w:lang w:val="es-AR" w:eastAsia="en-US"/>
        </w:rPr>
      </w:pPr>
      <w:r w:rsidRPr="00FE0214">
        <w:rPr>
          <w:rFonts w:ascii="Arial" w:eastAsia="Calibri" w:hAnsi="Arial" w:cs="Arial"/>
          <w:bCs/>
          <w:sz w:val="24"/>
          <w:szCs w:val="24"/>
          <w:lang w:val="es-AR" w:eastAsia="en-US"/>
        </w:rPr>
        <w:t>COLONIA LOMAS DE SANTA FE,</w:t>
      </w:r>
      <w:r>
        <w:rPr>
          <w:rFonts w:ascii="Arial" w:eastAsia="Calibri" w:hAnsi="Arial" w:cs="Arial"/>
          <w:bCs/>
          <w:sz w:val="24"/>
          <w:szCs w:val="24"/>
          <w:lang w:val="es-AR" w:eastAsia="en-US"/>
        </w:rPr>
        <w:t xml:space="preserve"> </w:t>
      </w:r>
      <w:r w:rsidRPr="00FE0214">
        <w:rPr>
          <w:rFonts w:ascii="Arial" w:eastAsia="Calibri" w:hAnsi="Arial" w:cs="Arial"/>
          <w:bCs/>
          <w:sz w:val="24"/>
          <w:szCs w:val="24"/>
          <w:lang w:val="es-AR" w:eastAsia="en-US"/>
        </w:rPr>
        <w:t>ALVARO OBREGON</w:t>
      </w:r>
    </w:p>
    <w:p w14:paraId="0865242E" w14:textId="77777777" w:rsidR="00FE0214" w:rsidRPr="00FE0214" w:rsidRDefault="00FE0214" w:rsidP="00FE0214">
      <w:pPr>
        <w:spacing w:line="276" w:lineRule="auto"/>
        <w:rPr>
          <w:rFonts w:ascii="Arial" w:eastAsia="Calibri" w:hAnsi="Arial" w:cs="Arial"/>
          <w:bCs/>
          <w:sz w:val="24"/>
          <w:szCs w:val="24"/>
          <w:lang w:val="es-AR" w:eastAsia="en-US"/>
        </w:rPr>
      </w:pPr>
      <w:r w:rsidRPr="00FE0214">
        <w:rPr>
          <w:rFonts w:ascii="Arial" w:eastAsia="Calibri" w:hAnsi="Arial" w:cs="Arial"/>
          <w:bCs/>
          <w:sz w:val="24"/>
          <w:szCs w:val="24"/>
          <w:lang w:val="es-AR" w:eastAsia="en-US"/>
        </w:rPr>
        <w:t>MEXICO CITY O5 01210</w:t>
      </w:r>
    </w:p>
    <w:p w14:paraId="2B29B076" w14:textId="77777777" w:rsidR="008F7517" w:rsidRPr="0005554E" w:rsidRDefault="00FE0214" w:rsidP="00FE0214">
      <w:pPr>
        <w:spacing w:line="276" w:lineRule="auto"/>
        <w:rPr>
          <w:rFonts w:ascii="Arial" w:eastAsia="Calibri" w:hAnsi="Arial" w:cs="Arial"/>
          <w:sz w:val="24"/>
          <w:szCs w:val="24"/>
          <w:lang w:val="es-AR" w:eastAsia="en-US"/>
        </w:rPr>
      </w:pPr>
      <w:r w:rsidRPr="00FE0214">
        <w:rPr>
          <w:rFonts w:ascii="Arial" w:eastAsia="Calibri" w:hAnsi="Arial" w:cs="Arial"/>
          <w:bCs/>
          <w:sz w:val="24"/>
          <w:szCs w:val="24"/>
          <w:lang w:val="es-AR" w:eastAsia="en-US"/>
        </w:rPr>
        <w:t>52-55-9177-2038</w:t>
      </w:r>
    </w:p>
    <w:p w14:paraId="796357BC" w14:textId="77777777" w:rsidR="005164BB" w:rsidRDefault="005164BB" w:rsidP="00027C64">
      <w:pPr>
        <w:spacing w:line="276" w:lineRule="auto"/>
        <w:rPr>
          <w:rFonts w:ascii="Arial" w:eastAsia="Calibri" w:hAnsi="Arial" w:cs="Arial"/>
          <w:i/>
          <w:sz w:val="24"/>
          <w:szCs w:val="24"/>
          <w:lang w:val="es-AR" w:eastAsia="en-US"/>
        </w:rPr>
      </w:pPr>
    </w:p>
    <w:p w14:paraId="7329C254" w14:textId="77777777" w:rsidR="005164BB" w:rsidRDefault="005164BB" w:rsidP="00027C64">
      <w:pPr>
        <w:spacing w:line="276" w:lineRule="auto"/>
        <w:rPr>
          <w:rFonts w:ascii="Arial" w:eastAsia="Calibri" w:hAnsi="Arial" w:cs="Arial"/>
          <w:i/>
          <w:sz w:val="24"/>
          <w:szCs w:val="24"/>
          <w:lang w:val="es-AR" w:eastAsia="en-US"/>
        </w:rPr>
      </w:pPr>
    </w:p>
    <w:p w14:paraId="2410F43F" w14:textId="77777777" w:rsidR="001F1336" w:rsidRDefault="001F1336" w:rsidP="00027C64">
      <w:pPr>
        <w:spacing w:line="276" w:lineRule="auto"/>
        <w:rPr>
          <w:rFonts w:ascii="Arial" w:eastAsia="Calibri" w:hAnsi="Arial" w:cs="Arial"/>
          <w:i/>
          <w:sz w:val="24"/>
          <w:szCs w:val="24"/>
          <w:lang w:val="es-AR" w:eastAsia="en-US"/>
        </w:rPr>
      </w:pPr>
    </w:p>
    <w:p w14:paraId="3976E5BC" w14:textId="77777777" w:rsidR="001F1336" w:rsidRDefault="001F1336" w:rsidP="00027C64">
      <w:pPr>
        <w:spacing w:line="276" w:lineRule="auto"/>
        <w:rPr>
          <w:rFonts w:ascii="Arial" w:eastAsia="Calibri" w:hAnsi="Arial" w:cs="Arial"/>
          <w:i/>
          <w:sz w:val="24"/>
          <w:szCs w:val="24"/>
          <w:lang w:val="es-AR" w:eastAsia="en-US"/>
        </w:rPr>
      </w:pPr>
    </w:p>
    <w:p w14:paraId="215836C3" w14:textId="77777777" w:rsidR="001F1336" w:rsidRDefault="001F1336" w:rsidP="00027C64">
      <w:pPr>
        <w:spacing w:line="276" w:lineRule="auto"/>
        <w:rPr>
          <w:rFonts w:ascii="Arial" w:eastAsia="Calibri" w:hAnsi="Arial" w:cs="Arial"/>
          <w:i/>
          <w:sz w:val="24"/>
          <w:szCs w:val="24"/>
          <w:lang w:val="es-AR" w:eastAsia="en-US"/>
        </w:rPr>
      </w:pPr>
    </w:p>
    <w:p w14:paraId="5039AC08" w14:textId="77777777" w:rsidR="001F1336" w:rsidRDefault="001F1336" w:rsidP="00027C64">
      <w:pPr>
        <w:spacing w:line="276" w:lineRule="auto"/>
        <w:rPr>
          <w:rFonts w:ascii="Arial" w:eastAsia="Calibri" w:hAnsi="Arial" w:cs="Arial"/>
          <w:i/>
          <w:sz w:val="24"/>
          <w:szCs w:val="24"/>
          <w:lang w:val="es-AR" w:eastAsia="en-US"/>
        </w:rPr>
      </w:pPr>
    </w:p>
    <w:p w14:paraId="4F899CE6" w14:textId="77777777" w:rsidR="0011754D" w:rsidRDefault="0011754D" w:rsidP="00027C64">
      <w:pPr>
        <w:spacing w:line="276" w:lineRule="auto"/>
        <w:rPr>
          <w:rFonts w:ascii="Arial" w:eastAsia="Calibri" w:hAnsi="Arial" w:cs="Arial"/>
          <w:i/>
          <w:sz w:val="24"/>
          <w:szCs w:val="24"/>
          <w:lang w:val="es-AR" w:eastAsia="en-US"/>
        </w:rPr>
      </w:pPr>
    </w:p>
    <w:p w14:paraId="6D551644" w14:textId="77777777" w:rsidR="0011754D" w:rsidRDefault="0011754D" w:rsidP="00027C64">
      <w:pPr>
        <w:spacing w:line="276" w:lineRule="auto"/>
        <w:rPr>
          <w:rFonts w:ascii="Arial" w:eastAsia="Calibri" w:hAnsi="Arial" w:cs="Arial"/>
          <w:i/>
          <w:sz w:val="24"/>
          <w:szCs w:val="24"/>
          <w:lang w:val="es-AR" w:eastAsia="en-US"/>
        </w:rPr>
      </w:pPr>
    </w:p>
    <w:p w14:paraId="7444326D" w14:textId="77777777" w:rsidR="001F1336" w:rsidRDefault="001F1336" w:rsidP="00027C64">
      <w:pPr>
        <w:spacing w:line="276" w:lineRule="auto"/>
        <w:rPr>
          <w:rFonts w:ascii="Arial" w:eastAsia="Calibri" w:hAnsi="Arial" w:cs="Arial"/>
          <w:i/>
          <w:sz w:val="24"/>
          <w:szCs w:val="24"/>
          <w:lang w:val="es-AR" w:eastAsia="en-US"/>
        </w:rPr>
      </w:pPr>
    </w:p>
    <w:p w14:paraId="774F6606" w14:textId="77777777" w:rsidR="001F1336" w:rsidRDefault="001F1336" w:rsidP="00027C64">
      <w:pPr>
        <w:spacing w:line="276" w:lineRule="auto"/>
        <w:rPr>
          <w:rFonts w:ascii="Arial" w:eastAsia="Calibri" w:hAnsi="Arial" w:cs="Arial"/>
          <w:i/>
          <w:sz w:val="24"/>
          <w:szCs w:val="24"/>
          <w:lang w:val="es-AR" w:eastAsia="en-US"/>
        </w:rPr>
      </w:pPr>
    </w:p>
    <w:p w14:paraId="3C09D9B5" w14:textId="77777777" w:rsidR="001F1336" w:rsidRDefault="001F1336" w:rsidP="00027C64">
      <w:pPr>
        <w:spacing w:line="276" w:lineRule="auto"/>
        <w:rPr>
          <w:rFonts w:ascii="Arial" w:eastAsia="Calibri" w:hAnsi="Arial" w:cs="Arial"/>
          <w:i/>
          <w:sz w:val="24"/>
          <w:szCs w:val="24"/>
          <w:lang w:val="es-AR" w:eastAsia="en-US"/>
        </w:rPr>
      </w:pPr>
    </w:p>
    <w:p w14:paraId="60F1D363" w14:textId="77777777" w:rsidR="001F1336" w:rsidRDefault="001F1336" w:rsidP="00027C64">
      <w:pPr>
        <w:spacing w:line="276" w:lineRule="auto"/>
        <w:rPr>
          <w:rFonts w:ascii="Arial" w:eastAsia="Calibri" w:hAnsi="Arial" w:cs="Arial"/>
          <w:i/>
          <w:sz w:val="24"/>
          <w:szCs w:val="24"/>
          <w:lang w:val="es-AR" w:eastAsia="en-US"/>
        </w:rPr>
      </w:pPr>
    </w:p>
    <w:p w14:paraId="3847669D" w14:textId="77777777" w:rsidR="005164BB" w:rsidRDefault="005164BB" w:rsidP="00027C64">
      <w:pPr>
        <w:spacing w:line="276" w:lineRule="auto"/>
        <w:rPr>
          <w:rFonts w:ascii="Arial" w:eastAsia="Calibri" w:hAnsi="Arial" w:cs="Arial"/>
          <w:i/>
          <w:sz w:val="24"/>
          <w:szCs w:val="24"/>
          <w:lang w:val="es-AR" w:eastAsia="en-US"/>
        </w:rPr>
      </w:pPr>
    </w:p>
    <w:p w14:paraId="26387339" w14:textId="77777777" w:rsidR="005164BB" w:rsidRDefault="005164BB" w:rsidP="00027C64">
      <w:pPr>
        <w:spacing w:line="276" w:lineRule="auto"/>
        <w:rPr>
          <w:rFonts w:ascii="Arial" w:eastAsia="Calibri" w:hAnsi="Arial" w:cs="Arial"/>
          <w:i/>
          <w:sz w:val="24"/>
          <w:szCs w:val="24"/>
          <w:lang w:val="es-AR" w:eastAsia="en-US"/>
        </w:rPr>
      </w:pPr>
    </w:p>
    <w:p w14:paraId="5EA9118B" w14:textId="77777777" w:rsidR="005164BB" w:rsidRDefault="005164BB" w:rsidP="00027C64">
      <w:pPr>
        <w:spacing w:line="276" w:lineRule="auto"/>
        <w:rPr>
          <w:rFonts w:ascii="Arial" w:eastAsia="Calibri" w:hAnsi="Arial" w:cs="Arial"/>
          <w:i/>
          <w:sz w:val="24"/>
          <w:szCs w:val="24"/>
          <w:lang w:val="es-AR" w:eastAsia="en-US"/>
        </w:rPr>
      </w:pPr>
    </w:p>
    <w:p w14:paraId="1712F869" w14:textId="77777777" w:rsidR="005164BB" w:rsidRDefault="005164BB" w:rsidP="00027C64">
      <w:pPr>
        <w:spacing w:line="276" w:lineRule="auto"/>
        <w:rPr>
          <w:rFonts w:ascii="Arial" w:eastAsia="Calibri" w:hAnsi="Arial" w:cs="Arial"/>
          <w:i/>
          <w:sz w:val="24"/>
          <w:szCs w:val="24"/>
          <w:lang w:val="es-AR" w:eastAsia="en-US"/>
        </w:rPr>
      </w:pPr>
    </w:p>
    <w:p w14:paraId="4DD091BC" w14:textId="77777777" w:rsidR="005164BB" w:rsidRDefault="005164BB" w:rsidP="00027C64">
      <w:pPr>
        <w:spacing w:line="276" w:lineRule="auto"/>
        <w:rPr>
          <w:rFonts w:ascii="Arial" w:eastAsia="Calibri" w:hAnsi="Arial" w:cs="Arial"/>
          <w:i/>
          <w:sz w:val="24"/>
          <w:szCs w:val="24"/>
          <w:lang w:val="es-AR" w:eastAsia="en-US"/>
        </w:rPr>
      </w:pPr>
    </w:p>
    <w:p w14:paraId="5573BEF9" w14:textId="77777777" w:rsidR="005164BB" w:rsidRDefault="005164BB" w:rsidP="00027C64">
      <w:pPr>
        <w:spacing w:line="276" w:lineRule="auto"/>
        <w:rPr>
          <w:rFonts w:ascii="Arial" w:eastAsia="Calibri" w:hAnsi="Arial" w:cs="Arial"/>
          <w:i/>
          <w:sz w:val="24"/>
          <w:szCs w:val="24"/>
          <w:lang w:val="es-AR" w:eastAsia="en-US"/>
        </w:rPr>
      </w:pPr>
    </w:p>
    <w:p w14:paraId="547242F4" w14:textId="77777777" w:rsidR="005164BB" w:rsidRDefault="005164BB" w:rsidP="00027C64">
      <w:pPr>
        <w:spacing w:line="276" w:lineRule="auto"/>
        <w:rPr>
          <w:rFonts w:ascii="Arial" w:eastAsia="Calibri" w:hAnsi="Arial" w:cs="Arial"/>
          <w:i/>
          <w:sz w:val="24"/>
          <w:szCs w:val="24"/>
          <w:lang w:val="es-AR" w:eastAsia="en-US"/>
        </w:rPr>
      </w:pPr>
    </w:p>
    <w:p w14:paraId="3E7F6514" w14:textId="77777777" w:rsidR="009F270F" w:rsidRDefault="009F270F" w:rsidP="00027C64">
      <w:pPr>
        <w:spacing w:line="276" w:lineRule="auto"/>
        <w:rPr>
          <w:rFonts w:ascii="Arial" w:eastAsia="Calibri" w:hAnsi="Arial" w:cs="Arial"/>
          <w:i/>
          <w:sz w:val="24"/>
          <w:szCs w:val="24"/>
          <w:lang w:val="es-AR" w:eastAsia="en-US"/>
        </w:rPr>
      </w:pPr>
    </w:p>
    <w:p w14:paraId="38559352" w14:textId="77777777" w:rsidR="0011754D" w:rsidRDefault="0011754D" w:rsidP="00027C64">
      <w:pPr>
        <w:spacing w:line="276" w:lineRule="auto"/>
        <w:rPr>
          <w:rFonts w:ascii="Arial" w:eastAsia="Calibri" w:hAnsi="Arial" w:cs="Arial"/>
          <w:i/>
          <w:sz w:val="24"/>
          <w:szCs w:val="24"/>
          <w:lang w:val="es-AR" w:eastAsia="en-US"/>
        </w:rPr>
      </w:pPr>
    </w:p>
    <w:p w14:paraId="46018F93" w14:textId="77777777" w:rsidR="0011754D" w:rsidRDefault="0011754D" w:rsidP="00027C64">
      <w:pPr>
        <w:spacing w:line="276" w:lineRule="auto"/>
        <w:rPr>
          <w:rFonts w:ascii="Arial" w:eastAsia="Calibri" w:hAnsi="Arial" w:cs="Arial"/>
          <w:i/>
          <w:sz w:val="24"/>
          <w:szCs w:val="24"/>
          <w:lang w:val="es-AR" w:eastAsia="en-US"/>
        </w:rPr>
      </w:pPr>
    </w:p>
    <w:p w14:paraId="44EDCBA0" w14:textId="77777777" w:rsidR="0011754D" w:rsidRDefault="0011754D" w:rsidP="00027C64">
      <w:pPr>
        <w:spacing w:line="276" w:lineRule="auto"/>
        <w:rPr>
          <w:rFonts w:ascii="Arial" w:eastAsia="Calibri" w:hAnsi="Arial" w:cs="Arial"/>
          <w:i/>
          <w:sz w:val="24"/>
          <w:szCs w:val="24"/>
          <w:lang w:val="es-AR" w:eastAsia="en-US"/>
        </w:rPr>
      </w:pPr>
    </w:p>
    <w:p w14:paraId="71A98F11" w14:textId="77777777" w:rsidR="0011754D" w:rsidRDefault="0011754D" w:rsidP="00027C64">
      <w:pPr>
        <w:spacing w:line="276" w:lineRule="auto"/>
        <w:rPr>
          <w:rFonts w:ascii="Arial" w:eastAsia="Calibri" w:hAnsi="Arial" w:cs="Arial"/>
          <w:i/>
          <w:sz w:val="24"/>
          <w:szCs w:val="24"/>
          <w:lang w:val="es-AR" w:eastAsia="en-US"/>
        </w:rPr>
      </w:pPr>
    </w:p>
    <w:p w14:paraId="10E26621" w14:textId="77777777" w:rsidR="0011754D" w:rsidRDefault="0011754D" w:rsidP="00027C64">
      <w:pPr>
        <w:spacing w:line="276" w:lineRule="auto"/>
        <w:rPr>
          <w:rFonts w:ascii="Arial" w:eastAsia="Calibri" w:hAnsi="Arial" w:cs="Arial"/>
          <w:i/>
          <w:sz w:val="24"/>
          <w:szCs w:val="24"/>
          <w:lang w:val="es-AR" w:eastAsia="en-US"/>
        </w:rPr>
      </w:pPr>
    </w:p>
    <w:p w14:paraId="5874C9A4" w14:textId="77777777" w:rsidR="0011754D" w:rsidRDefault="0011754D" w:rsidP="00027C64">
      <w:pPr>
        <w:spacing w:line="276" w:lineRule="auto"/>
        <w:rPr>
          <w:rFonts w:ascii="Arial" w:eastAsia="Calibri" w:hAnsi="Arial" w:cs="Arial"/>
          <w:i/>
          <w:sz w:val="24"/>
          <w:szCs w:val="24"/>
          <w:lang w:val="es-AR" w:eastAsia="en-US"/>
        </w:rPr>
      </w:pPr>
    </w:p>
    <w:p w14:paraId="136887A0" w14:textId="77777777" w:rsidR="005C658E" w:rsidRPr="008F7517" w:rsidRDefault="005C658E" w:rsidP="00027C64">
      <w:pPr>
        <w:spacing w:line="276" w:lineRule="auto"/>
        <w:rPr>
          <w:rFonts w:ascii="Arial" w:eastAsia="Calibri" w:hAnsi="Arial" w:cs="Arial"/>
          <w:i/>
          <w:sz w:val="24"/>
          <w:szCs w:val="24"/>
          <w:lang w:val="es-AR" w:eastAsia="en-US"/>
        </w:rPr>
      </w:pPr>
    </w:p>
    <w:p w14:paraId="2C27BFF2" w14:textId="77777777" w:rsidR="009F270F" w:rsidRPr="008F7517" w:rsidRDefault="009F270F" w:rsidP="00027C64">
      <w:pPr>
        <w:spacing w:line="276" w:lineRule="auto"/>
        <w:rPr>
          <w:rFonts w:ascii="Arial" w:eastAsia="Calibri" w:hAnsi="Arial" w:cs="Arial"/>
          <w:i/>
          <w:sz w:val="24"/>
          <w:szCs w:val="24"/>
          <w:lang w:val="es-AR" w:eastAsia="en-US"/>
        </w:rPr>
      </w:pPr>
    </w:p>
    <w:p w14:paraId="0BFB70F2" w14:textId="77777777" w:rsidR="008F7517" w:rsidRPr="0005554E" w:rsidRDefault="007C0DAD" w:rsidP="008F7517">
      <w:pPr>
        <w:suppressAutoHyphens/>
        <w:spacing w:after="200" w:line="276" w:lineRule="auto"/>
        <w:jc w:val="center"/>
        <w:outlineLvl w:val="0"/>
        <w:rPr>
          <w:rFonts w:ascii="Arial" w:eastAsia="Calibri" w:hAnsi="Arial" w:cs="Arial"/>
          <w:b/>
          <w:sz w:val="24"/>
          <w:szCs w:val="24"/>
          <w:u w:val="single"/>
          <w:lang w:val="es-AR" w:eastAsia="en-US"/>
        </w:rPr>
      </w:pPr>
      <w:r>
        <w:rPr>
          <w:rFonts w:ascii="Arial" w:eastAsia="Calibri" w:hAnsi="Arial" w:cs="Arial"/>
          <w:b/>
          <w:sz w:val="24"/>
          <w:szCs w:val="24"/>
          <w:u w:val="single"/>
          <w:lang w:val="es-AR" w:eastAsia="en-US"/>
        </w:rPr>
        <w:t>T</w:t>
      </w:r>
      <w:r w:rsidR="008F7517" w:rsidRPr="0005554E">
        <w:rPr>
          <w:rFonts w:ascii="Arial" w:eastAsia="Calibri" w:hAnsi="Arial" w:cs="Arial"/>
          <w:b/>
          <w:sz w:val="24"/>
          <w:szCs w:val="24"/>
          <w:u w:val="single"/>
          <w:lang w:val="es-AR" w:eastAsia="en-US"/>
        </w:rPr>
        <w:t>ABLA Nº 2</w:t>
      </w:r>
    </w:p>
    <w:p w14:paraId="4828B913" w14:textId="77777777" w:rsidR="008F7517" w:rsidRPr="00792A0A" w:rsidRDefault="00920960" w:rsidP="008F7517">
      <w:pPr>
        <w:suppressAutoHyphens/>
        <w:spacing w:line="276" w:lineRule="auto"/>
        <w:jc w:val="center"/>
        <w:rPr>
          <w:rFonts w:ascii="Arial" w:eastAsia="Calibri" w:hAnsi="Arial" w:cs="Arial"/>
          <w:sz w:val="24"/>
          <w:szCs w:val="24"/>
          <w:u w:val="single"/>
          <w:lang w:val="es-AR" w:eastAsia="en-US"/>
        </w:rPr>
      </w:pPr>
      <w:r w:rsidRPr="00792A0A">
        <w:rPr>
          <w:rFonts w:ascii="Arial" w:eastAsia="Calibri" w:hAnsi="Arial" w:cs="Arial"/>
          <w:sz w:val="24"/>
          <w:szCs w:val="24"/>
          <w:u w:val="single"/>
          <w:lang w:val="es-AR" w:eastAsia="en-US"/>
        </w:rPr>
        <w:t xml:space="preserve">ACTIVIDAD DE LA </w:t>
      </w:r>
      <w:proofErr w:type="gramStart"/>
      <w:r w:rsidRPr="00792A0A">
        <w:rPr>
          <w:rFonts w:ascii="Arial" w:eastAsia="Calibri" w:hAnsi="Arial" w:cs="Arial"/>
          <w:sz w:val="24"/>
          <w:szCs w:val="24"/>
          <w:u w:val="single"/>
          <w:lang w:val="es-AR" w:eastAsia="en-US"/>
        </w:rPr>
        <w:t xml:space="preserve">SOCIEDAD </w:t>
      </w:r>
      <w:r w:rsidR="008F7517" w:rsidRPr="00792A0A">
        <w:rPr>
          <w:rFonts w:ascii="Arial" w:eastAsia="Calibri" w:hAnsi="Arial" w:cs="Arial"/>
          <w:sz w:val="24"/>
          <w:szCs w:val="24"/>
          <w:u w:val="single"/>
          <w:lang w:val="es-AR" w:eastAsia="en-US"/>
        </w:rPr>
        <w:t xml:space="preserve"> EMISORA</w:t>
      </w:r>
      <w:proofErr w:type="gramEnd"/>
      <w:r w:rsidR="008F7517" w:rsidRPr="00792A0A">
        <w:rPr>
          <w:rFonts w:ascii="Arial" w:eastAsia="Calibri" w:hAnsi="Arial" w:cs="Arial"/>
          <w:sz w:val="24"/>
          <w:szCs w:val="24"/>
          <w:u w:val="single"/>
          <w:lang w:val="es-AR" w:eastAsia="en-US"/>
        </w:rPr>
        <w:t xml:space="preserve"> DE LAS ACCIONES </w:t>
      </w:r>
      <w:r w:rsidR="009458B0" w:rsidRPr="00792A0A">
        <w:rPr>
          <w:rFonts w:ascii="Arial" w:eastAsia="Calibri" w:hAnsi="Arial" w:cs="Arial"/>
          <w:sz w:val="24"/>
          <w:szCs w:val="24"/>
          <w:u w:val="single"/>
          <w:lang w:val="es-AR" w:eastAsia="en-US"/>
        </w:rPr>
        <w:t xml:space="preserve">SUBYACENTES </w:t>
      </w:r>
      <w:r w:rsidR="00442E68" w:rsidRPr="00792A0A">
        <w:rPr>
          <w:rFonts w:ascii="Arial" w:eastAsia="Calibri" w:hAnsi="Arial" w:cs="Arial"/>
          <w:sz w:val="24"/>
          <w:szCs w:val="24"/>
          <w:u w:val="single"/>
          <w:lang w:val="es-AR" w:eastAsia="en-US"/>
        </w:rPr>
        <w:t xml:space="preserve">DE LOS </w:t>
      </w:r>
      <w:proofErr w:type="spellStart"/>
      <w:r w:rsidR="00477BC5">
        <w:rPr>
          <w:rFonts w:ascii="Arial" w:eastAsia="Calibri" w:hAnsi="Arial" w:cs="Arial"/>
          <w:sz w:val="24"/>
          <w:szCs w:val="24"/>
          <w:u w:val="single"/>
          <w:lang w:val="es-AR" w:eastAsia="en-US"/>
        </w:rPr>
        <w:t>ADS</w:t>
      </w:r>
      <w:r w:rsidR="00FB1624">
        <w:rPr>
          <w:rFonts w:ascii="Arial" w:eastAsia="Calibri" w:hAnsi="Arial" w:cs="Arial"/>
          <w:sz w:val="24"/>
          <w:szCs w:val="24"/>
          <w:u w:val="single"/>
          <w:lang w:val="es-AR" w:eastAsia="en-US"/>
        </w:rPr>
        <w:t>s</w:t>
      </w:r>
      <w:proofErr w:type="spellEnd"/>
      <w:r w:rsidR="00442E68" w:rsidRPr="00792A0A">
        <w:rPr>
          <w:rFonts w:ascii="Arial" w:eastAsia="Calibri" w:hAnsi="Arial" w:cs="Arial"/>
          <w:sz w:val="24"/>
          <w:szCs w:val="24"/>
          <w:u w:val="single"/>
          <w:lang w:val="es-AR" w:eastAsia="en-US"/>
        </w:rPr>
        <w:t xml:space="preserve"> </w:t>
      </w:r>
      <w:r w:rsidR="00A30C59" w:rsidRPr="00792A0A">
        <w:rPr>
          <w:rFonts w:ascii="Arial" w:eastAsia="Calibri" w:hAnsi="Arial" w:cs="Arial"/>
          <w:sz w:val="24"/>
          <w:szCs w:val="24"/>
          <w:u w:val="single"/>
          <w:lang w:val="es-AR" w:eastAsia="en-US"/>
        </w:rPr>
        <w:t xml:space="preserve">REPRESENTADOS POR LOS </w:t>
      </w:r>
      <w:r w:rsidR="008F7517" w:rsidRPr="00792A0A">
        <w:rPr>
          <w:rFonts w:ascii="Arial" w:eastAsia="Calibri" w:hAnsi="Arial" w:cs="Arial"/>
          <w:sz w:val="24"/>
          <w:szCs w:val="24"/>
          <w:u w:val="single"/>
          <w:lang w:val="es-AR" w:eastAsia="en-US"/>
        </w:rPr>
        <w:t>CEDEAR</w:t>
      </w:r>
      <w:r w:rsidR="00A30C59" w:rsidRPr="00792A0A">
        <w:rPr>
          <w:rFonts w:ascii="Arial" w:eastAsia="Calibri" w:hAnsi="Arial" w:cs="Arial"/>
          <w:sz w:val="24"/>
          <w:szCs w:val="24"/>
          <w:u w:val="single"/>
          <w:lang w:val="es-AR" w:eastAsia="en-US"/>
        </w:rPr>
        <w:t>S</w:t>
      </w:r>
    </w:p>
    <w:p w14:paraId="5D50DA7A" w14:textId="77777777" w:rsidR="00920960" w:rsidRPr="007F774B" w:rsidRDefault="00920960" w:rsidP="008F7517">
      <w:pPr>
        <w:suppressAutoHyphens/>
        <w:spacing w:line="276" w:lineRule="auto"/>
        <w:jc w:val="center"/>
        <w:rPr>
          <w:rFonts w:ascii="Arial" w:eastAsia="Calibri" w:hAnsi="Arial" w:cs="Arial"/>
          <w:sz w:val="24"/>
          <w:szCs w:val="24"/>
          <w:highlight w:val="yellow"/>
          <w:u w:val="single"/>
          <w:lang w:val="es-AR" w:eastAsia="en-US"/>
        </w:rPr>
      </w:pPr>
    </w:p>
    <w:p w14:paraId="01DA6C97" w14:textId="77777777" w:rsidR="008F7517" w:rsidRPr="007F774B" w:rsidRDefault="008F7517" w:rsidP="008F7517">
      <w:pPr>
        <w:spacing w:line="276" w:lineRule="auto"/>
        <w:jc w:val="both"/>
        <w:rPr>
          <w:rFonts w:ascii="Arial" w:eastAsia="Calibri" w:hAnsi="Arial" w:cs="Arial"/>
          <w:sz w:val="24"/>
          <w:szCs w:val="24"/>
          <w:highlight w:val="yellow"/>
          <w:lang w:val="es-AR" w:eastAsia="en-US"/>
        </w:rPr>
      </w:pPr>
    </w:p>
    <w:p w14:paraId="33849068" w14:textId="77777777" w:rsidR="00FE0214" w:rsidRDefault="00FE0214" w:rsidP="00FE0214">
      <w:pPr>
        <w:spacing w:line="276" w:lineRule="auto"/>
        <w:rPr>
          <w:rFonts w:ascii="Arial" w:eastAsia="Calibri" w:hAnsi="Arial" w:cs="Arial"/>
          <w:b/>
          <w:sz w:val="24"/>
          <w:szCs w:val="24"/>
          <w:lang w:val="es-AR" w:eastAsia="en-US"/>
        </w:rPr>
      </w:pPr>
      <w:r w:rsidRPr="00FE0214">
        <w:rPr>
          <w:rFonts w:ascii="Arial" w:eastAsia="Calibri" w:hAnsi="Arial" w:cs="Arial"/>
          <w:b/>
          <w:sz w:val="24"/>
          <w:szCs w:val="24"/>
          <w:lang w:val="es-AR" w:eastAsia="en-US"/>
        </w:rPr>
        <w:t xml:space="preserve">Vista </w:t>
      </w:r>
      <w:proofErr w:type="spellStart"/>
      <w:r w:rsidRPr="00FE0214">
        <w:rPr>
          <w:rFonts w:ascii="Arial" w:eastAsia="Calibri" w:hAnsi="Arial" w:cs="Arial"/>
          <w:b/>
          <w:sz w:val="24"/>
          <w:szCs w:val="24"/>
          <w:lang w:val="es-AR" w:eastAsia="en-US"/>
        </w:rPr>
        <w:t>Oil</w:t>
      </w:r>
      <w:proofErr w:type="spellEnd"/>
      <w:r w:rsidRPr="00FE0214">
        <w:rPr>
          <w:rFonts w:ascii="Arial" w:eastAsia="Calibri" w:hAnsi="Arial" w:cs="Arial"/>
          <w:b/>
          <w:sz w:val="24"/>
          <w:szCs w:val="24"/>
          <w:lang w:val="es-AR" w:eastAsia="en-US"/>
        </w:rPr>
        <w:t xml:space="preserve"> &amp; Gas, S.A.B. de C.V. </w:t>
      </w:r>
    </w:p>
    <w:p w14:paraId="7FA4BE6C" w14:textId="77777777" w:rsidR="00792A0A" w:rsidRPr="008F7935" w:rsidRDefault="00792A0A" w:rsidP="00792A0A">
      <w:pPr>
        <w:jc w:val="both"/>
        <w:rPr>
          <w:rFonts w:ascii="Arial" w:hAnsi="Arial" w:cs="Arial"/>
          <w:color w:val="222222"/>
          <w:sz w:val="24"/>
          <w:szCs w:val="24"/>
          <w:lang w:val="es-AR"/>
        </w:rPr>
      </w:pPr>
    </w:p>
    <w:p w14:paraId="6E2A2181" w14:textId="77777777" w:rsidR="00792A0A" w:rsidRDefault="00FE0214" w:rsidP="00FE0214">
      <w:pPr>
        <w:jc w:val="both"/>
        <w:rPr>
          <w:rFonts w:ascii="Arial" w:hAnsi="Arial" w:cs="Arial"/>
          <w:b/>
          <w:sz w:val="24"/>
          <w:szCs w:val="24"/>
          <w:u w:val="single"/>
          <w:lang w:val="es-AR"/>
        </w:rPr>
      </w:pPr>
      <w:r w:rsidRPr="00FE0214">
        <w:rPr>
          <w:rFonts w:ascii="Arial" w:hAnsi="Arial" w:cs="Arial"/>
          <w:color w:val="222222"/>
          <w:sz w:val="24"/>
          <w:szCs w:val="24"/>
          <w:lang w:val="es-AR"/>
        </w:rPr>
        <w:t xml:space="preserve">Vista </w:t>
      </w:r>
      <w:proofErr w:type="spellStart"/>
      <w:r w:rsidRPr="00FE0214">
        <w:rPr>
          <w:rFonts w:ascii="Arial" w:hAnsi="Arial" w:cs="Arial"/>
          <w:color w:val="222222"/>
          <w:sz w:val="24"/>
          <w:szCs w:val="24"/>
          <w:lang w:val="es-AR"/>
        </w:rPr>
        <w:t>Oil</w:t>
      </w:r>
      <w:proofErr w:type="spellEnd"/>
      <w:r w:rsidRPr="00FE0214">
        <w:rPr>
          <w:rFonts w:ascii="Arial" w:hAnsi="Arial" w:cs="Arial"/>
          <w:color w:val="222222"/>
          <w:sz w:val="24"/>
          <w:szCs w:val="24"/>
          <w:lang w:val="es-AR"/>
        </w:rPr>
        <w:t xml:space="preserve"> &amp; Gas, S.A.B. de C.V.</w:t>
      </w:r>
      <w:r w:rsidRPr="00FE0214">
        <w:rPr>
          <w:rFonts w:ascii="Arial" w:hAnsi="Arial" w:cs="Arial"/>
          <w:b/>
          <w:color w:val="222222"/>
          <w:sz w:val="24"/>
          <w:szCs w:val="24"/>
          <w:lang w:val="es-AR"/>
        </w:rPr>
        <w:t xml:space="preserve"> </w:t>
      </w:r>
      <w:r>
        <w:rPr>
          <w:rFonts w:ascii="Arial" w:hAnsi="Arial" w:cs="Arial"/>
          <w:color w:val="222222"/>
          <w:sz w:val="24"/>
          <w:szCs w:val="24"/>
          <w:lang w:val="es-AR"/>
        </w:rPr>
        <w:t>opera como una compañía de petróleo y gas. La compañía invierte en exploración</w:t>
      </w:r>
      <w:r w:rsidR="00512985">
        <w:rPr>
          <w:rFonts w:ascii="Arial" w:hAnsi="Arial" w:cs="Arial"/>
          <w:color w:val="222222"/>
          <w:sz w:val="24"/>
          <w:szCs w:val="24"/>
          <w:lang w:val="es-AR"/>
        </w:rPr>
        <w:t xml:space="preserve"> y producción</w:t>
      </w:r>
      <w:r>
        <w:rPr>
          <w:rFonts w:ascii="Arial" w:hAnsi="Arial" w:cs="Arial"/>
          <w:color w:val="222222"/>
          <w:sz w:val="24"/>
          <w:szCs w:val="24"/>
          <w:lang w:val="es-AR"/>
        </w:rPr>
        <w:t xml:space="preserve"> de petróleo</w:t>
      </w:r>
      <w:r w:rsidR="00512985">
        <w:rPr>
          <w:rFonts w:ascii="Arial" w:hAnsi="Arial" w:cs="Arial"/>
          <w:color w:val="222222"/>
          <w:sz w:val="24"/>
          <w:szCs w:val="24"/>
          <w:lang w:val="es-AR"/>
        </w:rPr>
        <w:t xml:space="preserve"> y gas</w:t>
      </w:r>
      <w:r>
        <w:rPr>
          <w:rFonts w:ascii="Arial" w:hAnsi="Arial" w:cs="Arial"/>
          <w:color w:val="222222"/>
          <w:sz w:val="24"/>
          <w:szCs w:val="24"/>
          <w:lang w:val="es-AR"/>
        </w:rPr>
        <w:t xml:space="preserve">. </w:t>
      </w:r>
      <w:r w:rsidRPr="00FE0214">
        <w:rPr>
          <w:rFonts w:ascii="Arial" w:hAnsi="Arial" w:cs="Arial"/>
          <w:color w:val="222222"/>
          <w:sz w:val="24"/>
          <w:szCs w:val="24"/>
          <w:lang w:val="es-AR"/>
        </w:rPr>
        <w:t xml:space="preserve">Vista </w:t>
      </w:r>
      <w:proofErr w:type="spellStart"/>
      <w:r w:rsidRPr="00FE0214">
        <w:rPr>
          <w:rFonts w:ascii="Arial" w:hAnsi="Arial" w:cs="Arial"/>
          <w:color w:val="222222"/>
          <w:sz w:val="24"/>
          <w:szCs w:val="24"/>
          <w:lang w:val="es-AR"/>
        </w:rPr>
        <w:t>Oil</w:t>
      </w:r>
      <w:proofErr w:type="spellEnd"/>
      <w:r w:rsidRPr="00FE0214">
        <w:rPr>
          <w:rFonts w:ascii="Arial" w:hAnsi="Arial" w:cs="Arial"/>
          <w:color w:val="222222"/>
          <w:sz w:val="24"/>
          <w:szCs w:val="24"/>
          <w:lang w:val="es-AR"/>
        </w:rPr>
        <w:t xml:space="preserve"> &amp; Gas</w:t>
      </w:r>
      <w:r>
        <w:rPr>
          <w:rFonts w:ascii="Arial" w:hAnsi="Arial" w:cs="Arial"/>
          <w:color w:val="222222"/>
          <w:sz w:val="24"/>
          <w:szCs w:val="24"/>
          <w:lang w:val="es-AR"/>
        </w:rPr>
        <w:t xml:space="preserve"> presta servicio a clientes en Latinoamérica. </w:t>
      </w:r>
    </w:p>
    <w:p w14:paraId="61543DD5" w14:textId="77777777" w:rsidR="00802C2A" w:rsidRDefault="00802C2A" w:rsidP="00822742">
      <w:pPr>
        <w:suppressAutoHyphens/>
        <w:jc w:val="center"/>
        <w:outlineLvl w:val="0"/>
        <w:rPr>
          <w:rFonts w:ascii="Arial" w:hAnsi="Arial" w:cs="Arial"/>
          <w:b/>
          <w:sz w:val="24"/>
          <w:szCs w:val="24"/>
          <w:u w:val="single"/>
          <w:lang w:val="es-AR"/>
        </w:rPr>
      </w:pPr>
    </w:p>
    <w:p w14:paraId="77D50AD6" w14:textId="77777777" w:rsidR="00792A0A" w:rsidRDefault="00792A0A" w:rsidP="00822742">
      <w:pPr>
        <w:suppressAutoHyphens/>
        <w:jc w:val="center"/>
        <w:outlineLvl w:val="0"/>
        <w:rPr>
          <w:rFonts w:ascii="Arial" w:hAnsi="Arial" w:cs="Arial"/>
          <w:b/>
          <w:sz w:val="24"/>
          <w:szCs w:val="24"/>
          <w:u w:val="single"/>
          <w:lang w:val="es-AR"/>
        </w:rPr>
      </w:pPr>
    </w:p>
    <w:p w14:paraId="430DBA9D" w14:textId="77777777" w:rsidR="00792A0A" w:rsidRDefault="00792A0A" w:rsidP="00822742">
      <w:pPr>
        <w:suppressAutoHyphens/>
        <w:jc w:val="center"/>
        <w:outlineLvl w:val="0"/>
        <w:rPr>
          <w:rFonts w:ascii="Arial" w:hAnsi="Arial" w:cs="Arial"/>
          <w:b/>
          <w:sz w:val="24"/>
          <w:szCs w:val="24"/>
          <w:u w:val="single"/>
          <w:lang w:val="es-AR"/>
        </w:rPr>
      </w:pPr>
    </w:p>
    <w:p w14:paraId="00BCF115" w14:textId="77777777" w:rsidR="00792A0A" w:rsidRDefault="00792A0A" w:rsidP="00822742">
      <w:pPr>
        <w:suppressAutoHyphens/>
        <w:jc w:val="center"/>
        <w:outlineLvl w:val="0"/>
        <w:rPr>
          <w:rFonts w:ascii="Arial" w:hAnsi="Arial" w:cs="Arial"/>
          <w:b/>
          <w:sz w:val="24"/>
          <w:szCs w:val="24"/>
          <w:u w:val="single"/>
          <w:lang w:val="es-AR"/>
        </w:rPr>
      </w:pPr>
    </w:p>
    <w:p w14:paraId="6B795026" w14:textId="77777777" w:rsidR="00792A0A" w:rsidRDefault="00792A0A" w:rsidP="00822742">
      <w:pPr>
        <w:suppressAutoHyphens/>
        <w:jc w:val="center"/>
        <w:outlineLvl w:val="0"/>
        <w:rPr>
          <w:rFonts w:ascii="Arial" w:hAnsi="Arial" w:cs="Arial"/>
          <w:b/>
          <w:sz w:val="24"/>
          <w:szCs w:val="24"/>
          <w:u w:val="single"/>
          <w:lang w:val="es-AR"/>
        </w:rPr>
      </w:pPr>
    </w:p>
    <w:p w14:paraId="2804B160" w14:textId="77777777" w:rsidR="00792A0A" w:rsidRDefault="00792A0A" w:rsidP="00822742">
      <w:pPr>
        <w:suppressAutoHyphens/>
        <w:jc w:val="center"/>
        <w:outlineLvl w:val="0"/>
        <w:rPr>
          <w:rFonts w:ascii="Arial" w:hAnsi="Arial" w:cs="Arial"/>
          <w:b/>
          <w:sz w:val="24"/>
          <w:szCs w:val="24"/>
          <w:u w:val="single"/>
          <w:lang w:val="es-AR"/>
        </w:rPr>
      </w:pPr>
    </w:p>
    <w:p w14:paraId="571580B9" w14:textId="77777777" w:rsidR="00792A0A" w:rsidRDefault="00792A0A" w:rsidP="00822742">
      <w:pPr>
        <w:suppressAutoHyphens/>
        <w:jc w:val="center"/>
        <w:outlineLvl w:val="0"/>
        <w:rPr>
          <w:rFonts w:ascii="Arial" w:hAnsi="Arial" w:cs="Arial"/>
          <w:b/>
          <w:sz w:val="24"/>
          <w:szCs w:val="24"/>
          <w:u w:val="single"/>
          <w:lang w:val="es-AR"/>
        </w:rPr>
      </w:pPr>
    </w:p>
    <w:p w14:paraId="6EF812AB" w14:textId="77777777" w:rsidR="00792A0A" w:rsidRDefault="00792A0A" w:rsidP="00822742">
      <w:pPr>
        <w:suppressAutoHyphens/>
        <w:jc w:val="center"/>
        <w:outlineLvl w:val="0"/>
        <w:rPr>
          <w:rFonts w:ascii="Arial" w:hAnsi="Arial" w:cs="Arial"/>
          <w:b/>
          <w:sz w:val="24"/>
          <w:szCs w:val="24"/>
          <w:u w:val="single"/>
          <w:lang w:val="es-AR"/>
        </w:rPr>
      </w:pPr>
    </w:p>
    <w:p w14:paraId="3DF125AE" w14:textId="77777777" w:rsidR="00792A0A" w:rsidRDefault="00792A0A" w:rsidP="00822742">
      <w:pPr>
        <w:suppressAutoHyphens/>
        <w:jc w:val="center"/>
        <w:outlineLvl w:val="0"/>
        <w:rPr>
          <w:rFonts w:ascii="Arial" w:hAnsi="Arial" w:cs="Arial"/>
          <w:b/>
          <w:sz w:val="24"/>
          <w:szCs w:val="24"/>
          <w:u w:val="single"/>
          <w:lang w:val="es-AR"/>
        </w:rPr>
      </w:pPr>
    </w:p>
    <w:p w14:paraId="673F4BEA" w14:textId="77777777" w:rsidR="00792A0A" w:rsidRDefault="00792A0A" w:rsidP="00822742">
      <w:pPr>
        <w:suppressAutoHyphens/>
        <w:jc w:val="center"/>
        <w:outlineLvl w:val="0"/>
        <w:rPr>
          <w:rFonts w:ascii="Arial" w:hAnsi="Arial" w:cs="Arial"/>
          <w:b/>
          <w:sz w:val="24"/>
          <w:szCs w:val="24"/>
          <w:u w:val="single"/>
          <w:lang w:val="es-AR"/>
        </w:rPr>
      </w:pPr>
    </w:p>
    <w:p w14:paraId="025049B2" w14:textId="77777777" w:rsidR="00792A0A" w:rsidRDefault="00792A0A" w:rsidP="00822742">
      <w:pPr>
        <w:suppressAutoHyphens/>
        <w:jc w:val="center"/>
        <w:outlineLvl w:val="0"/>
        <w:rPr>
          <w:rFonts w:ascii="Arial" w:hAnsi="Arial" w:cs="Arial"/>
          <w:b/>
          <w:sz w:val="24"/>
          <w:szCs w:val="24"/>
          <w:u w:val="single"/>
          <w:lang w:val="es-AR"/>
        </w:rPr>
      </w:pPr>
    </w:p>
    <w:p w14:paraId="5D27E48A" w14:textId="77777777" w:rsidR="00792A0A" w:rsidRDefault="00792A0A" w:rsidP="00822742">
      <w:pPr>
        <w:suppressAutoHyphens/>
        <w:jc w:val="center"/>
        <w:outlineLvl w:val="0"/>
        <w:rPr>
          <w:rFonts w:ascii="Arial" w:hAnsi="Arial" w:cs="Arial"/>
          <w:b/>
          <w:sz w:val="24"/>
          <w:szCs w:val="24"/>
          <w:u w:val="single"/>
          <w:lang w:val="es-AR"/>
        </w:rPr>
      </w:pPr>
    </w:p>
    <w:p w14:paraId="5E7768C9" w14:textId="77777777" w:rsidR="00792A0A" w:rsidRDefault="00792A0A" w:rsidP="00822742">
      <w:pPr>
        <w:suppressAutoHyphens/>
        <w:jc w:val="center"/>
        <w:outlineLvl w:val="0"/>
        <w:rPr>
          <w:rFonts w:ascii="Arial" w:hAnsi="Arial" w:cs="Arial"/>
          <w:b/>
          <w:sz w:val="24"/>
          <w:szCs w:val="24"/>
          <w:u w:val="single"/>
          <w:lang w:val="es-AR"/>
        </w:rPr>
      </w:pPr>
    </w:p>
    <w:p w14:paraId="25FBD205" w14:textId="77777777" w:rsidR="00792A0A" w:rsidRDefault="00792A0A" w:rsidP="00822742">
      <w:pPr>
        <w:suppressAutoHyphens/>
        <w:jc w:val="center"/>
        <w:outlineLvl w:val="0"/>
        <w:rPr>
          <w:rFonts w:ascii="Arial" w:hAnsi="Arial" w:cs="Arial"/>
          <w:b/>
          <w:sz w:val="24"/>
          <w:szCs w:val="24"/>
          <w:u w:val="single"/>
          <w:lang w:val="es-AR"/>
        </w:rPr>
      </w:pPr>
    </w:p>
    <w:p w14:paraId="48B4CBFA" w14:textId="77777777" w:rsidR="00802C2A" w:rsidRDefault="00802C2A" w:rsidP="00822742">
      <w:pPr>
        <w:suppressAutoHyphens/>
        <w:jc w:val="center"/>
        <w:outlineLvl w:val="0"/>
        <w:rPr>
          <w:rFonts w:ascii="Arial" w:hAnsi="Arial" w:cs="Arial"/>
          <w:b/>
          <w:sz w:val="24"/>
          <w:szCs w:val="24"/>
          <w:u w:val="single"/>
          <w:lang w:val="es-AR"/>
        </w:rPr>
      </w:pPr>
    </w:p>
    <w:p w14:paraId="5B021E92" w14:textId="77777777" w:rsidR="00802C2A" w:rsidRDefault="00802C2A" w:rsidP="00822742">
      <w:pPr>
        <w:suppressAutoHyphens/>
        <w:jc w:val="center"/>
        <w:outlineLvl w:val="0"/>
        <w:rPr>
          <w:rFonts w:ascii="Arial" w:hAnsi="Arial" w:cs="Arial"/>
          <w:b/>
          <w:sz w:val="24"/>
          <w:szCs w:val="24"/>
          <w:u w:val="single"/>
          <w:lang w:val="es-AR"/>
        </w:rPr>
      </w:pPr>
    </w:p>
    <w:p w14:paraId="7B5B9E54" w14:textId="77777777" w:rsidR="00802C2A" w:rsidRDefault="00802C2A" w:rsidP="00822742">
      <w:pPr>
        <w:suppressAutoHyphens/>
        <w:jc w:val="center"/>
        <w:outlineLvl w:val="0"/>
        <w:rPr>
          <w:rFonts w:ascii="Arial" w:hAnsi="Arial" w:cs="Arial"/>
          <w:b/>
          <w:sz w:val="24"/>
          <w:szCs w:val="24"/>
          <w:u w:val="single"/>
          <w:lang w:val="es-AR"/>
        </w:rPr>
      </w:pPr>
    </w:p>
    <w:p w14:paraId="04D5EDD0" w14:textId="77777777" w:rsidR="00802C2A" w:rsidRDefault="00802C2A" w:rsidP="00822742">
      <w:pPr>
        <w:suppressAutoHyphens/>
        <w:jc w:val="center"/>
        <w:outlineLvl w:val="0"/>
        <w:rPr>
          <w:rFonts w:ascii="Arial" w:hAnsi="Arial" w:cs="Arial"/>
          <w:b/>
          <w:sz w:val="24"/>
          <w:szCs w:val="24"/>
          <w:u w:val="single"/>
          <w:lang w:val="es-AR"/>
        </w:rPr>
      </w:pPr>
    </w:p>
    <w:p w14:paraId="1E10EA41" w14:textId="77777777" w:rsidR="00802C2A" w:rsidRDefault="00802C2A" w:rsidP="00822742">
      <w:pPr>
        <w:suppressAutoHyphens/>
        <w:jc w:val="center"/>
        <w:outlineLvl w:val="0"/>
        <w:rPr>
          <w:rFonts w:ascii="Arial" w:hAnsi="Arial" w:cs="Arial"/>
          <w:b/>
          <w:sz w:val="24"/>
          <w:szCs w:val="24"/>
          <w:u w:val="single"/>
          <w:lang w:val="es-AR"/>
        </w:rPr>
      </w:pPr>
    </w:p>
    <w:p w14:paraId="09F7811B" w14:textId="77777777" w:rsidR="00234988" w:rsidRDefault="00234988" w:rsidP="00822742">
      <w:pPr>
        <w:suppressAutoHyphens/>
        <w:jc w:val="center"/>
        <w:outlineLvl w:val="0"/>
        <w:rPr>
          <w:rFonts w:ascii="Arial" w:hAnsi="Arial" w:cs="Arial"/>
          <w:b/>
          <w:sz w:val="24"/>
          <w:szCs w:val="24"/>
          <w:u w:val="single"/>
          <w:lang w:val="es-AR"/>
        </w:rPr>
      </w:pPr>
    </w:p>
    <w:p w14:paraId="772092D7" w14:textId="77777777" w:rsidR="00234988" w:rsidRDefault="00234988" w:rsidP="00822742">
      <w:pPr>
        <w:suppressAutoHyphens/>
        <w:jc w:val="center"/>
        <w:outlineLvl w:val="0"/>
        <w:rPr>
          <w:rFonts w:ascii="Arial" w:hAnsi="Arial" w:cs="Arial"/>
          <w:b/>
          <w:sz w:val="24"/>
          <w:szCs w:val="24"/>
          <w:u w:val="single"/>
          <w:lang w:val="es-AR"/>
        </w:rPr>
      </w:pPr>
    </w:p>
    <w:p w14:paraId="37AE3E7D" w14:textId="77777777" w:rsidR="00234988" w:rsidRDefault="00234988" w:rsidP="00822742">
      <w:pPr>
        <w:suppressAutoHyphens/>
        <w:jc w:val="center"/>
        <w:outlineLvl w:val="0"/>
        <w:rPr>
          <w:rFonts w:ascii="Arial" w:hAnsi="Arial" w:cs="Arial"/>
          <w:b/>
          <w:sz w:val="24"/>
          <w:szCs w:val="24"/>
          <w:u w:val="single"/>
          <w:lang w:val="es-AR"/>
        </w:rPr>
      </w:pPr>
    </w:p>
    <w:p w14:paraId="32A008F8" w14:textId="77777777" w:rsidR="00234988" w:rsidRDefault="00234988" w:rsidP="00822742">
      <w:pPr>
        <w:suppressAutoHyphens/>
        <w:jc w:val="center"/>
        <w:outlineLvl w:val="0"/>
        <w:rPr>
          <w:rFonts w:ascii="Arial" w:hAnsi="Arial" w:cs="Arial"/>
          <w:b/>
          <w:sz w:val="24"/>
          <w:szCs w:val="24"/>
          <w:u w:val="single"/>
          <w:lang w:val="es-AR"/>
        </w:rPr>
      </w:pPr>
    </w:p>
    <w:p w14:paraId="4084D77A" w14:textId="77777777" w:rsidR="00234988" w:rsidRDefault="00234988" w:rsidP="00822742">
      <w:pPr>
        <w:suppressAutoHyphens/>
        <w:jc w:val="center"/>
        <w:outlineLvl w:val="0"/>
        <w:rPr>
          <w:rFonts w:ascii="Arial" w:hAnsi="Arial" w:cs="Arial"/>
          <w:b/>
          <w:sz w:val="24"/>
          <w:szCs w:val="24"/>
          <w:u w:val="single"/>
          <w:lang w:val="es-AR"/>
        </w:rPr>
      </w:pPr>
    </w:p>
    <w:p w14:paraId="434B44CD" w14:textId="77777777" w:rsidR="00234988" w:rsidRDefault="00234988" w:rsidP="00822742">
      <w:pPr>
        <w:suppressAutoHyphens/>
        <w:jc w:val="center"/>
        <w:outlineLvl w:val="0"/>
        <w:rPr>
          <w:rFonts w:ascii="Arial" w:hAnsi="Arial" w:cs="Arial"/>
          <w:b/>
          <w:sz w:val="24"/>
          <w:szCs w:val="24"/>
          <w:u w:val="single"/>
          <w:lang w:val="es-AR"/>
        </w:rPr>
      </w:pPr>
    </w:p>
    <w:p w14:paraId="399B5260" w14:textId="77777777" w:rsidR="00234988" w:rsidRDefault="00234988" w:rsidP="00822742">
      <w:pPr>
        <w:suppressAutoHyphens/>
        <w:jc w:val="center"/>
        <w:outlineLvl w:val="0"/>
        <w:rPr>
          <w:rFonts w:ascii="Arial" w:hAnsi="Arial" w:cs="Arial"/>
          <w:b/>
          <w:sz w:val="24"/>
          <w:szCs w:val="24"/>
          <w:u w:val="single"/>
          <w:lang w:val="es-AR"/>
        </w:rPr>
      </w:pPr>
    </w:p>
    <w:p w14:paraId="16B407EA" w14:textId="77777777" w:rsidR="00234988" w:rsidRDefault="00234988" w:rsidP="00822742">
      <w:pPr>
        <w:suppressAutoHyphens/>
        <w:jc w:val="center"/>
        <w:outlineLvl w:val="0"/>
        <w:rPr>
          <w:rFonts w:ascii="Arial" w:hAnsi="Arial" w:cs="Arial"/>
          <w:b/>
          <w:sz w:val="24"/>
          <w:szCs w:val="24"/>
          <w:u w:val="single"/>
          <w:lang w:val="es-AR"/>
        </w:rPr>
      </w:pPr>
    </w:p>
    <w:p w14:paraId="13A06A16" w14:textId="77777777" w:rsidR="00234988" w:rsidRDefault="00234988" w:rsidP="00822742">
      <w:pPr>
        <w:suppressAutoHyphens/>
        <w:jc w:val="center"/>
        <w:outlineLvl w:val="0"/>
        <w:rPr>
          <w:rFonts w:ascii="Arial" w:hAnsi="Arial" w:cs="Arial"/>
          <w:b/>
          <w:sz w:val="24"/>
          <w:szCs w:val="24"/>
          <w:u w:val="single"/>
          <w:lang w:val="es-AR"/>
        </w:rPr>
      </w:pPr>
    </w:p>
    <w:p w14:paraId="0C128BD0" w14:textId="77777777" w:rsidR="00234988" w:rsidRDefault="00234988" w:rsidP="00822742">
      <w:pPr>
        <w:suppressAutoHyphens/>
        <w:jc w:val="center"/>
        <w:outlineLvl w:val="0"/>
        <w:rPr>
          <w:rFonts w:ascii="Arial" w:hAnsi="Arial" w:cs="Arial"/>
          <w:b/>
          <w:sz w:val="24"/>
          <w:szCs w:val="24"/>
          <w:u w:val="single"/>
          <w:lang w:val="es-AR"/>
        </w:rPr>
      </w:pPr>
    </w:p>
    <w:p w14:paraId="3E8A586B" w14:textId="77777777" w:rsidR="00234988" w:rsidRDefault="00234988" w:rsidP="00822742">
      <w:pPr>
        <w:suppressAutoHyphens/>
        <w:jc w:val="center"/>
        <w:outlineLvl w:val="0"/>
        <w:rPr>
          <w:rFonts w:ascii="Arial" w:hAnsi="Arial" w:cs="Arial"/>
          <w:b/>
          <w:sz w:val="24"/>
          <w:szCs w:val="24"/>
          <w:u w:val="single"/>
          <w:lang w:val="es-AR"/>
        </w:rPr>
      </w:pPr>
    </w:p>
    <w:p w14:paraId="5C6EE101" w14:textId="77777777" w:rsidR="00802C2A" w:rsidRDefault="00802C2A" w:rsidP="00822742">
      <w:pPr>
        <w:suppressAutoHyphens/>
        <w:jc w:val="center"/>
        <w:outlineLvl w:val="0"/>
        <w:rPr>
          <w:rFonts w:ascii="Arial" w:hAnsi="Arial" w:cs="Arial"/>
          <w:b/>
          <w:sz w:val="24"/>
          <w:szCs w:val="24"/>
          <w:u w:val="single"/>
          <w:lang w:val="es-AR"/>
        </w:rPr>
      </w:pPr>
    </w:p>
    <w:p w14:paraId="24BABEED" w14:textId="77777777" w:rsidR="00802C2A" w:rsidRDefault="00802C2A" w:rsidP="00822742">
      <w:pPr>
        <w:suppressAutoHyphens/>
        <w:jc w:val="center"/>
        <w:outlineLvl w:val="0"/>
        <w:rPr>
          <w:rFonts w:ascii="Arial" w:hAnsi="Arial" w:cs="Arial"/>
          <w:b/>
          <w:sz w:val="24"/>
          <w:szCs w:val="24"/>
          <w:u w:val="single"/>
          <w:lang w:val="es-AR"/>
        </w:rPr>
      </w:pPr>
    </w:p>
    <w:p w14:paraId="2B3B6297" w14:textId="77777777" w:rsidR="00802C2A" w:rsidRDefault="00802C2A" w:rsidP="00822742">
      <w:pPr>
        <w:suppressAutoHyphens/>
        <w:jc w:val="center"/>
        <w:outlineLvl w:val="0"/>
        <w:rPr>
          <w:rFonts w:ascii="Arial" w:hAnsi="Arial" w:cs="Arial"/>
          <w:b/>
          <w:sz w:val="24"/>
          <w:szCs w:val="24"/>
          <w:u w:val="single"/>
          <w:lang w:val="es-AR"/>
        </w:rPr>
      </w:pPr>
    </w:p>
    <w:p w14:paraId="20420231" w14:textId="77777777" w:rsidR="00802C2A" w:rsidRDefault="00802C2A" w:rsidP="00822742">
      <w:pPr>
        <w:suppressAutoHyphens/>
        <w:jc w:val="center"/>
        <w:outlineLvl w:val="0"/>
        <w:rPr>
          <w:rFonts w:ascii="Arial" w:hAnsi="Arial" w:cs="Arial"/>
          <w:b/>
          <w:sz w:val="24"/>
          <w:szCs w:val="24"/>
          <w:u w:val="single"/>
          <w:lang w:val="es-AR"/>
        </w:rPr>
      </w:pPr>
    </w:p>
    <w:p w14:paraId="1F5AC248" w14:textId="77777777" w:rsidR="00234988" w:rsidRDefault="00234988" w:rsidP="00822742">
      <w:pPr>
        <w:suppressAutoHyphens/>
        <w:jc w:val="center"/>
        <w:outlineLvl w:val="0"/>
        <w:rPr>
          <w:rFonts w:ascii="Arial" w:hAnsi="Arial" w:cs="Arial"/>
          <w:b/>
          <w:sz w:val="24"/>
          <w:szCs w:val="24"/>
          <w:u w:val="single"/>
          <w:lang w:val="es-AR"/>
        </w:rPr>
      </w:pPr>
    </w:p>
    <w:p w14:paraId="77DC0BA2" w14:textId="77777777" w:rsidR="0028238B" w:rsidRDefault="009614DD" w:rsidP="00822742">
      <w:pPr>
        <w:suppressAutoHyphens/>
        <w:jc w:val="center"/>
        <w:outlineLvl w:val="0"/>
        <w:rPr>
          <w:rFonts w:ascii="Arial" w:hAnsi="Arial" w:cs="Arial"/>
          <w:b/>
          <w:u w:val="single"/>
        </w:rPr>
      </w:pPr>
      <w:r w:rsidRPr="00C21BB4">
        <w:rPr>
          <w:rFonts w:ascii="Arial" w:hAnsi="Arial" w:cs="Arial"/>
          <w:b/>
          <w:sz w:val="24"/>
          <w:szCs w:val="24"/>
          <w:u w:val="single"/>
          <w:lang w:val="es-AR"/>
        </w:rPr>
        <w:t xml:space="preserve">TABLA </w:t>
      </w:r>
      <w:proofErr w:type="spellStart"/>
      <w:r w:rsidRPr="00C21BB4">
        <w:rPr>
          <w:rFonts w:ascii="Arial" w:hAnsi="Arial" w:cs="Arial"/>
          <w:b/>
          <w:sz w:val="24"/>
          <w:szCs w:val="24"/>
          <w:u w:val="single"/>
          <w:lang w:val="es-AR"/>
        </w:rPr>
        <w:t>N°</w:t>
      </w:r>
      <w:proofErr w:type="spellEnd"/>
      <w:r w:rsidR="008345DC">
        <w:rPr>
          <w:rFonts w:ascii="Arial" w:hAnsi="Arial" w:cs="Arial"/>
          <w:b/>
          <w:sz w:val="24"/>
          <w:szCs w:val="24"/>
          <w:u w:val="single"/>
          <w:lang w:val="es-AR"/>
        </w:rPr>
        <w:t xml:space="preserve"> </w:t>
      </w:r>
      <w:r w:rsidR="00156147">
        <w:rPr>
          <w:rFonts w:ascii="Arial" w:hAnsi="Arial" w:cs="Arial"/>
          <w:b/>
          <w:sz w:val="24"/>
          <w:szCs w:val="24"/>
          <w:u w:val="single"/>
          <w:lang w:val="es-AR"/>
        </w:rPr>
        <w:t>3</w:t>
      </w:r>
      <w:r w:rsidRPr="00C21BB4">
        <w:rPr>
          <w:rFonts w:ascii="Arial" w:hAnsi="Arial" w:cs="Arial"/>
          <w:b/>
          <w:sz w:val="24"/>
          <w:szCs w:val="24"/>
          <w:u w:val="single"/>
          <w:lang w:val="es-AR"/>
        </w:rPr>
        <w:t xml:space="preserve"> </w:t>
      </w:r>
    </w:p>
    <w:p w14:paraId="4FB750FE" w14:textId="77777777" w:rsidR="008345DC" w:rsidRDefault="008345DC" w:rsidP="00822742">
      <w:pPr>
        <w:suppressAutoHyphens/>
        <w:jc w:val="center"/>
        <w:outlineLvl w:val="0"/>
        <w:rPr>
          <w:rFonts w:ascii="Arial" w:hAnsi="Arial" w:cs="Arial"/>
          <w:b/>
          <w:noProof/>
          <w:u w:val="single"/>
          <w:lang w:val="es-AR"/>
        </w:rPr>
      </w:pPr>
    </w:p>
    <w:p w14:paraId="46AB05F3" w14:textId="77777777" w:rsidR="006942A9" w:rsidRDefault="006942A9" w:rsidP="00A46296">
      <w:pPr>
        <w:jc w:val="center"/>
        <w:outlineLvl w:val="0"/>
        <w:rPr>
          <w:rFonts w:ascii="Arial" w:hAnsi="Arial" w:cs="Arial"/>
          <w:b/>
          <w:u w:val="single"/>
        </w:rPr>
      </w:pPr>
    </w:p>
    <w:p w14:paraId="2A1027C6" w14:textId="77777777" w:rsidR="006942A9" w:rsidRPr="008E592C" w:rsidRDefault="006942A9" w:rsidP="00A46296">
      <w:pPr>
        <w:jc w:val="center"/>
        <w:outlineLvl w:val="0"/>
        <w:rPr>
          <w:rFonts w:ascii="Arial" w:hAnsi="Arial" w:cs="Arial"/>
          <w:b/>
          <w:u w:val="single"/>
        </w:rPr>
      </w:pPr>
      <w:r w:rsidRPr="006942A9">
        <w:rPr>
          <w:noProof/>
        </w:rPr>
        <w:drawing>
          <wp:inline distT="0" distB="0" distL="0" distR="0" wp14:anchorId="194CC4E3" wp14:editId="3129EC8B">
            <wp:extent cx="5944870" cy="843915"/>
            <wp:effectExtent l="0" t="2223"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5944870" cy="843915"/>
                    </a:xfrm>
                    <a:prstGeom prst="rect">
                      <a:avLst/>
                    </a:prstGeom>
                    <a:noFill/>
                    <a:ln>
                      <a:noFill/>
                    </a:ln>
                  </pic:spPr>
                </pic:pic>
              </a:graphicData>
            </a:graphic>
          </wp:inline>
        </w:drawing>
      </w:r>
    </w:p>
    <w:p w14:paraId="48D2B15E" w14:textId="77777777" w:rsidR="00A46296" w:rsidRPr="008E592C" w:rsidRDefault="00A46296" w:rsidP="00A46296">
      <w:pPr>
        <w:jc w:val="center"/>
        <w:rPr>
          <w:rFonts w:ascii="Arial" w:hAnsi="Arial" w:cs="Arial"/>
          <w:b/>
          <w:u w:val="single"/>
        </w:rPr>
      </w:pPr>
    </w:p>
    <w:p w14:paraId="55EB4634" w14:textId="77777777" w:rsidR="006942A9" w:rsidRDefault="006942A9" w:rsidP="00A46296">
      <w:pPr>
        <w:jc w:val="center"/>
        <w:outlineLvl w:val="0"/>
        <w:rPr>
          <w:rFonts w:ascii="Arial" w:hAnsi="Arial" w:cs="Arial"/>
        </w:rPr>
      </w:pPr>
    </w:p>
    <w:p w14:paraId="3DF117AD" w14:textId="77777777" w:rsidR="006942A9" w:rsidRDefault="006942A9" w:rsidP="00A46296">
      <w:pPr>
        <w:jc w:val="center"/>
        <w:outlineLvl w:val="0"/>
        <w:rPr>
          <w:rFonts w:ascii="Arial" w:hAnsi="Arial" w:cs="Arial"/>
        </w:rPr>
      </w:pPr>
    </w:p>
    <w:p w14:paraId="65261911" w14:textId="77777777" w:rsidR="006942A9" w:rsidRDefault="006942A9" w:rsidP="006942A9">
      <w:pPr>
        <w:suppressAutoHyphens/>
        <w:jc w:val="center"/>
        <w:outlineLvl w:val="0"/>
        <w:rPr>
          <w:rFonts w:ascii="Arial" w:hAnsi="Arial" w:cs="Arial"/>
          <w:b/>
          <w:noProof/>
          <w:u w:val="single"/>
          <w:lang w:val="es-AR"/>
        </w:rPr>
      </w:pPr>
    </w:p>
    <w:p w14:paraId="019C9D7C" w14:textId="77777777" w:rsidR="006942A9" w:rsidRDefault="006942A9" w:rsidP="006942A9">
      <w:pPr>
        <w:suppressAutoHyphens/>
        <w:jc w:val="center"/>
        <w:outlineLvl w:val="0"/>
        <w:rPr>
          <w:rFonts w:ascii="Arial" w:hAnsi="Arial" w:cs="Arial"/>
          <w:b/>
          <w:noProof/>
          <w:u w:val="single"/>
          <w:lang w:val="es-AR"/>
        </w:rPr>
      </w:pPr>
    </w:p>
    <w:p w14:paraId="70525EA2" w14:textId="77777777" w:rsidR="00234988" w:rsidRDefault="00234988" w:rsidP="006942A9">
      <w:pPr>
        <w:suppressAutoHyphens/>
        <w:jc w:val="center"/>
        <w:outlineLvl w:val="0"/>
        <w:rPr>
          <w:rFonts w:ascii="Arial" w:hAnsi="Arial" w:cs="Arial"/>
          <w:b/>
          <w:noProof/>
          <w:u w:val="single"/>
          <w:lang w:val="es-AR"/>
        </w:rPr>
      </w:pPr>
    </w:p>
    <w:p w14:paraId="23055CB9" w14:textId="77777777" w:rsidR="00234988" w:rsidRDefault="00234988" w:rsidP="006942A9">
      <w:pPr>
        <w:suppressAutoHyphens/>
        <w:jc w:val="center"/>
        <w:outlineLvl w:val="0"/>
        <w:rPr>
          <w:rFonts w:ascii="Arial" w:hAnsi="Arial" w:cs="Arial"/>
          <w:b/>
          <w:noProof/>
          <w:u w:val="single"/>
          <w:lang w:val="es-AR"/>
        </w:rPr>
      </w:pPr>
    </w:p>
    <w:p w14:paraId="1FC2EB91" w14:textId="77777777" w:rsidR="00234988" w:rsidRDefault="00234988" w:rsidP="006942A9">
      <w:pPr>
        <w:suppressAutoHyphens/>
        <w:jc w:val="center"/>
        <w:outlineLvl w:val="0"/>
        <w:rPr>
          <w:rFonts w:ascii="Arial" w:hAnsi="Arial" w:cs="Arial"/>
          <w:b/>
          <w:noProof/>
          <w:u w:val="single"/>
          <w:lang w:val="es-AR"/>
        </w:rPr>
      </w:pPr>
    </w:p>
    <w:p w14:paraId="13D3E2A9" w14:textId="77777777" w:rsidR="006942A9" w:rsidRDefault="006942A9" w:rsidP="006942A9">
      <w:pPr>
        <w:suppressAutoHyphens/>
        <w:jc w:val="center"/>
        <w:outlineLvl w:val="0"/>
        <w:rPr>
          <w:rFonts w:ascii="Arial" w:hAnsi="Arial" w:cs="Arial"/>
          <w:b/>
          <w:noProof/>
          <w:u w:val="single"/>
          <w:lang w:val="es-AR"/>
        </w:rPr>
      </w:pPr>
    </w:p>
    <w:p w14:paraId="42AB1DB9" w14:textId="77777777" w:rsidR="006942A9" w:rsidRDefault="006942A9" w:rsidP="006942A9">
      <w:pPr>
        <w:suppressAutoHyphens/>
        <w:jc w:val="center"/>
        <w:outlineLvl w:val="0"/>
        <w:rPr>
          <w:rFonts w:ascii="Arial" w:hAnsi="Arial" w:cs="Arial"/>
          <w:b/>
          <w:noProof/>
          <w:u w:val="single"/>
          <w:lang w:val="es-AR"/>
        </w:rPr>
      </w:pPr>
    </w:p>
    <w:p w14:paraId="4F499F8E" w14:textId="77777777" w:rsidR="006942A9" w:rsidRDefault="006942A9" w:rsidP="006942A9">
      <w:pPr>
        <w:suppressAutoHyphens/>
        <w:jc w:val="center"/>
        <w:outlineLvl w:val="0"/>
        <w:rPr>
          <w:rFonts w:ascii="Arial" w:hAnsi="Arial" w:cs="Arial"/>
          <w:b/>
          <w:noProof/>
          <w:u w:val="single"/>
          <w:lang w:val="es-AR"/>
        </w:rPr>
      </w:pPr>
    </w:p>
    <w:p w14:paraId="567AEF70" w14:textId="77777777" w:rsidR="006942A9" w:rsidRDefault="006942A9" w:rsidP="006942A9">
      <w:pPr>
        <w:jc w:val="center"/>
        <w:outlineLvl w:val="0"/>
        <w:rPr>
          <w:rFonts w:ascii="Arial" w:hAnsi="Arial" w:cs="Arial"/>
          <w:b/>
          <w:u w:val="single"/>
        </w:rPr>
      </w:pPr>
      <w:r>
        <w:rPr>
          <w:rFonts w:ascii="Arial" w:hAnsi="Arial" w:cs="Arial"/>
          <w:b/>
          <w:u w:val="single"/>
        </w:rPr>
        <w:t>B</w:t>
      </w:r>
      <w:r w:rsidRPr="008E592C">
        <w:rPr>
          <w:rFonts w:ascii="Arial" w:hAnsi="Arial" w:cs="Arial"/>
          <w:b/>
          <w:u w:val="single"/>
        </w:rPr>
        <w:t>ANCO COMAFI S.A.</w:t>
      </w:r>
    </w:p>
    <w:p w14:paraId="45408842" w14:textId="77777777" w:rsidR="006942A9" w:rsidRDefault="006942A9" w:rsidP="00A46296">
      <w:pPr>
        <w:jc w:val="center"/>
        <w:outlineLvl w:val="0"/>
        <w:rPr>
          <w:rFonts w:ascii="Arial" w:hAnsi="Arial" w:cs="Arial"/>
        </w:rPr>
      </w:pPr>
    </w:p>
    <w:p w14:paraId="57B82D62" w14:textId="77777777" w:rsidR="006942A9" w:rsidRDefault="006942A9" w:rsidP="00A46296">
      <w:pPr>
        <w:jc w:val="center"/>
        <w:outlineLvl w:val="0"/>
        <w:rPr>
          <w:rFonts w:ascii="Arial" w:hAnsi="Arial" w:cs="Arial"/>
        </w:rPr>
      </w:pPr>
    </w:p>
    <w:p w14:paraId="4FB1E789" w14:textId="77777777" w:rsidR="00A46296" w:rsidRPr="008E592C" w:rsidRDefault="00A46296" w:rsidP="00F97F91">
      <w:pPr>
        <w:jc w:val="center"/>
        <w:outlineLvl w:val="0"/>
        <w:rPr>
          <w:rFonts w:ascii="Arial" w:hAnsi="Arial" w:cs="Arial"/>
        </w:rPr>
      </w:pPr>
      <w:r w:rsidRPr="008E592C">
        <w:rPr>
          <w:rFonts w:ascii="Arial" w:hAnsi="Arial" w:cs="Arial"/>
        </w:rPr>
        <w:t>Av. Presidente Roque Saénz Peña 660, CAPITAL FEDERAL</w:t>
      </w:r>
    </w:p>
    <w:p w14:paraId="770C51ED" w14:textId="77777777" w:rsidR="00A46296" w:rsidRPr="008E592C" w:rsidRDefault="00A46296" w:rsidP="00A46296">
      <w:pPr>
        <w:jc w:val="center"/>
        <w:rPr>
          <w:rFonts w:ascii="Arial" w:hAnsi="Arial" w:cs="Arial"/>
          <w:b/>
          <w:u w:val="single"/>
        </w:rPr>
      </w:pPr>
    </w:p>
    <w:p w14:paraId="2EAFE52A" w14:textId="77777777" w:rsidR="00A46296" w:rsidRPr="008E592C" w:rsidRDefault="00A46296" w:rsidP="00E53DCA">
      <w:pPr>
        <w:jc w:val="center"/>
        <w:outlineLvl w:val="0"/>
        <w:rPr>
          <w:rFonts w:ascii="Arial" w:hAnsi="Arial" w:cs="Arial"/>
          <w:b/>
          <w:u w:val="single"/>
        </w:rPr>
      </w:pPr>
      <w:r w:rsidRPr="008E592C">
        <w:rPr>
          <w:rFonts w:ascii="Arial" w:hAnsi="Arial" w:cs="Arial"/>
          <w:b/>
          <w:u w:val="single"/>
        </w:rPr>
        <w:t xml:space="preserve">TÉRMINOS Y CONDICIONES DEL PROGRAMA DE EMISIÓN DE CERTIFICADOS DE DEPÓSITO ARGENTINOS ESCRITURALES REPRESENTATIVOS DE  AMERICAN DEPOSITARY </w:t>
      </w:r>
      <w:r w:rsidR="004A61CF">
        <w:rPr>
          <w:rFonts w:ascii="Arial" w:hAnsi="Arial" w:cs="Arial"/>
          <w:b/>
          <w:u w:val="single"/>
        </w:rPr>
        <w:t>SHARES</w:t>
      </w:r>
      <w:r w:rsidRPr="008E592C">
        <w:rPr>
          <w:rFonts w:ascii="Arial" w:hAnsi="Arial" w:cs="Arial"/>
          <w:b/>
          <w:u w:val="single"/>
        </w:rPr>
        <w:t xml:space="preserve"> (“</w:t>
      </w:r>
      <w:r w:rsidR="00477BC5">
        <w:rPr>
          <w:rFonts w:ascii="Arial" w:hAnsi="Arial" w:cs="Arial"/>
          <w:b/>
          <w:u w:val="single"/>
        </w:rPr>
        <w:t>ADS</w:t>
      </w:r>
      <w:r w:rsidRPr="008E592C">
        <w:rPr>
          <w:rFonts w:ascii="Arial" w:hAnsi="Arial" w:cs="Arial"/>
          <w:b/>
          <w:u w:val="single"/>
        </w:rPr>
        <w:t>”) DE VALOR NOMINAL DE LAS ACCIONES</w:t>
      </w:r>
      <w:r w:rsidR="00BE583E">
        <w:rPr>
          <w:rFonts w:ascii="Arial" w:hAnsi="Arial" w:cs="Arial"/>
          <w:b/>
          <w:u w:val="single"/>
        </w:rPr>
        <w:t xml:space="preserve"> SUBYACENTES</w:t>
      </w:r>
      <w:r w:rsidR="005F4067">
        <w:rPr>
          <w:rFonts w:ascii="Arial" w:hAnsi="Arial" w:cs="Arial"/>
          <w:b/>
          <w:u w:val="single"/>
        </w:rPr>
        <w:t xml:space="preserve"> </w:t>
      </w:r>
      <w:r w:rsidR="005F4067" w:rsidRPr="00602742">
        <w:rPr>
          <w:rFonts w:ascii="Arial" w:hAnsi="Arial" w:cs="Arial"/>
          <w:b/>
          <w:u w:val="single"/>
        </w:rPr>
        <w:t xml:space="preserve">DE LOS </w:t>
      </w:r>
      <w:proofErr w:type="spellStart"/>
      <w:r w:rsidR="00477BC5">
        <w:rPr>
          <w:rFonts w:ascii="Arial" w:hAnsi="Arial" w:cs="Arial"/>
          <w:b/>
          <w:u w:val="single"/>
        </w:rPr>
        <w:t>ADS</w:t>
      </w:r>
      <w:r w:rsidR="005F4067" w:rsidRPr="00602742">
        <w:rPr>
          <w:rFonts w:ascii="Arial" w:hAnsi="Arial" w:cs="Arial"/>
          <w:b/>
          <w:u w:val="single"/>
        </w:rPr>
        <w:t>s</w:t>
      </w:r>
      <w:proofErr w:type="spellEnd"/>
      <w:r w:rsidR="00987C83">
        <w:rPr>
          <w:rFonts w:ascii="Arial" w:hAnsi="Arial" w:cs="Arial"/>
          <w:b/>
          <w:u w:val="single"/>
        </w:rPr>
        <w:t xml:space="preserve"> </w:t>
      </w:r>
      <w:r w:rsidRPr="008E592C">
        <w:rPr>
          <w:rFonts w:ascii="Arial" w:hAnsi="Arial" w:cs="Arial"/>
          <w:b/>
          <w:u w:val="single"/>
        </w:rPr>
        <w:t>REPRESENTAD</w:t>
      </w:r>
      <w:r w:rsidR="005F4067">
        <w:rPr>
          <w:rFonts w:ascii="Arial" w:hAnsi="Arial" w:cs="Arial"/>
          <w:b/>
          <w:u w:val="single"/>
        </w:rPr>
        <w:t>AS</w:t>
      </w:r>
      <w:r w:rsidRPr="008E592C">
        <w:rPr>
          <w:rStyle w:val="Refdenotaalpie"/>
          <w:rFonts w:ascii="Arial" w:hAnsi="Arial" w:cs="Arial"/>
          <w:b/>
          <w:u w:val="single"/>
        </w:rPr>
        <w:footnoteReference w:id="5"/>
      </w:r>
      <w:r w:rsidRPr="008E592C">
        <w:rPr>
          <w:rFonts w:ascii="Arial" w:hAnsi="Arial" w:cs="Arial"/>
          <w:b/>
          <w:u w:val="single"/>
        </w:rPr>
        <w:t xml:space="preserve"> --- </w:t>
      </w:r>
      <w:r w:rsidR="001447B4">
        <w:rPr>
          <w:rFonts w:ascii="Arial" w:hAnsi="Arial" w:cs="Arial"/>
          <w:b/>
          <w:u w:val="single"/>
        </w:rPr>
        <w:t>EMITIDAS</w:t>
      </w:r>
      <w:r w:rsidRPr="008E592C">
        <w:rPr>
          <w:rFonts w:ascii="Arial" w:hAnsi="Arial" w:cs="Arial"/>
          <w:b/>
          <w:u w:val="single"/>
        </w:rPr>
        <w:t xml:space="preserve"> EN FORMA ESCRITURAL Y QUE RIGEN EL DEPÓSITO ENTRE BANCO COMAFI S.A. ("EL BANCO") Y LOS TITULARES DE CERTIFICADOS DE DEPÓSITO ARGENTINOS</w:t>
      </w:r>
      <w:r w:rsidR="001447B4">
        <w:rPr>
          <w:rFonts w:ascii="Arial" w:hAnsi="Arial" w:cs="Arial"/>
          <w:b/>
          <w:u w:val="single"/>
        </w:rPr>
        <w:t xml:space="preserve"> </w:t>
      </w:r>
      <w:r w:rsidRPr="008E592C">
        <w:rPr>
          <w:rFonts w:ascii="Arial" w:hAnsi="Arial" w:cs="Arial"/>
          <w:b/>
          <w:u w:val="single"/>
        </w:rPr>
        <w:t>("CEDEAR</w:t>
      </w:r>
      <w:r w:rsidR="001447B4">
        <w:rPr>
          <w:rFonts w:ascii="Arial" w:hAnsi="Arial" w:cs="Arial"/>
          <w:b/>
          <w:u w:val="single"/>
        </w:rPr>
        <w:t>S</w:t>
      </w:r>
      <w:r w:rsidRPr="008E592C">
        <w:rPr>
          <w:rFonts w:ascii="Arial" w:hAnsi="Arial" w:cs="Arial"/>
          <w:b/>
          <w:u w:val="single"/>
        </w:rPr>
        <w:t>") EMITIDOS CONFORME A LA SECCIÓN III, CAPITULO VIII, TITULO II, DE LAS NORMAS DE LA CNV (TO 2013) Y AUTORIZADOS A LA OFERTA PUBLICA  POR LA COMISION NACIONAL DE VALORES (“CNV”) Y  SU LISTADO  EN  LOS MERCADOS BURSÁTILES  ARGENTINOS AUTORIZADOS (BYMA</w:t>
      </w:r>
      <w:r w:rsidR="005E2B0E">
        <w:rPr>
          <w:rFonts w:ascii="Arial" w:hAnsi="Arial" w:cs="Arial"/>
          <w:b/>
          <w:u w:val="single"/>
        </w:rPr>
        <w:t xml:space="preserve"> y/o MAE y/o</w:t>
      </w:r>
      <w:r w:rsidRPr="008E592C">
        <w:rPr>
          <w:rFonts w:ascii="Arial" w:hAnsi="Arial" w:cs="Arial"/>
          <w:b/>
          <w:u w:val="single"/>
        </w:rPr>
        <w:t xml:space="preserve"> ETC) </w:t>
      </w:r>
    </w:p>
    <w:p w14:paraId="2CF73DAC" w14:textId="77777777" w:rsidR="00A46296" w:rsidRPr="008E592C" w:rsidRDefault="00A46296" w:rsidP="00A46296">
      <w:pPr>
        <w:jc w:val="center"/>
        <w:rPr>
          <w:rFonts w:ascii="Arial" w:hAnsi="Arial" w:cs="Arial"/>
        </w:rPr>
      </w:pPr>
    </w:p>
    <w:p w14:paraId="2405B8EB" w14:textId="77777777" w:rsidR="00AE52C0" w:rsidRDefault="00A46296" w:rsidP="00AE52C0">
      <w:pPr>
        <w:jc w:val="center"/>
        <w:rPr>
          <w:rFonts w:ascii="Arial" w:hAnsi="Arial" w:cs="Arial"/>
          <w:b/>
        </w:rPr>
      </w:pPr>
      <w:r w:rsidRPr="008E592C">
        <w:rPr>
          <w:rFonts w:ascii="Arial" w:hAnsi="Arial" w:cs="Arial"/>
          <w:b/>
        </w:rPr>
        <w:t xml:space="preserve">Este Programa de Emisión de Certificados de </w:t>
      </w:r>
      <w:r w:rsidRPr="00594301">
        <w:rPr>
          <w:rFonts w:ascii="Arial" w:hAnsi="Arial" w:cs="Arial"/>
          <w:b/>
        </w:rPr>
        <w:t xml:space="preserve">Depósito Argentinos  ha sido aprobado por Res. </w:t>
      </w:r>
      <w:r w:rsidR="00AE52C0" w:rsidRPr="00A06E2B">
        <w:rPr>
          <w:rFonts w:ascii="Arial" w:hAnsi="Arial" w:cs="Arial"/>
          <w:b/>
        </w:rPr>
        <w:t>RESFC-2019-</w:t>
      </w:r>
      <w:r w:rsidR="00491DC1">
        <w:rPr>
          <w:rFonts w:ascii="Arial" w:hAnsi="Arial" w:cs="Arial"/>
          <w:b/>
        </w:rPr>
        <w:t>20495-</w:t>
      </w:r>
      <w:r w:rsidR="00AE52C0" w:rsidRPr="00A06E2B">
        <w:rPr>
          <w:rFonts w:ascii="Arial" w:hAnsi="Arial" w:cs="Arial"/>
          <w:b/>
        </w:rPr>
        <w:t xml:space="preserve">APN-DIR#CNV de fecha </w:t>
      </w:r>
      <w:r w:rsidR="00491DC1">
        <w:rPr>
          <w:rFonts w:ascii="Arial" w:hAnsi="Arial" w:cs="Arial"/>
          <w:b/>
        </w:rPr>
        <w:t>16</w:t>
      </w:r>
      <w:r w:rsidR="00AE52C0" w:rsidRPr="00A06E2B">
        <w:rPr>
          <w:rFonts w:ascii="Arial" w:hAnsi="Arial" w:cs="Arial"/>
          <w:b/>
        </w:rPr>
        <w:t xml:space="preserve"> de</w:t>
      </w:r>
      <w:r w:rsidR="00491DC1">
        <w:rPr>
          <w:rFonts w:ascii="Arial" w:hAnsi="Arial" w:cs="Arial"/>
          <w:b/>
        </w:rPr>
        <w:t xml:space="preserve"> octubre </w:t>
      </w:r>
      <w:r w:rsidR="00AE52C0" w:rsidRPr="00A06E2B">
        <w:rPr>
          <w:rFonts w:ascii="Arial" w:hAnsi="Arial" w:cs="Arial"/>
          <w:b/>
        </w:rPr>
        <w:t>de 2019</w:t>
      </w:r>
      <w:r w:rsidR="00AE52C0">
        <w:rPr>
          <w:rFonts w:ascii="Arial" w:hAnsi="Arial" w:cs="Arial"/>
          <w:b/>
        </w:rPr>
        <w:t>.</w:t>
      </w:r>
    </w:p>
    <w:p w14:paraId="0A93C326" w14:textId="77777777" w:rsidR="00882A38" w:rsidRPr="008E592C" w:rsidRDefault="00882A38" w:rsidP="00A46296">
      <w:pPr>
        <w:jc w:val="center"/>
        <w:rPr>
          <w:rFonts w:ascii="Arial" w:hAnsi="Arial" w:cs="Arial"/>
          <w:b/>
        </w:rPr>
      </w:pPr>
    </w:p>
    <w:p w14:paraId="61B24FFC" w14:textId="77777777" w:rsidR="00A46296" w:rsidRPr="008E592C" w:rsidRDefault="00A46296" w:rsidP="00A46296">
      <w:pPr>
        <w:jc w:val="center"/>
        <w:outlineLvl w:val="0"/>
        <w:rPr>
          <w:rFonts w:ascii="Arial" w:hAnsi="Arial" w:cs="Arial"/>
        </w:rPr>
      </w:pPr>
      <w:r w:rsidRPr="008E592C">
        <w:rPr>
          <w:rFonts w:ascii="Arial" w:hAnsi="Arial" w:cs="Arial"/>
          <w:u w:val="single"/>
        </w:rPr>
        <w:t>Monto Máximo Admitido del Programa de Emisión de CEDEAR aprobado por la C.N.V</w:t>
      </w:r>
      <w:r w:rsidRPr="008E592C">
        <w:rPr>
          <w:rFonts w:ascii="Arial" w:hAnsi="Arial" w:cs="Arial"/>
        </w:rPr>
        <w:t>.</w:t>
      </w:r>
      <w:r w:rsidRPr="008E592C">
        <w:rPr>
          <w:rStyle w:val="Refdenotaalpie"/>
          <w:rFonts w:ascii="Arial" w:hAnsi="Arial" w:cs="Arial"/>
        </w:rPr>
        <w:footnoteReference w:id="6"/>
      </w:r>
      <w:r w:rsidRPr="008E592C">
        <w:rPr>
          <w:rFonts w:ascii="Arial" w:hAnsi="Arial" w:cs="Arial"/>
        </w:rPr>
        <w:t xml:space="preserve"> ---- de CEDEAR.</w:t>
      </w:r>
    </w:p>
    <w:p w14:paraId="10B365D2" w14:textId="77777777" w:rsidR="00A46296" w:rsidRPr="008E592C" w:rsidRDefault="00A46296" w:rsidP="00A46296">
      <w:pPr>
        <w:jc w:val="center"/>
        <w:rPr>
          <w:rFonts w:ascii="Arial" w:hAnsi="Arial" w:cs="Arial"/>
          <w:b/>
        </w:rPr>
      </w:pPr>
    </w:p>
    <w:p w14:paraId="4D55D2A6" w14:textId="77777777" w:rsidR="00A46296" w:rsidRPr="008E592C" w:rsidRDefault="00A46296" w:rsidP="00A46296">
      <w:pPr>
        <w:pStyle w:val="Textoindependiente"/>
        <w:suppressAutoHyphens/>
        <w:rPr>
          <w:rFonts w:ascii="Arial" w:hAnsi="Arial" w:cs="Arial"/>
          <w:b/>
          <w:sz w:val="20"/>
        </w:rPr>
      </w:pPr>
      <w:r w:rsidRPr="008E592C">
        <w:rPr>
          <w:rFonts w:ascii="Arial" w:hAnsi="Arial" w:cs="Arial"/>
          <w:b/>
          <w:sz w:val="20"/>
          <w:lang w:val="pt-BR"/>
        </w:rPr>
        <w:t>Cada Certificado de Depósito Argentino (CEDEAR)</w:t>
      </w:r>
      <w:r w:rsidRPr="008E592C">
        <w:rPr>
          <w:rFonts w:ascii="Arial" w:hAnsi="Arial" w:cs="Arial"/>
          <w:b/>
          <w:spacing w:val="-2"/>
          <w:sz w:val="20"/>
        </w:rPr>
        <w:t xml:space="preserve"> tiene un V/N de $1 (UN PESO)</w:t>
      </w:r>
    </w:p>
    <w:p w14:paraId="707F0E55" w14:textId="77777777" w:rsidR="00A46296" w:rsidRPr="008E592C" w:rsidRDefault="00A46296" w:rsidP="00A46296">
      <w:pPr>
        <w:jc w:val="center"/>
        <w:rPr>
          <w:rFonts w:ascii="Arial" w:hAnsi="Arial" w:cs="Arial"/>
          <w:b/>
          <w:lang w:val="pt-BR"/>
        </w:rPr>
      </w:pPr>
      <w:r w:rsidRPr="008E592C">
        <w:rPr>
          <w:rFonts w:ascii="Arial" w:hAnsi="Arial" w:cs="Arial"/>
          <w:b/>
          <w:lang w:val="pt-BR"/>
        </w:rPr>
        <w:t xml:space="preserve">y </w:t>
      </w:r>
    </w:p>
    <w:p w14:paraId="5555BF86" w14:textId="77777777" w:rsidR="00A46296" w:rsidRPr="008E592C" w:rsidRDefault="00A46296" w:rsidP="00A46296">
      <w:pPr>
        <w:jc w:val="center"/>
        <w:rPr>
          <w:rFonts w:ascii="Arial" w:hAnsi="Arial" w:cs="Arial"/>
          <w:b/>
          <w:lang w:val="pt-BR"/>
        </w:rPr>
      </w:pPr>
      <w:r w:rsidRPr="008E592C">
        <w:rPr>
          <w:rFonts w:ascii="Arial" w:hAnsi="Arial" w:cs="Arial"/>
          <w:b/>
          <w:lang w:val="pt-BR"/>
        </w:rPr>
        <w:t>representa</w:t>
      </w:r>
    </w:p>
    <w:p w14:paraId="55A16034" w14:textId="77777777" w:rsidR="00A46296" w:rsidRPr="008E592C" w:rsidRDefault="00A46296" w:rsidP="00A46296">
      <w:pPr>
        <w:jc w:val="center"/>
        <w:rPr>
          <w:rFonts w:ascii="Arial" w:hAnsi="Arial" w:cs="Arial"/>
          <w:b/>
        </w:rPr>
      </w:pPr>
    </w:p>
    <w:p w14:paraId="2AF493A4" w14:textId="77777777" w:rsidR="00A46296" w:rsidRPr="008E592C" w:rsidRDefault="00A46296" w:rsidP="00A46296">
      <w:pPr>
        <w:jc w:val="center"/>
        <w:rPr>
          <w:rFonts w:ascii="Arial" w:hAnsi="Arial" w:cs="Arial"/>
          <w:b/>
          <w:lang w:val="pt-BR"/>
        </w:rPr>
      </w:pPr>
      <w:r w:rsidRPr="008E592C">
        <w:rPr>
          <w:rStyle w:val="Refdenotaalpie"/>
          <w:rFonts w:ascii="Arial" w:hAnsi="Arial" w:cs="Arial"/>
          <w:b/>
          <w:lang w:val="pt-BR"/>
        </w:rPr>
        <w:footnoteReference w:id="7"/>
      </w:r>
      <w:r w:rsidRPr="008E592C">
        <w:rPr>
          <w:rFonts w:ascii="Arial" w:hAnsi="Arial" w:cs="Arial"/>
          <w:b/>
          <w:lang w:val="pt-BR"/>
        </w:rPr>
        <w:t xml:space="preserve">------ </w:t>
      </w:r>
      <w:r w:rsidR="00477BC5">
        <w:rPr>
          <w:rFonts w:ascii="Arial" w:hAnsi="Arial" w:cs="Arial"/>
          <w:b/>
          <w:lang w:val="pt-BR"/>
        </w:rPr>
        <w:t>ADS</w:t>
      </w:r>
      <w:r w:rsidRPr="008E592C">
        <w:rPr>
          <w:rFonts w:ascii="Arial" w:hAnsi="Arial" w:cs="Arial"/>
          <w:b/>
          <w:lang w:val="pt-BR"/>
        </w:rPr>
        <w:t>(s)</w:t>
      </w:r>
    </w:p>
    <w:p w14:paraId="03D0D1E0" w14:textId="77777777" w:rsidR="00A46296" w:rsidRPr="008E592C" w:rsidRDefault="00A46296" w:rsidP="00A46296">
      <w:pPr>
        <w:jc w:val="center"/>
        <w:rPr>
          <w:rFonts w:ascii="Arial" w:hAnsi="Arial" w:cs="Arial"/>
          <w:lang w:val="pt-BR"/>
        </w:rPr>
      </w:pPr>
    </w:p>
    <w:p w14:paraId="7D1022F0" w14:textId="77777777" w:rsidR="00A46296" w:rsidRPr="008E592C" w:rsidRDefault="00A46296" w:rsidP="00A46296">
      <w:pPr>
        <w:rPr>
          <w:rFonts w:ascii="Arial" w:hAnsi="Arial" w:cs="Arial"/>
          <w:b/>
        </w:rPr>
      </w:pPr>
      <w:r w:rsidRPr="00A46296">
        <w:rPr>
          <w:rFonts w:ascii="Arial" w:hAnsi="Arial" w:cs="Arial"/>
          <w:b/>
        </w:rPr>
        <w:t>EL CEDEAR REPRESENTA EL DEPOSITO DE UNA SOLA ESPECIE DE VALORES NEGOCIABLES NO AUTORIZADO PARA SU OFERTA PUBLICA EN EL TERRITORIO DE LA REPÚBLICA ARGENTINA</w:t>
      </w:r>
    </w:p>
    <w:p w14:paraId="6F19439A" w14:textId="77777777" w:rsidR="00A46296" w:rsidRPr="008E592C" w:rsidRDefault="004649A9" w:rsidP="00A46296">
      <w:pPr>
        <w:jc w:val="center"/>
        <w:outlineLvl w:val="0"/>
        <w:rPr>
          <w:rFonts w:ascii="Arial" w:hAnsi="Arial" w:cs="Arial"/>
          <w:u w:val="single"/>
        </w:rPr>
      </w:pPr>
      <w:proofErr w:type="gramStart"/>
      <w:r>
        <w:rPr>
          <w:rFonts w:ascii="Arial" w:hAnsi="Arial" w:cs="Arial"/>
          <w:u w:val="single"/>
        </w:rPr>
        <w:t xml:space="preserve">Sociedad </w:t>
      </w:r>
      <w:r w:rsidR="00A46296" w:rsidRPr="008E592C">
        <w:rPr>
          <w:rFonts w:ascii="Arial" w:hAnsi="Arial" w:cs="Arial"/>
          <w:u w:val="single"/>
        </w:rPr>
        <w:t xml:space="preserve"> emisora</w:t>
      </w:r>
      <w:proofErr w:type="gramEnd"/>
      <w:r w:rsidR="00A46296" w:rsidRPr="008E592C">
        <w:rPr>
          <w:rFonts w:ascii="Arial" w:hAnsi="Arial" w:cs="Arial"/>
          <w:u w:val="single"/>
        </w:rPr>
        <w:t xml:space="preserve"> de las </w:t>
      </w:r>
      <w:r w:rsidR="007B6DCA">
        <w:rPr>
          <w:rFonts w:ascii="Arial" w:hAnsi="Arial" w:cs="Arial"/>
          <w:u w:val="single"/>
        </w:rPr>
        <w:t>A</w:t>
      </w:r>
      <w:r w:rsidR="00A46296" w:rsidRPr="008E592C">
        <w:rPr>
          <w:rFonts w:ascii="Arial" w:hAnsi="Arial" w:cs="Arial"/>
          <w:u w:val="single"/>
        </w:rPr>
        <w:t xml:space="preserve">cciones </w:t>
      </w:r>
      <w:r w:rsidR="007B6DCA">
        <w:rPr>
          <w:rFonts w:ascii="Arial" w:hAnsi="Arial" w:cs="Arial"/>
          <w:u w:val="single"/>
        </w:rPr>
        <w:t>S</w:t>
      </w:r>
      <w:r w:rsidR="00EC1A6C">
        <w:rPr>
          <w:rFonts w:ascii="Arial" w:hAnsi="Arial" w:cs="Arial"/>
          <w:u w:val="single"/>
        </w:rPr>
        <w:t>ubyacentes de los</w:t>
      </w:r>
      <w:r w:rsidR="00A46296" w:rsidRPr="008E592C">
        <w:rPr>
          <w:rFonts w:ascii="Arial" w:hAnsi="Arial" w:cs="Arial"/>
          <w:u w:val="single"/>
        </w:rPr>
        <w:t xml:space="preserve"> </w:t>
      </w:r>
      <w:proofErr w:type="spellStart"/>
      <w:r w:rsidR="00477BC5">
        <w:rPr>
          <w:rFonts w:ascii="Arial" w:hAnsi="Arial" w:cs="Arial"/>
          <w:u w:val="single"/>
        </w:rPr>
        <w:t>ADS</w:t>
      </w:r>
      <w:r w:rsidR="00A46296" w:rsidRPr="008E592C">
        <w:rPr>
          <w:rFonts w:ascii="Arial" w:hAnsi="Arial" w:cs="Arial"/>
          <w:u w:val="single"/>
        </w:rPr>
        <w:t>s</w:t>
      </w:r>
      <w:proofErr w:type="spellEnd"/>
      <w:r w:rsidR="00A46296" w:rsidRPr="008E592C">
        <w:rPr>
          <w:rFonts w:ascii="Arial" w:hAnsi="Arial" w:cs="Arial"/>
          <w:u w:val="single"/>
        </w:rPr>
        <w:t xml:space="preserve"> a su vez representados por los</w:t>
      </w:r>
    </w:p>
    <w:p w14:paraId="374352DF" w14:textId="77777777" w:rsidR="00A46296" w:rsidRPr="008E592C" w:rsidRDefault="00A46296" w:rsidP="00A46296">
      <w:pPr>
        <w:jc w:val="center"/>
        <w:rPr>
          <w:rFonts w:ascii="Arial" w:hAnsi="Arial" w:cs="Arial"/>
          <w:u w:val="single"/>
        </w:rPr>
      </w:pPr>
      <w:r w:rsidRPr="008E592C">
        <w:rPr>
          <w:rFonts w:ascii="Arial" w:hAnsi="Arial" w:cs="Arial"/>
          <w:u w:val="single"/>
        </w:rPr>
        <w:t xml:space="preserve">CEDEAR: </w:t>
      </w:r>
    </w:p>
    <w:p w14:paraId="2CCF0C74" w14:textId="77777777" w:rsidR="00A46296" w:rsidRPr="008E592C" w:rsidRDefault="00A46296" w:rsidP="00A46296">
      <w:pPr>
        <w:jc w:val="center"/>
        <w:outlineLvl w:val="0"/>
        <w:rPr>
          <w:rFonts w:ascii="Arial" w:hAnsi="Arial" w:cs="Arial"/>
        </w:rPr>
      </w:pPr>
      <w:r w:rsidRPr="008E592C">
        <w:rPr>
          <w:rStyle w:val="Refdenotaalpie"/>
          <w:rFonts w:ascii="Arial" w:hAnsi="Arial" w:cs="Arial"/>
        </w:rPr>
        <w:footnoteReference w:id="8"/>
      </w:r>
    </w:p>
    <w:p w14:paraId="1E1D9702" w14:textId="77777777" w:rsidR="00A46296" w:rsidRPr="008E592C" w:rsidRDefault="00A46296" w:rsidP="00A46296">
      <w:pPr>
        <w:jc w:val="center"/>
        <w:outlineLvl w:val="0"/>
        <w:rPr>
          <w:rFonts w:ascii="Arial" w:hAnsi="Arial" w:cs="Arial"/>
          <w:u w:val="single"/>
        </w:rPr>
      </w:pPr>
      <w:r w:rsidRPr="008E592C">
        <w:rPr>
          <w:rFonts w:ascii="Arial" w:hAnsi="Arial" w:cs="Arial"/>
          <w:u w:val="single"/>
        </w:rPr>
        <w:t>Domicilio de la sociedad emisora</w:t>
      </w:r>
      <w:r w:rsidR="001447B4">
        <w:rPr>
          <w:rFonts w:ascii="Arial" w:hAnsi="Arial" w:cs="Arial"/>
          <w:u w:val="single"/>
        </w:rPr>
        <w:t xml:space="preserve"> de las </w:t>
      </w:r>
      <w:r w:rsidR="007B6DCA">
        <w:rPr>
          <w:rFonts w:ascii="Arial" w:hAnsi="Arial" w:cs="Arial"/>
          <w:u w:val="single"/>
        </w:rPr>
        <w:t>A</w:t>
      </w:r>
      <w:r w:rsidR="001447B4">
        <w:rPr>
          <w:rFonts w:ascii="Arial" w:hAnsi="Arial" w:cs="Arial"/>
          <w:u w:val="single"/>
        </w:rPr>
        <w:t xml:space="preserve">cciones </w:t>
      </w:r>
      <w:r w:rsidR="007B6DCA">
        <w:rPr>
          <w:rFonts w:ascii="Arial" w:hAnsi="Arial" w:cs="Arial"/>
          <w:u w:val="single"/>
        </w:rPr>
        <w:t>S</w:t>
      </w:r>
      <w:r w:rsidR="001447B4">
        <w:rPr>
          <w:rFonts w:ascii="Arial" w:hAnsi="Arial" w:cs="Arial"/>
          <w:u w:val="single"/>
        </w:rPr>
        <w:t>ubyacentes</w:t>
      </w:r>
      <w:r w:rsidRPr="008E592C">
        <w:rPr>
          <w:rFonts w:ascii="Arial" w:hAnsi="Arial" w:cs="Arial"/>
          <w:u w:val="single"/>
        </w:rPr>
        <w:t>:</w:t>
      </w:r>
    </w:p>
    <w:p w14:paraId="7036EB89" w14:textId="77777777" w:rsidR="00A46296" w:rsidRPr="00762A0B" w:rsidRDefault="00A46296" w:rsidP="00A46296">
      <w:pPr>
        <w:jc w:val="center"/>
        <w:outlineLvl w:val="0"/>
        <w:rPr>
          <w:rFonts w:ascii="Arial" w:hAnsi="Arial" w:cs="Arial"/>
        </w:rPr>
      </w:pPr>
      <w:r w:rsidRPr="00762A0B">
        <w:rPr>
          <w:rStyle w:val="Refdenotaalpie"/>
          <w:rFonts w:ascii="Arial" w:hAnsi="Arial" w:cs="Arial"/>
        </w:rPr>
        <w:footnoteReference w:id="9"/>
      </w:r>
    </w:p>
    <w:p w14:paraId="05F6CF60" w14:textId="77777777" w:rsidR="00A46296" w:rsidRPr="008E592C" w:rsidRDefault="00A46296" w:rsidP="00A46296">
      <w:pPr>
        <w:jc w:val="center"/>
        <w:outlineLvl w:val="0"/>
        <w:rPr>
          <w:rFonts w:ascii="Arial" w:hAnsi="Arial" w:cs="Arial"/>
          <w:u w:val="single"/>
        </w:rPr>
      </w:pPr>
      <w:r w:rsidRPr="008E592C">
        <w:rPr>
          <w:rFonts w:ascii="Arial" w:hAnsi="Arial" w:cs="Arial"/>
          <w:u w:val="single"/>
        </w:rPr>
        <w:t>Lugar, fecha y organismo que otorgó la autorización de cotización</w:t>
      </w:r>
    </w:p>
    <w:p w14:paraId="687E38DD" w14:textId="77777777" w:rsidR="00A46296" w:rsidRPr="008E592C" w:rsidRDefault="00A46296" w:rsidP="00A46296">
      <w:pPr>
        <w:jc w:val="center"/>
        <w:rPr>
          <w:rFonts w:ascii="Arial" w:hAnsi="Arial" w:cs="Arial"/>
        </w:rPr>
      </w:pPr>
      <w:r w:rsidRPr="008E592C">
        <w:rPr>
          <w:rFonts w:ascii="Arial" w:hAnsi="Arial" w:cs="Arial"/>
          <w:u w:val="single"/>
        </w:rPr>
        <w:t xml:space="preserve">de los </w:t>
      </w:r>
      <w:proofErr w:type="spellStart"/>
      <w:r w:rsidR="00477BC5">
        <w:rPr>
          <w:rFonts w:ascii="Arial" w:hAnsi="Arial" w:cs="Arial"/>
          <w:u w:val="single"/>
        </w:rPr>
        <w:t>ADS</w:t>
      </w:r>
      <w:r w:rsidRPr="008E592C">
        <w:rPr>
          <w:rFonts w:ascii="Arial" w:hAnsi="Arial" w:cs="Arial"/>
          <w:u w:val="single"/>
        </w:rPr>
        <w:t>s</w:t>
      </w:r>
      <w:proofErr w:type="spellEnd"/>
      <w:r w:rsidRPr="008E592C">
        <w:rPr>
          <w:rFonts w:ascii="Arial" w:hAnsi="Arial" w:cs="Arial"/>
        </w:rPr>
        <w:t>: Nueva York, Estados Unidos de</w:t>
      </w:r>
    </w:p>
    <w:p w14:paraId="4D586FD1" w14:textId="77777777" w:rsidR="00A46296" w:rsidRPr="008E592C" w:rsidRDefault="00A46296" w:rsidP="00A46296">
      <w:pPr>
        <w:jc w:val="center"/>
        <w:rPr>
          <w:rFonts w:ascii="Arial" w:hAnsi="Arial" w:cs="Arial"/>
          <w:lang w:val="es-AR"/>
        </w:rPr>
      </w:pPr>
      <w:r w:rsidRPr="008E592C">
        <w:rPr>
          <w:rFonts w:ascii="Arial" w:hAnsi="Arial" w:cs="Arial"/>
          <w:lang w:val="es-AR"/>
        </w:rPr>
        <w:t>América, Securities and Exchange Comisión,</w:t>
      </w:r>
      <w:r w:rsidRPr="008E592C">
        <w:rPr>
          <w:rStyle w:val="Refdenotaalpie"/>
          <w:rFonts w:ascii="Arial" w:hAnsi="Arial" w:cs="Arial"/>
          <w:lang w:val="es-AR"/>
        </w:rPr>
        <w:footnoteReference w:id="10"/>
      </w:r>
      <w:r w:rsidRPr="008E592C">
        <w:rPr>
          <w:rFonts w:ascii="Arial" w:hAnsi="Arial" w:cs="Arial"/>
          <w:lang w:val="es-AR"/>
        </w:rPr>
        <w:t>--------</w:t>
      </w:r>
      <w:r w:rsidRPr="008E592C">
        <w:rPr>
          <w:rFonts w:ascii="Arial" w:hAnsi="Arial" w:cs="Arial"/>
        </w:rPr>
        <w:t xml:space="preserve"> New York Stock Exchange (NYSE - Bolsa de Comercio de Nueva York) y/o NASDAQ Stock </w:t>
      </w:r>
      <w:proofErr w:type="spellStart"/>
      <w:r w:rsidRPr="008E592C">
        <w:rPr>
          <w:rFonts w:ascii="Arial" w:hAnsi="Arial" w:cs="Arial"/>
        </w:rPr>
        <w:t>Market</w:t>
      </w:r>
      <w:proofErr w:type="spellEnd"/>
      <w:r w:rsidRPr="008E592C">
        <w:rPr>
          <w:rStyle w:val="Refdenotaalpie"/>
          <w:rFonts w:ascii="Arial" w:hAnsi="Arial" w:cs="Arial"/>
        </w:rPr>
        <w:footnoteReference w:id="11"/>
      </w:r>
    </w:p>
    <w:p w14:paraId="54C69697" w14:textId="77777777" w:rsidR="00A46296" w:rsidRPr="008E592C" w:rsidRDefault="00A46296" w:rsidP="00A46296">
      <w:pPr>
        <w:jc w:val="center"/>
        <w:rPr>
          <w:rFonts w:ascii="Arial" w:hAnsi="Arial" w:cs="Arial"/>
        </w:rPr>
      </w:pPr>
    </w:p>
    <w:p w14:paraId="618C0DBF" w14:textId="77777777" w:rsidR="00A46296" w:rsidRPr="008E592C" w:rsidRDefault="00A46296" w:rsidP="00A46296">
      <w:pPr>
        <w:jc w:val="center"/>
        <w:outlineLvl w:val="0"/>
        <w:rPr>
          <w:rFonts w:ascii="Arial" w:hAnsi="Arial" w:cs="Arial"/>
          <w:u w:val="single"/>
        </w:rPr>
      </w:pPr>
    </w:p>
    <w:p w14:paraId="54F851FF" w14:textId="77777777" w:rsidR="00A46296" w:rsidRPr="008E592C" w:rsidRDefault="00A46296" w:rsidP="00A46296">
      <w:pPr>
        <w:jc w:val="center"/>
        <w:outlineLvl w:val="0"/>
        <w:rPr>
          <w:rFonts w:ascii="Arial" w:hAnsi="Arial" w:cs="Arial"/>
        </w:rPr>
      </w:pPr>
      <w:r w:rsidRPr="008E592C">
        <w:rPr>
          <w:rFonts w:ascii="Arial" w:hAnsi="Arial" w:cs="Arial"/>
          <w:u w:val="single"/>
        </w:rPr>
        <w:t xml:space="preserve">Nombre y domicilio del Banco Custodio y Lugar donde se encuentran depositados los </w:t>
      </w:r>
      <w:proofErr w:type="spellStart"/>
      <w:r w:rsidR="00477BC5">
        <w:rPr>
          <w:rFonts w:ascii="Arial" w:hAnsi="Arial" w:cs="Arial"/>
          <w:u w:val="single"/>
        </w:rPr>
        <w:t>ADS</w:t>
      </w:r>
      <w:r w:rsidR="00E63B6E">
        <w:rPr>
          <w:rFonts w:ascii="Arial" w:hAnsi="Arial" w:cs="Arial"/>
          <w:u w:val="single"/>
        </w:rPr>
        <w:t>s</w:t>
      </w:r>
      <w:proofErr w:type="spellEnd"/>
      <w:r w:rsidRPr="008E592C">
        <w:rPr>
          <w:rFonts w:ascii="Arial" w:hAnsi="Arial" w:cs="Arial"/>
          <w:u w:val="single"/>
        </w:rPr>
        <w:t xml:space="preserve"> representados por el CEDEAR</w:t>
      </w:r>
      <w:r w:rsidRPr="008E592C">
        <w:rPr>
          <w:rFonts w:ascii="Arial" w:hAnsi="Arial" w:cs="Arial"/>
        </w:rPr>
        <w:t xml:space="preserve">: </w:t>
      </w:r>
    </w:p>
    <w:p w14:paraId="556E75E8" w14:textId="77777777" w:rsidR="00A46296" w:rsidRPr="00A45311" w:rsidRDefault="00323E1D" w:rsidP="00A46296">
      <w:pPr>
        <w:jc w:val="center"/>
        <w:outlineLvl w:val="0"/>
        <w:rPr>
          <w:rFonts w:ascii="Arial" w:hAnsi="Arial" w:cs="Arial"/>
          <w:lang w:val="en-US"/>
        </w:rPr>
      </w:pPr>
      <w:r>
        <w:rPr>
          <w:rFonts w:ascii="Arial" w:hAnsi="Arial" w:cs="Arial"/>
          <w:lang w:val="en-US"/>
        </w:rPr>
        <w:t>BANK OF NEW YORK MELLON CORPORATION</w:t>
      </w:r>
    </w:p>
    <w:p w14:paraId="09AE300F" w14:textId="77777777" w:rsidR="00A46296" w:rsidRPr="00A45311" w:rsidRDefault="00A46296" w:rsidP="00A46296">
      <w:pPr>
        <w:jc w:val="center"/>
        <w:outlineLvl w:val="0"/>
        <w:rPr>
          <w:rFonts w:ascii="Arial" w:hAnsi="Arial" w:cs="Arial"/>
          <w:lang w:val="en-US"/>
        </w:rPr>
      </w:pPr>
      <w:r w:rsidRPr="00A45311">
        <w:rPr>
          <w:rFonts w:ascii="Arial" w:hAnsi="Arial" w:cs="Arial"/>
          <w:lang w:val="en-US"/>
        </w:rPr>
        <w:t>ESTADOS UNIDOS DE AMERICA,</w:t>
      </w:r>
    </w:p>
    <w:p w14:paraId="7A765CB4" w14:textId="77777777" w:rsidR="00A46296" w:rsidRPr="00A45311" w:rsidRDefault="00A45311" w:rsidP="00A46296">
      <w:pPr>
        <w:jc w:val="center"/>
        <w:rPr>
          <w:rFonts w:ascii="Arial" w:hAnsi="Arial" w:cs="Arial"/>
          <w:lang w:val="en-US"/>
        </w:rPr>
      </w:pPr>
      <w:r w:rsidRPr="00A45311">
        <w:rPr>
          <w:rFonts w:ascii="Arial" w:hAnsi="Arial" w:cs="Arial"/>
          <w:lang w:val="en-US"/>
        </w:rPr>
        <w:t>ONE WALL STREET NEW YORK</w:t>
      </w:r>
    </w:p>
    <w:p w14:paraId="29CF5A81" w14:textId="77777777" w:rsidR="00A46296" w:rsidRPr="006C3589" w:rsidRDefault="00A45311" w:rsidP="00A46296">
      <w:pPr>
        <w:jc w:val="center"/>
        <w:rPr>
          <w:rFonts w:ascii="Arial" w:hAnsi="Arial" w:cs="Arial"/>
          <w:lang w:val="en-US"/>
        </w:rPr>
      </w:pPr>
      <w:r w:rsidRPr="006C3589">
        <w:rPr>
          <w:rFonts w:ascii="Arial" w:hAnsi="Arial" w:cs="Arial"/>
          <w:lang w:val="en-US"/>
        </w:rPr>
        <w:t xml:space="preserve"> NY 10286</w:t>
      </w:r>
    </w:p>
    <w:p w14:paraId="12CFDD1C" w14:textId="77777777" w:rsidR="000F0BEE" w:rsidRPr="006C3589" w:rsidRDefault="000F0BEE">
      <w:pPr>
        <w:jc w:val="center"/>
        <w:rPr>
          <w:rFonts w:ascii="Arial" w:hAnsi="Arial" w:cs="Arial"/>
          <w:b/>
          <w:lang w:val="en-US"/>
        </w:rPr>
      </w:pPr>
    </w:p>
    <w:p w14:paraId="4B623145" w14:textId="77777777" w:rsidR="004079B7" w:rsidRPr="008D1681" w:rsidRDefault="00F76B09">
      <w:pPr>
        <w:jc w:val="both"/>
        <w:rPr>
          <w:rFonts w:ascii="Arial" w:hAnsi="Arial" w:cs="Arial"/>
          <w:sz w:val="24"/>
          <w:szCs w:val="24"/>
        </w:rPr>
      </w:pPr>
      <w:r w:rsidRPr="008D1681">
        <w:rPr>
          <w:rFonts w:ascii="Arial" w:hAnsi="Arial" w:cs="Arial"/>
          <w:sz w:val="24"/>
          <w:szCs w:val="24"/>
        </w:rPr>
        <w:t>BANCO COMAFI S.A</w:t>
      </w:r>
      <w:r w:rsidR="00AF52DA">
        <w:rPr>
          <w:rFonts w:ascii="Arial" w:hAnsi="Arial" w:cs="Arial"/>
          <w:sz w:val="24"/>
          <w:szCs w:val="24"/>
        </w:rPr>
        <w:t xml:space="preserve">. </w:t>
      </w:r>
      <w:r w:rsidR="004079B7" w:rsidRPr="008D1681">
        <w:rPr>
          <w:rFonts w:ascii="Arial" w:hAnsi="Arial" w:cs="Arial"/>
          <w:sz w:val="24"/>
          <w:szCs w:val="24"/>
        </w:rPr>
        <w:t xml:space="preserve">con domicilio en </w:t>
      </w:r>
      <w:r w:rsidRPr="008D1681">
        <w:rPr>
          <w:rFonts w:ascii="Arial" w:hAnsi="Arial" w:cs="Arial"/>
          <w:sz w:val="24"/>
          <w:szCs w:val="24"/>
        </w:rPr>
        <w:t>Av. Presidente Roque Sáenz Peña 660</w:t>
      </w:r>
      <w:r w:rsidR="004079B7" w:rsidRPr="008D1681">
        <w:rPr>
          <w:rFonts w:ascii="Arial" w:hAnsi="Arial" w:cs="Arial"/>
          <w:sz w:val="24"/>
          <w:szCs w:val="24"/>
        </w:rPr>
        <w:t xml:space="preserve">, Capital Federal (en adelante el "Banco"),  ha establecido este Programa de CEDEAR el que se regirá por los siguientes Términos y Condiciones: </w:t>
      </w:r>
    </w:p>
    <w:p w14:paraId="11090374" w14:textId="77777777" w:rsidR="004079B7" w:rsidRPr="008D1681" w:rsidRDefault="004079B7">
      <w:pPr>
        <w:rPr>
          <w:rFonts w:ascii="Arial" w:hAnsi="Arial" w:cs="Arial"/>
          <w:sz w:val="24"/>
          <w:szCs w:val="24"/>
        </w:rPr>
      </w:pPr>
    </w:p>
    <w:p w14:paraId="21D63563" w14:textId="77777777" w:rsidR="004079B7" w:rsidRPr="008D1681" w:rsidRDefault="004079B7">
      <w:pPr>
        <w:jc w:val="both"/>
        <w:rPr>
          <w:rFonts w:ascii="Arial" w:hAnsi="Arial" w:cs="Arial"/>
          <w:sz w:val="24"/>
          <w:szCs w:val="24"/>
        </w:rPr>
      </w:pPr>
    </w:p>
    <w:p w14:paraId="31CACBF1" w14:textId="77777777" w:rsidR="004079B7" w:rsidRPr="00094A34" w:rsidRDefault="004079B7">
      <w:pPr>
        <w:ind w:left="720" w:hanging="720"/>
        <w:jc w:val="both"/>
        <w:rPr>
          <w:rFonts w:ascii="Arial" w:hAnsi="Arial" w:cs="Arial"/>
          <w:sz w:val="24"/>
          <w:szCs w:val="24"/>
        </w:rPr>
      </w:pPr>
      <w:r w:rsidRPr="008D1681">
        <w:rPr>
          <w:rFonts w:ascii="Arial" w:hAnsi="Arial" w:cs="Arial"/>
          <w:sz w:val="24"/>
          <w:szCs w:val="24"/>
        </w:rPr>
        <w:t>(i)</w:t>
      </w:r>
      <w:r w:rsidRPr="008D1681">
        <w:rPr>
          <w:rFonts w:ascii="Arial" w:hAnsi="Arial" w:cs="Arial"/>
          <w:sz w:val="24"/>
          <w:szCs w:val="24"/>
        </w:rPr>
        <w:tab/>
      </w:r>
      <w:r w:rsidRPr="00094A34">
        <w:rPr>
          <w:rFonts w:ascii="Arial" w:hAnsi="Arial" w:cs="Arial"/>
          <w:sz w:val="24"/>
          <w:szCs w:val="24"/>
        </w:rPr>
        <w:t>a la fecha de emisión de cada CEDEAR</w:t>
      </w:r>
      <w:r w:rsidR="00BD257D" w:rsidRPr="00094A34">
        <w:rPr>
          <w:rFonts w:ascii="Arial" w:hAnsi="Arial" w:cs="Arial"/>
          <w:sz w:val="24"/>
          <w:szCs w:val="24"/>
        </w:rPr>
        <w:t>,</w:t>
      </w:r>
      <w:r w:rsidRPr="00094A34">
        <w:rPr>
          <w:rFonts w:ascii="Arial" w:hAnsi="Arial" w:cs="Arial"/>
          <w:sz w:val="24"/>
          <w:szCs w:val="24"/>
        </w:rPr>
        <w:t xml:space="preserve"> se habrán depositado con el Banco a través del Banco Custodio</w:t>
      </w:r>
      <w:r w:rsidR="00BD257D" w:rsidRPr="00094A34">
        <w:rPr>
          <w:rFonts w:ascii="Arial" w:hAnsi="Arial" w:cs="Arial"/>
          <w:sz w:val="24"/>
          <w:szCs w:val="24"/>
        </w:rPr>
        <w:t>,</w:t>
      </w:r>
      <w:r w:rsidR="00EB0210" w:rsidRPr="00094A34">
        <w:rPr>
          <w:rFonts w:ascii="Arial" w:hAnsi="Arial" w:cs="Arial"/>
          <w:sz w:val="24"/>
          <w:szCs w:val="24"/>
        </w:rPr>
        <w:t xml:space="preserve"> </w:t>
      </w:r>
      <w:r w:rsidR="00E63B6E">
        <w:rPr>
          <w:rFonts w:ascii="Arial" w:hAnsi="Arial" w:cs="Arial"/>
          <w:sz w:val="24"/>
          <w:szCs w:val="24"/>
        </w:rPr>
        <w:t xml:space="preserve">los </w:t>
      </w:r>
      <w:proofErr w:type="spellStart"/>
      <w:r w:rsidR="00477BC5">
        <w:rPr>
          <w:rFonts w:ascii="Arial" w:hAnsi="Arial" w:cs="Arial"/>
          <w:sz w:val="24"/>
          <w:szCs w:val="24"/>
        </w:rPr>
        <w:t>ADS</w:t>
      </w:r>
      <w:r w:rsidR="00E63B6E">
        <w:rPr>
          <w:rFonts w:ascii="Arial" w:hAnsi="Arial" w:cs="Arial"/>
          <w:sz w:val="24"/>
          <w:szCs w:val="24"/>
        </w:rPr>
        <w:t>s</w:t>
      </w:r>
      <w:proofErr w:type="spellEnd"/>
      <w:r w:rsidR="009E3090" w:rsidRPr="00094A34">
        <w:rPr>
          <w:rFonts w:ascii="Arial" w:hAnsi="Arial" w:cs="Arial"/>
          <w:sz w:val="24"/>
          <w:szCs w:val="24"/>
        </w:rPr>
        <w:t xml:space="preserve"> </w:t>
      </w:r>
      <w:r w:rsidRPr="00094A34">
        <w:rPr>
          <w:rFonts w:ascii="Arial" w:hAnsi="Arial" w:cs="Arial"/>
          <w:sz w:val="24"/>
          <w:szCs w:val="24"/>
        </w:rPr>
        <w:t>arriba descriptos</w:t>
      </w:r>
      <w:r w:rsidR="00500A2A">
        <w:rPr>
          <w:rFonts w:ascii="Arial" w:hAnsi="Arial" w:cs="Arial"/>
          <w:sz w:val="24"/>
          <w:szCs w:val="24"/>
        </w:rPr>
        <w:t>.</w:t>
      </w:r>
    </w:p>
    <w:p w14:paraId="4BFEA023" w14:textId="77777777" w:rsidR="004079B7" w:rsidRPr="00094A34" w:rsidRDefault="004079B7">
      <w:pPr>
        <w:ind w:left="720" w:hanging="720"/>
        <w:jc w:val="both"/>
        <w:rPr>
          <w:rFonts w:ascii="Arial" w:hAnsi="Arial" w:cs="Arial"/>
          <w:sz w:val="24"/>
          <w:szCs w:val="24"/>
        </w:rPr>
      </w:pPr>
    </w:p>
    <w:p w14:paraId="0252326A" w14:textId="77777777" w:rsidR="004079B7" w:rsidRDefault="004079B7">
      <w:pPr>
        <w:ind w:left="720" w:hanging="720"/>
        <w:jc w:val="both"/>
        <w:rPr>
          <w:rFonts w:ascii="Arial" w:hAnsi="Arial" w:cs="Arial"/>
          <w:sz w:val="24"/>
          <w:szCs w:val="24"/>
        </w:rPr>
      </w:pPr>
      <w:r w:rsidRPr="00094A34">
        <w:rPr>
          <w:rFonts w:ascii="Arial" w:hAnsi="Arial" w:cs="Arial"/>
          <w:sz w:val="24"/>
          <w:szCs w:val="24"/>
        </w:rPr>
        <w:t>(ii)</w:t>
      </w:r>
      <w:r w:rsidRPr="00094A34">
        <w:rPr>
          <w:rFonts w:ascii="Arial" w:hAnsi="Arial" w:cs="Arial"/>
          <w:sz w:val="24"/>
          <w:szCs w:val="24"/>
        </w:rPr>
        <w:tab/>
      </w:r>
      <w:r w:rsidR="00F323C1" w:rsidRPr="00094A34">
        <w:rPr>
          <w:rFonts w:ascii="Arial" w:hAnsi="Arial" w:cs="Arial"/>
          <w:sz w:val="24"/>
          <w:szCs w:val="24"/>
        </w:rPr>
        <w:t>a la fecha de emisión de los CEDEAR</w:t>
      </w:r>
      <w:r w:rsidR="00E341A4">
        <w:rPr>
          <w:rFonts w:ascii="Arial" w:hAnsi="Arial" w:cs="Arial"/>
          <w:sz w:val="24"/>
          <w:szCs w:val="24"/>
        </w:rPr>
        <w:t>s</w:t>
      </w:r>
      <w:r w:rsidR="00BD257D" w:rsidRPr="00094A34">
        <w:rPr>
          <w:rFonts w:ascii="Arial" w:hAnsi="Arial" w:cs="Arial"/>
          <w:sz w:val="24"/>
          <w:szCs w:val="24"/>
        </w:rPr>
        <w:t>,</w:t>
      </w:r>
      <w:r w:rsidR="00F323C1" w:rsidRPr="00094A34">
        <w:rPr>
          <w:rFonts w:ascii="Arial" w:hAnsi="Arial" w:cs="Arial"/>
          <w:sz w:val="24"/>
          <w:szCs w:val="24"/>
        </w:rPr>
        <w:t xml:space="preserve"> éstos representará</w:t>
      </w:r>
      <w:r w:rsidR="00F94FA0">
        <w:rPr>
          <w:rFonts w:ascii="Arial" w:hAnsi="Arial" w:cs="Arial"/>
          <w:sz w:val="24"/>
          <w:szCs w:val="24"/>
        </w:rPr>
        <w:t>n</w:t>
      </w:r>
      <w:r w:rsidR="00F323C1" w:rsidRPr="00094A34">
        <w:rPr>
          <w:rFonts w:ascii="Arial" w:hAnsi="Arial" w:cs="Arial"/>
          <w:sz w:val="24"/>
          <w:szCs w:val="24"/>
        </w:rPr>
        <w:t xml:space="preserve"> l</w:t>
      </w:r>
      <w:r w:rsidR="00E63B6E">
        <w:rPr>
          <w:rFonts w:ascii="Arial" w:hAnsi="Arial" w:cs="Arial"/>
          <w:sz w:val="24"/>
          <w:szCs w:val="24"/>
        </w:rPr>
        <w:t>o</w:t>
      </w:r>
      <w:r w:rsidR="00CF60B5" w:rsidRPr="00094A34">
        <w:rPr>
          <w:rFonts w:ascii="Arial" w:hAnsi="Arial" w:cs="Arial"/>
          <w:sz w:val="24"/>
          <w:szCs w:val="24"/>
        </w:rPr>
        <w:t>s</w:t>
      </w:r>
      <w:r w:rsidR="00F323C1" w:rsidRPr="00094A34">
        <w:rPr>
          <w:rFonts w:ascii="Arial" w:hAnsi="Arial" w:cs="Arial"/>
          <w:sz w:val="24"/>
          <w:szCs w:val="24"/>
        </w:rPr>
        <w:t xml:space="preserve"> correspondientes </w:t>
      </w:r>
      <w:proofErr w:type="spellStart"/>
      <w:r w:rsidR="00477BC5">
        <w:rPr>
          <w:rFonts w:ascii="Arial" w:hAnsi="Arial" w:cs="Arial"/>
          <w:sz w:val="24"/>
          <w:szCs w:val="24"/>
        </w:rPr>
        <w:t>ADS</w:t>
      </w:r>
      <w:r w:rsidR="00E63B6E">
        <w:rPr>
          <w:rFonts w:ascii="Arial" w:hAnsi="Arial" w:cs="Arial"/>
          <w:sz w:val="24"/>
          <w:szCs w:val="24"/>
        </w:rPr>
        <w:t>s</w:t>
      </w:r>
      <w:proofErr w:type="spellEnd"/>
      <w:r w:rsidR="00CC3D2D">
        <w:rPr>
          <w:rFonts w:ascii="Arial" w:hAnsi="Arial" w:cs="Arial"/>
          <w:sz w:val="24"/>
          <w:szCs w:val="24"/>
        </w:rPr>
        <w:t xml:space="preserve"> </w:t>
      </w:r>
      <w:r w:rsidR="00F323C1" w:rsidRPr="00094A34">
        <w:rPr>
          <w:rFonts w:ascii="Arial" w:hAnsi="Arial" w:cs="Arial"/>
          <w:sz w:val="24"/>
          <w:szCs w:val="24"/>
        </w:rPr>
        <w:t>de acuerd</w:t>
      </w:r>
      <w:r w:rsidR="00DA2A52">
        <w:rPr>
          <w:rFonts w:ascii="Arial" w:hAnsi="Arial" w:cs="Arial"/>
          <w:sz w:val="24"/>
          <w:szCs w:val="24"/>
        </w:rPr>
        <w:t xml:space="preserve">o </w:t>
      </w:r>
      <w:proofErr w:type="gramStart"/>
      <w:r w:rsidR="00DA2A52">
        <w:rPr>
          <w:rFonts w:ascii="Arial" w:hAnsi="Arial" w:cs="Arial"/>
          <w:sz w:val="24"/>
          <w:szCs w:val="24"/>
        </w:rPr>
        <w:t>al</w:t>
      </w:r>
      <w:r w:rsidR="004A61CF">
        <w:rPr>
          <w:rFonts w:ascii="Arial" w:hAnsi="Arial" w:cs="Arial"/>
          <w:sz w:val="24"/>
          <w:szCs w:val="24"/>
        </w:rPr>
        <w:t xml:space="preserve"> </w:t>
      </w:r>
      <w:r w:rsidR="00DA2A52">
        <w:rPr>
          <w:rFonts w:ascii="Arial" w:hAnsi="Arial" w:cs="Arial"/>
          <w:sz w:val="24"/>
          <w:szCs w:val="24"/>
        </w:rPr>
        <w:t>ratio</w:t>
      </w:r>
      <w:proofErr w:type="gramEnd"/>
      <w:r w:rsidR="00DA2A52">
        <w:rPr>
          <w:rFonts w:ascii="Arial" w:hAnsi="Arial" w:cs="Arial"/>
          <w:sz w:val="24"/>
          <w:szCs w:val="24"/>
        </w:rPr>
        <w:t xml:space="preserve"> de conversión de este</w:t>
      </w:r>
      <w:r w:rsidR="00F323C1" w:rsidRPr="00094A34">
        <w:rPr>
          <w:rFonts w:ascii="Arial" w:hAnsi="Arial" w:cs="Arial"/>
          <w:sz w:val="24"/>
          <w:szCs w:val="24"/>
        </w:rPr>
        <w:t xml:space="preserve"> programa, </w:t>
      </w:r>
      <w:r w:rsidR="005E2B0E">
        <w:rPr>
          <w:rFonts w:ascii="Arial" w:hAnsi="Arial" w:cs="Arial"/>
          <w:sz w:val="24"/>
          <w:szCs w:val="24"/>
        </w:rPr>
        <w:t xml:space="preserve">en los términos del inciso (i) precedente. </w:t>
      </w:r>
    </w:p>
    <w:p w14:paraId="2664BBDD" w14:textId="77777777" w:rsidR="004120C4" w:rsidRPr="00094A34" w:rsidRDefault="004120C4">
      <w:pPr>
        <w:ind w:left="720" w:hanging="720"/>
        <w:jc w:val="both"/>
        <w:rPr>
          <w:rFonts w:ascii="Arial" w:hAnsi="Arial" w:cs="Arial"/>
          <w:sz w:val="24"/>
          <w:szCs w:val="24"/>
        </w:rPr>
      </w:pPr>
    </w:p>
    <w:p w14:paraId="0187DF57" w14:textId="77777777" w:rsidR="004079B7" w:rsidRPr="00094A34" w:rsidRDefault="004079B7">
      <w:pPr>
        <w:ind w:left="720" w:hanging="720"/>
        <w:jc w:val="both"/>
        <w:rPr>
          <w:rFonts w:ascii="Arial" w:hAnsi="Arial" w:cs="Arial"/>
          <w:sz w:val="24"/>
          <w:szCs w:val="24"/>
        </w:rPr>
      </w:pPr>
      <w:r w:rsidRPr="00094A34">
        <w:rPr>
          <w:rFonts w:ascii="Arial" w:hAnsi="Arial" w:cs="Arial"/>
          <w:sz w:val="24"/>
          <w:szCs w:val="24"/>
        </w:rPr>
        <w:t>(iii)</w:t>
      </w:r>
      <w:r w:rsidRPr="00094A34">
        <w:rPr>
          <w:rFonts w:ascii="Arial" w:hAnsi="Arial" w:cs="Arial"/>
          <w:sz w:val="24"/>
          <w:szCs w:val="24"/>
        </w:rPr>
        <w:tab/>
      </w:r>
      <w:r w:rsidRPr="00CA3D5B">
        <w:rPr>
          <w:rFonts w:ascii="Arial" w:hAnsi="Arial" w:cs="Arial"/>
          <w:sz w:val="24"/>
          <w:szCs w:val="24"/>
        </w:rPr>
        <w:t>cada CEDEAR emitido representará la cantidad de</w:t>
      </w:r>
      <w:r w:rsidR="00EB0210" w:rsidRPr="00CA3D5B">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BE76BF" w:rsidRPr="00CA3D5B">
        <w:rPr>
          <w:rFonts w:ascii="Arial" w:hAnsi="Arial" w:cs="Arial"/>
          <w:sz w:val="24"/>
          <w:szCs w:val="24"/>
        </w:rPr>
        <w:t xml:space="preserve"> </w:t>
      </w:r>
      <w:r w:rsidRPr="00CA3D5B">
        <w:rPr>
          <w:rFonts w:ascii="Arial" w:hAnsi="Arial" w:cs="Arial"/>
          <w:sz w:val="24"/>
          <w:szCs w:val="24"/>
        </w:rPr>
        <w:t>según se establece en el presente; y</w:t>
      </w:r>
      <w:r w:rsidRPr="00094A34">
        <w:rPr>
          <w:rFonts w:ascii="Arial" w:hAnsi="Arial" w:cs="Arial"/>
          <w:sz w:val="24"/>
          <w:szCs w:val="24"/>
        </w:rPr>
        <w:t xml:space="preserve"> </w:t>
      </w:r>
    </w:p>
    <w:p w14:paraId="548FACC0" w14:textId="77777777" w:rsidR="004079B7" w:rsidRPr="00094A34" w:rsidRDefault="004079B7">
      <w:pPr>
        <w:jc w:val="both"/>
        <w:rPr>
          <w:rFonts w:ascii="Arial" w:hAnsi="Arial" w:cs="Arial"/>
          <w:sz w:val="24"/>
          <w:szCs w:val="24"/>
        </w:rPr>
      </w:pPr>
    </w:p>
    <w:p w14:paraId="26E318AB" w14:textId="77777777" w:rsidR="004079B7" w:rsidRPr="008D1681" w:rsidRDefault="004079B7" w:rsidP="00BA7A48">
      <w:pPr>
        <w:ind w:left="720" w:hanging="720"/>
        <w:jc w:val="both"/>
        <w:rPr>
          <w:rFonts w:ascii="Arial" w:hAnsi="Arial" w:cs="Arial"/>
          <w:sz w:val="24"/>
          <w:szCs w:val="24"/>
        </w:rPr>
      </w:pPr>
      <w:r w:rsidRPr="00094A34">
        <w:rPr>
          <w:rFonts w:ascii="Arial" w:hAnsi="Arial" w:cs="Arial"/>
          <w:sz w:val="24"/>
          <w:szCs w:val="24"/>
        </w:rPr>
        <w:t>(iv)</w:t>
      </w:r>
      <w:r w:rsidRPr="00094A34">
        <w:rPr>
          <w:rFonts w:ascii="Arial" w:hAnsi="Arial" w:cs="Arial"/>
          <w:sz w:val="24"/>
          <w:szCs w:val="24"/>
        </w:rPr>
        <w:tab/>
        <w:t>El Titular registrado en el Registro Escritural del Programa de Emisión de CEDEAR</w:t>
      </w:r>
      <w:r w:rsidR="00891C80" w:rsidRPr="00094A34">
        <w:rPr>
          <w:rFonts w:ascii="Arial" w:hAnsi="Arial" w:cs="Arial"/>
          <w:sz w:val="24"/>
          <w:szCs w:val="24"/>
        </w:rPr>
        <w:t>,</w:t>
      </w:r>
      <w:r w:rsidRPr="00094A34">
        <w:rPr>
          <w:rFonts w:ascii="Arial" w:hAnsi="Arial" w:cs="Arial"/>
          <w:sz w:val="24"/>
          <w:szCs w:val="24"/>
        </w:rPr>
        <w:t xml:space="preserve"> es el Titular del CEDEAR emitido y, salvo expresa disposici</w:t>
      </w:r>
      <w:r w:rsidR="000E34C9" w:rsidRPr="00094A34">
        <w:rPr>
          <w:rFonts w:ascii="Arial" w:hAnsi="Arial" w:cs="Arial"/>
          <w:sz w:val="24"/>
          <w:szCs w:val="24"/>
        </w:rPr>
        <w:t xml:space="preserve">ón en contrario establecida en </w:t>
      </w:r>
      <w:r w:rsidR="005E1C86">
        <w:rPr>
          <w:rFonts w:ascii="Arial" w:hAnsi="Arial" w:cs="Arial"/>
          <w:sz w:val="24"/>
          <w:szCs w:val="24"/>
        </w:rPr>
        <w:t>e</w:t>
      </w:r>
      <w:r w:rsidRPr="00094A34">
        <w:rPr>
          <w:rFonts w:ascii="Arial" w:hAnsi="Arial" w:cs="Arial"/>
          <w:sz w:val="24"/>
          <w:szCs w:val="24"/>
        </w:rPr>
        <w:t xml:space="preserve">stos Términos y Condiciones, contra la solicitud </w:t>
      </w:r>
      <w:r w:rsidR="00A91B92">
        <w:rPr>
          <w:rFonts w:ascii="Arial" w:hAnsi="Arial" w:cs="Arial"/>
          <w:sz w:val="24"/>
          <w:szCs w:val="24"/>
        </w:rPr>
        <w:t>de cancelación</w:t>
      </w:r>
      <w:r w:rsidR="00DF01E5">
        <w:rPr>
          <w:rFonts w:ascii="Arial" w:hAnsi="Arial" w:cs="Arial"/>
          <w:sz w:val="24"/>
          <w:szCs w:val="24"/>
        </w:rPr>
        <w:t xml:space="preserve"> de los CEDEARs</w:t>
      </w:r>
      <w:r w:rsidR="00891C80" w:rsidRPr="00094A34">
        <w:rPr>
          <w:rFonts w:ascii="Arial" w:hAnsi="Arial" w:cs="Arial"/>
          <w:sz w:val="24"/>
          <w:szCs w:val="24"/>
        </w:rPr>
        <w:t>,</w:t>
      </w:r>
      <w:r w:rsidRPr="00094A34">
        <w:rPr>
          <w:rFonts w:ascii="Arial" w:hAnsi="Arial" w:cs="Arial"/>
          <w:sz w:val="24"/>
          <w:szCs w:val="24"/>
        </w:rPr>
        <w:t xml:space="preserve"> con la intervención del Agente de Registro mediante la documentación requerida por </w:t>
      </w:r>
      <w:r w:rsidR="005E1C86">
        <w:rPr>
          <w:rFonts w:ascii="Arial" w:hAnsi="Arial" w:cs="Arial"/>
          <w:sz w:val="24"/>
          <w:szCs w:val="24"/>
        </w:rPr>
        <w:t>é</w:t>
      </w:r>
      <w:r w:rsidRPr="00094A34">
        <w:rPr>
          <w:rFonts w:ascii="Arial" w:hAnsi="Arial" w:cs="Arial"/>
          <w:sz w:val="24"/>
          <w:szCs w:val="24"/>
        </w:rPr>
        <w:t>s</w:t>
      </w:r>
      <w:r w:rsidR="004A61CF">
        <w:rPr>
          <w:rFonts w:ascii="Arial" w:hAnsi="Arial" w:cs="Arial"/>
          <w:sz w:val="24"/>
          <w:szCs w:val="24"/>
        </w:rPr>
        <w:t>te</w:t>
      </w:r>
      <w:r w:rsidRPr="00094A34">
        <w:rPr>
          <w:rFonts w:ascii="Arial" w:hAnsi="Arial" w:cs="Arial"/>
          <w:sz w:val="24"/>
          <w:szCs w:val="24"/>
        </w:rPr>
        <w:t xml:space="preserve">, y contra el pago de las comisiones y gastos estipulados en estos Términos y  Condiciones, tiene derecho al canje irrestricto por </w:t>
      </w:r>
      <w:r w:rsidR="0031355D" w:rsidRPr="00094A34">
        <w:rPr>
          <w:rFonts w:ascii="Arial" w:hAnsi="Arial" w:cs="Arial"/>
          <w:sz w:val="24"/>
          <w:szCs w:val="24"/>
        </w:rPr>
        <w:t>l</w:t>
      </w:r>
      <w:r w:rsidR="00E63B6E">
        <w:rPr>
          <w:rFonts w:ascii="Arial" w:hAnsi="Arial" w:cs="Arial"/>
          <w:sz w:val="24"/>
          <w:szCs w:val="24"/>
        </w:rPr>
        <w:t>o</w:t>
      </w:r>
      <w:r w:rsidR="0031355D" w:rsidRPr="00094A34">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094A34">
        <w:rPr>
          <w:rFonts w:ascii="Arial" w:hAnsi="Arial" w:cs="Arial"/>
          <w:sz w:val="24"/>
          <w:szCs w:val="24"/>
        </w:rPr>
        <w:t>que representa</w:t>
      </w:r>
      <w:r w:rsidR="00DF01E5">
        <w:rPr>
          <w:rFonts w:ascii="Arial" w:hAnsi="Arial" w:cs="Arial"/>
          <w:sz w:val="24"/>
          <w:szCs w:val="24"/>
        </w:rPr>
        <w:t>n</w:t>
      </w:r>
      <w:r w:rsidRPr="00094A34">
        <w:rPr>
          <w:rFonts w:ascii="Arial" w:hAnsi="Arial" w:cs="Arial"/>
          <w:sz w:val="24"/>
          <w:szCs w:val="24"/>
        </w:rPr>
        <w:t xml:space="preserve"> </w:t>
      </w:r>
      <w:r w:rsidR="00DF01E5">
        <w:rPr>
          <w:rFonts w:ascii="Arial" w:hAnsi="Arial" w:cs="Arial"/>
          <w:sz w:val="24"/>
          <w:szCs w:val="24"/>
        </w:rPr>
        <w:t xml:space="preserve">los </w:t>
      </w:r>
      <w:r w:rsidRPr="00094A34">
        <w:rPr>
          <w:rFonts w:ascii="Arial" w:hAnsi="Arial" w:cs="Arial"/>
          <w:sz w:val="24"/>
          <w:szCs w:val="24"/>
        </w:rPr>
        <w:t>CEDEAR</w:t>
      </w:r>
      <w:r w:rsidR="00DF01E5">
        <w:rPr>
          <w:rFonts w:ascii="Arial" w:hAnsi="Arial" w:cs="Arial"/>
          <w:sz w:val="24"/>
          <w:szCs w:val="24"/>
        </w:rPr>
        <w:t>s</w:t>
      </w:r>
      <w:r w:rsidRPr="00094A34">
        <w:rPr>
          <w:rFonts w:ascii="Arial" w:hAnsi="Arial" w:cs="Arial"/>
          <w:sz w:val="24"/>
          <w:szCs w:val="24"/>
        </w:rPr>
        <w:t>, a opción del Titular y de conformidad con las leyes y reglamentaciones gubernamentales aplicables</w:t>
      </w:r>
      <w:r w:rsidR="00B54FC1" w:rsidRPr="00094A34">
        <w:rPr>
          <w:rFonts w:ascii="Arial" w:hAnsi="Arial" w:cs="Arial"/>
          <w:sz w:val="24"/>
          <w:szCs w:val="24"/>
        </w:rPr>
        <w:t>.</w:t>
      </w:r>
      <w:r w:rsidRPr="008D1681">
        <w:rPr>
          <w:rFonts w:ascii="Arial" w:hAnsi="Arial" w:cs="Arial"/>
          <w:sz w:val="24"/>
          <w:szCs w:val="24"/>
        </w:rPr>
        <w:t xml:space="preserve"> </w:t>
      </w:r>
    </w:p>
    <w:p w14:paraId="71363208" w14:textId="77777777" w:rsidR="004079B7" w:rsidRPr="008D1681" w:rsidRDefault="004079B7">
      <w:pPr>
        <w:tabs>
          <w:tab w:val="left" w:pos="1134"/>
        </w:tabs>
        <w:jc w:val="both"/>
        <w:rPr>
          <w:rFonts w:ascii="Arial" w:hAnsi="Arial" w:cs="Arial"/>
          <w:sz w:val="24"/>
          <w:szCs w:val="24"/>
        </w:rPr>
      </w:pPr>
    </w:p>
    <w:p w14:paraId="472A5BE9" w14:textId="77777777" w:rsidR="004079B7" w:rsidRPr="008D1681" w:rsidRDefault="004079B7">
      <w:pPr>
        <w:tabs>
          <w:tab w:val="left" w:pos="709"/>
        </w:tabs>
        <w:ind w:left="709" w:hanging="709"/>
        <w:jc w:val="both"/>
        <w:rPr>
          <w:rFonts w:ascii="Arial" w:hAnsi="Arial" w:cs="Arial"/>
          <w:sz w:val="24"/>
          <w:szCs w:val="24"/>
        </w:rPr>
      </w:pPr>
      <w:r w:rsidRPr="008D1681">
        <w:rPr>
          <w:rFonts w:ascii="Arial" w:hAnsi="Arial" w:cs="Arial"/>
          <w:sz w:val="24"/>
          <w:szCs w:val="24"/>
        </w:rPr>
        <w:t>(v)</w:t>
      </w:r>
      <w:r w:rsidRPr="008D1681">
        <w:rPr>
          <w:rFonts w:ascii="Arial" w:hAnsi="Arial" w:cs="Arial"/>
          <w:sz w:val="24"/>
          <w:szCs w:val="24"/>
        </w:rPr>
        <w:tab/>
        <w:t>En ningún caso el Banco otorgará al Titular, y en particular e</w:t>
      </w:r>
      <w:r w:rsidR="000F4ACC" w:rsidRPr="008D1681">
        <w:rPr>
          <w:rFonts w:ascii="Arial" w:hAnsi="Arial" w:cs="Arial"/>
          <w:sz w:val="24"/>
          <w:szCs w:val="24"/>
        </w:rPr>
        <w:t>n los supuestos de l</w:t>
      </w:r>
      <w:r w:rsidR="0084412B" w:rsidRPr="008D1681">
        <w:rPr>
          <w:rFonts w:ascii="Arial" w:hAnsi="Arial" w:cs="Arial"/>
          <w:sz w:val="24"/>
          <w:szCs w:val="24"/>
        </w:rPr>
        <w:t>os</w:t>
      </w:r>
      <w:r w:rsidR="000F4ACC" w:rsidRPr="008D1681">
        <w:rPr>
          <w:rFonts w:ascii="Arial" w:hAnsi="Arial" w:cs="Arial"/>
          <w:sz w:val="24"/>
          <w:szCs w:val="24"/>
        </w:rPr>
        <w:t xml:space="preserve"> </w:t>
      </w:r>
      <w:r w:rsidR="00C16911">
        <w:rPr>
          <w:rFonts w:ascii="Arial" w:hAnsi="Arial" w:cs="Arial"/>
          <w:sz w:val="24"/>
          <w:szCs w:val="24"/>
        </w:rPr>
        <w:t>a</w:t>
      </w:r>
      <w:r w:rsidR="0084412B" w:rsidRPr="008D1681">
        <w:rPr>
          <w:rFonts w:ascii="Arial" w:hAnsi="Arial" w:cs="Arial"/>
          <w:sz w:val="24"/>
          <w:szCs w:val="24"/>
        </w:rPr>
        <w:t>rtículos</w:t>
      </w:r>
      <w:r w:rsidRPr="008D1681">
        <w:rPr>
          <w:rFonts w:ascii="Arial" w:hAnsi="Arial" w:cs="Arial"/>
          <w:sz w:val="24"/>
          <w:szCs w:val="24"/>
        </w:rPr>
        <w:t xml:space="preserve"> 1</w:t>
      </w:r>
      <w:r w:rsidR="00234988">
        <w:rPr>
          <w:rFonts w:ascii="Arial" w:hAnsi="Arial" w:cs="Arial"/>
          <w:sz w:val="24"/>
          <w:szCs w:val="24"/>
        </w:rPr>
        <w:t>3</w:t>
      </w:r>
      <w:r w:rsidRPr="008D1681">
        <w:rPr>
          <w:rFonts w:ascii="Arial" w:hAnsi="Arial" w:cs="Arial"/>
          <w:sz w:val="24"/>
          <w:szCs w:val="24"/>
        </w:rPr>
        <w:t xml:space="preserve"> </w:t>
      </w:r>
      <w:r w:rsidRPr="00C54BEA">
        <w:rPr>
          <w:rFonts w:ascii="Arial" w:hAnsi="Arial" w:cs="Arial"/>
          <w:sz w:val="24"/>
          <w:szCs w:val="24"/>
        </w:rPr>
        <w:t>y 1</w:t>
      </w:r>
      <w:r w:rsidR="001C7B17">
        <w:rPr>
          <w:rFonts w:ascii="Arial" w:hAnsi="Arial" w:cs="Arial"/>
          <w:sz w:val="24"/>
          <w:szCs w:val="24"/>
        </w:rPr>
        <w:t>4</w:t>
      </w:r>
      <w:r w:rsidRPr="00C54BEA">
        <w:rPr>
          <w:rFonts w:ascii="Arial" w:hAnsi="Arial" w:cs="Arial"/>
          <w:sz w:val="24"/>
          <w:szCs w:val="24"/>
        </w:rPr>
        <w:t xml:space="preserve">, mayores derechos que los que el Banco posea como Titular </w:t>
      </w:r>
      <w:r w:rsidR="0031355D" w:rsidRPr="00C54BEA">
        <w:rPr>
          <w:rFonts w:ascii="Arial" w:hAnsi="Arial" w:cs="Arial"/>
          <w:sz w:val="24"/>
          <w:szCs w:val="24"/>
        </w:rPr>
        <w:t xml:space="preserve">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3A0B7F">
        <w:rPr>
          <w:rFonts w:ascii="Arial" w:hAnsi="Arial" w:cs="Arial"/>
          <w:sz w:val="24"/>
          <w:szCs w:val="24"/>
        </w:rPr>
        <w:t>.</w:t>
      </w:r>
    </w:p>
    <w:p w14:paraId="3F14CEFD" w14:textId="77777777" w:rsidR="004079B7" w:rsidRPr="008D1681" w:rsidRDefault="004079B7">
      <w:pPr>
        <w:tabs>
          <w:tab w:val="left" w:pos="1134"/>
        </w:tabs>
        <w:ind w:left="709"/>
        <w:jc w:val="both"/>
        <w:rPr>
          <w:rFonts w:ascii="Arial" w:hAnsi="Arial" w:cs="Arial"/>
          <w:sz w:val="24"/>
          <w:szCs w:val="24"/>
        </w:rPr>
      </w:pPr>
    </w:p>
    <w:p w14:paraId="1C55957B" w14:textId="77777777" w:rsidR="004079B7" w:rsidRPr="008D1681" w:rsidRDefault="004079B7">
      <w:pPr>
        <w:ind w:left="709" w:hanging="709"/>
        <w:jc w:val="both"/>
        <w:rPr>
          <w:rFonts w:ascii="Arial" w:hAnsi="Arial" w:cs="Arial"/>
          <w:sz w:val="24"/>
          <w:szCs w:val="24"/>
        </w:rPr>
      </w:pPr>
      <w:r w:rsidRPr="008D1681">
        <w:rPr>
          <w:rFonts w:ascii="Arial" w:hAnsi="Arial" w:cs="Arial"/>
          <w:sz w:val="24"/>
          <w:szCs w:val="24"/>
        </w:rPr>
        <w:t>(vi)</w:t>
      </w:r>
      <w:r w:rsidRPr="008D1681">
        <w:rPr>
          <w:rFonts w:ascii="Arial" w:hAnsi="Arial" w:cs="Arial"/>
          <w:sz w:val="24"/>
          <w:szCs w:val="24"/>
        </w:rPr>
        <w:tab/>
        <w:t>La adquisición de la titularidad del CEDEAR por cualquier causa</w:t>
      </w:r>
      <w:r w:rsidR="009D2704" w:rsidRPr="008D1681">
        <w:rPr>
          <w:rFonts w:ascii="Arial" w:hAnsi="Arial" w:cs="Arial"/>
          <w:sz w:val="24"/>
          <w:szCs w:val="24"/>
        </w:rPr>
        <w:t>,</w:t>
      </w:r>
      <w:r w:rsidRPr="008D1681">
        <w:rPr>
          <w:rFonts w:ascii="Arial" w:hAnsi="Arial" w:cs="Arial"/>
          <w:sz w:val="24"/>
          <w:szCs w:val="24"/>
        </w:rPr>
        <w:t xml:space="preserve"> importará la aceptación plena de estos Términos y Condiciones de Emisión, que regirán el Programa de Certificados de Depósito Argentinos. </w:t>
      </w:r>
    </w:p>
    <w:p w14:paraId="1A5453CC" w14:textId="77777777" w:rsidR="004079B7" w:rsidRPr="008D1681" w:rsidRDefault="004079B7">
      <w:pPr>
        <w:jc w:val="both"/>
        <w:rPr>
          <w:rFonts w:ascii="Arial" w:hAnsi="Arial" w:cs="Arial"/>
          <w:sz w:val="24"/>
          <w:szCs w:val="24"/>
        </w:rPr>
      </w:pPr>
    </w:p>
    <w:p w14:paraId="301F70DB" w14:textId="51D06E1F" w:rsidR="00444AD8" w:rsidRDefault="00444AD8" w:rsidP="00444AD8">
      <w:pPr>
        <w:jc w:val="both"/>
        <w:rPr>
          <w:rFonts w:ascii="Arial" w:hAnsi="Arial" w:cs="Arial"/>
          <w:sz w:val="24"/>
          <w:szCs w:val="24"/>
        </w:rPr>
      </w:pPr>
      <w:r w:rsidRPr="00E53DCA">
        <w:rPr>
          <w:rFonts w:ascii="Arial" w:hAnsi="Arial" w:cs="Arial"/>
          <w:sz w:val="24"/>
          <w:szCs w:val="24"/>
        </w:rPr>
        <w:t xml:space="preserve">El término "Titular" significa cualquier persona que se encuentre inscripta como tal en el Registro Escritural del Programa de CEDEAR que como Agente de Registro actualmente lleva la Caja de Valores S.A. por cuenta y orden del Banco. El término "Ley de Títulos de 1933" significa la Ley de Títulos Valores de los Estados Unidos de 1933, con sus modificaciones periódicas. </w:t>
      </w:r>
      <w:r w:rsidR="000A2745" w:rsidRPr="00E53DCA">
        <w:rPr>
          <w:rFonts w:ascii="Arial" w:hAnsi="Arial" w:cs="Arial"/>
          <w:sz w:val="24"/>
          <w:szCs w:val="24"/>
        </w:rPr>
        <w:t xml:space="preserve">En este Prospecto el término </w:t>
      </w:r>
      <w:r w:rsidR="00666A1D" w:rsidRPr="00E53DCA">
        <w:rPr>
          <w:rFonts w:ascii="Arial" w:hAnsi="Arial" w:cs="Arial"/>
          <w:sz w:val="24"/>
          <w:szCs w:val="24"/>
        </w:rPr>
        <w:t>“</w:t>
      </w:r>
      <w:proofErr w:type="spellStart"/>
      <w:r w:rsidR="00477BC5">
        <w:rPr>
          <w:rFonts w:ascii="Arial" w:hAnsi="Arial" w:cs="Arial"/>
          <w:sz w:val="24"/>
          <w:szCs w:val="24"/>
        </w:rPr>
        <w:t>ADS</w:t>
      </w:r>
      <w:r w:rsidR="000A2745" w:rsidRPr="00E53DCA">
        <w:rPr>
          <w:rFonts w:ascii="Arial" w:hAnsi="Arial" w:cs="Arial"/>
          <w:sz w:val="24"/>
          <w:szCs w:val="24"/>
        </w:rPr>
        <w:t>s</w:t>
      </w:r>
      <w:proofErr w:type="spellEnd"/>
      <w:r w:rsidR="00666A1D" w:rsidRPr="00E53DCA">
        <w:rPr>
          <w:rFonts w:ascii="Arial" w:hAnsi="Arial" w:cs="Arial"/>
          <w:sz w:val="24"/>
          <w:szCs w:val="24"/>
        </w:rPr>
        <w:t>”</w:t>
      </w:r>
      <w:r w:rsidR="000A2745" w:rsidRPr="00E53DCA">
        <w:rPr>
          <w:rFonts w:ascii="Arial" w:hAnsi="Arial" w:cs="Arial"/>
          <w:sz w:val="24"/>
          <w:szCs w:val="24"/>
        </w:rPr>
        <w:t xml:space="preserve"> hace referencia a aquellos </w:t>
      </w:r>
      <w:proofErr w:type="spellStart"/>
      <w:r w:rsidR="00477BC5">
        <w:rPr>
          <w:rFonts w:ascii="Arial" w:hAnsi="Arial" w:cs="Arial"/>
          <w:sz w:val="24"/>
          <w:szCs w:val="24"/>
        </w:rPr>
        <w:t>ADS</w:t>
      </w:r>
      <w:r w:rsidR="000A2745" w:rsidRPr="00E53DCA">
        <w:rPr>
          <w:rFonts w:ascii="Arial" w:hAnsi="Arial" w:cs="Arial"/>
          <w:sz w:val="24"/>
          <w:szCs w:val="24"/>
        </w:rPr>
        <w:t>s</w:t>
      </w:r>
      <w:proofErr w:type="spellEnd"/>
      <w:r w:rsidR="000A2745" w:rsidRPr="00E53DCA">
        <w:rPr>
          <w:rFonts w:ascii="Arial" w:hAnsi="Arial" w:cs="Arial"/>
          <w:sz w:val="24"/>
          <w:szCs w:val="24"/>
        </w:rPr>
        <w:t xml:space="preserve"> que podrán ser depositados en el Banco Custodio a los efectos de </w:t>
      </w:r>
      <w:r w:rsidR="00646FEC">
        <w:rPr>
          <w:rFonts w:ascii="Arial" w:hAnsi="Arial" w:cs="Arial"/>
          <w:sz w:val="24"/>
          <w:szCs w:val="24"/>
        </w:rPr>
        <w:t xml:space="preserve">que </w:t>
      </w:r>
      <w:r w:rsidR="000A2745" w:rsidRPr="00E53DCA">
        <w:rPr>
          <w:rFonts w:ascii="Arial" w:hAnsi="Arial" w:cs="Arial"/>
          <w:sz w:val="24"/>
          <w:szCs w:val="24"/>
        </w:rPr>
        <w:t xml:space="preserve">sean representados por los </w:t>
      </w:r>
      <w:proofErr w:type="spellStart"/>
      <w:r w:rsidR="000A2745" w:rsidRPr="00E53DCA">
        <w:rPr>
          <w:rFonts w:ascii="Arial" w:hAnsi="Arial" w:cs="Arial"/>
          <w:sz w:val="24"/>
          <w:szCs w:val="24"/>
        </w:rPr>
        <w:t>CEDEARs</w:t>
      </w:r>
      <w:proofErr w:type="spellEnd"/>
      <w:r w:rsidR="001447B4" w:rsidRPr="00E53DCA">
        <w:rPr>
          <w:rFonts w:ascii="Arial" w:hAnsi="Arial" w:cs="Arial"/>
          <w:sz w:val="24"/>
          <w:szCs w:val="24"/>
        </w:rPr>
        <w:t xml:space="preserve">; estos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1447B4" w:rsidRPr="00E53DCA">
        <w:rPr>
          <w:rFonts w:ascii="Arial" w:hAnsi="Arial" w:cs="Arial"/>
          <w:sz w:val="24"/>
          <w:szCs w:val="24"/>
        </w:rPr>
        <w:t xml:space="preserve"> actualmente o en el futuro emitidos, en circulación, totalmente integrados, no sujetos a pagos adicionales, libres de todo derecho de preferencia de los tenedores de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1447B4" w:rsidRPr="00E53DCA">
        <w:rPr>
          <w:rFonts w:ascii="Arial" w:hAnsi="Arial" w:cs="Arial"/>
          <w:sz w:val="24"/>
          <w:szCs w:val="24"/>
        </w:rPr>
        <w:t xml:space="preserve"> en circulación o los certificados provisorios representativos de dichos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E85A63" w:rsidRPr="00E53DCA">
        <w:rPr>
          <w:rFonts w:ascii="Arial" w:hAnsi="Arial" w:cs="Arial"/>
          <w:sz w:val="24"/>
          <w:szCs w:val="24"/>
        </w:rPr>
        <w:t xml:space="preserve">. </w:t>
      </w:r>
      <w:r w:rsidR="00902340" w:rsidRPr="00902340">
        <w:rPr>
          <w:rFonts w:ascii="Arial" w:hAnsi="Arial" w:cs="Arial"/>
          <w:sz w:val="24"/>
          <w:szCs w:val="24"/>
        </w:rPr>
        <w:t>El término "</w:t>
      </w:r>
      <w:proofErr w:type="spellStart"/>
      <w:r w:rsidR="00902340" w:rsidRPr="00902340">
        <w:rPr>
          <w:rFonts w:ascii="Arial" w:hAnsi="Arial" w:cs="Arial"/>
          <w:sz w:val="24"/>
          <w:szCs w:val="24"/>
        </w:rPr>
        <w:t>ADSs</w:t>
      </w:r>
      <w:proofErr w:type="spellEnd"/>
      <w:r w:rsidR="00902340" w:rsidRPr="00902340">
        <w:rPr>
          <w:rFonts w:ascii="Arial" w:hAnsi="Arial" w:cs="Arial"/>
          <w:sz w:val="24"/>
          <w:szCs w:val="24"/>
        </w:rPr>
        <w:t xml:space="preserve">" significa las “Acciones en Depósito” o American </w:t>
      </w:r>
      <w:proofErr w:type="spellStart"/>
      <w:r w:rsidR="00902340" w:rsidRPr="00FF467E">
        <w:rPr>
          <w:rFonts w:ascii="Arial" w:hAnsi="Arial" w:cs="Arial"/>
          <w:sz w:val="24"/>
          <w:szCs w:val="24"/>
        </w:rPr>
        <w:t>Depositary</w:t>
      </w:r>
      <w:proofErr w:type="spellEnd"/>
      <w:r w:rsidR="00902340" w:rsidRPr="00FF467E">
        <w:rPr>
          <w:rFonts w:ascii="Arial" w:hAnsi="Arial" w:cs="Arial"/>
          <w:sz w:val="24"/>
          <w:szCs w:val="24"/>
        </w:rPr>
        <w:t xml:space="preserve"> Shares </w:t>
      </w:r>
      <w:r w:rsidR="00727CA8" w:rsidRPr="00FF467E">
        <w:rPr>
          <w:rFonts w:ascii="Arial" w:hAnsi="Arial" w:cs="Arial"/>
          <w:sz w:val="24"/>
          <w:szCs w:val="24"/>
        </w:rPr>
        <w:t xml:space="preserve">emitidas </w:t>
      </w:r>
      <w:r w:rsidR="00902340" w:rsidRPr="00FF467E">
        <w:rPr>
          <w:rFonts w:ascii="Arial" w:hAnsi="Arial" w:cs="Arial"/>
          <w:sz w:val="24"/>
          <w:szCs w:val="24"/>
        </w:rPr>
        <w:t>en los Estados Unidos de América por el banco depositario consignado en la Tabla N°3, y que representa, a su vez, acciones ordinarias en custodia.</w:t>
      </w:r>
      <w:r w:rsidR="000A2745" w:rsidRPr="00FF467E">
        <w:rPr>
          <w:rFonts w:ascii="Arial" w:hAnsi="Arial" w:cs="Arial"/>
          <w:sz w:val="24"/>
          <w:szCs w:val="24"/>
        </w:rPr>
        <w:t xml:space="preserve"> </w:t>
      </w:r>
      <w:r w:rsidRPr="00FF467E">
        <w:rPr>
          <w:rFonts w:ascii="Arial" w:hAnsi="Arial" w:cs="Arial"/>
          <w:sz w:val="24"/>
          <w:szCs w:val="24"/>
        </w:rPr>
        <w:t>El término “</w:t>
      </w:r>
      <w:r w:rsidR="007B6DCA" w:rsidRPr="00FF467E">
        <w:rPr>
          <w:rFonts w:ascii="Arial" w:hAnsi="Arial" w:cs="Arial"/>
          <w:sz w:val="24"/>
          <w:szCs w:val="24"/>
        </w:rPr>
        <w:t>A</w:t>
      </w:r>
      <w:r w:rsidR="001447B4" w:rsidRPr="00FF467E">
        <w:rPr>
          <w:rFonts w:ascii="Arial" w:hAnsi="Arial" w:cs="Arial"/>
          <w:sz w:val="24"/>
          <w:szCs w:val="24"/>
        </w:rPr>
        <w:t>cciones</w:t>
      </w:r>
      <w:r w:rsidR="00BE583E" w:rsidRPr="00FF467E">
        <w:rPr>
          <w:rFonts w:ascii="Arial" w:hAnsi="Arial" w:cs="Arial"/>
          <w:sz w:val="24"/>
          <w:szCs w:val="24"/>
        </w:rPr>
        <w:t xml:space="preserve"> </w:t>
      </w:r>
      <w:r w:rsidR="007B6DCA" w:rsidRPr="00FF467E">
        <w:rPr>
          <w:rFonts w:ascii="Arial" w:hAnsi="Arial" w:cs="Arial"/>
          <w:sz w:val="24"/>
          <w:szCs w:val="24"/>
        </w:rPr>
        <w:t>S</w:t>
      </w:r>
      <w:r w:rsidR="00BE583E" w:rsidRPr="00FF467E">
        <w:rPr>
          <w:rFonts w:ascii="Arial" w:hAnsi="Arial" w:cs="Arial"/>
          <w:sz w:val="24"/>
          <w:szCs w:val="24"/>
        </w:rPr>
        <w:t>ubyacente</w:t>
      </w:r>
      <w:r w:rsidR="001447B4" w:rsidRPr="00FF467E">
        <w:rPr>
          <w:rFonts w:ascii="Arial" w:hAnsi="Arial" w:cs="Arial"/>
          <w:sz w:val="24"/>
          <w:szCs w:val="24"/>
        </w:rPr>
        <w:t>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E53DCA">
        <w:rPr>
          <w:rFonts w:ascii="Arial" w:hAnsi="Arial" w:cs="Arial"/>
          <w:sz w:val="24"/>
          <w:szCs w:val="24"/>
        </w:rPr>
        <w:t>” significa las acciones</w:t>
      </w:r>
      <w:r w:rsidR="00BE583E" w:rsidRPr="00E53DCA">
        <w:rPr>
          <w:rFonts w:ascii="Arial" w:hAnsi="Arial" w:cs="Arial"/>
          <w:sz w:val="24"/>
          <w:szCs w:val="24"/>
        </w:rPr>
        <w:t xml:space="preserve"> representadas por los </w:t>
      </w:r>
      <w:proofErr w:type="spellStart"/>
      <w:r w:rsidR="00477BC5">
        <w:rPr>
          <w:rFonts w:ascii="Arial" w:hAnsi="Arial" w:cs="Arial"/>
          <w:sz w:val="24"/>
          <w:szCs w:val="24"/>
        </w:rPr>
        <w:t>ADS</w:t>
      </w:r>
      <w:r w:rsidR="00BE583E" w:rsidRPr="00E53DCA">
        <w:rPr>
          <w:rFonts w:ascii="Arial" w:hAnsi="Arial" w:cs="Arial"/>
          <w:sz w:val="24"/>
          <w:szCs w:val="24"/>
        </w:rPr>
        <w:t>s</w:t>
      </w:r>
      <w:proofErr w:type="spellEnd"/>
      <w:r w:rsidR="003245D6" w:rsidRPr="00E53DCA">
        <w:rPr>
          <w:rFonts w:ascii="Arial" w:hAnsi="Arial" w:cs="Arial"/>
          <w:sz w:val="24"/>
          <w:szCs w:val="24"/>
        </w:rPr>
        <w:t>.</w:t>
      </w:r>
      <w:r w:rsidRPr="00E53DCA">
        <w:rPr>
          <w:rFonts w:ascii="Arial" w:hAnsi="Arial" w:cs="Arial"/>
          <w:sz w:val="24"/>
          <w:szCs w:val="24"/>
        </w:rPr>
        <w:t xml:space="preserve"> </w:t>
      </w:r>
    </w:p>
    <w:p w14:paraId="441D8549" w14:textId="3B8F1C2F" w:rsidR="00491DC1" w:rsidRDefault="00491DC1" w:rsidP="00444AD8">
      <w:pPr>
        <w:jc w:val="both"/>
        <w:rPr>
          <w:rFonts w:ascii="Arial" w:hAnsi="Arial" w:cs="Arial"/>
          <w:sz w:val="24"/>
          <w:szCs w:val="24"/>
        </w:rPr>
      </w:pPr>
    </w:p>
    <w:p w14:paraId="7C3908AB" w14:textId="77777777" w:rsidR="00491DC1" w:rsidRPr="00C3045E" w:rsidRDefault="00491DC1" w:rsidP="00444AD8">
      <w:pPr>
        <w:jc w:val="both"/>
        <w:rPr>
          <w:rFonts w:ascii="Arial" w:hAnsi="Arial" w:cs="Arial"/>
          <w:sz w:val="24"/>
          <w:szCs w:val="24"/>
        </w:rPr>
      </w:pPr>
    </w:p>
    <w:p w14:paraId="413960CB" w14:textId="77777777" w:rsidR="004079B7" w:rsidRDefault="00985148" w:rsidP="00985148">
      <w:pPr>
        <w:jc w:val="both"/>
        <w:rPr>
          <w:rFonts w:ascii="Arial" w:hAnsi="Arial" w:cs="Arial"/>
          <w:sz w:val="24"/>
          <w:szCs w:val="24"/>
        </w:rPr>
      </w:pPr>
      <w:r>
        <w:rPr>
          <w:rFonts w:ascii="Arial" w:hAnsi="Arial" w:cs="Arial"/>
          <w:b/>
          <w:i/>
          <w:sz w:val="24"/>
          <w:szCs w:val="24"/>
        </w:rPr>
        <w:tab/>
      </w:r>
      <w:r w:rsidR="004079B7" w:rsidRPr="00C21BB4">
        <w:rPr>
          <w:rFonts w:ascii="Arial" w:hAnsi="Arial" w:cs="Arial"/>
          <w:b/>
          <w:i/>
          <w:sz w:val="24"/>
          <w:szCs w:val="24"/>
        </w:rPr>
        <w:t>1.</w:t>
      </w:r>
      <w:r w:rsidR="004079B7" w:rsidRPr="00C21BB4">
        <w:rPr>
          <w:rFonts w:ascii="Arial" w:hAnsi="Arial" w:cs="Arial"/>
          <w:b/>
          <w:sz w:val="24"/>
          <w:szCs w:val="24"/>
        </w:rPr>
        <w:t xml:space="preserve"> </w:t>
      </w:r>
      <w:r w:rsidR="004079B7" w:rsidRPr="00C21BB4">
        <w:rPr>
          <w:rFonts w:ascii="Arial" w:hAnsi="Arial" w:cs="Arial"/>
          <w:b/>
          <w:i/>
          <w:sz w:val="24"/>
          <w:szCs w:val="24"/>
        </w:rPr>
        <w:t>Comprobante de la registración del CEDEAR</w:t>
      </w:r>
      <w:r w:rsidR="004079B7" w:rsidRPr="00C21BB4">
        <w:rPr>
          <w:rFonts w:ascii="Arial" w:hAnsi="Arial" w:cs="Arial"/>
          <w:sz w:val="24"/>
          <w:szCs w:val="24"/>
        </w:rPr>
        <w:t xml:space="preserve">. El Comprobante que emita el Agente de Registro (o el Banco si así lo decidiera en el futuro) será uno de una emisión continua de Comprobantes, que evidenciará la inscripción a favor del Titular de  CEDEAR, todos ellos representativos de derechos de igual tenor respecto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DE770C">
        <w:rPr>
          <w:rFonts w:ascii="Arial" w:hAnsi="Arial" w:cs="Arial"/>
          <w:sz w:val="24"/>
          <w:szCs w:val="24"/>
        </w:rPr>
        <w:t>y</w:t>
      </w:r>
      <w:r w:rsidR="004079B7" w:rsidRPr="00C21BB4">
        <w:rPr>
          <w:rFonts w:ascii="Arial" w:hAnsi="Arial" w:cs="Arial"/>
          <w:sz w:val="24"/>
          <w:szCs w:val="24"/>
        </w:rPr>
        <w:t xml:space="preserve"> emitid</w:t>
      </w:r>
      <w:r w:rsidR="00E63B6E">
        <w:rPr>
          <w:rFonts w:ascii="Arial" w:hAnsi="Arial" w:cs="Arial"/>
          <w:sz w:val="24"/>
          <w:szCs w:val="24"/>
        </w:rPr>
        <w:t>os o a ser emitido</w:t>
      </w:r>
      <w:r w:rsidR="004079B7" w:rsidRPr="00C21BB4">
        <w:rPr>
          <w:rFonts w:ascii="Arial" w:hAnsi="Arial" w:cs="Arial"/>
          <w:sz w:val="24"/>
          <w:szCs w:val="24"/>
        </w:rPr>
        <w:t>s en los Términos y Condiciones del</w:t>
      </w:r>
      <w:r w:rsidR="00DA2B11">
        <w:rPr>
          <w:rFonts w:ascii="Arial" w:hAnsi="Arial" w:cs="Arial"/>
          <w:sz w:val="24"/>
          <w:szCs w:val="24"/>
        </w:rPr>
        <w:t xml:space="preserve"> Programa de CEDEAR establecido</w:t>
      </w:r>
      <w:r w:rsidR="004079B7" w:rsidRPr="00C21BB4">
        <w:rPr>
          <w:rFonts w:ascii="Arial" w:hAnsi="Arial" w:cs="Arial"/>
          <w:sz w:val="24"/>
          <w:szCs w:val="24"/>
        </w:rPr>
        <w:t xml:space="preserve"> en </w:t>
      </w:r>
      <w:r w:rsidR="004079B7" w:rsidRPr="00F90351">
        <w:rPr>
          <w:rFonts w:ascii="Arial" w:hAnsi="Arial" w:cs="Arial"/>
          <w:sz w:val="24"/>
          <w:szCs w:val="24"/>
        </w:rPr>
        <w:t xml:space="preserve">el presente, los que regirán el acuerdo permanente por parte del Banco respecto de los </w:t>
      </w:r>
      <w:proofErr w:type="spellStart"/>
      <w:r w:rsidR="00477BC5">
        <w:rPr>
          <w:rFonts w:ascii="Arial" w:hAnsi="Arial" w:cs="Arial"/>
          <w:sz w:val="24"/>
          <w:szCs w:val="24"/>
        </w:rPr>
        <w:t>ADS</w:t>
      </w:r>
      <w:r w:rsidR="007B0A42">
        <w:rPr>
          <w:rFonts w:ascii="Arial" w:hAnsi="Arial" w:cs="Arial"/>
          <w:sz w:val="24"/>
          <w:szCs w:val="24"/>
        </w:rPr>
        <w:t>s</w:t>
      </w:r>
      <w:proofErr w:type="spellEnd"/>
      <w:r w:rsidR="007B0A42">
        <w:rPr>
          <w:rFonts w:ascii="Arial" w:hAnsi="Arial" w:cs="Arial"/>
          <w:sz w:val="24"/>
          <w:szCs w:val="24"/>
        </w:rPr>
        <w:t xml:space="preserve"> depositados</w:t>
      </w:r>
      <w:r w:rsidR="004079B7" w:rsidRPr="00F90351">
        <w:rPr>
          <w:rFonts w:ascii="Arial" w:hAnsi="Arial" w:cs="Arial"/>
          <w:sz w:val="24"/>
          <w:szCs w:val="24"/>
        </w:rPr>
        <w:t xml:space="preserve"> y</w:t>
      </w:r>
      <w:r w:rsidR="007B0A42">
        <w:rPr>
          <w:rFonts w:ascii="Arial" w:hAnsi="Arial" w:cs="Arial"/>
          <w:sz w:val="24"/>
          <w:szCs w:val="24"/>
        </w:rPr>
        <w:t xml:space="preserve"> </w:t>
      </w:r>
      <w:r w:rsidR="004079B7" w:rsidRPr="00F90351">
        <w:rPr>
          <w:rFonts w:ascii="Arial" w:hAnsi="Arial" w:cs="Arial"/>
          <w:sz w:val="24"/>
          <w:szCs w:val="24"/>
        </w:rPr>
        <w:t>también</w:t>
      </w:r>
      <w:r w:rsidR="007B0A42">
        <w:rPr>
          <w:rFonts w:ascii="Arial" w:hAnsi="Arial" w:cs="Arial"/>
          <w:sz w:val="24"/>
          <w:szCs w:val="24"/>
        </w:rPr>
        <w:t xml:space="preserve"> de</w:t>
      </w:r>
      <w:r w:rsidR="004079B7" w:rsidRPr="00F90351">
        <w:rPr>
          <w:rFonts w:ascii="Arial" w:hAnsi="Arial" w:cs="Arial"/>
          <w:sz w:val="24"/>
          <w:szCs w:val="24"/>
        </w:rPr>
        <w:t xml:space="preserve"> los derechos de los Titulares de CEDEAR</w:t>
      </w:r>
      <w:r w:rsidR="0063049C" w:rsidRPr="00F5470A">
        <w:rPr>
          <w:rFonts w:ascii="Arial" w:hAnsi="Arial" w:cs="Arial"/>
          <w:sz w:val="24"/>
          <w:szCs w:val="24"/>
        </w:rPr>
        <w:t>s</w:t>
      </w:r>
      <w:r w:rsidR="004079B7" w:rsidRPr="008B1E3A">
        <w:rPr>
          <w:rFonts w:ascii="Arial" w:hAnsi="Arial" w:cs="Arial"/>
          <w:sz w:val="24"/>
          <w:szCs w:val="24"/>
        </w:rPr>
        <w:t>. El Banco no aceptará en depósit</w:t>
      </w:r>
      <w:r w:rsidR="004079B7" w:rsidRPr="00C0269A">
        <w:rPr>
          <w:rFonts w:ascii="Arial" w:hAnsi="Arial" w:cs="Arial"/>
          <w:sz w:val="24"/>
          <w:szCs w:val="24"/>
        </w:rPr>
        <w:t>o c</w:t>
      </w:r>
      <w:r w:rsidR="00463927" w:rsidRPr="00490C69">
        <w:rPr>
          <w:rFonts w:ascii="Arial" w:hAnsi="Arial" w:cs="Arial"/>
          <w:sz w:val="24"/>
          <w:szCs w:val="24"/>
        </w:rPr>
        <w:t>on conocimiento cualesquiera</w:t>
      </w:r>
      <w:r w:rsidR="00E63B6E">
        <w:rPr>
          <w:rFonts w:ascii="Arial" w:hAnsi="Arial" w:cs="Arial"/>
          <w:sz w:val="24"/>
          <w:szCs w:val="24"/>
        </w:rPr>
        <w:t>,</w:t>
      </w:r>
      <w:r w:rsidR="00463927" w:rsidRPr="00490C69">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4D5459">
        <w:rPr>
          <w:rFonts w:ascii="Arial" w:hAnsi="Arial" w:cs="Arial"/>
          <w:sz w:val="24"/>
          <w:szCs w:val="24"/>
        </w:rPr>
        <w:t>que deban ser registradas bajo l</w:t>
      </w:r>
      <w:r w:rsidR="004079B7" w:rsidRPr="00F90351">
        <w:rPr>
          <w:rFonts w:ascii="Arial" w:hAnsi="Arial" w:cs="Arial"/>
          <w:sz w:val="24"/>
          <w:szCs w:val="24"/>
        </w:rPr>
        <w:t>as disposiciones de la Ley de Títulos de 1933 si</w:t>
      </w:r>
      <w:r w:rsidR="003245D6">
        <w:rPr>
          <w:rFonts w:ascii="Arial" w:hAnsi="Arial" w:cs="Arial"/>
          <w:sz w:val="24"/>
          <w:szCs w:val="24"/>
        </w:rPr>
        <w:t xml:space="preserve"> </w:t>
      </w:r>
      <w:r w:rsidR="004079B7" w:rsidRPr="00F90351">
        <w:rPr>
          <w:rFonts w:ascii="Arial" w:hAnsi="Arial" w:cs="Arial"/>
          <w:sz w:val="24"/>
          <w:szCs w:val="24"/>
        </w:rPr>
        <w:t>no se encuentra entonces vigente una declar</w:t>
      </w:r>
      <w:r w:rsidR="00E63B6E">
        <w:rPr>
          <w:rFonts w:ascii="Arial" w:hAnsi="Arial" w:cs="Arial"/>
          <w:sz w:val="24"/>
          <w:szCs w:val="24"/>
        </w:rPr>
        <w:t>ación de registro respecto de lo</w:t>
      </w:r>
      <w:r w:rsidR="004079B7" w:rsidRPr="00F90351">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F90351">
        <w:rPr>
          <w:rFonts w:ascii="Arial" w:hAnsi="Arial" w:cs="Arial"/>
          <w:sz w:val="24"/>
          <w:szCs w:val="24"/>
        </w:rPr>
        <w:t>en cuestión. El</w:t>
      </w:r>
      <w:r w:rsidR="004079B7" w:rsidRPr="00C21BB4">
        <w:rPr>
          <w:rFonts w:ascii="Arial" w:hAnsi="Arial" w:cs="Arial"/>
          <w:sz w:val="24"/>
          <w:szCs w:val="24"/>
        </w:rPr>
        <w:t xml:space="preserve"> Banco no asume responsabilidad con respecto a la validez sustantiva de la emisión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C21BB4">
        <w:rPr>
          <w:rFonts w:ascii="Arial" w:hAnsi="Arial" w:cs="Arial"/>
          <w:sz w:val="24"/>
          <w:szCs w:val="24"/>
        </w:rPr>
        <w:t xml:space="preserve">o el valor sustantivo y de mercado de </w:t>
      </w:r>
      <w:r w:rsidR="003635DD">
        <w:rPr>
          <w:rFonts w:ascii="Arial" w:hAnsi="Arial" w:cs="Arial"/>
          <w:sz w:val="24"/>
          <w:szCs w:val="24"/>
        </w:rPr>
        <w:t>l</w:t>
      </w:r>
      <w:r w:rsidR="00E63B6E">
        <w:rPr>
          <w:rFonts w:ascii="Arial" w:hAnsi="Arial" w:cs="Arial"/>
          <w:sz w:val="24"/>
          <w:szCs w:val="24"/>
        </w:rPr>
        <w:t>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4079B7" w:rsidRPr="00C21BB4">
        <w:rPr>
          <w:rFonts w:ascii="Arial" w:hAnsi="Arial" w:cs="Arial"/>
          <w:sz w:val="24"/>
          <w:szCs w:val="24"/>
        </w:rPr>
        <w:t xml:space="preserve">, entendiéndose por validez sustantiva la legalidad de la emisión, por valor sustantivo el valor intrínseco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4079B7" w:rsidRPr="00C21BB4">
        <w:rPr>
          <w:rFonts w:ascii="Arial" w:hAnsi="Arial" w:cs="Arial"/>
          <w:sz w:val="24"/>
          <w:szCs w:val="24"/>
        </w:rPr>
        <w:t xml:space="preserve">, y por valor de mercado el valor de cotización bursátil. </w:t>
      </w:r>
    </w:p>
    <w:p w14:paraId="5143206A" w14:textId="77777777" w:rsidR="001D278C" w:rsidRDefault="001D278C" w:rsidP="00985148">
      <w:pPr>
        <w:jc w:val="both"/>
        <w:rPr>
          <w:rFonts w:ascii="Arial" w:hAnsi="Arial" w:cs="Arial"/>
          <w:sz w:val="24"/>
          <w:szCs w:val="24"/>
        </w:rPr>
      </w:pPr>
    </w:p>
    <w:p w14:paraId="173F6617" w14:textId="77777777" w:rsidR="00AC3AEF" w:rsidRDefault="004079B7">
      <w:pPr>
        <w:jc w:val="both"/>
        <w:rPr>
          <w:rFonts w:ascii="Arial" w:hAnsi="Arial" w:cs="Arial"/>
          <w:sz w:val="24"/>
          <w:szCs w:val="24"/>
        </w:rPr>
      </w:pPr>
      <w:r w:rsidRPr="00C21BB4">
        <w:rPr>
          <w:rFonts w:ascii="Arial" w:hAnsi="Arial" w:cs="Arial"/>
          <w:sz w:val="24"/>
          <w:szCs w:val="24"/>
        </w:rPr>
        <w:t xml:space="preserve"> </w:t>
      </w:r>
    </w:p>
    <w:p w14:paraId="763C4330" w14:textId="77777777" w:rsidR="004079B7" w:rsidRDefault="00F6447D">
      <w:pPr>
        <w:jc w:val="both"/>
        <w:rPr>
          <w:rFonts w:ascii="Arial" w:hAnsi="Arial" w:cs="Arial"/>
          <w:sz w:val="24"/>
          <w:szCs w:val="24"/>
        </w:rPr>
      </w:pPr>
      <w:r>
        <w:rPr>
          <w:rFonts w:ascii="Arial" w:hAnsi="Arial" w:cs="Arial"/>
          <w:b/>
          <w:sz w:val="24"/>
          <w:szCs w:val="24"/>
        </w:rPr>
        <w:tab/>
      </w:r>
      <w:r w:rsidR="00AC3AEF" w:rsidRPr="00500A2A">
        <w:rPr>
          <w:rFonts w:ascii="Arial" w:hAnsi="Arial" w:cs="Arial"/>
          <w:b/>
          <w:i/>
          <w:sz w:val="24"/>
          <w:szCs w:val="24"/>
        </w:rPr>
        <w:t>2</w:t>
      </w:r>
      <w:r>
        <w:rPr>
          <w:rFonts w:ascii="Arial" w:hAnsi="Arial" w:cs="Arial"/>
          <w:b/>
          <w:sz w:val="24"/>
          <w:szCs w:val="24"/>
        </w:rPr>
        <w:t>.</w:t>
      </w:r>
      <w:r w:rsidR="00AC3AEF">
        <w:rPr>
          <w:rFonts w:ascii="Arial" w:hAnsi="Arial" w:cs="Arial"/>
          <w:sz w:val="24"/>
          <w:szCs w:val="24"/>
        </w:rPr>
        <w:t xml:space="preserve"> </w:t>
      </w:r>
      <w:r w:rsidR="004079B7" w:rsidRPr="00AC3AEF">
        <w:rPr>
          <w:rFonts w:ascii="Arial" w:hAnsi="Arial" w:cs="Arial"/>
          <w:b/>
          <w:i/>
          <w:sz w:val="24"/>
          <w:szCs w:val="24"/>
        </w:rPr>
        <w:t>Banco Custodio</w:t>
      </w:r>
      <w:r w:rsidR="004079B7" w:rsidRPr="00C21BB4">
        <w:rPr>
          <w:rFonts w:ascii="Arial" w:hAnsi="Arial" w:cs="Arial"/>
          <w:sz w:val="24"/>
          <w:szCs w:val="24"/>
        </w:rPr>
        <w:t xml:space="preserve"> es aquél en el cual se hallan depositad</w:t>
      </w:r>
      <w:r w:rsidR="005B7712">
        <w:rPr>
          <w:rFonts w:ascii="Arial" w:hAnsi="Arial" w:cs="Arial"/>
          <w:sz w:val="24"/>
          <w:szCs w:val="24"/>
        </w:rPr>
        <w:t>o</w:t>
      </w:r>
      <w:r w:rsidR="004079B7" w:rsidRPr="00C21BB4">
        <w:rPr>
          <w:rFonts w:ascii="Arial" w:hAnsi="Arial" w:cs="Arial"/>
          <w:sz w:val="24"/>
          <w:szCs w:val="24"/>
        </w:rPr>
        <w:t xml:space="preserve">s </w:t>
      </w:r>
      <w:r w:rsidR="005B7712">
        <w:rPr>
          <w:rFonts w:ascii="Arial" w:hAnsi="Arial" w:cs="Arial"/>
          <w:sz w:val="24"/>
          <w:szCs w:val="24"/>
        </w:rPr>
        <w:t xml:space="preserve">los </w:t>
      </w:r>
      <w:proofErr w:type="spellStart"/>
      <w:r w:rsidR="00477BC5">
        <w:rPr>
          <w:rFonts w:ascii="Arial" w:hAnsi="Arial" w:cs="Arial"/>
          <w:sz w:val="24"/>
          <w:szCs w:val="24"/>
        </w:rPr>
        <w:t>ADS</w:t>
      </w:r>
      <w:r w:rsidR="005B7712">
        <w:rPr>
          <w:rFonts w:ascii="Arial" w:hAnsi="Arial" w:cs="Arial"/>
          <w:sz w:val="24"/>
          <w:szCs w:val="24"/>
        </w:rPr>
        <w:t>s</w:t>
      </w:r>
      <w:proofErr w:type="spellEnd"/>
      <w:r w:rsidR="005B7712">
        <w:rPr>
          <w:rFonts w:ascii="Arial" w:hAnsi="Arial" w:cs="Arial"/>
          <w:sz w:val="24"/>
          <w:szCs w:val="24"/>
        </w:rPr>
        <w:t xml:space="preserve"> </w:t>
      </w:r>
      <w:r w:rsidR="004079B7" w:rsidRPr="00C21BB4">
        <w:rPr>
          <w:rFonts w:ascii="Arial" w:hAnsi="Arial" w:cs="Arial"/>
          <w:sz w:val="24"/>
          <w:szCs w:val="24"/>
        </w:rPr>
        <w:t>representad</w:t>
      </w:r>
      <w:r w:rsidR="005B7712">
        <w:rPr>
          <w:rFonts w:ascii="Arial" w:hAnsi="Arial" w:cs="Arial"/>
          <w:sz w:val="24"/>
          <w:szCs w:val="24"/>
        </w:rPr>
        <w:t>o</w:t>
      </w:r>
      <w:r w:rsidR="004079B7" w:rsidRPr="00C21BB4">
        <w:rPr>
          <w:rFonts w:ascii="Arial" w:hAnsi="Arial" w:cs="Arial"/>
          <w:sz w:val="24"/>
          <w:szCs w:val="24"/>
        </w:rPr>
        <w:t>s por los CEDEAR</w:t>
      </w:r>
      <w:r w:rsidR="0063049C">
        <w:rPr>
          <w:rFonts w:ascii="Arial" w:hAnsi="Arial" w:cs="Arial"/>
          <w:sz w:val="24"/>
          <w:szCs w:val="24"/>
        </w:rPr>
        <w:t>s</w:t>
      </w:r>
      <w:r w:rsidR="004079B7" w:rsidRPr="00C21BB4">
        <w:rPr>
          <w:rFonts w:ascii="Arial" w:hAnsi="Arial" w:cs="Arial"/>
          <w:sz w:val="24"/>
          <w:szCs w:val="24"/>
        </w:rPr>
        <w:t xml:space="preserve">, y designado más arriba en estos Términos y Condiciones. El Titular del CEDEAR acepta, por el hecho de su adquisición conforme a los Términos y Condiciones de Emisión, que el depósito de </w:t>
      </w:r>
      <w:r w:rsidR="00E63B6E">
        <w:rPr>
          <w:rFonts w:ascii="Arial" w:hAnsi="Arial" w:cs="Arial"/>
          <w:sz w:val="24"/>
          <w:szCs w:val="24"/>
        </w:rPr>
        <w:t>lo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3A0B7F" w:rsidRPr="003A0B7F">
        <w:rPr>
          <w:rFonts w:ascii="Arial" w:hAnsi="Arial" w:cs="Arial"/>
          <w:sz w:val="24"/>
          <w:szCs w:val="24"/>
        </w:rPr>
        <w:t xml:space="preserve"> </w:t>
      </w:r>
      <w:r w:rsidR="004079B7" w:rsidRPr="00C21BB4">
        <w:rPr>
          <w:rFonts w:ascii="Arial" w:hAnsi="Arial" w:cs="Arial"/>
          <w:sz w:val="24"/>
          <w:szCs w:val="24"/>
        </w:rPr>
        <w:t xml:space="preserve">sea llevado en el futuro, si así lo decidiera el Banco, en lugar de la Sucursal Nueva York del Banco Custodio actualmente designado: (i) en otra agencia o sucursal de </w:t>
      </w:r>
      <w:r w:rsidR="00DA2B11">
        <w:rPr>
          <w:rFonts w:ascii="Arial" w:hAnsi="Arial" w:cs="Arial"/>
          <w:sz w:val="24"/>
          <w:szCs w:val="24"/>
        </w:rPr>
        <w:t xml:space="preserve">Bank </w:t>
      </w:r>
      <w:proofErr w:type="spellStart"/>
      <w:r w:rsidR="00DA2B11">
        <w:rPr>
          <w:rFonts w:ascii="Arial" w:hAnsi="Arial" w:cs="Arial"/>
          <w:sz w:val="24"/>
          <w:szCs w:val="24"/>
        </w:rPr>
        <w:t>of</w:t>
      </w:r>
      <w:proofErr w:type="spellEnd"/>
      <w:r w:rsidR="00DA2B11">
        <w:rPr>
          <w:rFonts w:ascii="Arial" w:hAnsi="Arial" w:cs="Arial"/>
          <w:sz w:val="24"/>
          <w:szCs w:val="24"/>
        </w:rPr>
        <w:t xml:space="preserve"> New York Mellon Corporation </w:t>
      </w:r>
      <w:r w:rsidR="004079B7" w:rsidRPr="00C21BB4">
        <w:rPr>
          <w:rFonts w:ascii="Arial" w:hAnsi="Arial" w:cs="Arial"/>
          <w:sz w:val="24"/>
          <w:szCs w:val="24"/>
        </w:rPr>
        <w:t>en los Estados Unidos de América; (ii) o en la Caja de Valores S.A. de la Ciudad de Buenos Aires; (iii) en el Depositario Central del país de emisión</w:t>
      </w:r>
      <w:r w:rsidR="00B54FC1" w:rsidRPr="00C21BB4">
        <w:rPr>
          <w:rFonts w:ascii="Arial" w:hAnsi="Arial" w:cs="Arial"/>
          <w:sz w:val="24"/>
          <w:szCs w:val="24"/>
        </w:rPr>
        <w:t xml:space="preserve"> (</w:t>
      </w:r>
      <w:r w:rsidR="00B54FC1" w:rsidRPr="00C54BEA">
        <w:rPr>
          <w:rFonts w:ascii="Arial" w:hAnsi="Arial" w:cs="Arial"/>
          <w:sz w:val="24"/>
          <w:szCs w:val="24"/>
        </w:rPr>
        <w:t>iv</w:t>
      </w:r>
      <w:r w:rsidR="00B54FC1" w:rsidRPr="00DA2B11">
        <w:rPr>
          <w:rFonts w:ascii="Arial" w:hAnsi="Arial" w:cs="Arial"/>
          <w:sz w:val="24"/>
          <w:szCs w:val="24"/>
        </w:rPr>
        <w:t>) o en otro Banco Custodio que se designe</w:t>
      </w:r>
      <w:r w:rsidR="00B740B3">
        <w:rPr>
          <w:rFonts w:ascii="Arial" w:hAnsi="Arial" w:cs="Arial"/>
          <w:sz w:val="24"/>
          <w:szCs w:val="24"/>
        </w:rPr>
        <w:t xml:space="preserve"> conforme a lo normado por la Comisión Nacional de Valores en relación a este aspecto.</w:t>
      </w:r>
    </w:p>
    <w:p w14:paraId="00EA898B" w14:textId="77777777" w:rsidR="00F6447D" w:rsidRDefault="00F6447D">
      <w:pPr>
        <w:jc w:val="both"/>
        <w:rPr>
          <w:rFonts w:ascii="Arial" w:hAnsi="Arial" w:cs="Arial"/>
          <w:b/>
          <w:sz w:val="24"/>
          <w:szCs w:val="24"/>
        </w:rPr>
      </w:pPr>
      <w:r>
        <w:rPr>
          <w:rFonts w:ascii="Arial" w:hAnsi="Arial" w:cs="Arial"/>
          <w:b/>
          <w:sz w:val="24"/>
          <w:szCs w:val="24"/>
        </w:rPr>
        <w:tab/>
      </w:r>
    </w:p>
    <w:p w14:paraId="40AB4BC6" w14:textId="77777777" w:rsidR="00F6447D" w:rsidRDefault="00F6447D">
      <w:pPr>
        <w:jc w:val="both"/>
        <w:rPr>
          <w:rFonts w:ascii="Arial" w:hAnsi="Arial" w:cs="Arial"/>
          <w:b/>
          <w:sz w:val="24"/>
          <w:szCs w:val="24"/>
        </w:rPr>
      </w:pPr>
    </w:p>
    <w:p w14:paraId="0686C034" w14:textId="77777777" w:rsidR="005B7712" w:rsidRPr="00C21BB4" w:rsidRDefault="00500A2A">
      <w:pPr>
        <w:jc w:val="both"/>
        <w:rPr>
          <w:rFonts w:ascii="Arial" w:hAnsi="Arial" w:cs="Arial"/>
          <w:sz w:val="24"/>
          <w:szCs w:val="24"/>
        </w:rPr>
      </w:pPr>
      <w:r>
        <w:rPr>
          <w:rFonts w:ascii="Arial" w:hAnsi="Arial" w:cs="Arial"/>
          <w:b/>
          <w:sz w:val="24"/>
          <w:szCs w:val="24"/>
        </w:rPr>
        <w:tab/>
      </w:r>
      <w:r w:rsidR="00F6447D" w:rsidRPr="00500A2A">
        <w:rPr>
          <w:rFonts w:ascii="Arial" w:hAnsi="Arial" w:cs="Arial"/>
          <w:b/>
          <w:i/>
          <w:sz w:val="24"/>
          <w:szCs w:val="24"/>
        </w:rPr>
        <w:t>3</w:t>
      </w:r>
      <w:r w:rsidR="00AC3AEF" w:rsidRPr="00F6447D">
        <w:rPr>
          <w:rFonts w:ascii="Arial" w:hAnsi="Arial" w:cs="Arial"/>
          <w:b/>
          <w:sz w:val="24"/>
          <w:szCs w:val="24"/>
        </w:rPr>
        <w:t>.</w:t>
      </w:r>
      <w:r w:rsidR="001D278C" w:rsidRPr="00F6447D">
        <w:rPr>
          <w:rFonts w:ascii="Arial" w:hAnsi="Arial" w:cs="Arial"/>
          <w:b/>
          <w:sz w:val="24"/>
          <w:szCs w:val="24"/>
        </w:rPr>
        <w:t xml:space="preserve"> </w:t>
      </w:r>
      <w:r w:rsidR="005B7712" w:rsidRPr="00F6447D">
        <w:rPr>
          <w:rFonts w:ascii="Arial" w:hAnsi="Arial" w:cs="Arial"/>
          <w:b/>
          <w:i/>
          <w:sz w:val="24"/>
          <w:szCs w:val="24"/>
        </w:rPr>
        <w:t>Banco D</w:t>
      </w:r>
      <w:r w:rsidR="005B7712" w:rsidRPr="00AC3AEF">
        <w:rPr>
          <w:rFonts w:ascii="Arial" w:hAnsi="Arial" w:cs="Arial"/>
          <w:b/>
          <w:i/>
          <w:sz w:val="24"/>
          <w:szCs w:val="24"/>
        </w:rPr>
        <w:t>epositario</w:t>
      </w:r>
      <w:r w:rsidR="005B7712">
        <w:rPr>
          <w:rFonts w:ascii="Arial" w:hAnsi="Arial" w:cs="Arial"/>
          <w:sz w:val="24"/>
          <w:szCs w:val="24"/>
        </w:rPr>
        <w:t xml:space="preserve"> es </w:t>
      </w:r>
      <w:r w:rsidR="00465614">
        <w:rPr>
          <w:rFonts w:ascii="Arial" w:hAnsi="Arial" w:cs="Arial"/>
          <w:sz w:val="24"/>
          <w:szCs w:val="24"/>
        </w:rPr>
        <w:t xml:space="preserve">el emisor de los </w:t>
      </w:r>
      <w:proofErr w:type="spellStart"/>
      <w:r w:rsidR="00477BC5">
        <w:rPr>
          <w:rFonts w:ascii="Arial" w:hAnsi="Arial" w:cs="Arial"/>
          <w:sz w:val="24"/>
          <w:szCs w:val="24"/>
        </w:rPr>
        <w:t>ADS</w:t>
      </w:r>
      <w:r w:rsidR="00465614">
        <w:rPr>
          <w:rFonts w:ascii="Arial" w:hAnsi="Arial" w:cs="Arial"/>
          <w:sz w:val="24"/>
          <w:szCs w:val="24"/>
        </w:rPr>
        <w:t>s</w:t>
      </w:r>
      <w:proofErr w:type="spellEnd"/>
      <w:r w:rsidR="005B7712">
        <w:rPr>
          <w:rFonts w:ascii="Arial" w:hAnsi="Arial" w:cs="Arial"/>
          <w:sz w:val="24"/>
          <w:szCs w:val="24"/>
        </w:rPr>
        <w:t xml:space="preserve"> cuyo nombre se en</w:t>
      </w:r>
      <w:r w:rsidR="005E7FEF">
        <w:rPr>
          <w:rFonts w:ascii="Arial" w:hAnsi="Arial" w:cs="Arial"/>
          <w:sz w:val="24"/>
          <w:szCs w:val="24"/>
        </w:rPr>
        <w:t>cuentra detallado en la Tabla N° 3</w:t>
      </w:r>
      <w:r w:rsidR="005B7712">
        <w:rPr>
          <w:rFonts w:ascii="Arial" w:hAnsi="Arial" w:cs="Arial"/>
          <w:sz w:val="24"/>
          <w:szCs w:val="24"/>
        </w:rPr>
        <w:t xml:space="preserve">. </w:t>
      </w:r>
    </w:p>
    <w:p w14:paraId="7A883E97" w14:textId="77777777" w:rsidR="004079B7" w:rsidRDefault="004079B7">
      <w:pPr>
        <w:jc w:val="both"/>
        <w:rPr>
          <w:rFonts w:ascii="Arial" w:hAnsi="Arial" w:cs="Arial"/>
          <w:sz w:val="24"/>
          <w:szCs w:val="24"/>
        </w:rPr>
      </w:pPr>
    </w:p>
    <w:p w14:paraId="57D60D6E" w14:textId="77777777" w:rsidR="00822C7F" w:rsidRPr="00C21BB4" w:rsidRDefault="00822C7F">
      <w:pPr>
        <w:jc w:val="both"/>
        <w:rPr>
          <w:rFonts w:ascii="Arial" w:hAnsi="Arial" w:cs="Arial"/>
          <w:sz w:val="24"/>
          <w:szCs w:val="24"/>
        </w:rPr>
      </w:pPr>
    </w:p>
    <w:p w14:paraId="49CE286D" w14:textId="77777777" w:rsidR="004079B7"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4</w:t>
      </w:r>
      <w:r w:rsidRPr="00C21BB4">
        <w:rPr>
          <w:rFonts w:ascii="Arial" w:hAnsi="Arial" w:cs="Arial"/>
          <w:b/>
          <w:i/>
          <w:sz w:val="24"/>
          <w:szCs w:val="24"/>
        </w:rPr>
        <w:t xml:space="preserve">. Retiro de </w:t>
      </w:r>
      <w:r w:rsidR="00E63B6E">
        <w:rPr>
          <w:rFonts w:ascii="Arial" w:hAnsi="Arial" w:cs="Arial"/>
          <w:b/>
          <w:i/>
          <w:sz w:val="24"/>
          <w:szCs w:val="24"/>
        </w:rPr>
        <w:t>lo</w:t>
      </w:r>
      <w:r w:rsidR="003A0B7F">
        <w:rPr>
          <w:rFonts w:ascii="Arial" w:hAnsi="Arial" w:cs="Arial"/>
          <w:b/>
          <w:i/>
          <w:sz w:val="24"/>
          <w:szCs w:val="24"/>
        </w:rPr>
        <w:t xml:space="preserve">s </w:t>
      </w:r>
      <w:proofErr w:type="spellStart"/>
      <w:r w:rsidR="00477BC5">
        <w:rPr>
          <w:rFonts w:ascii="Arial" w:hAnsi="Arial" w:cs="Arial"/>
          <w:b/>
          <w:i/>
          <w:sz w:val="24"/>
          <w:szCs w:val="24"/>
        </w:rPr>
        <w:t>ADS</w:t>
      </w:r>
      <w:r w:rsidR="00E63B6E" w:rsidRPr="00E63B6E">
        <w:rPr>
          <w:rFonts w:ascii="Arial" w:hAnsi="Arial" w:cs="Arial"/>
          <w:b/>
          <w:i/>
          <w:sz w:val="24"/>
          <w:szCs w:val="24"/>
        </w:rPr>
        <w:t>s</w:t>
      </w:r>
      <w:proofErr w:type="spellEnd"/>
      <w:r w:rsidR="00E63B6E">
        <w:rPr>
          <w:rFonts w:ascii="Arial" w:hAnsi="Arial" w:cs="Arial"/>
          <w:b/>
          <w:i/>
          <w:sz w:val="24"/>
          <w:szCs w:val="24"/>
        </w:rPr>
        <w:t>.</w:t>
      </w:r>
      <w:r w:rsidR="00E63B6E" w:rsidRPr="00E63B6E">
        <w:rPr>
          <w:rFonts w:ascii="Arial" w:hAnsi="Arial" w:cs="Arial"/>
          <w:b/>
          <w:i/>
          <w:sz w:val="24"/>
          <w:szCs w:val="24"/>
        </w:rPr>
        <w:t xml:space="preserve"> </w:t>
      </w:r>
      <w:r w:rsidR="002228E4">
        <w:rPr>
          <w:rFonts w:ascii="Arial" w:hAnsi="Arial" w:cs="Arial"/>
          <w:sz w:val="24"/>
          <w:szCs w:val="24"/>
        </w:rPr>
        <w:t>El plazo de entrega de l</w:t>
      </w:r>
      <w:r w:rsidR="00E63B6E">
        <w:rPr>
          <w:rFonts w:ascii="Arial" w:hAnsi="Arial" w:cs="Arial"/>
          <w:sz w:val="24"/>
          <w:szCs w:val="24"/>
        </w:rPr>
        <w:t>o</w:t>
      </w:r>
      <w:r w:rsidR="002228E4">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2228E4">
        <w:rPr>
          <w:rFonts w:ascii="Arial" w:hAnsi="Arial" w:cs="Arial"/>
          <w:sz w:val="24"/>
          <w:szCs w:val="24"/>
        </w:rPr>
        <w:t>una vez cancelado el CEDEAR</w:t>
      </w:r>
      <w:r w:rsidR="00140B64">
        <w:rPr>
          <w:rFonts w:ascii="Arial" w:hAnsi="Arial" w:cs="Arial"/>
          <w:sz w:val="24"/>
          <w:szCs w:val="24"/>
        </w:rPr>
        <w:t>, será</w:t>
      </w:r>
      <w:r w:rsidR="002228E4">
        <w:rPr>
          <w:rFonts w:ascii="Arial" w:hAnsi="Arial" w:cs="Arial"/>
          <w:sz w:val="24"/>
          <w:szCs w:val="24"/>
        </w:rPr>
        <w:t xml:space="preserve"> de un plazo máximo de 48 horas hábiles. Asimismo l</w:t>
      </w:r>
      <w:r w:rsidRPr="00C21BB4">
        <w:rPr>
          <w:rFonts w:ascii="Arial" w:hAnsi="Arial" w:cs="Arial"/>
          <w:sz w:val="24"/>
          <w:szCs w:val="24"/>
        </w:rPr>
        <w:t>a cancelación de los CEDEAR</w:t>
      </w:r>
      <w:r w:rsidR="002228E4">
        <w:rPr>
          <w:rFonts w:ascii="Arial" w:hAnsi="Arial" w:cs="Arial"/>
          <w:sz w:val="24"/>
          <w:szCs w:val="24"/>
        </w:rPr>
        <w:t>s</w:t>
      </w:r>
      <w:r w:rsidRPr="00C21BB4">
        <w:rPr>
          <w:rFonts w:ascii="Arial" w:hAnsi="Arial" w:cs="Arial"/>
          <w:sz w:val="24"/>
          <w:szCs w:val="24"/>
        </w:rPr>
        <w:t xml:space="preserve"> y el retiro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solamente podrá suspenderse (i) debido a demoras temporarias ocasionadas por el cierre (bloqueo) de los libros de registro del Banco (o de su Agente de Registro) o del emisor 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o el </w:t>
      </w:r>
      <w:r w:rsidRPr="00E85A63">
        <w:rPr>
          <w:rFonts w:ascii="Arial" w:hAnsi="Arial" w:cs="Arial"/>
          <w:sz w:val="24"/>
          <w:szCs w:val="24"/>
        </w:rPr>
        <w:t>depósito de Acciones</w:t>
      </w:r>
      <w:r w:rsidRPr="00C21BB4">
        <w:rPr>
          <w:rFonts w:ascii="Arial" w:hAnsi="Arial" w:cs="Arial"/>
          <w:sz w:val="24"/>
          <w:szCs w:val="24"/>
        </w:rPr>
        <w:t xml:space="preserve"> en relación con la votación en una asamblea de accionistas o el pago de dividendos; (ii) debido al pago de comisiones, impuestos y cargos similares; (iii) debido al cumplimiento con leyes argentinas, de los Estados Unidos de América u otros países extranjeros o con reglamentaciones gubernamentales relacionadas con los Certificados o con el retiro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Pr="00C21BB4">
        <w:rPr>
          <w:rFonts w:ascii="Arial" w:hAnsi="Arial" w:cs="Arial"/>
          <w:sz w:val="24"/>
          <w:szCs w:val="24"/>
        </w:rPr>
        <w:t>; o (</w:t>
      </w:r>
      <w:proofErr w:type="spellStart"/>
      <w:r w:rsidRPr="00C21BB4">
        <w:rPr>
          <w:rFonts w:ascii="Arial" w:hAnsi="Arial" w:cs="Arial"/>
          <w:sz w:val="24"/>
          <w:szCs w:val="24"/>
        </w:rPr>
        <w:t>iv</w:t>
      </w:r>
      <w:proofErr w:type="spellEnd"/>
      <w:r w:rsidRPr="00C21BB4">
        <w:rPr>
          <w:rFonts w:ascii="Arial" w:hAnsi="Arial" w:cs="Arial"/>
          <w:sz w:val="24"/>
          <w:szCs w:val="24"/>
        </w:rPr>
        <w:t xml:space="preserve">) debido a cualquier otra razón especificada en el párrafo (A)(1) de las Instrucciones Generales del Formulario F-6 de la </w:t>
      </w:r>
      <w:proofErr w:type="spellStart"/>
      <w:r w:rsidRPr="00C21BB4">
        <w:rPr>
          <w:rFonts w:ascii="Arial" w:hAnsi="Arial" w:cs="Arial"/>
          <w:sz w:val="24"/>
          <w:szCs w:val="24"/>
        </w:rPr>
        <w:t>Securities</w:t>
      </w:r>
      <w:proofErr w:type="spellEnd"/>
      <w:r w:rsidRPr="00C21BB4">
        <w:rPr>
          <w:rFonts w:ascii="Arial" w:hAnsi="Arial" w:cs="Arial"/>
          <w:sz w:val="24"/>
          <w:szCs w:val="24"/>
        </w:rPr>
        <w:t xml:space="preserve"> and Exchange </w:t>
      </w:r>
      <w:proofErr w:type="spellStart"/>
      <w:r w:rsidRPr="00C21BB4">
        <w:rPr>
          <w:rFonts w:ascii="Arial" w:hAnsi="Arial" w:cs="Arial"/>
          <w:sz w:val="24"/>
          <w:szCs w:val="24"/>
        </w:rPr>
        <w:t>Commission</w:t>
      </w:r>
      <w:proofErr w:type="spellEnd"/>
      <w:r w:rsidRPr="00C21BB4">
        <w:rPr>
          <w:rFonts w:ascii="Arial" w:hAnsi="Arial" w:cs="Arial"/>
          <w:sz w:val="24"/>
          <w:szCs w:val="24"/>
        </w:rPr>
        <w:t xml:space="preserve"> (</w:t>
      </w:r>
      <w:proofErr w:type="spellStart"/>
      <w:r w:rsidRPr="00C21BB4">
        <w:rPr>
          <w:rFonts w:ascii="Arial" w:hAnsi="Arial" w:cs="Arial"/>
          <w:sz w:val="24"/>
          <w:szCs w:val="24"/>
        </w:rPr>
        <w:t>Registration</w:t>
      </w:r>
      <w:proofErr w:type="spellEnd"/>
      <w:r w:rsidRPr="00C21BB4">
        <w:rPr>
          <w:rFonts w:ascii="Arial" w:hAnsi="Arial" w:cs="Arial"/>
          <w:sz w:val="24"/>
          <w:szCs w:val="24"/>
        </w:rPr>
        <w:t xml:space="preserve"> </w:t>
      </w:r>
      <w:proofErr w:type="spellStart"/>
      <w:r w:rsidRPr="00C21BB4">
        <w:rPr>
          <w:rFonts w:ascii="Arial" w:hAnsi="Arial" w:cs="Arial"/>
          <w:sz w:val="24"/>
          <w:szCs w:val="24"/>
        </w:rPr>
        <w:t>Statement</w:t>
      </w:r>
      <w:proofErr w:type="spellEnd"/>
      <w:r w:rsidRPr="00C21BB4">
        <w:rPr>
          <w:rFonts w:ascii="Arial" w:hAnsi="Arial" w:cs="Arial"/>
          <w:sz w:val="24"/>
          <w:szCs w:val="24"/>
        </w:rPr>
        <w:t xml:space="preserve"> de acuerdo a la Ley de Títulos de 1933), o de cualquier otra </w:t>
      </w:r>
      <w:r w:rsidRPr="00C21BB4">
        <w:rPr>
          <w:rFonts w:ascii="Arial" w:hAnsi="Arial" w:cs="Arial"/>
          <w:sz w:val="24"/>
          <w:szCs w:val="24"/>
        </w:rPr>
        <w:lastRenderedPageBreak/>
        <w:t xml:space="preserve">disposición que la suceda prorrogándose en tal caso los plazos para la entrega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w:t>
      </w:r>
    </w:p>
    <w:p w14:paraId="04F1B3EB" w14:textId="77777777" w:rsidR="00E63B6E" w:rsidRPr="00C21BB4" w:rsidRDefault="00E63B6E">
      <w:pPr>
        <w:jc w:val="both"/>
        <w:rPr>
          <w:rFonts w:ascii="Arial" w:hAnsi="Arial" w:cs="Arial"/>
          <w:b/>
          <w:i/>
          <w:sz w:val="24"/>
          <w:szCs w:val="24"/>
        </w:rPr>
      </w:pPr>
    </w:p>
    <w:p w14:paraId="478FFB70" w14:textId="77777777" w:rsidR="004079B7" w:rsidRPr="00C21BB4" w:rsidRDefault="004079B7">
      <w:pPr>
        <w:jc w:val="both"/>
        <w:rPr>
          <w:rFonts w:ascii="Arial" w:hAnsi="Arial" w:cs="Arial"/>
          <w:b/>
          <w:i/>
          <w:sz w:val="24"/>
          <w:szCs w:val="24"/>
        </w:rPr>
      </w:pPr>
    </w:p>
    <w:p w14:paraId="79ADD2F2" w14:textId="77777777" w:rsidR="004079B7" w:rsidRPr="00C21BB4" w:rsidRDefault="009019AF">
      <w:pPr>
        <w:jc w:val="both"/>
        <w:rPr>
          <w:rFonts w:ascii="Arial" w:hAnsi="Arial" w:cs="Arial"/>
          <w:sz w:val="24"/>
          <w:szCs w:val="24"/>
        </w:rPr>
      </w:pPr>
      <w:r w:rsidRPr="00C21BB4">
        <w:rPr>
          <w:rFonts w:ascii="Arial" w:hAnsi="Arial" w:cs="Arial"/>
          <w:b/>
          <w:i/>
          <w:sz w:val="24"/>
          <w:szCs w:val="24"/>
        </w:rPr>
        <w:t xml:space="preserve">   </w:t>
      </w:r>
      <w:r w:rsidR="004079B7" w:rsidRPr="00C21BB4">
        <w:rPr>
          <w:rFonts w:ascii="Arial" w:hAnsi="Arial" w:cs="Arial"/>
          <w:b/>
          <w:i/>
          <w:sz w:val="24"/>
          <w:szCs w:val="24"/>
        </w:rPr>
        <w:tab/>
      </w:r>
      <w:r w:rsidR="00F6447D">
        <w:rPr>
          <w:rFonts w:ascii="Arial" w:hAnsi="Arial" w:cs="Arial"/>
          <w:b/>
          <w:i/>
          <w:sz w:val="24"/>
          <w:szCs w:val="24"/>
        </w:rPr>
        <w:t>5</w:t>
      </w:r>
      <w:r w:rsidR="004079B7" w:rsidRPr="00C21BB4">
        <w:rPr>
          <w:rFonts w:ascii="Arial" w:hAnsi="Arial" w:cs="Arial"/>
          <w:b/>
          <w:i/>
          <w:sz w:val="24"/>
          <w:szCs w:val="24"/>
        </w:rPr>
        <w:t>. CEDEAR.  Títulos Valores Escriturales. Registración de los Titulares. Transmisión y Registración de otros derechos.</w:t>
      </w:r>
      <w:r w:rsidR="004079B7" w:rsidRPr="00C21BB4">
        <w:rPr>
          <w:rFonts w:ascii="Arial" w:hAnsi="Arial" w:cs="Arial"/>
          <w:sz w:val="24"/>
          <w:szCs w:val="24"/>
        </w:rPr>
        <w:t xml:space="preserve"> El Banco llevará un Libro de Registro por intermedio de la Caja de Valores S.A. (el "Agente de Registro") (o bien en forma directa o a través del agente que designe en el futuro) en el cual se inscribirán las cuentas de sus </w:t>
      </w:r>
      <w:r w:rsidR="007B0A42">
        <w:rPr>
          <w:rFonts w:ascii="Arial" w:hAnsi="Arial" w:cs="Arial"/>
          <w:sz w:val="24"/>
          <w:szCs w:val="24"/>
        </w:rPr>
        <w:t>T</w:t>
      </w:r>
      <w:r w:rsidR="004079B7" w:rsidRPr="00C21BB4">
        <w:rPr>
          <w:rFonts w:ascii="Arial" w:hAnsi="Arial" w:cs="Arial"/>
          <w:sz w:val="24"/>
          <w:szCs w:val="24"/>
        </w:rPr>
        <w:t xml:space="preserve">itulares, sus </w:t>
      </w:r>
      <w:r w:rsidR="004079B7" w:rsidRPr="00C54BEA">
        <w:rPr>
          <w:rFonts w:ascii="Arial" w:hAnsi="Arial" w:cs="Arial"/>
          <w:sz w:val="24"/>
          <w:szCs w:val="24"/>
        </w:rPr>
        <w:t>transmisiones y otros gravámenes y derechos sobre los títulos de acuerdo al régimen legal aplicable (Ley</w:t>
      </w:r>
      <w:r w:rsidR="006E700A">
        <w:rPr>
          <w:rFonts w:ascii="Arial" w:hAnsi="Arial" w:cs="Arial"/>
          <w:sz w:val="24"/>
          <w:szCs w:val="24"/>
        </w:rPr>
        <w:t xml:space="preserve"> </w:t>
      </w:r>
      <w:r w:rsidR="004079B7" w:rsidRPr="00C54BEA">
        <w:rPr>
          <w:rFonts w:ascii="Arial" w:hAnsi="Arial" w:cs="Arial"/>
          <w:sz w:val="24"/>
          <w:szCs w:val="24"/>
        </w:rPr>
        <w:t>24.587 y supletoriamente</w:t>
      </w:r>
      <w:r w:rsidR="00F43DDF" w:rsidRPr="00C54BEA">
        <w:rPr>
          <w:rFonts w:ascii="Arial" w:hAnsi="Arial" w:cs="Arial"/>
          <w:sz w:val="24"/>
          <w:szCs w:val="24"/>
        </w:rPr>
        <w:t xml:space="preserve"> leyes </w:t>
      </w:r>
      <w:r w:rsidR="004079B7" w:rsidRPr="00C54BEA">
        <w:rPr>
          <w:rFonts w:ascii="Arial" w:hAnsi="Arial" w:cs="Arial"/>
          <w:sz w:val="24"/>
          <w:szCs w:val="24"/>
        </w:rPr>
        <w:t xml:space="preserve"> 19.550</w:t>
      </w:r>
      <w:r w:rsidR="00257F24" w:rsidRPr="00C54BEA">
        <w:rPr>
          <w:rFonts w:ascii="Arial" w:hAnsi="Arial" w:cs="Arial"/>
          <w:sz w:val="24"/>
          <w:szCs w:val="24"/>
        </w:rPr>
        <w:t xml:space="preserve"> y </w:t>
      </w:r>
      <w:r w:rsidR="00F43DDF" w:rsidRPr="00C54BEA">
        <w:rPr>
          <w:rFonts w:ascii="Arial" w:hAnsi="Arial" w:cs="Arial"/>
          <w:sz w:val="24"/>
          <w:szCs w:val="24"/>
        </w:rPr>
        <w:t>26831</w:t>
      </w:r>
      <w:r w:rsidR="004079B7" w:rsidRPr="00C54BEA">
        <w:rPr>
          <w:rFonts w:ascii="Arial" w:hAnsi="Arial" w:cs="Arial"/>
          <w:sz w:val="24"/>
          <w:szCs w:val="24"/>
        </w:rPr>
        <w:t>). Las registraciones</w:t>
      </w:r>
      <w:r w:rsidR="004079B7" w:rsidRPr="00C21BB4">
        <w:rPr>
          <w:rFonts w:ascii="Arial" w:hAnsi="Arial" w:cs="Arial"/>
          <w:sz w:val="24"/>
          <w:szCs w:val="24"/>
        </w:rPr>
        <w:t xml:space="preserve"> se efectuarán acompañando los debidos instrumentos y contra el pago de fondos suficientes para hacer frente a las comisiones y gastos del Banco, a cualesquiera impuestos aplicables y demás cargas gubernamentales, previo cumplimiento de las reglamentaciones, si hubiera, establecidas por el Banco al efecto. Tales reglamentaciones, de existir en el futuro, serán las relativas a la acreditación de personería y certificación de la misma, información o documentación impositiva requerida conforme a la legislación aplicable, retenciones, u otros aspectos de procedimiento similares a los ejemplificados conforme a la normativa aplicable. El Banco podrá cerrar los libros de registración y transferencia en cualquier momento o de tanto en tanto cuando estime adecuado hacerlo en relación con el cumplimiento de sus deberes bajo el presente, </w:t>
      </w:r>
      <w:r w:rsidR="00C16911">
        <w:rPr>
          <w:rFonts w:ascii="Arial" w:hAnsi="Arial" w:cs="Arial"/>
          <w:sz w:val="24"/>
          <w:szCs w:val="24"/>
        </w:rPr>
        <w:t xml:space="preserve">sujeto a las disposiciones </w:t>
      </w:r>
      <w:r w:rsidR="00D60CCB">
        <w:rPr>
          <w:rFonts w:ascii="Arial" w:hAnsi="Arial" w:cs="Arial"/>
          <w:sz w:val="24"/>
          <w:szCs w:val="24"/>
        </w:rPr>
        <w:t>de este</w:t>
      </w:r>
      <w:r w:rsidR="00C16911">
        <w:rPr>
          <w:rFonts w:ascii="Arial" w:hAnsi="Arial" w:cs="Arial"/>
          <w:sz w:val="24"/>
          <w:szCs w:val="24"/>
        </w:rPr>
        <w:t xml:space="preserve"> a</w:t>
      </w:r>
      <w:r w:rsidR="004079B7" w:rsidRPr="00C21BB4">
        <w:rPr>
          <w:rFonts w:ascii="Arial" w:hAnsi="Arial" w:cs="Arial"/>
          <w:sz w:val="24"/>
          <w:szCs w:val="24"/>
        </w:rPr>
        <w:t>rt</w:t>
      </w:r>
      <w:r w:rsidR="00CC537A" w:rsidRPr="00C21BB4">
        <w:rPr>
          <w:rFonts w:ascii="Arial" w:hAnsi="Arial" w:cs="Arial"/>
          <w:sz w:val="24"/>
          <w:szCs w:val="24"/>
        </w:rPr>
        <w:t>í</w:t>
      </w:r>
      <w:r w:rsidR="004079B7" w:rsidRPr="00C21BB4">
        <w:rPr>
          <w:rFonts w:ascii="Arial" w:hAnsi="Arial" w:cs="Arial"/>
          <w:sz w:val="24"/>
          <w:szCs w:val="24"/>
        </w:rPr>
        <w:t xml:space="preserve">culo. Las solicitudes de transferencia que no se realicen por intermedio del mercado bursátil se efectuarán al Banco conforme al Modelo de Formulario anexo a estos Términos y Condiciones. </w:t>
      </w:r>
    </w:p>
    <w:p w14:paraId="1C829743" w14:textId="77777777" w:rsidR="004079B7" w:rsidRPr="00C21BB4" w:rsidRDefault="004079B7">
      <w:pPr>
        <w:jc w:val="both"/>
        <w:rPr>
          <w:rFonts w:ascii="Arial" w:hAnsi="Arial" w:cs="Arial"/>
          <w:sz w:val="24"/>
          <w:szCs w:val="24"/>
        </w:rPr>
      </w:pPr>
    </w:p>
    <w:p w14:paraId="58F196DE" w14:textId="77777777" w:rsidR="004079B7" w:rsidRPr="00C21BB4" w:rsidRDefault="004079B7">
      <w:pPr>
        <w:jc w:val="both"/>
        <w:rPr>
          <w:rFonts w:ascii="Arial" w:hAnsi="Arial" w:cs="Arial"/>
          <w:sz w:val="24"/>
          <w:szCs w:val="24"/>
        </w:rPr>
      </w:pPr>
    </w:p>
    <w:p w14:paraId="47359EF6"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6</w:t>
      </w:r>
      <w:r w:rsidRPr="006E700A">
        <w:rPr>
          <w:rFonts w:ascii="Arial" w:hAnsi="Arial" w:cs="Arial"/>
          <w:b/>
          <w:i/>
          <w:sz w:val="24"/>
          <w:szCs w:val="24"/>
        </w:rPr>
        <w:t>.</w:t>
      </w:r>
      <w:r w:rsidRPr="00411D49">
        <w:rPr>
          <w:rFonts w:ascii="Arial" w:hAnsi="Arial" w:cs="Arial"/>
          <w:b/>
          <w:i/>
          <w:sz w:val="24"/>
          <w:szCs w:val="24"/>
        </w:rPr>
        <w:t xml:space="preserve">  Constancia</w:t>
      </w:r>
      <w:r w:rsidRPr="00C21BB4">
        <w:rPr>
          <w:rFonts w:ascii="Arial" w:hAnsi="Arial" w:cs="Arial"/>
          <w:b/>
          <w:i/>
          <w:sz w:val="24"/>
          <w:szCs w:val="24"/>
        </w:rPr>
        <w:t xml:space="preserve"> de Ciudadanía o Residencia</w:t>
      </w:r>
      <w:r w:rsidRPr="00C21BB4">
        <w:rPr>
          <w:rFonts w:ascii="Arial" w:hAnsi="Arial" w:cs="Arial"/>
          <w:sz w:val="24"/>
          <w:szCs w:val="24"/>
        </w:rPr>
        <w:t>. El Banco podrá solicitarle a cualquier Titular de CEDEAR o a cualquier persona que presente títulos a efectos de su depósito contra la emisión de CEDEAR que presente de tanto en tanto las constancias de ciudadanía o residencia y toda otra información, por medio de una declaración jurada u otro medio y que otorgue los certificados y demás instrumentos que sean necesarios o adecuados para cumplir con cualesquiera leyes o reglamentaciones relacionadas con la emisión o transferencia de CEDEAR</w:t>
      </w:r>
      <w:r w:rsidR="00EB1450">
        <w:rPr>
          <w:rFonts w:ascii="Arial" w:hAnsi="Arial" w:cs="Arial"/>
          <w:sz w:val="24"/>
          <w:szCs w:val="24"/>
        </w:rPr>
        <w:t>s</w:t>
      </w:r>
      <w:r w:rsidRPr="00C21BB4">
        <w:rPr>
          <w:rFonts w:ascii="Arial" w:hAnsi="Arial" w:cs="Arial"/>
          <w:sz w:val="24"/>
          <w:szCs w:val="24"/>
        </w:rPr>
        <w:t xml:space="preserve">, con la recepción o distribución de dividendos u otros bienes, con los impuestos que les son aplicables o con </w:t>
      </w:r>
      <w:r w:rsidR="003A0B7F" w:rsidRPr="003A0B7F">
        <w:rPr>
          <w:rFonts w:ascii="Arial" w:hAnsi="Arial" w:cs="Arial"/>
          <w:sz w:val="24"/>
          <w:szCs w:val="24"/>
        </w:rPr>
        <w:t>l</w:t>
      </w:r>
      <w:r w:rsidR="00E63B6E">
        <w:rPr>
          <w:rFonts w:ascii="Arial" w:hAnsi="Arial" w:cs="Arial"/>
          <w:sz w:val="24"/>
          <w:szCs w:val="24"/>
        </w:rPr>
        <w:t>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y el Banco podrá negarse a emitir o registrar la transferencia o cancelación de cualquier CEDEAR o a pagar los dividendos o entregar los bienes, </w:t>
      </w:r>
      <w:r w:rsidR="00E63B6E">
        <w:rPr>
          <w:rFonts w:ascii="Arial" w:hAnsi="Arial" w:cs="Arial"/>
          <w:sz w:val="24"/>
          <w:szCs w:val="24"/>
        </w:rPr>
        <w:t>lo</w:t>
      </w:r>
      <w:r w:rsidR="00142E00" w:rsidRPr="00142E00">
        <w:rPr>
          <w:rFonts w:ascii="Arial" w:hAnsi="Arial" w:cs="Arial"/>
          <w:sz w:val="24"/>
          <w:szCs w:val="24"/>
        </w:rPr>
        <w:t>s</w:t>
      </w:r>
      <w:r w:rsidR="00E63B6E">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142E00" w:rsidRPr="00142E00">
        <w:rPr>
          <w:rFonts w:ascii="Arial" w:hAnsi="Arial" w:cs="Arial"/>
          <w:sz w:val="24"/>
          <w:szCs w:val="24"/>
        </w:rPr>
        <w:t xml:space="preserve"> </w:t>
      </w:r>
      <w:r w:rsidRPr="00C21BB4">
        <w:rPr>
          <w:rFonts w:ascii="Arial" w:hAnsi="Arial" w:cs="Arial"/>
          <w:sz w:val="24"/>
          <w:szCs w:val="24"/>
        </w:rPr>
        <w:t xml:space="preserve">del Titular, u otra persona, según el caso, que no presente las citadas constancias, certificados o instrumentos. </w:t>
      </w:r>
    </w:p>
    <w:p w14:paraId="6F2014D0" w14:textId="77777777" w:rsidR="004079B7" w:rsidRPr="00C21BB4" w:rsidRDefault="004079B7">
      <w:pPr>
        <w:jc w:val="both"/>
        <w:rPr>
          <w:rFonts w:ascii="Arial" w:hAnsi="Arial" w:cs="Arial"/>
          <w:sz w:val="24"/>
          <w:szCs w:val="24"/>
        </w:rPr>
      </w:pPr>
    </w:p>
    <w:p w14:paraId="3CCB5A69" w14:textId="77777777" w:rsidR="004079B7" w:rsidRPr="00C21BB4" w:rsidRDefault="004079B7">
      <w:pPr>
        <w:jc w:val="both"/>
        <w:rPr>
          <w:rFonts w:ascii="Arial" w:hAnsi="Arial" w:cs="Arial"/>
          <w:sz w:val="24"/>
          <w:szCs w:val="24"/>
        </w:rPr>
      </w:pPr>
    </w:p>
    <w:p w14:paraId="605848E2"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7</w:t>
      </w:r>
      <w:r w:rsidRPr="00C21BB4">
        <w:rPr>
          <w:rFonts w:ascii="Arial" w:hAnsi="Arial" w:cs="Arial"/>
          <w:b/>
          <w:i/>
          <w:sz w:val="24"/>
          <w:szCs w:val="24"/>
        </w:rPr>
        <w:t>. Transmisión y Registro de Titularidad</w:t>
      </w:r>
      <w:r w:rsidRPr="00C21BB4">
        <w:rPr>
          <w:rFonts w:ascii="Arial" w:hAnsi="Arial" w:cs="Arial"/>
          <w:sz w:val="24"/>
          <w:szCs w:val="24"/>
        </w:rPr>
        <w:t xml:space="preserve">. La transmisión del CEDEAR y el registro de su Titular sólo tendrá efectos frente a el Banco desde la fecha de su registración. El Banco considerará (sin tener en cuenta ninguna notificación en contrario salvo la registración de la transferencia) a la persona a cuyo nombre está registrado el CEDEAR en los libros del Banco llevados por el Agente de Registro como su </w:t>
      </w:r>
      <w:r w:rsidR="007B0A42">
        <w:rPr>
          <w:rFonts w:ascii="Arial" w:hAnsi="Arial" w:cs="Arial"/>
          <w:sz w:val="24"/>
          <w:szCs w:val="24"/>
        </w:rPr>
        <w:t>T</w:t>
      </w:r>
      <w:r w:rsidRPr="00C21BB4">
        <w:rPr>
          <w:rFonts w:ascii="Arial" w:hAnsi="Arial" w:cs="Arial"/>
          <w:sz w:val="24"/>
          <w:szCs w:val="24"/>
        </w:rPr>
        <w:t xml:space="preserve">itular absoluto a efectos de determinar las personas con derecho a los dividendos u otras distribuciones o a cualquier notificación conforme a los términos del presente o a otros efectos. </w:t>
      </w:r>
    </w:p>
    <w:p w14:paraId="35F0DEAB" w14:textId="77777777" w:rsidR="004079B7" w:rsidRPr="00C21BB4" w:rsidRDefault="00360D04" w:rsidP="00DD5A21">
      <w:pPr>
        <w:jc w:val="both"/>
        <w:rPr>
          <w:rFonts w:ascii="Arial" w:hAnsi="Arial" w:cs="Arial"/>
          <w:sz w:val="24"/>
          <w:szCs w:val="24"/>
        </w:rPr>
      </w:pPr>
      <w:r>
        <w:rPr>
          <w:rFonts w:ascii="Arial" w:hAnsi="Arial" w:cs="Arial"/>
          <w:sz w:val="24"/>
          <w:szCs w:val="24"/>
          <w:lang w:val="es-AR"/>
        </w:rPr>
        <w:lastRenderedPageBreak/>
        <w:t xml:space="preserve"> </w:t>
      </w:r>
    </w:p>
    <w:p w14:paraId="749B146B" w14:textId="77777777" w:rsidR="004079B7" w:rsidRDefault="004079B7">
      <w:pPr>
        <w:jc w:val="both"/>
        <w:rPr>
          <w:rFonts w:ascii="Arial" w:hAnsi="Arial" w:cs="Arial"/>
          <w:sz w:val="24"/>
          <w:szCs w:val="24"/>
        </w:rPr>
      </w:pPr>
    </w:p>
    <w:p w14:paraId="7C6B45F4" w14:textId="77777777" w:rsidR="00A824AF" w:rsidRPr="00C3045E" w:rsidRDefault="008142C7" w:rsidP="00A824AF">
      <w:pPr>
        <w:jc w:val="both"/>
        <w:rPr>
          <w:rFonts w:ascii="Arial" w:hAnsi="Arial" w:cs="Arial"/>
          <w:sz w:val="24"/>
          <w:szCs w:val="24"/>
        </w:rPr>
      </w:pPr>
      <w:r>
        <w:rPr>
          <w:rFonts w:ascii="Arial" w:hAnsi="Arial" w:cs="Arial"/>
          <w:b/>
          <w:i/>
          <w:sz w:val="24"/>
          <w:szCs w:val="24"/>
        </w:rPr>
        <w:tab/>
      </w:r>
      <w:r w:rsidR="00F6447D">
        <w:rPr>
          <w:rFonts w:ascii="Arial" w:hAnsi="Arial" w:cs="Arial"/>
          <w:b/>
          <w:i/>
          <w:sz w:val="24"/>
          <w:szCs w:val="24"/>
        </w:rPr>
        <w:t>8</w:t>
      </w:r>
      <w:r w:rsidR="00A824AF" w:rsidRPr="00C3045E">
        <w:rPr>
          <w:rFonts w:ascii="Arial" w:hAnsi="Arial" w:cs="Arial"/>
          <w:b/>
          <w:i/>
          <w:sz w:val="24"/>
          <w:szCs w:val="24"/>
        </w:rPr>
        <w:t>. Restricciones a</w:t>
      </w:r>
      <w:r w:rsidR="00A824AF">
        <w:rPr>
          <w:rFonts w:ascii="Arial" w:hAnsi="Arial" w:cs="Arial"/>
          <w:b/>
          <w:i/>
          <w:sz w:val="24"/>
          <w:szCs w:val="24"/>
        </w:rPr>
        <w:t xml:space="preserve"> </w:t>
      </w:r>
      <w:r w:rsidR="00A824AF" w:rsidRPr="00C3045E">
        <w:rPr>
          <w:rFonts w:ascii="Arial" w:hAnsi="Arial" w:cs="Arial"/>
          <w:b/>
          <w:i/>
          <w:sz w:val="24"/>
          <w:szCs w:val="24"/>
        </w:rPr>
        <w:t>l</w:t>
      </w:r>
      <w:r w:rsidR="00A824AF">
        <w:rPr>
          <w:rFonts w:ascii="Arial" w:hAnsi="Arial" w:cs="Arial"/>
          <w:b/>
          <w:i/>
          <w:sz w:val="24"/>
          <w:szCs w:val="24"/>
        </w:rPr>
        <w:t>a Registración, Emisión</w:t>
      </w:r>
      <w:r w:rsidR="00A824AF" w:rsidRPr="00C3045E">
        <w:rPr>
          <w:rFonts w:ascii="Arial" w:hAnsi="Arial" w:cs="Arial"/>
          <w:b/>
          <w:i/>
          <w:sz w:val="24"/>
          <w:szCs w:val="24"/>
        </w:rPr>
        <w:t xml:space="preserve">, Transferencia, </w:t>
      </w:r>
      <w:r w:rsidR="00A824AF">
        <w:rPr>
          <w:rFonts w:ascii="Arial" w:hAnsi="Arial" w:cs="Arial"/>
          <w:b/>
          <w:i/>
          <w:sz w:val="24"/>
          <w:szCs w:val="24"/>
        </w:rPr>
        <w:t>y/</w:t>
      </w:r>
      <w:r w:rsidR="00A824AF" w:rsidRPr="00C3045E">
        <w:rPr>
          <w:rFonts w:ascii="Arial" w:hAnsi="Arial" w:cs="Arial"/>
          <w:b/>
          <w:i/>
          <w:sz w:val="24"/>
          <w:szCs w:val="24"/>
        </w:rPr>
        <w:t>o Cancelación de CEDEARs.</w:t>
      </w:r>
      <w:r w:rsidR="00A824AF" w:rsidRPr="00C3045E">
        <w:rPr>
          <w:rFonts w:ascii="Arial" w:hAnsi="Arial" w:cs="Arial"/>
          <w:sz w:val="24"/>
          <w:szCs w:val="24"/>
        </w:rPr>
        <w:t xml:space="preserve"> </w:t>
      </w:r>
      <w:r w:rsidR="00C16911">
        <w:rPr>
          <w:rFonts w:ascii="Arial" w:hAnsi="Arial" w:cs="Arial"/>
          <w:sz w:val="24"/>
          <w:szCs w:val="24"/>
        </w:rPr>
        <w:t>Sujeto a las disposiciones del a</w:t>
      </w:r>
      <w:r w:rsidR="00A824AF" w:rsidRPr="00C3045E">
        <w:rPr>
          <w:rFonts w:ascii="Arial" w:hAnsi="Arial" w:cs="Arial"/>
          <w:sz w:val="24"/>
          <w:szCs w:val="24"/>
        </w:rPr>
        <w:t>rt</w:t>
      </w:r>
      <w:r w:rsidR="0018211B">
        <w:rPr>
          <w:rFonts w:ascii="Arial" w:hAnsi="Arial" w:cs="Arial"/>
          <w:sz w:val="24"/>
          <w:szCs w:val="24"/>
        </w:rPr>
        <w:t>í</w:t>
      </w:r>
      <w:r w:rsidR="00A824AF" w:rsidRPr="00C3045E">
        <w:rPr>
          <w:rFonts w:ascii="Arial" w:hAnsi="Arial" w:cs="Arial"/>
          <w:sz w:val="24"/>
          <w:szCs w:val="24"/>
        </w:rPr>
        <w:t xml:space="preserve">culo </w:t>
      </w:r>
      <w:r w:rsidR="000F2666">
        <w:rPr>
          <w:rFonts w:ascii="Arial" w:hAnsi="Arial" w:cs="Arial"/>
          <w:sz w:val="24"/>
          <w:szCs w:val="24"/>
        </w:rPr>
        <w:t>5</w:t>
      </w:r>
      <w:r w:rsidR="00A824AF" w:rsidRPr="00C3045E">
        <w:rPr>
          <w:rFonts w:ascii="Arial" w:hAnsi="Arial" w:cs="Arial"/>
          <w:sz w:val="24"/>
          <w:szCs w:val="24"/>
        </w:rPr>
        <w:t xml:space="preserve"> del presente, la registración y en su caso</w:t>
      </w:r>
      <w:r w:rsidR="00465614">
        <w:rPr>
          <w:rFonts w:ascii="Arial" w:hAnsi="Arial" w:cs="Arial"/>
          <w:sz w:val="24"/>
          <w:szCs w:val="24"/>
        </w:rPr>
        <w:t xml:space="preserve"> la</w:t>
      </w:r>
      <w:r w:rsidR="00A824AF" w:rsidRPr="00C3045E">
        <w:rPr>
          <w:rFonts w:ascii="Arial" w:hAnsi="Arial" w:cs="Arial"/>
          <w:sz w:val="24"/>
          <w:szCs w:val="24"/>
        </w:rPr>
        <w:t xml:space="preserve"> emisión de un CEDEAR contra el depósito de </w:t>
      </w:r>
      <w:proofErr w:type="spellStart"/>
      <w:r w:rsidR="00477BC5">
        <w:rPr>
          <w:rFonts w:ascii="Arial" w:hAnsi="Arial" w:cs="Arial"/>
          <w:sz w:val="24"/>
          <w:szCs w:val="24"/>
        </w:rPr>
        <w:t>ADS</w:t>
      </w:r>
      <w:r w:rsidR="00A824AF" w:rsidRPr="00C3045E">
        <w:rPr>
          <w:rFonts w:ascii="Arial" w:hAnsi="Arial" w:cs="Arial"/>
          <w:sz w:val="24"/>
          <w:szCs w:val="24"/>
        </w:rPr>
        <w:t>s</w:t>
      </w:r>
      <w:proofErr w:type="spellEnd"/>
      <w:r w:rsidR="00A824AF" w:rsidRPr="00C3045E">
        <w:rPr>
          <w:rFonts w:ascii="Arial" w:hAnsi="Arial" w:cs="Arial"/>
          <w:sz w:val="24"/>
          <w:szCs w:val="24"/>
        </w:rPr>
        <w:t xml:space="preserve"> podrá ser suspendido; o podrá negarse el registro de la transferencia o cancelación de CEDEARs en ciertas instancias</w:t>
      </w:r>
      <w:r w:rsidR="00B00315">
        <w:rPr>
          <w:rFonts w:ascii="Arial" w:hAnsi="Arial" w:cs="Arial"/>
          <w:sz w:val="24"/>
          <w:szCs w:val="24"/>
        </w:rPr>
        <w:t>,</w:t>
      </w:r>
      <w:r w:rsidR="00A824AF" w:rsidRPr="00C3045E">
        <w:rPr>
          <w:rFonts w:ascii="Arial" w:hAnsi="Arial" w:cs="Arial"/>
          <w:sz w:val="24"/>
          <w:szCs w:val="24"/>
        </w:rPr>
        <w:t xml:space="preserve"> o el registro de transferencia de CEDEARs en circulación en general podrá ser suspendido durante cualquier periodo en que estén cerrados los libros del Banco o, si cualquier acción tal fuera considerada necesaria o aconsejable por el Banco en cualquier momento</w:t>
      </w:r>
      <w:r w:rsidR="00B00315">
        <w:rPr>
          <w:rFonts w:ascii="Arial" w:hAnsi="Arial" w:cs="Arial"/>
          <w:sz w:val="24"/>
          <w:szCs w:val="24"/>
        </w:rPr>
        <w:t>,</w:t>
      </w:r>
      <w:r w:rsidR="00A824AF" w:rsidRPr="00C3045E">
        <w:rPr>
          <w:rFonts w:ascii="Arial" w:hAnsi="Arial" w:cs="Arial"/>
          <w:sz w:val="24"/>
          <w:szCs w:val="24"/>
        </w:rPr>
        <w:t xml:space="preserve"> o de tanto en tanto en razón de un requerimiento legal, gubernamental o bajo cualquier disposición de los Términos y Condiciones del CEDEAR o por cualquier otra circunstancia grave o extraordinaria que tornara necesario o aconsejable suspender momentáneamente el registro de emisión, cancelación y transferencia (tales como interrupción momentánea de las comunicaciones internacionales, huelgas, conflictos internacionales o circunstancias imprevistas similares). </w:t>
      </w:r>
      <w:r w:rsidR="00465614">
        <w:rPr>
          <w:rFonts w:ascii="Arial" w:hAnsi="Arial" w:cs="Arial"/>
          <w:sz w:val="24"/>
          <w:szCs w:val="24"/>
        </w:rPr>
        <w:t xml:space="preserve">Tampoco se emitirán nuevos CEDEAR si excedieran el monto autorizado del Programa por la CNV.  </w:t>
      </w:r>
      <w:r w:rsidR="00A824AF" w:rsidRPr="00C3045E">
        <w:rPr>
          <w:rFonts w:ascii="Arial" w:hAnsi="Arial" w:cs="Arial"/>
          <w:sz w:val="24"/>
          <w:szCs w:val="24"/>
        </w:rPr>
        <w:t xml:space="preserve">La emisión y cancelación de CEDEAR se efectuará sólo en bloques equivalentes a múltiplos de </w:t>
      </w:r>
      <w:r w:rsidR="00A824AF">
        <w:rPr>
          <w:rFonts w:ascii="Arial" w:hAnsi="Arial" w:cs="Arial"/>
          <w:sz w:val="24"/>
          <w:szCs w:val="24"/>
        </w:rPr>
        <w:t xml:space="preserve">un </w:t>
      </w:r>
      <w:r w:rsidR="00477BC5">
        <w:rPr>
          <w:rFonts w:ascii="Arial" w:hAnsi="Arial" w:cs="Arial"/>
          <w:sz w:val="24"/>
          <w:szCs w:val="24"/>
        </w:rPr>
        <w:t>ADS</w:t>
      </w:r>
      <w:r w:rsidR="00A824AF" w:rsidRPr="00C3045E">
        <w:rPr>
          <w:rFonts w:ascii="Arial" w:hAnsi="Arial" w:cs="Arial"/>
          <w:sz w:val="24"/>
          <w:szCs w:val="24"/>
        </w:rPr>
        <w:t xml:space="preserve"> representad</w:t>
      </w:r>
      <w:r w:rsidR="00A824AF">
        <w:rPr>
          <w:rFonts w:ascii="Arial" w:hAnsi="Arial" w:cs="Arial"/>
          <w:sz w:val="24"/>
          <w:szCs w:val="24"/>
        </w:rPr>
        <w:t>o</w:t>
      </w:r>
      <w:r w:rsidR="00A824AF" w:rsidRPr="00C3045E">
        <w:rPr>
          <w:rFonts w:ascii="Arial" w:hAnsi="Arial" w:cs="Arial"/>
          <w:sz w:val="24"/>
          <w:szCs w:val="24"/>
        </w:rPr>
        <w:t xml:space="preserve"> por los CEDEAR, sin perjuicio de su negociación secundaria por unidades.</w:t>
      </w:r>
    </w:p>
    <w:p w14:paraId="3A678FDC" w14:textId="77777777" w:rsidR="00A824AF" w:rsidRPr="00C21BB4" w:rsidRDefault="00A824AF">
      <w:pPr>
        <w:jc w:val="both"/>
        <w:rPr>
          <w:rFonts w:ascii="Arial" w:hAnsi="Arial" w:cs="Arial"/>
          <w:sz w:val="24"/>
          <w:szCs w:val="24"/>
        </w:rPr>
      </w:pPr>
    </w:p>
    <w:p w14:paraId="3206CC41" w14:textId="77777777" w:rsidR="004079B7" w:rsidRPr="00C21BB4" w:rsidRDefault="004079B7">
      <w:pPr>
        <w:jc w:val="both"/>
        <w:rPr>
          <w:rFonts w:ascii="Arial" w:hAnsi="Arial" w:cs="Arial"/>
          <w:sz w:val="24"/>
          <w:szCs w:val="24"/>
        </w:rPr>
      </w:pPr>
    </w:p>
    <w:p w14:paraId="49D6B194"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9</w:t>
      </w:r>
      <w:r w:rsidRPr="00C21BB4">
        <w:rPr>
          <w:rFonts w:ascii="Arial" w:hAnsi="Arial" w:cs="Arial"/>
          <w:b/>
          <w:i/>
          <w:sz w:val="24"/>
          <w:szCs w:val="24"/>
        </w:rPr>
        <w:t>. Responsabilidad impositiva del Titular</w:t>
      </w:r>
      <w:r w:rsidRPr="00C21BB4">
        <w:rPr>
          <w:rFonts w:ascii="Arial" w:hAnsi="Arial" w:cs="Arial"/>
          <w:sz w:val="24"/>
          <w:szCs w:val="24"/>
        </w:rPr>
        <w:t xml:space="preserve">. El Banco no será responsable de impuestos, valuaciones o cargas gubernamentales ni de valuaciones o cargas societarias pagaderas respecto de </w:t>
      </w:r>
      <w:r w:rsidR="00E63B6E">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Pr="00C21BB4">
        <w:rPr>
          <w:rFonts w:ascii="Arial" w:hAnsi="Arial" w:cs="Arial"/>
          <w:sz w:val="24"/>
          <w:szCs w:val="24"/>
        </w:rPr>
        <w:t>, empero una parte proporcional de todos y cada uno de ellos, ya sea que dicho impuesto, valuación o carga resulte pagadera en razón de cualquier impuesto, ley, disposición de un instrumento orgánico, estatuto, reglamentación u otra norma presente o futura,</w:t>
      </w:r>
      <w:r w:rsidR="00BA599B">
        <w:rPr>
          <w:rFonts w:ascii="Arial" w:hAnsi="Arial" w:cs="Arial"/>
          <w:sz w:val="24"/>
          <w:szCs w:val="24"/>
        </w:rPr>
        <w:t xml:space="preserve"> </w:t>
      </w:r>
      <w:r w:rsidRPr="00C21BB4">
        <w:rPr>
          <w:rFonts w:ascii="Arial" w:hAnsi="Arial" w:cs="Arial"/>
          <w:sz w:val="24"/>
          <w:szCs w:val="24"/>
        </w:rPr>
        <w:t xml:space="preserve">de la República Argentina o un país extranjero, será pagadera por el Titular del CEDEAR a el Banco en cualquier momento al serle solicitado. Ante la falta de pago de dicho monto por el Titular del CEDEAR el Banco podrá retener dividendos u otras distribuciones o podrá vender para la cuenta de dicho Titular la totalidad o una parte de </w:t>
      </w:r>
      <w:r w:rsidR="00E63B6E">
        <w:rPr>
          <w:rFonts w:ascii="Arial" w:hAnsi="Arial" w:cs="Arial"/>
          <w:sz w:val="24"/>
          <w:szCs w:val="24"/>
        </w:rPr>
        <w:t>lo</w:t>
      </w:r>
      <w:r w:rsidR="00840FF1">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que están representad</w:t>
      </w:r>
      <w:r w:rsidR="00053962">
        <w:rPr>
          <w:rFonts w:ascii="Arial" w:hAnsi="Arial" w:cs="Arial"/>
          <w:sz w:val="24"/>
          <w:szCs w:val="24"/>
        </w:rPr>
        <w:t>o</w:t>
      </w:r>
      <w:r w:rsidRPr="00C21BB4">
        <w:rPr>
          <w:rFonts w:ascii="Arial" w:hAnsi="Arial" w:cs="Arial"/>
          <w:sz w:val="24"/>
          <w:szCs w:val="24"/>
        </w:rPr>
        <w:t>s por los CEDEAR</w:t>
      </w:r>
      <w:r w:rsidR="0063049C">
        <w:rPr>
          <w:rFonts w:ascii="Arial" w:hAnsi="Arial" w:cs="Arial"/>
          <w:sz w:val="24"/>
          <w:szCs w:val="24"/>
        </w:rPr>
        <w:t>s</w:t>
      </w:r>
      <w:r w:rsidRPr="00C21BB4">
        <w:rPr>
          <w:rFonts w:ascii="Arial" w:hAnsi="Arial" w:cs="Arial"/>
          <w:sz w:val="24"/>
          <w:szCs w:val="24"/>
        </w:rPr>
        <w:t xml:space="preserve">, y podrá aplicar dichos dividendos y demás distribuciones o el producido de dicha venta al pago del impuesto, valuación o carga, entendiéndose que su Titular seguirá siendo responsable por cualquier monto faltante. </w:t>
      </w:r>
    </w:p>
    <w:p w14:paraId="4C675E0C" w14:textId="77777777" w:rsidR="004079B7" w:rsidRPr="00C21BB4" w:rsidRDefault="004079B7">
      <w:pPr>
        <w:jc w:val="both"/>
        <w:rPr>
          <w:rFonts w:ascii="Arial" w:hAnsi="Arial" w:cs="Arial"/>
          <w:sz w:val="24"/>
          <w:szCs w:val="24"/>
        </w:rPr>
      </w:pPr>
    </w:p>
    <w:p w14:paraId="348FBFB0" w14:textId="77777777" w:rsidR="004079B7" w:rsidRPr="00C21BB4" w:rsidRDefault="004079B7">
      <w:pPr>
        <w:jc w:val="both"/>
        <w:rPr>
          <w:rFonts w:ascii="Arial" w:hAnsi="Arial" w:cs="Arial"/>
          <w:sz w:val="24"/>
          <w:szCs w:val="24"/>
        </w:rPr>
      </w:pPr>
    </w:p>
    <w:p w14:paraId="09B987CD"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10</w:t>
      </w:r>
      <w:r w:rsidRPr="00F319DC">
        <w:rPr>
          <w:rFonts w:ascii="Arial" w:hAnsi="Arial" w:cs="Arial"/>
          <w:b/>
          <w:sz w:val="24"/>
          <w:szCs w:val="24"/>
        </w:rPr>
        <w:t>.</w:t>
      </w:r>
      <w:r w:rsidRPr="00F319DC">
        <w:rPr>
          <w:rFonts w:ascii="Arial" w:hAnsi="Arial" w:cs="Arial"/>
          <w:sz w:val="24"/>
          <w:szCs w:val="24"/>
        </w:rPr>
        <w:t xml:space="preserve"> </w:t>
      </w:r>
      <w:r w:rsidRPr="00F319DC">
        <w:rPr>
          <w:rFonts w:ascii="Arial" w:hAnsi="Arial" w:cs="Arial"/>
          <w:b/>
          <w:i/>
          <w:sz w:val="24"/>
          <w:szCs w:val="24"/>
        </w:rPr>
        <w:t xml:space="preserve"> Declaraciones y Garantías</w:t>
      </w:r>
      <w:r w:rsidRPr="00F319DC">
        <w:rPr>
          <w:rFonts w:ascii="Arial" w:hAnsi="Arial" w:cs="Arial"/>
          <w:sz w:val="24"/>
          <w:szCs w:val="24"/>
        </w:rPr>
        <w:t xml:space="preserve">. </w:t>
      </w:r>
      <w:r w:rsidR="00F5470A" w:rsidRPr="00F5470A">
        <w:rPr>
          <w:rFonts w:ascii="Arial" w:hAnsi="Arial" w:cs="Arial"/>
          <w:sz w:val="24"/>
          <w:szCs w:val="24"/>
        </w:rPr>
        <w:t xml:space="preserve">Cada persona que presente </w:t>
      </w:r>
      <w:proofErr w:type="spellStart"/>
      <w:r w:rsidR="00477BC5">
        <w:rPr>
          <w:rFonts w:ascii="Arial" w:hAnsi="Arial" w:cs="Arial"/>
          <w:sz w:val="24"/>
          <w:szCs w:val="24"/>
        </w:rPr>
        <w:t>ADS</w:t>
      </w:r>
      <w:r w:rsidR="00E63B6E">
        <w:rPr>
          <w:rFonts w:ascii="Arial" w:hAnsi="Arial" w:cs="Arial"/>
          <w:sz w:val="24"/>
          <w:szCs w:val="24"/>
        </w:rPr>
        <w:t>s</w:t>
      </w:r>
      <w:proofErr w:type="spellEnd"/>
      <w:r w:rsidR="00F5470A">
        <w:rPr>
          <w:rFonts w:ascii="Arial" w:hAnsi="Arial" w:cs="Arial"/>
          <w:sz w:val="24"/>
          <w:szCs w:val="24"/>
        </w:rPr>
        <w:t xml:space="preserve"> </w:t>
      </w:r>
      <w:r w:rsidR="00F5470A" w:rsidRPr="00F5470A">
        <w:rPr>
          <w:rFonts w:ascii="Arial" w:hAnsi="Arial" w:cs="Arial"/>
          <w:sz w:val="24"/>
          <w:szCs w:val="24"/>
        </w:rPr>
        <w:t>a efectos de su depósito por el solo hecho de su present</w:t>
      </w:r>
      <w:r w:rsidR="00E63B6E">
        <w:rPr>
          <w:rFonts w:ascii="Arial" w:hAnsi="Arial" w:cs="Arial"/>
          <w:sz w:val="24"/>
          <w:szCs w:val="24"/>
        </w:rPr>
        <w:t>ación declara y garantiza que lo</w:t>
      </w:r>
      <w:r w:rsidR="00F5470A" w:rsidRPr="00F5470A">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6A2D95">
        <w:rPr>
          <w:rFonts w:ascii="Arial" w:hAnsi="Arial" w:cs="Arial"/>
          <w:sz w:val="24"/>
          <w:szCs w:val="24"/>
        </w:rPr>
        <w:t xml:space="preserve"> y las </w:t>
      </w:r>
      <w:r w:rsidR="007B6DCA">
        <w:rPr>
          <w:rFonts w:ascii="Arial" w:hAnsi="Arial" w:cs="Arial"/>
          <w:sz w:val="24"/>
          <w:szCs w:val="24"/>
        </w:rPr>
        <w:t>A</w:t>
      </w:r>
      <w:r w:rsidR="00CA3F8B">
        <w:rPr>
          <w:rFonts w:ascii="Arial" w:hAnsi="Arial" w:cs="Arial"/>
          <w:sz w:val="24"/>
          <w:szCs w:val="24"/>
        </w:rPr>
        <w:t xml:space="preserve">cciones </w:t>
      </w:r>
      <w:r w:rsidR="007B6DCA">
        <w:rPr>
          <w:rFonts w:ascii="Arial" w:hAnsi="Arial" w:cs="Arial"/>
          <w:sz w:val="24"/>
          <w:szCs w:val="24"/>
        </w:rPr>
        <w:t>S</w:t>
      </w:r>
      <w:r w:rsidR="00CA3F8B">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F5470A" w:rsidRPr="00F5470A">
        <w:rPr>
          <w:rFonts w:ascii="Arial" w:hAnsi="Arial" w:cs="Arial"/>
          <w:sz w:val="24"/>
          <w:szCs w:val="24"/>
        </w:rPr>
        <w:t xml:space="preserve">, según corresponda, que cada CEDEAR por consiguiente, están válidamente emitidos, totalmente integrados, que no son objeto de cargas adicionales y que están libres de todo derecho de preferencia y que la persona que efectúa dicho depósito está debidamente autorizada a hacerlo, y que se trata de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F5470A" w:rsidRPr="00F5470A">
        <w:rPr>
          <w:rFonts w:ascii="Arial" w:hAnsi="Arial" w:cs="Arial"/>
          <w:sz w:val="24"/>
          <w:szCs w:val="24"/>
        </w:rPr>
        <w:t xml:space="preserve">libres de todo gravamen, en el pleno e irrestricto ejercicio de sus derechos, y de libre disponibilidad. Cada una de dichas personas por el solo hecho de la presentación de </w:t>
      </w:r>
      <w:proofErr w:type="spellStart"/>
      <w:r w:rsidR="00477BC5">
        <w:rPr>
          <w:rFonts w:ascii="Arial" w:hAnsi="Arial" w:cs="Arial"/>
          <w:sz w:val="24"/>
          <w:szCs w:val="24"/>
        </w:rPr>
        <w:t>ADS</w:t>
      </w:r>
      <w:r w:rsidR="00E63B6E">
        <w:rPr>
          <w:rFonts w:ascii="Arial" w:hAnsi="Arial" w:cs="Arial"/>
          <w:sz w:val="24"/>
          <w:szCs w:val="24"/>
        </w:rPr>
        <w:t>s</w:t>
      </w:r>
      <w:proofErr w:type="spellEnd"/>
      <w:r w:rsidR="00F5470A" w:rsidRPr="00F5470A">
        <w:rPr>
          <w:rFonts w:ascii="Arial" w:hAnsi="Arial" w:cs="Arial"/>
          <w:sz w:val="24"/>
          <w:szCs w:val="24"/>
        </w:rPr>
        <w:t xml:space="preserve"> a los efectos de su depósito declara y garantiza qu</w:t>
      </w:r>
      <w:r w:rsidR="00E63B6E">
        <w:rPr>
          <w:rFonts w:ascii="Arial" w:hAnsi="Arial" w:cs="Arial"/>
          <w:sz w:val="24"/>
          <w:szCs w:val="24"/>
        </w:rPr>
        <w:t>e no es obligatorio registrar lo</w:t>
      </w:r>
      <w:r w:rsidR="00F5470A" w:rsidRPr="00F5470A">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F5470A" w:rsidRPr="00F5470A">
        <w:rPr>
          <w:rFonts w:ascii="Arial" w:hAnsi="Arial" w:cs="Arial"/>
          <w:sz w:val="24"/>
          <w:szCs w:val="24"/>
        </w:rPr>
        <w:t xml:space="preserve">bajo la Ley de Títulos de 1933 en relación con la oferta o venta de </w:t>
      </w:r>
      <w:proofErr w:type="gramStart"/>
      <w:r w:rsidR="00F5470A" w:rsidRPr="00F5470A">
        <w:rPr>
          <w:rFonts w:ascii="Arial" w:hAnsi="Arial" w:cs="Arial"/>
          <w:sz w:val="24"/>
          <w:szCs w:val="24"/>
        </w:rPr>
        <w:t>los mismos</w:t>
      </w:r>
      <w:proofErr w:type="gramEnd"/>
      <w:r w:rsidR="00F5470A" w:rsidRPr="00F5470A">
        <w:rPr>
          <w:rFonts w:ascii="Arial" w:hAnsi="Arial" w:cs="Arial"/>
          <w:sz w:val="24"/>
          <w:szCs w:val="24"/>
        </w:rPr>
        <w:t xml:space="preserve"> </w:t>
      </w:r>
      <w:r w:rsidR="00F5470A" w:rsidRPr="00F5470A">
        <w:rPr>
          <w:rFonts w:ascii="Arial" w:hAnsi="Arial" w:cs="Arial"/>
          <w:sz w:val="24"/>
          <w:szCs w:val="24"/>
        </w:rPr>
        <w:lastRenderedPageBreak/>
        <w:t>en los Estados Unidos. Las declaraciones y garantías subsistirán el depósito de dichos títulos y la emisión de los CEDEAR.</w:t>
      </w:r>
    </w:p>
    <w:p w14:paraId="2D9B742D" w14:textId="77777777" w:rsidR="004079B7" w:rsidRDefault="004079B7">
      <w:pPr>
        <w:jc w:val="both"/>
        <w:rPr>
          <w:rFonts w:ascii="Arial" w:hAnsi="Arial" w:cs="Arial"/>
          <w:sz w:val="24"/>
          <w:szCs w:val="24"/>
        </w:rPr>
      </w:pPr>
    </w:p>
    <w:p w14:paraId="3FC4BEBC" w14:textId="77777777" w:rsidR="00822C7F" w:rsidRPr="00C21BB4" w:rsidRDefault="00822C7F">
      <w:pPr>
        <w:jc w:val="both"/>
        <w:rPr>
          <w:rFonts w:ascii="Arial" w:hAnsi="Arial" w:cs="Arial"/>
          <w:sz w:val="24"/>
          <w:szCs w:val="24"/>
        </w:rPr>
      </w:pPr>
    </w:p>
    <w:p w14:paraId="79D60AB6"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11</w:t>
      </w:r>
      <w:r w:rsidRPr="00C21BB4">
        <w:rPr>
          <w:rFonts w:ascii="Arial" w:hAnsi="Arial" w:cs="Arial"/>
          <w:b/>
          <w:i/>
          <w:sz w:val="24"/>
          <w:szCs w:val="24"/>
        </w:rPr>
        <w:t>. Estipulaciones Adicionales</w:t>
      </w:r>
      <w:r w:rsidRPr="00C21BB4">
        <w:rPr>
          <w:rFonts w:ascii="Arial" w:hAnsi="Arial" w:cs="Arial"/>
          <w:sz w:val="24"/>
          <w:szCs w:val="24"/>
        </w:rPr>
        <w:t xml:space="preserve">. El CEDEAR se ha emitido con sujeción a estos Términos y Condiciones, aprobados por la </w:t>
      </w:r>
      <w:r w:rsidRPr="004918F7">
        <w:rPr>
          <w:rFonts w:ascii="Arial" w:hAnsi="Arial" w:cs="Arial"/>
          <w:sz w:val="24"/>
          <w:szCs w:val="24"/>
        </w:rPr>
        <w:t>CNV a</w:t>
      </w:r>
      <w:r w:rsidRPr="00C21BB4">
        <w:rPr>
          <w:rFonts w:ascii="Arial" w:hAnsi="Arial" w:cs="Arial"/>
          <w:sz w:val="24"/>
          <w:szCs w:val="24"/>
        </w:rPr>
        <w:t xml:space="preserve"> cuyas disposiciones deberán ajustarse y someterse en forma expresa todos los derechos del Titular del CEDEAR, entendiéndose que todos dichos Términos y Condiciones forman parte del acuerdo evidenciado por la adquisición del CEDEAR, circunstancia que ha sido plenamente aceptada y aprobada por el Titular del CEDEAR por el solo hecho adquirir su titularidad. </w:t>
      </w:r>
    </w:p>
    <w:p w14:paraId="2365CED9" w14:textId="77777777" w:rsidR="004079B7" w:rsidRPr="00C21BB4" w:rsidRDefault="004079B7">
      <w:pPr>
        <w:jc w:val="both"/>
        <w:rPr>
          <w:rFonts w:ascii="Arial" w:hAnsi="Arial" w:cs="Arial"/>
          <w:sz w:val="24"/>
          <w:szCs w:val="24"/>
        </w:rPr>
      </w:pPr>
    </w:p>
    <w:p w14:paraId="13BD0F82" w14:textId="77777777" w:rsidR="004079B7" w:rsidRPr="00C21BB4" w:rsidRDefault="004079B7">
      <w:pPr>
        <w:jc w:val="both"/>
        <w:rPr>
          <w:rFonts w:ascii="Arial" w:hAnsi="Arial" w:cs="Arial"/>
          <w:sz w:val="24"/>
          <w:szCs w:val="24"/>
        </w:rPr>
      </w:pPr>
    </w:p>
    <w:p w14:paraId="5708BC4D" w14:textId="77777777" w:rsidR="009D06CD" w:rsidRDefault="004079B7" w:rsidP="009D06CD">
      <w:pPr>
        <w:jc w:val="both"/>
        <w:rPr>
          <w:rFonts w:ascii="Arial" w:hAnsi="Arial" w:cs="Arial"/>
          <w:spacing w:val="-2"/>
          <w:sz w:val="24"/>
          <w:szCs w:val="24"/>
        </w:rPr>
      </w:pPr>
      <w:r w:rsidRPr="00C21BB4">
        <w:rPr>
          <w:rFonts w:ascii="Arial" w:hAnsi="Arial" w:cs="Arial"/>
          <w:b/>
          <w:i/>
          <w:sz w:val="24"/>
          <w:szCs w:val="24"/>
        </w:rPr>
        <w:tab/>
      </w:r>
      <w:r w:rsidR="00F6447D">
        <w:rPr>
          <w:rFonts w:ascii="Arial" w:hAnsi="Arial" w:cs="Arial"/>
          <w:b/>
          <w:i/>
          <w:sz w:val="24"/>
          <w:szCs w:val="24"/>
        </w:rPr>
        <w:t>12</w:t>
      </w:r>
      <w:r w:rsidRPr="00C21BB4">
        <w:rPr>
          <w:rFonts w:ascii="Arial" w:hAnsi="Arial" w:cs="Arial"/>
          <w:b/>
          <w:i/>
          <w:sz w:val="24"/>
          <w:szCs w:val="24"/>
        </w:rPr>
        <w:t>. Información Disponible</w:t>
      </w:r>
      <w:r w:rsidRPr="00C21BB4">
        <w:rPr>
          <w:rFonts w:ascii="Arial" w:hAnsi="Arial" w:cs="Arial"/>
          <w:sz w:val="24"/>
          <w:szCs w:val="24"/>
        </w:rPr>
        <w:t xml:space="preserve">. A partir de la emisión del CEDEAR de acuerdo a lo previsto en estos Términos y Condiciones, se presenta en forma permanente a la CNV y se pone a disposición de los </w:t>
      </w:r>
      <w:r w:rsidR="007B0A42">
        <w:rPr>
          <w:rFonts w:ascii="Arial" w:hAnsi="Arial" w:cs="Arial"/>
          <w:sz w:val="24"/>
          <w:szCs w:val="24"/>
        </w:rPr>
        <w:t>T</w:t>
      </w:r>
      <w:r w:rsidRPr="00C21BB4">
        <w:rPr>
          <w:rFonts w:ascii="Arial" w:hAnsi="Arial" w:cs="Arial"/>
          <w:sz w:val="24"/>
          <w:szCs w:val="24"/>
        </w:rPr>
        <w:t>itulares de CEDEARs la totalidad de la información y documentació</w:t>
      </w:r>
      <w:r w:rsidR="0018211B">
        <w:rPr>
          <w:rFonts w:ascii="Arial" w:hAnsi="Arial" w:cs="Arial"/>
          <w:sz w:val="24"/>
          <w:szCs w:val="24"/>
        </w:rPr>
        <w:t xml:space="preserve">n establecida en el </w:t>
      </w:r>
      <w:r w:rsidR="00C62062">
        <w:rPr>
          <w:rFonts w:ascii="Arial" w:hAnsi="Arial" w:cs="Arial"/>
          <w:sz w:val="24"/>
          <w:szCs w:val="24"/>
        </w:rPr>
        <w:t>a</w:t>
      </w:r>
      <w:r w:rsidR="0018211B">
        <w:rPr>
          <w:rFonts w:ascii="Arial" w:hAnsi="Arial" w:cs="Arial"/>
          <w:sz w:val="24"/>
          <w:szCs w:val="24"/>
        </w:rPr>
        <w:t>rtí</w:t>
      </w:r>
      <w:r w:rsidR="007D3457" w:rsidRPr="00C21BB4">
        <w:rPr>
          <w:rFonts w:ascii="Arial" w:hAnsi="Arial" w:cs="Arial"/>
          <w:sz w:val="24"/>
          <w:szCs w:val="24"/>
        </w:rPr>
        <w:t xml:space="preserve">culo </w:t>
      </w:r>
      <w:proofErr w:type="gramStart"/>
      <w:r w:rsidR="007D3457" w:rsidRPr="00C21BB4">
        <w:rPr>
          <w:rFonts w:ascii="Arial" w:hAnsi="Arial" w:cs="Arial"/>
          <w:sz w:val="24"/>
          <w:szCs w:val="24"/>
        </w:rPr>
        <w:t xml:space="preserve">14 </w:t>
      </w:r>
      <w:r w:rsidR="00B740B3">
        <w:rPr>
          <w:rFonts w:ascii="Arial" w:hAnsi="Arial" w:cs="Arial"/>
          <w:sz w:val="24"/>
          <w:szCs w:val="24"/>
        </w:rPr>
        <w:t xml:space="preserve"> y</w:t>
      </w:r>
      <w:proofErr w:type="gramEnd"/>
      <w:r w:rsidR="00B740B3">
        <w:rPr>
          <w:rFonts w:ascii="Arial" w:hAnsi="Arial" w:cs="Arial"/>
          <w:sz w:val="24"/>
          <w:szCs w:val="24"/>
        </w:rPr>
        <w:t xml:space="preserve"> 16 </w:t>
      </w:r>
      <w:r w:rsidR="007D3457" w:rsidRPr="00C21BB4">
        <w:rPr>
          <w:rFonts w:ascii="Arial" w:hAnsi="Arial" w:cs="Arial"/>
          <w:sz w:val="24"/>
          <w:szCs w:val="24"/>
        </w:rPr>
        <w:t>de</w:t>
      </w:r>
      <w:r w:rsidR="004F0ACF">
        <w:rPr>
          <w:rFonts w:ascii="Arial" w:hAnsi="Arial" w:cs="Arial"/>
          <w:sz w:val="24"/>
          <w:szCs w:val="24"/>
        </w:rPr>
        <w:t xml:space="preserve"> </w:t>
      </w:r>
      <w:r w:rsidR="007D3457" w:rsidRPr="00C21BB4">
        <w:rPr>
          <w:rFonts w:ascii="Arial" w:hAnsi="Arial" w:cs="Arial"/>
          <w:sz w:val="24"/>
          <w:szCs w:val="24"/>
        </w:rPr>
        <w:t>l</w:t>
      </w:r>
      <w:r w:rsidR="004F0ACF">
        <w:rPr>
          <w:rFonts w:ascii="Arial" w:hAnsi="Arial" w:cs="Arial"/>
          <w:sz w:val="24"/>
          <w:szCs w:val="24"/>
        </w:rPr>
        <w:t>a</w:t>
      </w:r>
      <w:r w:rsidR="007D3457" w:rsidRPr="00C21BB4">
        <w:rPr>
          <w:rFonts w:ascii="Arial" w:hAnsi="Arial" w:cs="Arial"/>
          <w:sz w:val="24"/>
          <w:szCs w:val="24"/>
        </w:rPr>
        <w:t xml:space="preserve"> </w:t>
      </w:r>
      <w:r w:rsidR="009019AF" w:rsidRPr="00C21BB4">
        <w:rPr>
          <w:rFonts w:ascii="Arial" w:hAnsi="Arial" w:cs="Arial"/>
          <w:sz w:val="24"/>
          <w:szCs w:val="24"/>
        </w:rPr>
        <w:t>Sección II</w:t>
      </w:r>
      <w:r w:rsidR="00080684" w:rsidRPr="00C21BB4">
        <w:rPr>
          <w:rFonts w:ascii="Arial" w:hAnsi="Arial" w:cs="Arial"/>
          <w:sz w:val="24"/>
          <w:szCs w:val="24"/>
        </w:rPr>
        <w:t>I</w:t>
      </w:r>
      <w:r w:rsidR="009019AF" w:rsidRPr="00C21BB4">
        <w:rPr>
          <w:rFonts w:ascii="Arial" w:hAnsi="Arial" w:cs="Arial"/>
          <w:sz w:val="24"/>
          <w:szCs w:val="24"/>
        </w:rPr>
        <w:t>,</w:t>
      </w:r>
      <w:r w:rsidR="00BE753C">
        <w:rPr>
          <w:rFonts w:ascii="Arial" w:hAnsi="Arial" w:cs="Arial"/>
          <w:sz w:val="24"/>
          <w:szCs w:val="24"/>
        </w:rPr>
        <w:t xml:space="preserve"> </w:t>
      </w:r>
      <w:r w:rsidR="007D3457" w:rsidRPr="00C21BB4">
        <w:rPr>
          <w:rFonts w:ascii="Arial" w:hAnsi="Arial" w:cs="Arial"/>
          <w:sz w:val="24"/>
          <w:szCs w:val="24"/>
        </w:rPr>
        <w:t>Capítulo VII</w:t>
      </w:r>
      <w:r w:rsidR="009019AF" w:rsidRPr="00C21BB4">
        <w:rPr>
          <w:rFonts w:ascii="Arial" w:hAnsi="Arial" w:cs="Arial"/>
          <w:sz w:val="24"/>
          <w:szCs w:val="24"/>
        </w:rPr>
        <w:t>I</w:t>
      </w:r>
      <w:r w:rsidR="00173EC7" w:rsidRPr="00C21BB4">
        <w:rPr>
          <w:rFonts w:ascii="Arial" w:hAnsi="Arial" w:cs="Arial"/>
          <w:sz w:val="24"/>
          <w:szCs w:val="24"/>
        </w:rPr>
        <w:t xml:space="preserve"> </w:t>
      </w:r>
      <w:r w:rsidR="009019AF" w:rsidRPr="00C21BB4">
        <w:rPr>
          <w:rFonts w:ascii="Arial" w:hAnsi="Arial" w:cs="Arial"/>
          <w:sz w:val="24"/>
          <w:szCs w:val="24"/>
        </w:rPr>
        <w:t>del Título II</w:t>
      </w:r>
      <w:r w:rsidR="00173EC7" w:rsidRPr="00C21BB4">
        <w:rPr>
          <w:rFonts w:ascii="Arial" w:hAnsi="Arial" w:cs="Arial"/>
          <w:sz w:val="24"/>
          <w:szCs w:val="24"/>
        </w:rPr>
        <w:t xml:space="preserve"> </w:t>
      </w:r>
      <w:r w:rsidR="007D3457" w:rsidRPr="00C21BB4">
        <w:rPr>
          <w:rFonts w:ascii="Arial" w:hAnsi="Arial" w:cs="Arial"/>
          <w:sz w:val="24"/>
          <w:szCs w:val="24"/>
        </w:rPr>
        <w:t>de las Normas de la CNV (T.O. 20</w:t>
      </w:r>
      <w:r w:rsidR="009019AF" w:rsidRPr="00C21BB4">
        <w:rPr>
          <w:rFonts w:ascii="Arial" w:hAnsi="Arial" w:cs="Arial"/>
          <w:sz w:val="24"/>
          <w:szCs w:val="24"/>
        </w:rPr>
        <w:t>13</w:t>
      </w:r>
      <w:r w:rsidR="007D3457" w:rsidRPr="00C21BB4">
        <w:rPr>
          <w:rFonts w:ascii="Arial" w:hAnsi="Arial" w:cs="Arial"/>
          <w:sz w:val="24"/>
          <w:szCs w:val="24"/>
        </w:rPr>
        <w:t>)</w:t>
      </w:r>
      <w:r w:rsidR="009D06CD">
        <w:rPr>
          <w:rFonts w:ascii="Arial" w:hAnsi="Arial" w:cs="Arial"/>
          <w:sz w:val="24"/>
          <w:szCs w:val="24"/>
        </w:rPr>
        <w:t>:</w:t>
      </w:r>
      <w:r w:rsidR="007D3457" w:rsidRPr="00C21BB4">
        <w:rPr>
          <w:rFonts w:ascii="Arial" w:hAnsi="Arial" w:cs="Arial"/>
          <w:sz w:val="24"/>
          <w:szCs w:val="24"/>
        </w:rPr>
        <w:t xml:space="preserve"> </w:t>
      </w:r>
    </w:p>
    <w:p w14:paraId="052CBA28" w14:textId="77777777" w:rsidR="009D06CD" w:rsidRDefault="009D06CD" w:rsidP="009D06CD">
      <w:pPr>
        <w:numPr>
          <w:ilvl w:val="0"/>
          <w:numId w:val="16"/>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Pr>
          <w:rFonts w:ascii="Arial" w:hAnsi="Arial" w:cs="Arial"/>
          <w:spacing w:val="-2"/>
          <w:sz w:val="24"/>
          <w:szCs w:val="24"/>
        </w:rPr>
        <w:t xml:space="preserve">al sitio web de la CNV </w:t>
      </w:r>
      <w:hyperlink r:id="rId28" w:history="1">
        <w:r w:rsidR="00AC3AEF" w:rsidRPr="003A3830">
          <w:rPr>
            <w:rStyle w:val="Hipervnculo"/>
            <w:rFonts w:ascii="Arial" w:hAnsi="Arial" w:cs="Arial"/>
            <w:spacing w:val="-2"/>
            <w:sz w:val="24"/>
            <w:szCs w:val="24"/>
          </w:rPr>
          <w:t>http://www.cnv.gov.ar/sitioWeb</w:t>
        </w:r>
      </w:hyperlink>
      <w:r w:rsidRPr="00B80998">
        <w:rPr>
          <w:rStyle w:val="Hipervnculo"/>
          <w:u w:val="none"/>
        </w:rPr>
        <w:t>/</w:t>
      </w:r>
      <w:r w:rsidR="00A86D21">
        <w:rPr>
          <w:rStyle w:val="Hipervnculo"/>
          <w:u w:val="none"/>
        </w:rPr>
        <w:t>;</w:t>
      </w:r>
      <w:r>
        <w:rPr>
          <w:rFonts w:ascii="Arial" w:hAnsi="Arial" w:cs="Arial"/>
          <w:spacing w:val="-2"/>
          <w:sz w:val="24"/>
          <w:szCs w:val="24"/>
        </w:rPr>
        <w:t xml:space="preserve"> </w:t>
      </w:r>
    </w:p>
    <w:p w14:paraId="1FEE3E64" w14:textId="77777777" w:rsidR="009D06CD" w:rsidRDefault="00A86D21"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m</w:t>
      </w:r>
      <w:r w:rsidR="009D06CD">
        <w:rPr>
          <w:rFonts w:ascii="Arial" w:hAnsi="Arial" w:cs="Arial"/>
          <w:spacing w:val="-2"/>
          <w:sz w:val="24"/>
          <w:szCs w:val="24"/>
        </w:rPr>
        <w:t xml:space="preserve">ediante el acceso al sitio web  del  </w:t>
      </w:r>
      <w:r w:rsidR="009D06CD" w:rsidRPr="00C23D14">
        <w:rPr>
          <w:rFonts w:ascii="Arial" w:hAnsi="Arial" w:cs="Arial"/>
          <w:spacing w:val="-2"/>
          <w:sz w:val="24"/>
          <w:szCs w:val="24"/>
        </w:rPr>
        <w:t xml:space="preserve">sistema EDGAR de la </w:t>
      </w:r>
      <w:proofErr w:type="spellStart"/>
      <w:r w:rsidR="009D06CD" w:rsidRPr="00C23D14">
        <w:rPr>
          <w:rFonts w:ascii="Arial" w:hAnsi="Arial" w:cs="Arial"/>
          <w:spacing w:val="-2"/>
          <w:sz w:val="24"/>
          <w:szCs w:val="24"/>
        </w:rPr>
        <w:t>Securities</w:t>
      </w:r>
      <w:proofErr w:type="spellEnd"/>
      <w:r w:rsidR="009D06CD" w:rsidRPr="00C23D14">
        <w:rPr>
          <w:rFonts w:ascii="Arial" w:hAnsi="Arial" w:cs="Arial"/>
          <w:spacing w:val="-2"/>
          <w:sz w:val="24"/>
          <w:szCs w:val="24"/>
        </w:rPr>
        <w:t xml:space="preserve"> and Exchange </w:t>
      </w:r>
      <w:proofErr w:type="spellStart"/>
      <w:r w:rsidR="009D06CD" w:rsidRPr="00C23D14">
        <w:rPr>
          <w:rFonts w:ascii="Arial" w:hAnsi="Arial" w:cs="Arial"/>
          <w:spacing w:val="-2"/>
          <w:sz w:val="24"/>
          <w:szCs w:val="24"/>
        </w:rPr>
        <w:t>Commission</w:t>
      </w:r>
      <w:proofErr w:type="spellEnd"/>
      <w:r w:rsidR="009D06CD" w:rsidRPr="00C23D14">
        <w:rPr>
          <w:rFonts w:ascii="Arial" w:hAnsi="Arial" w:cs="Arial"/>
          <w:spacing w:val="-2"/>
          <w:sz w:val="24"/>
          <w:szCs w:val="24"/>
        </w:rPr>
        <w:t xml:space="preserve"> (SEC) </w:t>
      </w:r>
      <w:hyperlink r:id="rId29" w:history="1">
        <w:r w:rsidR="009D06CD" w:rsidRPr="00C23D14">
          <w:rPr>
            <w:rStyle w:val="Hipervnculo"/>
            <w:rFonts w:ascii="Arial" w:hAnsi="Arial" w:cs="Arial"/>
            <w:spacing w:val="-2"/>
            <w:sz w:val="24"/>
            <w:szCs w:val="24"/>
            <w:u w:val="none"/>
          </w:rPr>
          <w:t>www.sec.gov</w:t>
        </w:r>
      </w:hyperlink>
      <w:r w:rsidR="009D06CD" w:rsidRPr="00C23D14">
        <w:rPr>
          <w:rFonts w:ascii="Arial" w:hAnsi="Arial" w:cs="Arial"/>
          <w:spacing w:val="-2"/>
          <w:sz w:val="24"/>
          <w:szCs w:val="24"/>
        </w:rPr>
        <w:t xml:space="preserve"> de los Estados Unidos</w:t>
      </w:r>
      <w:r>
        <w:rPr>
          <w:rFonts w:ascii="Arial" w:hAnsi="Arial" w:cs="Arial"/>
          <w:spacing w:val="-2"/>
          <w:sz w:val="24"/>
          <w:szCs w:val="24"/>
        </w:rPr>
        <w:t>;</w:t>
      </w:r>
    </w:p>
    <w:p w14:paraId="11DC3C1A" w14:textId="77777777" w:rsidR="009D06CD" w:rsidRDefault="009D06CD"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Pr>
          <w:rFonts w:ascii="Arial" w:hAnsi="Arial" w:cs="Arial"/>
          <w:spacing w:val="-2"/>
          <w:sz w:val="24"/>
          <w:szCs w:val="24"/>
        </w:rPr>
        <w:t>d</w:t>
      </w:r>
      <w:r w:rsidRPr="00C23D14">
        <w:rPr>
          <w:rFonts w:ascii="Arial" w:hAnsi="Arial" w:cs="Arial"/>
          <w:spacing w:val="-2"/>
          <w:sz w:val="24"/>
          <w:szCs w:val="24"/>
        </w:rPr>
        <w:t xml:space="preserve">el acceso </w:t>
      </w:r>
      <w:r>
        <w:rPr>
          <w:rFonts w:ascii="Arial" w:hAnsi="Arial" w:cs="Arial"/>
          <w:spacing w:val="-2"/>
          <w:sz w:val="24"/>
          <w:szCs w:val="24"/>
        </w:rPr>
        <w:t>al sitio web</w:t>
      </w:r>
      <w:r w:rsidRPr="00C23D14">
        <w:rPr>
          <w:rFonts w:ascii="Arial" w:hAnsi="Arial" w:cs="Arial"/>
          <w:spacing w:val="-2"/>
          <w:sz w:val="24"/>
          <w:szCs w:val="24"/>
        </w:rPr>
        <w:t xml:space="preserve"> </w:t>
      </w:r>
      <w:hyperlink r:id="rId30" w:history="1">
        <w:r w:rsidRPr="00C23D14">
          <w:rPr>
            <w:rStyle w:val="Hipervnculo"/>
            <w:rFonts w:ascii="Arial" w:hAnsi="Arial" w:cs="Arial"/>
            <w:spacing w:val="-2"/>
            <w:sz w:val="24"/>
            <w:szCs w:val="24"/>
            <w:u w:val="none"/>
          </w:rPr>
          <w:t>https://www.comafi.com.ar/2258-CEDEARs.note.aspx</w:t>
        </w:r>
      </w:hyperlink>
      <w:r w:rsidRPr="00C23D14">
        <w:rPr>
          <w:rFonts w:ascii="Arial" w:hAnsi="Arial" w:cs="Arial"/>
          <w:spacing w:val="-2"/>
          <w:sz w:val="24"/>
          <w:szCs w:val="24"/>
        </w:rPr>
        <w:t xml:space="preserve"> provista por el Banco y a través </w:t>
      </w:r>
      <w:r>
        <w:rPr>
          <w:rFonts w:ascii="Arial" w:hAnsi="Arial" w:cs="Arial"/>
          <w:spacing w:val="-2"/>
          <w:sz w:val="24"/>
          <w:szCs w:val="24"/>
        </w:rPr>
        <w:t>del</w:t>
      </w:r>
      <w:r w:rsidRPr="00C23D14">
        <w:rPr>
          <w:rFonts w:ascii="Arial" w:hAnsi="Arial" w:cs="Arial"/>
          <w:spacing w:val="-2"/>
          <w:sz w:val="24"/>
          <w:szCs w:val="24"/>
        </w:rPr>
        <w:t xml:space="preserve"> cual se tendrá acceso directo a la página Internet de la sociedad emisora</w:t>
      </w:r>
      <w:r w:rsidR="00346606">
        <w:rPr>
          <w:rFonts w:ascii="Arial" w:hAnsi="Arial" w:cs="Arial"/>
          <w:spacing w:val="-2"/>
          <w:sz w:val="24"/>
          <w:szCs w:val="24"/>
        </w:rPr>
        <w:t xml:space="preserve"> de las </w:t>
      </w:r>
      <w:r w:rsidR="007B6DCA">
        <w:rPr>
          <w:rFonts w:ascii="Arial" w:hAnsi="Arial" w:cs="Arial"/>
          <w:spacing w:val="-2"/>
          <w:sz w:val="24"/>
          <w:szCs w:val="24"/>
        </w:rPr>
        <w:t>A</w:t>
      </w:r>
      <w:r w:rsidR="00346606">
        <w:rPr>
          <w:rFonts w:ascii="Arial" w:hAnsi="Arial" w:cs="Arial"/>
          <w:spacing w:val="-2"/>
          <w:sz w:val="24"/>
          <w:szCs w:val="24"/>
        </w:rPr>
        <w:t xml:space="preserve">cciones </w:t>
      </w:r>
      <w:r w:rsidR="007B6DCA">
        <w:rPr>
          <w:rFonts w:ascii="Arial" w:hAnsi="Arial" w:cs="Arial"/>
          <w:spacing w:val="-2"/>
          <w:sz w:val="24"/>
          <w:szCs w:val="24"/>
        </w:rPr>
        <w:t>S</w:t>
      </w:r>
      <w:r w:rsidR="00346606">
        <w:rPr>
          <w:rFonts w:ascii="Arial" w:hAnsi="Arial" w:cs="Arial"/>
          <w:spacing w:val="-2"/>
          <w:sz w:val="24"/>
          <w:szCs w:val="24"/>
        </w:rPr>
        <w:t>ubyacentes</w:t>
      </w:r>
      <w:r w:rsidR="005F4067">
        <w:rPr>
          <w:rFonts w:ascii="Arial" w:hAnsi="Arial" w:cs="Arial"/>
          <w:spacing w:val="-2"/>
          <w:sz w:val="24"/>
          <w:szCs w:val="24"/>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14:paraId="48FA66A5" w14:textId="77777777" w:rsidR="009D06CD" w:rsidRPr="00C23D14" w:rsidRDefault="009D06CD" w:rsidP="002C3DCE">
      <w:pPr>
        <w:suppressAutoHyphens/>
        <w:jc w:val="both"/>
        <w:rPr>
          <w:rFonts w:ascii="Arial" w:hAnsi="Arial" w:cs="Arial"/>
          <w:spacing w:val="-2"/>
          <w:sz w:val="24"/>
          <w:szCs w:val="24"/>
        </w:rPr>
      </w:pPr>
    </w:p>
    <w:p w14:paraId="4940A06E"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Asimismo y de acuerdo a la reglamentación </w:t>
      </w:r>
      <w:r w:rsidRPr="00F319DC">
        <w:rPr>
          <w:rFonts w:ascii="Arial" w:hAnsi="Arial" w:cs="Arial"/>
          <w:sz w:val="24"/>
          <w:szCs w:val="24"/>
        </w:rPr>
        <w:t xml:space="preserve">vigente de la </w:t>
      </w:r>
      <w:proofErr w:type="spellStart"/>
      <w:r w:rsidRPr="00F319DC">
        <w:rPr>
          <w:rFonts w:ascii="Arial" w:hAnsi="Arial" w:cs="Arial"/>
          <w:sz w:val="24"/>
          <w:szCs w:val="24"/>
        </w:rPr>
        <w:t>Securities</w:t>
      </w:r>
      <w:proofErr w:type="spellEnd"/>
      <w:r w:rsidRPr="00F319DC">
        <w:rPr>
          <w:rFonts w:ascii="Arial" w:hAnsi="Arial" w:cs="Arial"/>
          <w:sz w:val="24"/>
          <w:szCs w:val="24"/>
        </w:rPr>
        <w:t xml:space="preserve"> and Exchange </w:t>
      </w:r>
      <w:proofErr w:type="spellStart"/>
      <w:r w:rsidRPr="00F319DC">
        <w:rPr>
          <w:rFonts w:ascii="Arial" w:hAnsi="Arial" w:cs="Arial"/>
          <w:sz w:val="24"/>
          <w:szCs w:val="24"/>
        </w:rPr>
        <w:t>Comission</w:t>
      </w:r>
      <w:proofErr w:type="spellEnd"/>
      <w:r w:rsidRPr="00F319DC">
        <w:rPr>
          <w:rFonts w:ascii="Arial" w:hAnsi="Arial" w:cs="Arial"/>
          <w:sz w:val="24"/>
          <w:szCs w:val="24"/>
        </w:rPr>
        <w:t xml:space="preserve"> (SEC) para emisores de</w:t>
      </w:r>
      <w:r w:rsidR="00A503FA" w:rsidRPr="00F319DC">
        <w:rPr>
          <w:rFonts w:ascii="Arial" w:hAnsi="Arial" w:cs="Arial"/>
          <w:sz w:val="24"/>
          <w:szCs w:val="24"/>
        </w:rPr>
        <w:t xml:space="preserve"> </w:t>
      </w:r>
      <w:r w:rsidR="00E63B6E">
        <w:rPr>
          <w:rFonts w:ascii="Arial" w:hAnsi="Arial" w:cs="Arial"/>
          <w:sz w:val="24"/>
          <w:szCs w:val="24"/>
        </w:rPr>
        <w:t>lo</w:t>
      </w:r>
      <w:r w:rsidR="00855400" w:rsidRPr="00F319DC">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9D06CD">
        <w:rPr>
          <w:rFonts w:ascii="Arial" w:hAnsi="Arial" w:cs="Arial"/>
          <w:sz w:val="24"/>
          <w:szCs w:val="24"/>
        </w:rPr>
        <w:t>,</w:t>
      </w:r>
      <w:r w:rsidRPr="00F319DC">
        <w:rPr>
          <w:rFonts w:ascii="Arial" w:hAnsi="Arial" w:cs="Arial"/>
          <w:sz w:val="24"/>
          <w:szCs w:val="24"/>
        </w:rPr>
        <w:t xml:space="preserve"> el</w:t>
      </w:r>
      <w:r w:rsidRPr="00C21BB4">
        <w:rPr>
          <w:rFonts w:ascii="Arial" w:hAnsi="Arial" w:cs="Arial"/>
          <w:sz w:val="24"/>
          <w:szCs w:val="24"/>
        </w:rPr>
        <w:t xml:space="preserve"> Banco se responsabiliza a entregar </w:t>
      </w:r>
      <w:r w:rsidRPr="004918F7">
        <w:rPr>
          <w:rFonts w:ascii="Arial" w:hAnsi="Arial" w:cs="Arial"/>
          <w:sz w:val="24"/>
          <w:szCs w:val="24"/>
        </w:rPr>
        <w:t xml:space="preserve"> </w:t>
      </w:r>
      <w:r w:rsidR="004F6721">
        <w:rPr>
          <w:rFonts w:ascii="Arial" w:hAnsi="Arial" w:cs="Arial"/>
          <w:sz w:val="24"/>
          <w:szCs w:val="24"/>
        </w:rPr>
        <w:t>a lo</w:t>
      </w:r>
      <w:r w:rsidR="00A67C4F">
        <w:rPr>
          <w:rFonts w:ascii="Arial" w:hAnsi="Arial" w:cs="Arial"/>
          <w:sz w:val="24"/>
          <w:szCs w:val="24"/>
        </w:rPr>
        <w:t>s</w:t>
      </w:r>
      <w:r w:rsidR="004F6721">
        <w:rPr>
          <w:rFonts w:ascii="Arial" w:hAnsi="Arial" w:cs="Arial"/>
          <w:sz w:val="24"/>
          <w:szCs w:val="24"/>
        </w:rPr>
        <w:t xml:space="preserve"> mercados bursátiles argentinos</w:t>
      </w:r>
      <w:r w:rsidR="006E700A">
        <w:rPr>
          <w:rFonts w:ascii="Arial" w:hAnsi="Arial" w:cs="Arial"/>
          <w:sz w:val="24"/>
          <w:szCs w:val="24"/>
        </w:rPr>
        <w:t xml:space="preserve"> (BYMA y/o MAE y/o cualquier otro mercado)</w:t>
      </w:r>
      <w:r w:rsidR="003C0CE2">
        <w:rPr>
          <w:rFonts w:ascii="Arial" w:hAnsi="Arial" w:cs="Arial"/>
          <w:sz w:val="24"/>
          <w:szCs w:val="24"/>
        </w:rPr>
        <w:t xml:space="preserve"> en los cuales se encuentren</w:t>
      </w:r>
      <w:r w:rsidR="006E700A">
        <w:rPr>
          <w:rFonts w:ascii="Arial" w:hAnsi="Arial" w:cs="Arial"/>
          <w:sz w:val="24"/>
          <w:szCs w:val="24"/>
        </w:rPr>
        <w:t xml:space="preserve"> </w:t>
      </w:r>
      <w:r w:rsidR="001408F0">
        <w:rPr>
          <w:rFonts w:ascii="Arial" w:hAnsi="Arial" w:cs="Arial"/>
          <w:sz w:val="24"/>
          <w:szCs w:val="24"/>
        </w:rPr>
        <w:t>actualmente</w:t>
      </w:r>
      <w:r w:rsidR="006E700A">
        <w:rPr>
          <w:rFonts w:ascii="Arial" w:hAnsi="Arial" w:cs="Arial"/>
          <w:sz w:val="24"/>
          <w:szCs w:val="24"/>
        </w:rPr>
        <w:t xml:space="preserve"> o en el futuro</w:t>
      </w:r>
      <w:r w:rsidR="003C0CE2">
        <w:rPr>
          <w:rFonts w:ascii="Arial" w:hAnsi="Arial" w:cs="Arial"/>
          <w:sz w:val="24"/>
          <w:szCs w:val="24"/>
        </w:rPr>
        <w:t xml:space="preserve"> listados los CEDEARs, </w:t>
      </w:r>
      <w:r w:rsidRPr="004918F7">
        <w:rPr>
          <w:rFonts w:ascii="Arial" w:hAnsi="Arial" w:cs="Arial"/>
          <w:sz w:val="24"/>
          <w:szCs w:val="24"/>
        </w:rPr>
        <w:t>una</w:t>
      </w:r>
      <w:r w:rsidRPr="00C21BB4">
        <w:rPr>
          <w:rFonts w:ascii="Arial" w:hAnsi="Arial" w:cs="Arial"/>
          <w:sz w:val="24"/>
          <w:szCs w:val="24"/>
        </w:rPr>
        <w:t xml:space="preserve"> copia impresa de los balances de </w:t>
      </w:r>
      <w:r w:rsidR="00C030BB">
        <w:rPr>
          <w:rFonts w:ascii="Arial" w:hAnsi="Arial" w:cs="Arial"/>
          <w:sz w:val="24"/>
          <w:szCs w:val="24"/>
        </w:rPr>
        <w:t>la</w:t>
      </w:r>
      <w:r w:rsidRPr="00C21BB4">
        <w:rPr>
          <w:rFonts w:ascii="Arial" w:hAnsi="Arial" w:cs="Arial"/>
          <w:sz w:val="24"/>
          <w:szCs w:val="24"/>
        </w:rPr>
        <w:t xml:space="preserve"> empresa que luego de seis (6) meses de cerrados sus estados contables los mismos no hayan sido publicados en la respectiva dirección de Internet</w:t>
      </w:r>
      <w:r w:rsidR="00744E9C" w:rsidRPr="00C21BB4">
        <w:rPr>
          <w:rFonts w:ascii="Arial" w:hAnsi="Arial" w:cs="Arial"/>
          <w:sz w:val="24"/>
          <w:szCs w:val="24"/>
        </w:rPr>
        <w:t xml:space="preserve"> de la SEC</w:t>
      </w:r>
      <w:r w:rsidRPr="00C21BB4">
        <w:rPr>
          <w:rFonts w:ascii="Arial" w:hAnsi="Arial" w:cs="Arial"/>
          <w:sz w:val="24"/>
          <w:szCs w:val="24"/>
        </w:rPr>
        <w:t>.</w:t>
      </w:r>
    </w:p>
    <w:p w14:paraId="4F5789A8" w14:textId="77777777" w:rsidR="004079B7" w:rsidRPr="00C21BB4" w:rsidRDefault="004079B7">
      <w:pPr>
        <w:jc w:val="both"/>
        <w:rPr>
          <w:rFonts w:ascii="Arial" w:hAnsi="Arial" w:cs="Arial"/>
          <w:sz w:val="24"/>
          <w:szCs w:val="24"/>
        </w:rPr>
      </w:pPr>
    </w:p>
    <w:p w14:paraId="6C48C8DF" w14:textId="77777777" w:rsidR="004079B7" w:rsidRPr="00C21BB4" w:rsidRDefault="004079B7">
      <w:pPr>
        <w:jc w:val="both"/>
        <w:rPr>
          <w:rFonts w:ascii="Arial" w:hAnsi="Arial" w:cs="Arial"/>
          <w:sz w:val="24"/>
          <w:szCs w:val="24"/>
        </w:rPr>
      </w:pPr>
    </w:p>
    <w:p w14:paraId="3F4F00DB" w14:textId="77777777" w:rsidR="00956657" w:rsidRPr="00E37711" w:rsidRDefault="004079B7" w:rsidP="0095665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13</w:t>
      </w:r>
      <w:r w:rsidRPr="006C13C9">
        <w:rPr>
          <w:rFonts w:ascii="Arial" w:hAnsi="Arial" w:cs="Arial"/>
          <w:b/>
          <w:i/>
          <w:sz w:val="24"/>
          <w:szCs w:val="24"/>
        </w:rPr>
        <w:t xml:space="preserve">. Notificaciones </w:t>
      </w:r>
      <w:r w:rsidRPr="006C13C9">
        <w:rPr>
          <w:rFonts w:ascii="Arial" w:hAnsi="Arial" w:cs="Arial"/>
          <w:b/>
          <w:i/>
          <w:sz w:val="24"/>
          <w:szCs w:val="24"/>
        </w:rPr>
        <w:noBreakHyphen/>
        <w:t xml:space="preserve"> Derechos de Voto</w:t>
      </w:r>
      <w:r w:rsidRPr="006C13C9">
        <w:rPr>
          <w:rFonts w:ascii="Arial" w:hAnsi="Arial" w:cs="Arial"/>
          <w:sz w:val="24"/>
          <w:szCs w:val="24"/>
        </w:rPr>
        <w:t xml:space="preserve">. </w:t>
      </w:r>
      <w:r w:rsidR="00956657" w:rsidRPr="00E37711">
        <w:rPr>
          <w:rFonts w:ascii="Arial" w:hAnsi="Arial" w:cs="Arial"/>
          <w:sz w:val="24"/>
          <w:szCs w:val="24"/>
        </w:rPr>
        <w:t xml:space="preserve">El Banco pondrá a disposición de los Titulares, </w:t>
      </w:r>
      <w:proofErr w:type="gramStart"/>
      <w:r w:rsidR="00956657" w:rsidRPr="00E37711">
        <w:rPr>
          <w:rFonts w:ascii="Arial" w:hAnsi="Arial" w:cs="Arial"/>
          <w:sz w:val="24"/>
          <w:szCs w:val="24"/>
        </w:rPr>
        <w:t>de acuerdo a</w:t>
      </w:r>
      <w:proofErr w:type="gramEnd"/>
      <w:r w:rsidR="00956657" w:rsidRPr="00E37711">
        <w:rPr>
          <w:rFonts w:ascii="Arial" w:hAnsi="Arial" w:cs="Arial"/>
          <w:sz w:val="24"/>
          <w:szCs w:val="24"/>
        </w:rPr>
        <w:t xml:space="preserve"> lo establecido en el </w:t>
      </w:r>
      <w:r w:rsidR="00C16911">
        <w:rPr>
          <w:rFonts w:ascii="Arial" w:hAnsi="Arial" w:cs="Arial"/>
          <w:sz w:val="24"/>
          <w:szCs w:val="24"/>
        </w:rPr>
        <w:t>a</w:t>
      </w:r>
      <w:r w:rsidR="00B67D0C">
        <w:rPr>
          <w:rFonts w:ascii="Arial" w:hAnsi="Arial" w:cs="Arial"/>
          <w:sz w:val="24"/>
          <w:szCs w:val="24"/>
        </w:rPr>
        <w:t>rtículo</w:t>
      </w:r>
      <w:r w:rsidR="00956657" w:rsidRPr="00E37711">
        <w:rPr>
          <w:rFonts w:ascii="Arial" w:hAnsi="Arial" w:cs="Arial"/>
          <w:sz w:val="24"/>
          <w:szCs w:val="24"/>
        </w:rPr>
        <w:t xml:space="preserve"> precedente, las notificaciones, comunicaciones, e informes acerca de asambleas de accionistas emitidos por el emisor de las </w:t>
      </w:r>
      <w:r w:rsidR="007B6DCA">
        <w:rPr>
          <w:rFonts w:ascii="Arial" w:hAnsi="Arial" w:cs="Arial"/>
          <w:sz w:val="24"/>
          <w:szCs w:val="24"/>
        </w:rPr>
        <w:t>A</w:t>
      </w:r>
      <w:r w:rsidR="00956657" w:rsidRPr="00E37711">
        <w:rPr>
          <w:rFonts w:ascii="Arial" w:hAnsi="Arial" w:cs="Arial"/>
          <w:sz w:val="24"/>
          <w:szCs w:val="24"/>
        </w:rPr>
        <w:t xml:space="preserve">cciones </w:t>
      </w:r>
      <w:r w:rsidR="007B6DCA">
        <w:rPr>
          <w:rFonts w:ascii="Arial" w:hAnsi="Arial" w:cs="Arial"/>
          <w:sz w:val="24"/>
          <w:szCs w:val="24"/>
        </w:rPr>
        <w:t>S</w:t>
      </w:r>
      <w:r w:rsidR="00956657" w:rsidRPr="00E37711">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956657" w:rsidRPr="00E37711">
        <w:rPr>
          <w:rFonts w:ascii="Arial" w:hAnsi="Arial" w:cs="Arial"/>
          <w:sz w:val="24"/>
          <w:szCs w:val="24"/>
        </w:rPr>
        <w:t xml:space="preserve"> </w:t>
      </w:r>
      <w:r w:rsidR="00A959D9">
        <w:rPr>
          <w:rFonts w:ascii="Arial" w:hAnsi="Arial" w:cs="Arial"/>
          <w:sz w:val="24"/>
          <w:szCs w:val="24"/>
        </w:rPr>
        <w:t>representados por los</w:t>
      </w:r>
      <w:r w:rsidR="00956657" w:rsidRPr="00E37711">
        <w:rPr>
          <w:rFonts w:ascii="Arial" w:hAnsi="Arial" w:cs="Arial"/>
          <w:sz w:val="24"/>
          <w:szCs w:val="24"/>
        </w:rPr>
        <w:t xml:space="preserve"> </w:t>
      </w:r>
      <w:proofErr w:type="spellStart"/>
      <w:r w:rsidR="00956657" w:rsidRPr="00E37711">
        <w:rPr>
          <w:rFonts w:ascii="Arial" w:hAnsi="Arial" w:cs="Arial"/>
          <w:sz w:val="24"/>
          <w:szCs w:val="24"/>
        </w:rPr>
        <w:t>CEDEARs</w:t>
      </w:r>
      <w:proofErr w:type="spellEnd"/>
      <w:r w:rsidR="00956657" w:rsidRPr="00E37711">
        <w:rPr>
          <w:rFonts w:ascii="Arial" w:hAnsi="Arial" w:cs="Arial"/>
          <w:sz w:val="24"/>
          <w:szCs w:val="24"/>
        </w:rPr>
        <w:t xml:space="preserve"> (en adelante el "Emisor"), y recibidos por el Banco y/o por el Banco Custodio</w:t>
      </w:r>
      <w:r w:rsidR="00C130CF">
        <w:rPr>
          <w:rFonts w:ascii="Arial" w:hAnsi="Arial" w:cs="Arial"/>
          <w:sz w:val="24"/>
          <w:szCs w:val="24"/>
        </w:rPr>
        <w:t xml:space="preserve"> y/o Banco Depositario</w:t>
      </w:r>
      <w:r w:rsidR="00956657" w:rsidRPr="00E37711">
        <w:rPr>
          <w:rFonts w:ascii="Arial" w:hAnsi="Arial" w:cs="Arial"/>
          <w:sz w:val="24"/>
          <w:szCs w:val="24"/>
        </w:rPr>
        <w:t xml:space="preserve">. Asimismo las comunicaciones e informes recibidos por el Banco o cualquier agente, </w:t>
      </w:r>
      <w:proofErr w:type="spellStart"/>
      <w:r w:rsidR="00956657" w:rsidRPr="00E37711">
        <w:rPr>
          <w:rFonts w:ascii="Arial" w:hAnsi="Arial" w:cs="Arial"/>
          <w:sz w:val="24"/>
          <w:szCs w:val="24"/>
        </w:rPr>
        <w:t>designatario</w:t>
      </w:r>
      <w:proofErr w:type="spellEnd"/>
      <w:r w:rsidR="00956657" w:rsidRPr="00E37711">
        <w:rPr>
          <w:rFonts w:ascii="Arial" w:hAnsi="Arial" w:cs="Arial"/>
          <w:sz w:val="24"/>
          <w:szCs w:val="24"/>
        </w:rPr>
        <w:t>, custodio o corresponsal del Banco, que hubieran sido cursados por el Emisor o por el Banco Custodio</w:t>
      </w:r>
      <w:r w:rsidR="00C130CF">
        <w:rPr>
          <w:rFonts w:ascii="Arial" w:hAnsi="Arial" w:cs="Arial"/>
          <w:sz w:val="24"/>
          <w:szCs w:val="24"/>
        </w:rPr>
        <w:t xml:space="preserve"> o Banco Depositario</w:t>
      </w:r>
      <w:r w:rsidR="00956657" w:rsidRPr="00E37711">
        <w:rPr>
          <w:rFonts w:ascii="Arial" w:hAnsi="Arial" w:cs="Arial"/>
          <w:sz w:val="24"/>
          <w:szCs w:val="24"/>
        </w:rPr>
        <w:t xml:space="preserve"> y/o (a) que hubieran sido recibidos por el Banco como tenedor de </w:t>
      </w:r>
      <w:r w:rsidR="00A959D9">
        <w:rPr>
          <w:rFonts w:ascii="Arial" w:hAnsi="Arial" w:cs="Arial"/>
          <w:sz w:val="24"/>
          <w:szCs w:val="24"/>
        </w:rPr>
        <w:t xml:space="preserve">los </w:t>
      </w:r>
      <w:proofErr w:type="spellStart"/>
      <w:r w:rsidR="00477BC5">
        <w:rPr>
          <w:rFonts w:ascii="Arial" w:hAnsi="Arial" w:cs="Arial"/>
          <w:sz w:val="24"/>
          <w:szCs w:val="24"/>
        </w:rPr>
        <w:t>ADS</w:t>
      </w:r>
      <w:r w:rsidR="00A959D9">
        <w:rPr>
          <w:rFonts w:ascii="Arial" w:hAnsi="Arial" w:cs="Arial"/>
          <w:sz w:val="24"/>
          <w:szCs w:val="24"/>
        </w:rPr>
        <w:t>s</w:t>
      </w:r>
      <w:proofErr w:type="spellEnd"/>
      <w:r w:rsidR="00956657" w:rsidRPr="00E37711">
        <w:rPr>
          <w:rFonts w:ascii="Arial" w:hAnsi="Arial" w:cs="Arial"/>
          <w:sz w:val="24"/>
          <w:szCs w:val="24"/>
        </w:rPr>
        <w:t>; y/o (b) que hubieran sido puestos a dispo</w:t>
      </w:r>
      <w:r w:rsidR="00A959D9">
        <w:rPr>
          <w:rFonts w:ascii="Arial" w:hAnsi="Arial" w:cs="Arial"/>
          <w:sz w:val="24"/>
          <w:szCs w:val="24"/>
        </w:rPr>
        <w:t>sición de los tenedores de dicho</w:t>
      </w:r>
      <w:r w:rsidR="00956657" w:rsidRPr="00E37711">
        <w:rPr>
          <w:rFonts w:ascii="Arial" w:hAnsi="Arial" w:cs="Arial"/>
          <w:sz w:val="24"/>
          <w:szCs w:val="24"/>
        </w:rPr>
        <w:t xml:space="preserve">s </w:t>
      </w:r>
      <w:proofErr w:type="spellStart"/>
      <w:r w:rsidR="00477BC5">
        <w:rPr>
          <w:rFonts w:ascii="Arial" w:hAnsi="Arial" w:cs="Arial"/>
          <w:sz w:val="24"/>
          <w:szCs w:val="24"/>
        </w:rPr>
        <w:t>ADS</w:t>
      </w:r>
      <w:r w:rsidR="00A959D9">
        <w:rPr>
          <w:rFonts w:ascii="Arial" w:hAnsi="Arial" w:cs="Arial"/>
          <w:sz w:val="24"/>
          <w:szCs w:val="24"/>
        </w:rPr>
        <w:t>s</w:t>
      </w:r>
      <w:proofErr w:type="spellEnd"/>
      <w:r w:rsidR="00A959D9">
        <w:rPr>
          <w:rFonts w:ascii="Arial" w:hAnsi="Arial" w:cs="Arial"/>
          <w:sz w:val="24"/>
          <w:szCs w:val="24"/>
        </w:rPr>
        <w:t xml:space="preserve"> </w:t>
      </w:r>
      <w:r w:rsidR="00956657" w:rsidRPr="00E37711">
        <w:rPr>
          <w:rFonts w:ascii="Arial" w:hAnsi="Arial" w:cs="Arial"/>
          <w:sz w:val="24"/>
          <w:szCs w:val="24"/>
        </w:rPr>
        <w:t>por el Emisor o por el Banco Custodio</w:t>
      </w:r>
      <w:r w:rsidR="00C130CF">
        <w:rPr>
          <w:rFonts w:ascii="Arial" w:hAnsi="Arial" w:cs="Arial"/>
          <w:sz w:val="24"/>
          <w:szCs w:val="24"/>
        </w:rPr>
        <w:t xml:space="preserve"> o Banco </w:t>
      </w:r>
      <w:r w:rsidR="00C130CF">
        <w:rPr>
          <w:rFonts w:ascii="Arial" w:hAnsi="Arial" w:cs="Arial"/>
          <w:sz w:val="24"/>
          <w:szCs w:val="24"/>
        </w:rPr>
        <w:lastRenderedPageBreak/>
        <w:t>Depositario</w:t>
      </w:r>
      <w:r w:rsidR="00956657" w:rsidRPr="00E37711">
        <w:rPr>
          <w:rFonts w:ascii="Arial" w:hAnsi="Arial" w:cs="Arial"/>
          <w:sz w:val="24"/>
          <w:szCs w:val="24"/>
        </w:rPr>
        <w:t xml:space="preserve">, también serán informados de </w:t>
      </w:r>
      <w:r w:rsidR="00C16911">
        <w:rPr>
          <w:rFonts w:ascii="Arial" w:hAnsi="Arial" w:cs="Arial"/>
          <w:sz w:val="24"/>
          <w:szCs w:val="24"/>
        </w:rPr>
        <w:t>conformidad con el a</w:t>
      </w:r>
      <w:r w:rsidR="00956657" w:rsidRPr="00E37711">
        <w:rPr>
          <w:rFonts w:ascii="Arial" w:hAnsi="Arial" w:cs="Arial"/>
          <w:sz w:val="24"/>
          <w:szCs w:val="24"/>
        </w:rPr>
        <w:t xml:space="preserve">rtículo </w:t>
      </w:r>
      <w:r w:rsidR="00956657">
        <w:rPr>
          <w:rFonts w:ascii="Arial" w:hAnsi="Arial" w:cs="Arial"/>
          <w:sz w:val="24"/>
          <w:szCs w:val="24"/>
        </w:rPr>
        <w:t>12</w:t>
      </w:r>
      <w:r w:rsidR="00956657" w:rsidRPr="00E37711">
        <w:rPr>
          <w:rFonts w:ascii="Arial" w:hAnsi="Arial" w:cs="Arial"/>
          <w:sz w:val="24"/>
          <w:szCs w:val="24"/>
        </w:rPr>
        <w:t xml:space="preserve">. No pesa sobre el Banco obligación alguna de cursar a cada Titular en particular, las mencionadas notificaciones, comunicaciones e informes. </w:t>
      </w:r>
    </w:p>
    <w:p w14:paraId="54E0B67C" w14:textId="77777777" w:rsidR="00956657" w:rsidRPr="00E37711" w:rsidRDefault="00956657" w:rsidP="00956657">
      <w:pPr>
        <w:jc w:val="both"/>
        <w:rPr>
          <w:rFonts w:ascii="Arial" w:hAnsi="Arial" w:cs="Arial"/>
          <w:sz w:val="24"/>
          <w:szCs w:val="24"/>
        </w:rPr>
      </w:pPr>
    </w:p>
    <w:p w14:paraId="4BC5A696" w14:textId="77777777"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Ante una solicitud escrita del Titular de los CEDEARs, recibida con 15 (quince) días </w:t>
      </w:r>
    </w:p>
    <w:p w14:paraId="7894A5C6" w14:textId="77777777"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hábiles de anticipación a la realización de la Asamblea y el pago de los gastos necesarios, el Banco dedicará todo esfuerzo razonable para ejercer todos los derechos de voto entonces vigentes respecto del número de </w:t>
      </w:r>
      <w:proofErr w:type="spellStart"/>
      <w:r w:rsidR="00477BC5">
        <w:rPr>
          <w:rFonts w:ascii="Arial" w:hAnsi="Arial" w:cs="Arial"/>
          <w:sz w:val="24"/>
          <w:szCs w:val="24"/>
        </w:rPr>
        <w:t>ADS</w:t>
      </w:r>
      <w:r w:rsidR="00A959D9">
        <w:rPr>
          <w:rFonts w:ascii="Arial" w:hAnsi="Arial" w:cs="Arial"/>
          <w:sz w:val="24"/>
          <w:szCs w:val="24"/>
        </w:rPr>
        <w:t>s</w:t>
      </w:r>
      <w:proofErr w:type="spellEnd"/>
      <w:r w:rsidRPr="00E37711">
        <w:rPr>
          <w:rFonts w:ascii="Arial" w:hAnsi="Arial" w:cs="Arial"/>
          <w:sz w:val="24"/>
          <w:szCs w:val="24"/>
        </w:rPr>
        <w:t xml:space="preserve"> representad</w:t>
      </w:r>
      <w:r w:rsidR="00A959D9">
        <w:rPr>
          <w:rFonts w:ascii="Arial" w:hAnsi="Arial" w:cs="Arial"/>
          <w:sz w:val="24"/>
          <w:szCs w:val="24"/>
        </w:rPr>
        <w:t>o</w:t>
      </w:r>
      <w:r w:rsidRPr="00E37711">
        <w:rPr>
          <w:rFonts w:ascii="Arial" w:hAnsi="Arial" w:cs="Arial"/>
          <w:sz w:val="24"/>
          <w:szCs w:val="24"/>
        </w:rPr>
        <w:t>s por los CEDEARs de conformidad con la solicitud arriba mencionada</w:t>
      </w:r>
      <w:r>
        <w:rPr>
          <w:rFonts w:ascii="Arial" w:hAnsi="Arial" w:cs="Arial"/>
          <w:sz w:val="24"/>
          <w:szCs w:val="24"/>
        </w:rPr>
        <w:t>.</w:t>
      </w:r>
    </w:p>
    <w:p w14:paraId="79A8A299" w14:textId="77777777" w:rsidR="00956657" w:rsidRDefault="00956657">
      <w:pPr>
        <w:jc w:val="both"/>
        <w:rPr>
          <w:rFonts w:ascii="Arial" w:hAnsi="Arial" w:cs="Arial"/>
          <w:sz w:val="24"/>
          <w:szCs w:val="24"/>
        </w:rPr>
      </w:pPr>
    </w:p>
    <w:p w14:paraId="5572C995" w14:textId="77777777" w:rsidR="004079B7" w:rsidRPr="00C21BB4" w:rsidRDefault="004079B7">
      <w:pPr>
        <w:jc w:val="both"/>
        <w:rPr>
          <w:rFonts w:ascii="Arial" w:hAnsi="Arial" w:cs="Arial"/>
          <w:sz w:val="24"/>
          <w:szCs w:val="24"/>
        </w:rPr>
      </w:pPr>
    </w:p>
    <w:p w14:paraId="2FAC38AA"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14</w:t>
      </w:r>
      <w:r w:rsidRPr="00C21BB4">
        <w:rPr>
          <w:rFonts w:ascii="Arial" w:hAnsi="Arial" w:cs="Arial"/>
          <w:b/>
          <w:i/>
          <w:sz w:val="24"/>
          <w:szCs w:val="24"/>
        </w:rPr>
        <w:t>. Distribuciones de dividendos y otros accesorios</w:t>
      </w:r>
      <w:r w:rsidRPr="00C21BB4">
        <w:rPr>
          <w:rFonts w:ascii="Arial" w:hAnsi="Arial" w:cs="Arial"/>
          <w:sz w:val="24"/>
          <w:szCs w:val="24"/>
        </w:rPr>
        <w:t>. Hasta la resolución del acuerdo evidenciado por la emisión del CEDEAR de conformidad con l</w:t>
      </w:r>
      <w:r w:rsidR="004F0ACF">
        <w:rPr>
          <w:rFonts w:ascii="Arial" w:hAnsi="Arial" w:cs="Arial"/>
          <w:sz w:val="24"/>
          <w:szCs w:val="24"/>
        </w:rPr>
        <w:t>os Términos y C</w:t>
      </w:r>
      <w:r w:rsidRPr="00C21BB4">
        <w:rPr>
          <w:rFonts w:ascii="Arial" w:hAnsi="Arial" w:cs="Arial"/>
          <w:sz w:val="24"/>
          <w:szCs w:val="24"/>
        </w:rPr>
        <w:t xml:space="preserve">ondiciones del Programa de Emisión de CEDEARs, el Banco deberá distribuir o poner de otra forma a disposición del Titular, en cualquier momento y en la forma que éste determine, todo dividendo en efectivo, demás distribuciones en efectivo, distribución de acciones, derechos de suscripción u otros, o cualquier otra distribución respecto del monto de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21BB4">
        <w:rPr>
          <w:rFonts w:ascii="Arial" w:hAnsi="Arial" w:cs="Arial"/>
          <w:sz w:val="24"/>
          <w:szCs w:val="24"/>
        </w:rPr>
        <w:t>representad</w:t>
      </w:r>
      <w:r w:rsidR="005F5F37">
        <w:rPr>
          <w:rFonts w:ascii="Arial" w:hAnsi="Arial" w:cs="Arial"/>
          <w:sz w:val="24"/>
          <w:szCs w:val="24"/>
        </w:rPr>
        <w:t>o</w:t>
      </w:r>
      <w:r w:rsidRPr="00C21BB4">
        <w:rPr>
          <w:rFonts w:ascii="Arial" w:hAnsi="Arial" w:cs="Arial"/>
          <w:sz w:val="24"/>
          <w:szCs w:val="24"/>
        </w:rPr>
        <w:t xml:space="preserve">s por los CEDEARs, netas o luego del pago de las comisiones y gastos del Banco a que se hace mención más adelante en el </w:t>
      </w:r>
      <w:r w:rsidR="00C16911">
        <w:rPr>
          <w:rFonts w:ascii="Arial" w:hAnsi="Arial" w:cs="Arial"/>
          <w:sz w:val="24"/>
          <w:szCs w:val="24"/>
        </w:rPr>
        <w:t>a</w:t>
      </w:r>
      <w:r w:rsidRPr="00C21BB4">
        <w:rPr>
          <w:rFonts w:ascii="Arial" w:hAnsi="Arial" w:cs="Arial"/>
          <w:sz w:val="24"/>
          <w:szCs w:val="24"/>
        </w:rPr>
        <w:t>rt</w:t>
      </w:r>
      <w:r w:rsidR="00932274">
        <w:rPr>
          <w:rFonts w:ascii="Arial" w:hAnsi="Arial" w:cs="Arial"/>
          <w:sz w:val="24"/>
          <w:szCs w:val="24"/>
        </w:rPr>
        <w:t>í</w:t>
      </w:r>
      <w:r w:rsidRPr="00C21BB4">
        <w:rPr>
          <w:rFonts w:ascii="Arial" w:hAnsi="Arial" w:cs="Arial"/>
          <w:sz w:val="24"/>
          <w:szCs w:val="24"/>
        </w:rPr>
        <w:t xml:space="preserve">culo 20, y de la retención de cualesquiera impuestos aplicables; estableciéndose, sin embargo, que el Banco no efectuará distribución alguna que, a criterio del asesor legal, podría importar una violación de la Ley </w:t>
      </w:r>
      <w:r w:rsidR="009019AF" w:rsidRPr="00C21BB4">
        <w:rPr>
          <w:rFonts w:ascii="Arial" w:hAnsi="Arial" w:cs="Arial"/>
          <w:sz w:val="24"/>
          <w:szCs w:val="24"/>
        </w:rPr>
        <w:t>26.831</w:t>
      </w:r>
      <w:r w:rsidRPr="00C21BB4">
        <w:rPr>
          <w:rFonts w:ascii="Arial" w:hAnsi="Arial" w:cs="Arial"/>
          <w:sz w:val="24"/>
          <w:szCs w:val="24"/>
        </w:rPr>
        <w:t xml:space="preserve"> de la República </w:t>
      </w:r>
      <w:r w:rsidRPr="00F319DC">
        <w:rPr>
          <w:rFonts w:ascii="Arial" w:hAnsi="Arial" w:cs="Arial"/>
          <w:sz w:val="24"/>
          <w:szCs w:val="24"/>
        </w:rPr>
        <w:t>Argentina, o de cualquier otra legislación aplicable y, en tales casos, el Banco podrá vender l</w:t>
      </w:r>
      <w:r w:rsidR="005F5F37">
        <w:rPr>
          <w:rFonts w:ascii="Arial" w:hAnsi="Arial" w:cs="Arial"/>
          <w:sz w:val="24"/>
          <w:szCs w:val="24"/>
        </w:rPr>
        <w:t>o</w:t>
      </w:r>
      <w:r w:rsidR="00940D1C" w:rsidRPr="00F319DC">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F319DC">
        <w:rPr>
          <w:rFonts w:ascii="Arial" w:hAnsi="Arial" w:cs="Arial"/>
          <w:sz w:val="24"/>
          <w:szCs w:val="24"/>
        </w:rPr>
        <w:t>, derechos de suscripción u otros derechos, títulos o demás bienes</w:t>
      </w:r>
      <w:r w:rsidR="00A93082">
        <w:rPr>
          <w:rFonts w:ascii="Arial" w:hAnsi="Arial" w:cs="Arial"/>
          <w:sz w:val="24"/>
          <w:szCs w:val="24"/>
        </w:rPr>
        <w:t xml:space="preserve"> y </w:t>
      </w:r>
      <w:r w:rsidRPr="00F319DC">
        <w:rPr>
          <w:rFonts w:ascii="Arial" w:hAnsi="Arial" w:cs="Arial"/>
          <w:sz w:val="24"/>
          <w:szCs w:val="24"/>
        </w:rPr>
        <w:t>notificará a los Titulares acerca de la disposición de los mismos y del producido de dicha venta. Todos los dividendos u otras distribuciones recibid</w:t>
      </w:r>
      <w:r w:rsidR="00C70CE1">
        <w:rPr>
          <w:rFonts w:ascii="Arial" w:hAnsi="Arial" w:cs="Arial"/>
          <w:sz w:val="24"/>
          <w:szCs w:val="24"/>
        </w:rPr>
        <w:t>a</w:t>
      </w:r>
      <w:r w:rsidRPr="00F319DC">
        <w:rPr>
          <w:rFonts w:ascii="Arial" w:hAnsi="Arial" w:cs="Arial"/>
          <w:sz w:val="24"/>
          <w:szCs w:val="24"/>
        </w:rPr>
        <w:t>s por el Banco serán distribuidos en dólares</w:t>
      </w:r>
      <w:r w:rsidRPr="00C21BB4">
        <w:rPr>
          <w:rFonts w:ascii="Arial" w:hAnsi="Arial" w:cs="Arial"/>
          <w:sz w:val="24"/>
          <w:szCs w:val="24"/>
        </w:rPr>
        <w:t xml:space="preserve"> estadounidenses. En lugar de distribuir fracciones de </w:t>
      </w:r>
      <w:proofErr w:type="spellStart"/>
      <w:r w:rsidR="00477BC5">
        <w:rPr>
          <w:rFonts w:ascii="Arial" w:hAnsi="Arial" w:cs="Arial"/>
          <w:sz w:val="24"/>
          <w:szCs w:val="24"/>
        </w:rPr>
        <w:t>ADS</w:t>
      </w:r>
      <w:r w:rsidR="00C70CE1">
        <w:rPr>
          <w:rFonts w:ascii="Arial" w:hAnsi="Arial" w:cs="Arial"/>
          <w:sz w:val="24"/>
          <w:szCs w:val="24"/>
        </w:rPr>
        <w:t>s</w:t>
      </w:r>
      <w:proofErr w:type="spellEnd"/>
      <w:r w:rsidRPr="00C21BB4">
        <w:rPr>
          <w:rFonts w:ascii="Arial" w:hAnsi="Arial" w:cs="Arial"/>
          <w:sz w:val="24"/>
          <w:szCs w:val="24"/>
        </w:rPr>
        <w:t xml:space="preserve">, el Banco podrá, a su criterio, vender títulos o bienes por un monto igual al total de cualesquiera fracciones de </w:t>
      </w:r>
      <w:proofErr w:type="spellStart"/>
      <w:r w:rsidR="00477BC5">
        <w:rPr>
          <w:rFonts w:ascii="Arial" w:hAnsi="Arial" w:cs="Arial"/>
          <w:sz w:val="24"/>
          <w:szCs w:val="24"/>
        </w:rPr>
        <w:t>ADS</w:t>
      </w:r>
      <w:r w:rsidR="00C70CE1">
        <w:rPr>
          <w:rFonts w:ascii="Arial" w:hAnsi="Arial" w:cs="Arial"/>
          <w:sz w:val="24"/>
          <w:szCs w:val="24"/>
        </w:rPr>
        <w:t>s</w:t>
      </w:r>
      <w:proofErr w:type="spellEnd"/>
      <w:r w:rsidRPr="00C21BB4">
        <w:rPr>
          <w:rFonts w:ascii="Arial" w:hAnsi="Arial" w:cs="Arial"/>
          <w:sz w:val="24"/>
          <w:szCs w:val="24"/>
        </w:rPr>
        <w:t>. El Banco tendrá facultades discrecionales en cuanto al procedimiento a ser seguido al poner a disposición del Titular derechos de suscripción u otros derechos o al disponer de dichos derechos en representación de cualquier Titular poniendo a disposición de dicho Titular el producido neto de la disposición efectuada, estableciéndose que si en virtud de los términos de dicha oferta de derechos o por cualquier otra razón</w:t>
      </w:r>
      <w:r w:rsidR="001408F0">
        <w:rPr>
          <w:rFonts w:ascii="Arial" w:hAnsi="Arial" w:cs="Arial"/>
          <w:sz w:val="24"/>
          <w:szCs w:val="24"/>
        </w:rPr>
        <w:t xml:space="preserve"> </w:t>
      </w:r>
      <w:r w:rsidR="001408F0" w:rsidRPr="001F3BD8">
        <w:rPr>
          <w:rFonts w:ascii="Arial" w:hAnsi="Arial" w:cs="Arial"/>
          <w:sz w:val="24"/>
          <w:szCs w:val="24"/>
          <w:lang w:val="es-AR"/>
        </w:rPr>
        <w:t xml:space="preserve">de disposición legal, gubernamental, de fuerza mayor o caso fortuito, u otra razón por la cual </w:t>
      </w:r>
      <w:r w:rsidRPr="00C21BB4">
        <w:rPr>
          <w:rFonts w:ascii="Arial" w:hAnsi="Arial" w:cs="Arial"/>
          <w:sz w:val="24"/>
          <w:szCs w:val="24"/>
        </w:rPr>
        <w:t xml:space="preserve"> no fuera licito para el Banco el poner derechos de suscripción a disposición de cualquier Titular o el disponer de dichos derechos poniendo el producido neto de la venta de dichos derechos a disposición de dicho Titular, el Banco</w:t>
      </w:r>
      <w:r w:rsidR="008E2FA7">
        <w:rPr>
          <w:rFonts w:ascii="Arial" w:hAnsi="Arial" w:cs="Arial"/>
          <w:sz w:val="24"/>
          <w:szCs w:val="24"/>
        </w:rPr>
        <w:t xml:space="preserve"> </w:t>
      </w:r>
      <w:r w:rsidR="008E2FA7" w:rsidRPr="001F3BD8">
        <w:rPr>
          <w:rFonts w:ascii="Arial" w:hAnsi="Arial" w:cs="Arial"/>
          <w:sz w:val="24"/>
          <w:szCs w:val="24"/>
          <w:lang w:val="es-AR"/>
        </w:rPr>
        <w:t xml:space="preserve">informará sobre el particular así como también dentro de sus posibilidades, las alternativas entre las cuales el Titular podrá optar para poder ejercer sus derechos por sí mismo y según su conveniencia, sin que ello implique perjudicar al Banco de alguna manera. Sin perjuicio de ello en todo momento, el Banco efectuará su mejor esfuerzo para resguardar los derechos de los Titulares. </w:t>
      </w:r>
      <w:r w:rsidR="00720DCF" w:rsidRPr="00C21BB4">
        <w:rPr>
          <w:rFonts w:ascii="Arial" w:hAnsi="Arial" w:cs="Arial"/>
          <w:sz w:val="24"/>
          <w:szCs w:val="24"/>
        </w:rPr>
        <w:t>Las</w:t>
      </w:r>
      <w:r w:rsidRPr="00C21BB4">
        <w:rPr>
          <w:rFonts w:ascii="Arial" w:hAnsi="Arial" w:cs="Arial"/>
          <w:sz w:val="24"/>
          <w:szCs w:val="24"/>
        </w:rPr>
        <w:t xml:space="preserve"> ventas de derechos de suscripción o de otros derechos, de títulos u otros bienes por parte del Banco podrán concretarse en la ocasión y forma que el Banco estime aconsejables y, en dicho caso, el Banco deberá distribuir al Titular del </w:t>
      </w:r>
      <w:r w:rsidR="00831E56">
        <w:rPr>
          <w:rFonts w:ascii="Arial" w:hAnsi="Arial" w:cs="Arial"/>
          <w:sz w:val="24"/>
          <w:szCs w:val="24"/>
        </w:rPr>
        <w:t xml:space="preserve">CEDEAR </w:t>
      </w:r>
      <w:r w:rsidRPr="00C21BB4">
        <w:rPr>
          <w:rFonts w:ascii="Arial" w:hAnsi="Arial" w:cs="Arial"/>
          <w:sz w:val="24"/>
          <w:szCs w:val="24"/>
        </w:rPr>
        <w:t>el producido neto previa deducción de todas las comisiones y gastos del Banco</w:t>
      </w:r>
      <w:r w:rsidR="00C16911">
        <w:rPr>
          <w:rFonts w:ascii="Arial" w:hAnsi="Arial" w:cs="Arial"/>
          <w:sz w:val="24"/>
          <w:szCs w:val="24"/>
        </w:rPr>
        <w:t xml:space="preserve"> descriptas más adelante en el a</w:t>
      </w:r>
      <w:r w:rsidRPr="00C21BB4">
        <w:rPr>
          <w:rFonts w:ascii="Arial" w:hAnsi="Arial" w:cs="Arial"/>
          <w:sz w:val="24"/>
          <w:szCs w:val="24"/>
        </w:rPr>
        <w:t>rtículo 20 y de todas las retenciones impositivas u otras car</w:t>
      </w:r>
      <w:r w:rsidR="00D82B97">
        <w:rPr>
          <w:rFonts w:ascii="Arial" w:hAnsi="Arial" w:cs="Arial"/>
          <w:sz w:val="24"/>
          <w:szCs w:val="24"/>
        </w:rPr>
        <w:t>gas gubernamentales aplicables.</w:t>
      </w:r>
    </w:p>
    <w:p w14:paraId="7D069BEF" w14:textId="77777777" w:rsidR="004079B7" w:rsidRPr="00C21BB4" w:rsidRDefault="004079B7">
      <w:pPr>
        <w:jc w:val="both"/>
        <w:rPr>
          <w:rFonts w:ascii="Arial" w:hAnsi="Arial" w:cs="Arial"/>
          <w:sz w:val="24"/>
          <w:szCs w:val="24"/>
        </w:rPr>
      </w:pPr>
    </w:p>
    <w:p w14:paraId="0199194A"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Si el Banco determinara a su exclusivo criterio que alguna de las distribuciones en efectivo no es convertible en su totalidad o respecto de los Titulares de una porción de los CEDEARs sobre una base razonable en dólares estadounidenses disponibles en la Ciudad de Buenos Aires, o si cualquier aprobación o permiso requerido de cualquier gobierno o repartición a efectos de dicha conversión fuera negado o no fuera obtenido dentro de un plazo razonable, el </w:t>
      </w:r>
      <w:r w:rsidR="00411D49">
        <w:rPr>
          <w:rFonts w:ascii="Arial" w:hAnsi="Arial" w:cs="Arial"/>
          <w:sz w:val="24"/>
          <w:szCs w:val="24"/>
        </w:rPr>
        <w:t>Banco</w:t>
      </w:r>
      <w:r w:rsidR="00E00F3D">
        <w:rPr>
          <w:rFonts w:ascii="Arial" w:hAnsi="Arial" w:cs="Arial"/>
          <w:sz w:val="24"/>
          <w:szCs w:val="24"/>
        </w:rPr>
        <w:t xml:space="preserve"> </w:t>
      </w:r>
      <w:r w:rsidRPr="00C21BB4">
        <w:rPr>
          <w:rFonts w:ascii="Arial" w:hAnsi="Arial" w:cs="Arial"/>
          <w:sz w:val="24"/>
          <w:szCs w:val="24"/>
        </w:rPr>
        <w:t xml:space="preserve">podrá, a su criterio, realizar la conversión y distribución al tipo de cambio que el Banco estime </w:t>
      </w:r>
      <w:r w:rsidR="003A1CDB">
        <w:rPr>
          <w:rFonts w:ascii="Arial" w:hAnsi="Arial" w:cs="Arial"/>
          <w:sz w:val="24"/>
          <w:szCs w:val="24"/>
        </w:rPr>
        <w:t xml:space="preserve"> adecuado y que sea aceptado por la CNV </w:t>
      </w:r>
      <w:r w:rsidRPr="00C21BB4">
        <w:rPr>
          <w:rFonts w:ascii="Arial" w:hAnsi="Arial" w:cs="Arial"/>
          <w:sz w:val="24"/>
          <w:szCs w:val="24"/>
        </w:rPr>
        <w:t xml:space="preserve">y respecto de cualquier moneda no convertida o convertible (i) la distribuirá a los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 xml:space="preserve">con derecho a ello; o (ii) la conservará para las respectivas cuentas de dichos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y otorgará las registraciones adecuadas u otros instrumentos representativos de derechos a recibir dicha moneda extranjera. El Banco se a</w:t>
      </w:r>
      <w:r w:rsidR="0086251C" w:rsidRPr="00C21BB4">
        <w:rPr>
          <w:rFonts w:ascii="Arial" w:hAnsi="Arial" w:cs="Arial"/>
          <w:sz w:val="24"/>
          <w:szCs w:val="24"/>
        </w:rPr>
        <w:t xml:space="preserve">justará en todos los casos a la </w:t>
      </w:r>
      <w:r w:rsidRPr="00C21BB4">
        <w:rPr>
          <w:rFonts w:ascii="Arial" w:hAnsi="Arial" w:cs="Arial"/>
          <w:sz w:val="24"/>
          <w:szCs w:val="24"/>
        </w:rPr>
        <w:t xml:space="preserve">legislación vigente en materia cambiaría en la República Argentina. </w:t>
      </w:r>
    </w:p>
    <w:p w14:paraId="696BC9ED" w14:textId="77777777" w:rsidR="004079B7" w:rsidRPr="00C21BB4" w:rsidRDefault="004079B7">
      <w:pPr>
        <w:jc w:val="both"/>
        <w:rPr>
          <w:rFonts w:ascii="Arial" w:hAnsi="Arial" w:cs="Arial"/>
          <w:sz w:val="24"/>
          <w:szCs w:val="24"/>
        </w:rPr>
      </w:pPr>
    </w:p>
    <w:p w14:paraId="672E8314" w14:textId="77777777" w:rsidR="004079B7" w:rsidRDefault="004079B7">
      <w:pPr>
        <w:jc w:val="both"/>
        <w:rPr>
          <w:rFonts w:ascii="Arial" w:hAnsi="Arial" w:cs="Arial"/>
          <w:sz w:val="24"/>
          <w:szCs w:val="24"/>
        </w:rPr>
      </w:pPr>
      <w:r w:rsidRPr="00C21BB4">
        <w:rPr>
          <w:rFonts w:ascii="Arial" w:hAnsi="Arial" w:cs="Arial"/>
          <w:sz w:val="24"/>
          <w:szCs w:val="24"/>
        </w:rPr>
        <w:t xml:space="preserve">El Banco </w:t>
      </w:r>
      <w:r w:rsidR="002C3DCE">
        <w:rPr>
          <w:rFonts w:ascii="Arial" w:hAnsi="Arial" w:cs="Arial"/>
          <w:sz w:val="24"/>
          <w:szCs w:val="24"/>
        </w:rPr>
        <w:t xml:space="preserve">publicará </w:t>
      </w:r>
      <w:r w:rsidRPr="00C21BB4">
        <w:rPr>
          <w:rFonts w:ascii="Arial" w:hAnsi="Arial" w:cs="Arial"/>
          <w:sz w:val="24"/>
          <w:szCs w:val="24"/>
        </w:rPr>
        <w:t xml:space="preserve">la distribución </w:t>
      </w:r>
      <w:r w:rsidR="002C3DCE">
        <w:rPr>
          <w:rFonts w:ascii="Arial" w:hAnsi="Arial" w:cs="Arial"/>
          <w:sz w:val="24"/>
          <w:szCs w:val="24"/>
        </w:rPr>
        <w:t xml:space="preserve">en </w:t>
      </w:r>
      <w:r w:rsidR="004F6721">
        <w:rPr>
          <w:rFonts w:ascii="Arial" w:hAnsi="Arial" w:cs="Arial"/>
          <w:sz w:val="24"/>
          <w:szCs w:val="24"/>
        </w:rPr>
        <w:t>la Autopista de</w:t>
      </w:r>
      <w:r w:rsidR="00DC4274">
        <w:rPr>
          <w:rFonts w:ascii="Arial" w:hAnsi="Arial" w:cs="Arial"/>
          <w:sz w:val="24"/>
          <w:szCs w:val="24"/>
        </w:rPr>
        <w:t xml:space="preserve"> la</w:t>
      </w:r>
      <w:r w:rsidR="004F6721">
        <w:rPr>
          <w:rFonts w:ascii="Arial" w:hAnsi="Arial" w:cs="Arial"/>
          <w:sz w:val="24"/>
          <w:szCs w:val="24"/>
        </w:rPr>
        <w:t xml:space="preserve"> Información Financiera de la CNV</w:t>
      </w:r>
      <w:r w:rsidR="00DC4274">
        <w:rPr>
          <w:rFonts w:ascii="Arial" w:hAnsi="Arial" w:cs="Arial"/>
          <w:sz w:val="24"/>
          <w:szCs w:val="24"/>
        </w:rPr>
        <w:t xml:space="preserve"> </w:t>
      </w:r>
      <w:r w:rsidR="004E5B73">
        <w:rPr>
          <w:rFonts w:ascii="Arial" w:hAnsi="Arial" w:cs="Arial"/>
          <w:sz w:val="24"/>
          <w:szCs w:val="24"/>
        </w:rPr>
        <w:t xml:space="preserve">así como a través de los sitios web informados anteriormente en el </w:t>
      </w:r>
      <w:r w:rsidR="000F2666">
        <w:rPr>
          <w:rFonts w:ascii="Arial" w:hAnsi="Arial" w:cs="Arial"/>
          <w:sz w:val="24"/>
          <w:szCs w:val="24"/>
        </w:rPr>
        <w:t>artículo 12</w:t>
      </w:r>
      <w:r w:rsidR="004E5B73">
        <w:rPr>
          <w:rFonts w:ascii="Arial" w:hAnsi="Arial" w:cs="Arial"/>
          <w:sz w:val="24"/>
          <w:szCs w:val="24"/>
        </w:rPr>
        <w:t xml:space="preserve">. </w:t>
      </w:r>
    </w:p>
    <w:p w14:paraId="7E6796D7" w14:textId="77777777" w:rsidR="004E5B73" w:rsidRPr="00C21BB4" w:rsidRDefault="004E5B73">
      <w:pPr>
        <w:jc w:val="both"/>
        <w:rPr>
          <w:rFonts w:ascii="Arial" w:hAnsi="Arial" w:cs="Arial"/>
          <w:sz w:val="24"/>
          <w:szCs w:val="24"/>
        </w:rPr>
      </w:pPr>
    </w:p>
    <w:p w14:paraId="6712AA9E"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El Banco se reserva el ejercicio de sus facultades conforme a lo establecido en los párrafos precedentes del presente </w:t>
      </w:r>
      <w:r w:rsidR="00C16911">
        <w:rPr>
          <w:rFonts w:ascii="Arial" w:hAnsi="Arial" w:cs="Arial"/>
          <w:sz w:val="24"/>
          <w:szCs w:val="24"/>
        </w:rPr>
        <w:t>a</w:t>
      </w:r>
      <w:r w:rsidRPr="00C21BB4">
        <w:rPr>
          <w:rFonts w:ascii="Arial" w:hAnsi="Arial" w:cs="Arial"/>
          <w:sz w:val="24"/>
          <w:szCs w:val="24"/>
        </w:rPr>
        <w:t xml:space="preserve">rtículo. Sin perjuicio de ello, el Banco seguirá estas pautas en los siguientes casos: </w:t>
      </w:r>
    </w:p>
    <w:p w14:paraId="52285A9F" w14:textId="77777777" w:rsidR="004079B7" w:rsidRPr="00C21BB4" w:rsidRDefault="004079B7">
      <w:pPr>
        <w:jc w:val="both"/>
        <w:rPr>
          <w:rFonts w:ascii="Arial" w:hAnsi="Arial" w:cs="Arial"/>
          <w:sz w:val="24"/>
          <w:szCs w:val="24"/>
        </w:rPr>
      </w:pPr>
    </w:p>
    <w:p w14:paraId="71295CD3"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 xml:space="preserve">a) </w:t>
      </w:r>
      <w:r w:rsidRPr="00C21BB4">
        <w:rPr>
          <w:rFonts w:ascii="Arial" w:hAnsi="Arial" w:cs="Arial"/>
          <w:sz w:val="24"/>
          <w:szCs w:val="24"/>
          <w:u w:val="single"/>
        </w:rPr>
        <w:t>Dividendos. Efectivo y títulos.</w:t>
      </w:r>
      <w:r w:rsidRPr="00C21BB4">
        <w:rPr>
          <w:rFonts w:ascii="Arial" w:hAnsi="Arial" w:cs="Arial"/>
          <w:sz w:val="24"/>
          <w:szCs w:val="24"/>
        </w:rPr>
        <w:t xml:space="preserve"> Los dividendos en títulos serán pagados mediante la emisión de nuevos CEDEARs, siempre que los dividendos puedan </w:t>
      </w:r>
      <w:r w:rsidRPr="00AC6D9F">
        <w:rPr>
          <w:rFonts w:ascii="Arial" w:hAnsi="Arial" w:cs="Arial"/>
          <w:sz w:val="24"/>
          <w:szCs w:val="24"/>
        </w:rPr>
        <w:t>ser pagados en CEDEARs enteros. Los lotes pequeños (“</w:t>
      </w:r>
      <w:proofErr w:type="spellStart"/>
      <w:r w:rsidRPr="00AC6D9F">
        <w:rPr>
          <w:rFonts w:ascii="Arial" w:hAnsi="Arial" w:cs="Arial"/>
          <w:sz w:val="24"/>
          <w:szCs w:val="24"/>
        </w:rPr>
        <w:t>odd</w:t>
      </w:r>
      <w:proofErr w:type="spellEnd"/>
      <w:r w:rsidRPr="00AC6D9F">
        <w:rPr>
          <w:rFonts w:ascii="Arial" w:hAnsi="Arial" w:cs="Arial"/>
          <w:sz w:val="24"/>
          <w:szCs w:val="24"/>
        </w:rPr>
        <w:t xml:space="preserve"> </w:t>
      </w:r>
      <w:proofErr w:type="spellStart"/>
      <w:r w:rsidRPr="00AC6D9F">
        <w:rPr>
          <w:rFonts w:ascii="Arial" w:hAnsi="Arial" w:cs="Arial"/>
          <w:sz w:val="24"/>
          <w:szCs w:val="24"/>
        </w:rPr>
        <w:t>lots</w:t>
      </w:r>
      <w:proofErr w:type="spellEnd"/>
      <w:r w:rsidRPr="00AC6D9F">
        <w:rPr>
          <w:rFonts w:ascii="Arial" w:hAnsi="Arial" w:cs="Arial"/>
          <w:sz w:val="24"/>
          <w:szCs w:val="24"/>
        </w:rPr>
        <w:t>”) de dividendos en</w:t>
      </w:r>
      <w:r w:rsidR="00A503FA" w:rsidRPr="00AC6D9F">
        <w:rPr>
          <w:rFonts w:ascii="Arial" w:hAnsi="Arial" w:cs="Arial"/>
          <w:sz w:val="24"/>
          <w:szCs w:val="24"/>
        </w:rPr>
        <w:t xml:space="preserve"> </w:t>
      </w:r>
      <w:r w:rsidR="00E43560">
        <w:rPr>
          <w:rFonts w:ascii="Arial" w:hAnsi="Arial" w:cs="Arial"/>
          <w:sz w:val="24"/>
          <w:szCs w:val="24"/>
        </w:rPr>
        <w:t>a</w:t>
      </w:r>
      <w:r w:rsidR="001C6E16" w:rsidRPr="00AC6D9F">
        <w:rPr>
          <w:rFonts w:ascii="Arial" w:hAnsi="Arial" w:cs="Arial"/>
          <w:sz w:val="24"/>
          <w:szCs w:val="24"/>
        </w:rPr>
        <w:t xml:space="preserve">cciones </w:t>
      </w:r>
      <w:r w:rsidRPr="00AC6D9F">
        <w:rPr>
          <w:rFonts w:ascii="Arial" w:hAnsi="Arial" w:cs="Arial"/>
          <w:sz w:val="24"/>
          <w:szCs w:val="24"/>
        </w:rPr>
        <w:t>que</w:t>
      </w:r>
      <w:r w:rsidRPr="00C21BB4">
        <w:rPr>
          <w:rFonts w:ascii="Arial" w:hAnsi="Arial" w:cs="Arial"/>
          <w:sz w:val="24"/>
          <w:szCs w:val="24"/>
        </w:rPr>
        <w:t xml:space="preserve"> sólo permitan la emisión de fracciones de CEDEARs serán enajenados y distribuidos en efectivo a los </w:t>
      </w:r>
      <w:r w:rsidR="007B0A42">
        <w:rPr>
          <w:rFonts w:ascii="Arial" w:hAnsi="Arial" w:cs="Arial"/>
          <w:sz w:val="24"/>
          <w:szCs w:val="24"/>
        </w:rPr>
        <w:t>T</w:t>
      </w:r>
      <w:r w:rsidRPr="00C21BB4">
        <w:rPr>
          <w:rFonts w:ascii="Arial" w:hAnsi="Arial" w:cs="Arial"/>
          <w:sz w:val="24"/>
          <w:szCs w:val="24"/>
        </w:rPr>
        <w:t>itulares de los CEDEARs.</w:t>
      </w:r>
    </w:p>
    <w:p w14:paraId="5ADB0D67" w14:textId="77777777" w:rsidR="004079B7" w:rsidRPr="00C21BB4" w:rsidRDefault="004079B7">
      <w:pPr>
        <w:jc w:val="both"/>
        <w:rPr>
          <w:rFonts w:ascii="Arial" w:hAnsi="Arial" w:cs="Arial"/>
          <w:sz w:val="24"/>
          <w:szCs w:val="24"/>
        </w:rPr>
      </w:pPr>
    </w:p>
    <w:p w14:paraId="209E00E9" w14:textId="77777777" w:rsidR="004079B7" w:rsidRPr="00C21BB4" w:rsidRDefault="004079B7">
      <w:pPr>
        <w:pStyle w:val="Textoindependiente"/>
        <w:rPr>
          <w:rFonts w:ascii="Arial" w:hAnsi="Arial" w:cs="Arial"/>
          <w:szCs w:val="24"/>
        </w:rPr>
      </w:pPr>
      <w:r w:rsidRPr="00C21BB4">
        <w:rPr>
          <w:rFonts w:ascii="Arial" w:hAnsi="Arial" w:cs="Arial"/>
          <w:szCs w:val="24"/>
        </w:rPr>
        <w:tab/>
      </w:r>
      <w:r w:rsidRPr="00C21BB4">
        <w:rPr>
          <w:rFonts w:ascii="Arial" w:hAnsi="Arial" w:cs="Arial"/>
          <w:szCs w:val="24"/>
        </w:rPr>
        <w:tab/>
      </w:r>
      <w:r w:rsidRPr="00C21BB4">
        <w:rPr>
          <w:rFonts w:ascii="Arial" w:hAnsi="Arial" w:cs="Arial"/>
          <w:szCs w:val="24"/>
        </w:rPr>
        <w:tab/>
        <w:t xml:space="preserve">b) </w:t>
      </w:r>
      <w:r w:rsidRPr="00C21BB4">
        <w:rPr>
          <w:rFonts w:ascii="Arial" w:hAnsi="Arial" w:cs="Arial"/>
          <w:szCs w:val="24"/>
          <w:u w:val="single"/>
        </w:rPr>
        <w:t>Derechos de suscripción</w:t>
      </w:r>
      <w:r w:rsidRPr="00C21BB4">
        <w:rPr>
          <w:rFonts w:ascii="Arial" w:hAnsi="Arial" w:cs="Arial"/>
          <w:szCs w:val="24"/>
        </w:rPr>
        <w:t xml:space="preserve">. El Banco enajenará los derechos de suscripción y distribuirá su producido neto de gastos a los </w:t>
      </w:r>
      <w:r w:rsidR="007B0A42">
        <w:rPr>
          <w:rFonts w:ascii="Arial" w:hAnsi="Arial" w:cs="Arial"/>
          <w:szCs w:val="24"/>
        </w:rPr>
        <w:t>T</w:t>
      </w:r>
      <w:r w:rsidRPr="00C21BB4">
        <w:rPr>
          <w:rFonts w:ascii="Arial" w:hAnsi="Arial" w:cs="Arial"/>
          <w:szCs w:val="24"/>
        </w:rPr>
        <w:t>itulares de los CEDEAR</w:t>
      </w:r>
      <w:r w:rsidR="0063049C">
        <w:rPr>
          <w:rFonts w:ascii="Arial" w:hAnsi="Arial" w:cs="Arial"/>
          <w:szCs w:val="24"/>
        </w:rPr>
        <w:t>s</w:t>
      </w:r>
      <w:r w:rsidRPr="00C21BB4">
        <w:rPr>
          <w:rFonts w:ascii="Arial" w:hAnsi="Arial" w:cs="Arial"/>
          <w:szCs w:val="24"/>
        </w:rPr>
        <w:t xml:space="preserve"> cuando ello sea posible.</w:t>
      </w:r>
    </w:p>
    <w:p w14:paraId="6895B1F9" w14:textId="77777777" w:rsidR="004079B7" w:rsidRPr="00C21BB4" w:rsidRDefault="004079B7">
      <w:pPr>
        <w:jc w:val="both"/>
        <w:rPr>
          <w:rFonts w:ascii="Arial" w:hAnsi="Arial" w:cs="Arial"/>
          <w:sz w:val="24"/>
          <w:szCs w:val="24"/>
        </w:rPr>
      </w:pPr>
    </w:p>
    <w:p w14:paraId="51D99AA9"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r>
      <w:r w:rsidR="00904D37" w:rsidRPr="00C21BB4">
        <w:rPr>
          <w:rFonts w:ascii="Arial" w:hAnsi="Arial" w:cs="Arial"/>
          <w:sz w:val="24"/>
          <w:szCs w:val="24"/>
        </w:rPr>
        <w:t xml:space="preserve">c) Los </w:t>
      </w:r>
      <w:r w:rsidR="007B0A42">
        <w:rPr>
          <w:rFonts w:ascii="Arial" w:hAnsi="Arial" w:cs="Arial"/>
          <w:sz w:val="24"/>
          <w:szCs w:val="24"/>
        </w:rPr>
        <w:t>T</w:t>
      </w:r>
      <w:r w:rsidR="00904D37" w:rsidRPr="00C21BB4">
        <w:rPr>
          <w:rFonts w:ascii="Arial" w:hAnsi="Arial" w:cs="Arial"/>
          <w:sz w:val="24"/>
          <w:szCs w:val="24"/>
        </w:rPr>
        <w:t>itulares de los</w:t>
      </w:r>
      <w:r w:rsidR="001C6E16" w:rsidRPr="00C21BB4">
        <w:rPr>
          <w:rFonts w:ascii="Arial" w:hAnsi="Arial" w:cs="Arial"/>
          <w:sz w:val="24"/>
          <w:szCs w:val="24"/>
        </w:rPr>
        <w:t xml:space="preserve"> CEDEARs que </w:t>
      </w:r>
      <w:r w:rsidR="001C6E16" w:rsidRPr="00AC6D9F">
        <w:rPr>
          <w:rFonts w:ascii="Arial" w:hAnsi="Arial" w:cs="Arial"/>
          <w:sz w:val="24"/>
          <w:szCs w:val="24"/>
        </w:rPr>
        <w:t xml:space="preserve">deseen recibir </w:t>
      </w:r>
      <w:proofErr w:type="spellStart"/>
      <w:r w:rsidR="00477BC5">
        <w:rPr>
          <w:rFonts w:ascii="Arial" w:hAnsi="Arial" w:cs="Arial"/>
          <w:sz w:val="24"/>
          <w:szCs w:val="24"/>
        </w:rPr>
        <w:t>ADS</w:t>
      </w:r>
      <w:r w:rsidR="005F5F37">
        <w:rPr>
          <w:rFonts w:ascii="Arial" w:hAnsi="Arial" w:cs="Arial"/>
          <w:sz w:val="24"/>
          <w:szCs w:val="24"/>
        </w:rPr>
        <w:t>s</w:t>
      </w:r>
      <w:proofErr w:type="spellEnd"/>
      <w:r w:rsidR="00A565BF" w:rsidRPr="00AC6D9F">
        <w:rPr>
          <w:rFonts w:ascii="Arial" w:hAnsi="Arial" w:cs="Arial"/>
          <w:sz w:val="24"/>
          <w:szCs w:val="24"/>
        </w:rPr>
        <w:t xml:space="preserve"> </w:t>
      </w:r>
      <w:r w:rsidR="00904D37" w:rsidRPr="00AC6D9F">
        <w:rPr>
          <w:rFonts w:ascii="Arial" w:hAnsi="Arial" w:cs="Arial"/>
          <w:sz w:val="24"/>
          <w:szCs w:val="24"/>
        </w:rPr>
        <w:t xml:space="preserve">en lugar de efectivo en los casos previstos en los </w:t>
      </w:r>
      <w:r w:rsidR="009019AF" w:rsidRPr="00AC6D9F">
        <w:rPr>
          <w:rFonts w:ascii="Arial" w:hAnsi="Arial" w:cs="Arial"/>
          <w:sz w:val="24"/>
          <w:szCs w:val="24"/>
        </w:rPr>
        <w:t>apartados</w:t>
      </w:r>
      <w:r w:rsidR="00904D37" w:rsidRPr="00AC6D9F">
        <w:rPr>
          <w:rFonts w:ascii="Arial" w:hAnsi="Arial" w:cs="Arial"/>
          <w:sz w:val="24"/>
          <w:szCs w:val="24"/>
        </w:rPr>
        <w:t xml:space="preserve">. a) y b) podrán cancelar los CEDEARs y proceder al retiro y obtener la posesión de </w:t>
      </w:r>
      <w:r w:rsidR="005F5F37">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956657">
        <w:rPr>
          <w:rFonts w:ascii="Arial" w:hAnsi="Arial" w:cs="Arial"/>
          <w:sz w:val="24"/>
          <w:szCs w:val="24"/>
        </w:rPr>
        <w:t xml:space="preserve">, conforme lo previsto en el </w:t>
      </w:r>
      <w:r w:rsidR="00C16911">
        <w:rPr>
          <w:rFonts w:ascii="Arial" w:hAnsi="Arial" w:cs="Arial"/>
          <w:sz w:val="24"/>
          <w:szCs w:val="24"/>
        </w:rPr>
        <w:t>a</w:t>
      </w:r>
      <w:r w:rsidR="00904D37" w:rsidRPr="00C21BB4">
        <w:rPr>
          <w:rFonts w:ascii="Arial" w:hAnsi="Arial" w:cs="Arial"/>
          <w:sz w:val="24"/>
          <w:szCs w:val="24"/>
        </w:rPr>
        <w:t xml:space="preserve">rtículo </w:t>
      </w:r>
      <w:r w:rsidR="003E54B1">
        <w:rPr>
          <w:rFonts w:ascii="Arial" w:hAnsi="Arial" w:cs="Arial"/>
          <w:sz w:val="24"/>
          <w:szCs w:val="24"/>
        </w:rPr>
        <w:t>4</w:t>
      </w:r>
      <w:r w:rsidR="003E54B1" w:rsidRPr="00C21BB4">
        <w:rPr>
          <w:rFonts w:ascii="Arial" w:hAnsi="Arial" w:cs="Arial"/>
          <w:sz w:val="24"/>
          <w:szCs w:val="24"/>
        </w:rPr>
        <w:t xml:space="preserve"> </w:t>
      </w:r>
      <w:r w:rsidR="00904D37" w:rsidRPr="00C21BB4">
        <w:rPr>
          <w:rFonts w:ascii="Arial" w:hAnsi="Arial" w:cs="Arial"/>
          <w:sz w:val="24"/>
          <w:szCs w:val="24"/>
        </w:rPr>
        <w:t>de estos Términos y Condiciones.</w:t>
      </w:r>
    </w:p>
    <w:p w14:paraId="240F333E" w14:textId="77777777" w:rsidR="004079B7" w:rsidRDefault="004079B7">
      <w:pPr>
        <w:jc w:val="both"/>
        <w:rPr>
          <w:rFonts w:ascii="Arial" w:hAnsi="Arial" w:cs="Arial"/>
          <w:sz w:val="24"/>
          <w:szCs w:val="24"/>
        </w:rPr>
      </w:pPr>
    </w:p>
    <w:p w14:paraId="762D8FF0" w14:textId="77777777" w:rsidR="00822C7F" w:rsidRPr="00C21BB4" w:rsidRDefault="00822C7F">
      <w:pPr>
        <w:jc w:val="both"/>
        <w:rPr>
          <w:rFonts w:ascii="Arial" w:hAnsi="Arial" w:cs="Arial"/>
          <w:sz w:val="24"/>
          <w:szCs w:val="24"/>
        </w:rPr>
      </w:pPr>
    </w:p>
    <w:p w14:paraId="4CF7CFCA"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15</w:t>
      </w:r>
      <w:r w:rsidRPr="00C21BB4">
        <w:rPr>
          <w:rFonts w:ascii="Arial" w:hAnsi="Arial" w:cs="Arial"/>
          <w:b/>
          <w:i/>
          <w:sz w:val="24"/>
          <w:szCs w:val="24"/>
        </w:rPr>
        <w:t xml:space="preserve">.  </w:t>
      </w:r>
      <w:r w:rsidRPr="00CD12B2">
        <w:rPr>
          <w:rFonts w:ascii="Arial" w:hAnsi="Arial" w:cs="Arial"/>
          <w:b/>
          <w:i/>
          <w:sz w:val="24"/>
          <w:szCs w:val="24"/>
        </w:rPr>
        <w:t>Fechas de Registro</w:t>
      </w:r>
      <w:r w:rsidRPr="00CD12B2">
        <w:rPr>
          <w:rFonts w:ascii="Arial" w:hAnsi="Arial" w:cs="Arial"/>
          <w:sz w:val="24"/>
          <w:szCs w:val="24"/>
        </w:rPr>
        <w:t xml:space="preserve">. Cuando se </w:t>
      </w:r>
      <w:r w:rsidR="009628B9" w:rsidRPr="00CD12B2">
        <w:rPr>
          <w:rFonts w:ascii="Arial" w:hAnsi="Arial" w:cs="Arial"/>
          <w:sz w:val="24"/>
          <w:szCs w:val="24"/>
        </w:rPr>
        <w:t xml:space="preserve">torne </w:t>
      </w:r>
      <w:r w:rsidRPr="00CD12B2">
        <w:rPr>
          <w:rFonts w:ascii="Arial" w:hAnsi="Arial" w:cs="Arial"/>
          <w:sz w:val="24"/>
          <w:szCs w:val="24"/>
        </w:rPr>
        <w:t xml:space="preserve">exigible cualquier dividendo en efectivo u otras distribuciones en efectivo o cuando se realicen distribuciones que no sean en efectivo o cuando se emitan derechos respecto de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o cuando el Banco sea notificado de cualquier asamblea de tenedores de</w:t>
      </w:r>
      <w:r w:rsidR="00A503FA" w:rsidRPr="00CD12B2">
        <w:rPr>
          <w:rFonts w:ascii="Arial" w:hAnsi="Arial" w:cs="Arial"/>
          <w:sz w:val="24"/>
          <w:szCs w:val="24"/>
        </w:rPr>
        <w:t xml:space="preserv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o cuando sea necesario a criterio del Banco determinar los Titulares de CEDEARs, el Banco fijará una fecha de registro par</w:t>
      </w:r>
      <w:r w:rsidR="00D67A5D" w:rsidRPr="00CD12B2">
        <w:rPr>
          <w:rFonts w:ascii="Arial" w:hAnsi="Arial" w:cs="Arial"/>
          <w:sz w:val="24"/>
          <w:szCs w:val="24"/>
        </w:rPr>
        <w:t>a</w:t>
      </w:r>
      <w:r w:rsidRPr="00CD12B2">
        <w:rPr>
          <w:rFonts w:ascii="Arial" w:hAnsi="Arial" w:cs="Arial"/>
          <w:sz w:val="24"/>
          <w:szCs w:val="24"/>
        </w:rPr>
        <w:t xml:space="preserve"> la determinación de los Titulares en general o para la determinación de los Titulares de CEDEARs que tendrán derecho a recibir los dividendos, distribuciones o derechos o el producido neto de la venta de los mismos, o a impartir instrucciones para ejercer derechos de voto en cualquiera de dichas asambleas. La solicitud de registración </w:t>
      </w:r>
      <w:r w:rsidRPr="00CD12B2">
        <w:rPr>
          <w:rFonts w:ascii="Arial" w:hAnsi="Arial" w:cs="Arial"/>
          <w:sz w:val="24"/>
          <w:szCs w:val="24"/>
        </w:rPr>
        <w:lastRenderedPageBreak/>
        <w:t xml:space="preserve">en el registro de la transferencia del CEDEAR con posterioridad a cualquier fecha de registro y con anterioridad a la fecha de pago, distribución o asamblea no afectará el derecho del Titular registrado de recibir el pago o distribución en dicha fecha de registro o de indicar la forma en que habrán de votarse </w:t>
      </w:r>
      <w:r w:rsidR="00142E00" w:rsidRPr="00CD12B2">
        <w:rPr>
          <w:rFonts w:ascii="Arial" w:hAnsi="Arial" w:cs="Arial"/>
          <w:sz w:val="24"/>
          <w:szCs w:val="24"/>
        </w:rPr>
        <w:t>l</w:t>
      </w:r>
      <w:r w:rsidR="005F5F37">
        <w:rPr>
          <w:rFonts w:ascii="Arial" w:hAnsi="Arial" w:cs="Arial"/>
          <w:sz w:val="24"/>
          <w:szCs w:val="24"/>
        </w:rPr>
        <w:t>o</w:t>
      </w:r>
      <w:r w:rsidR="00142E00"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representad</w:t>
      </w:r>
      <w:r w:rsidR="005F5F37">
        <w:rPr>
          <w:rFonts w:ascii="Arial" w:hAnsi="Arial" w:cs="Arial"/>
          <w:sz w:val="24"/>
          <w:szCs w:val="24"/>
        </w:rPr>
        <w:t>o</w:t>
      </w:r>
      <w:r w:rsidRPr="00CD12B2">
        <w:rPr>
          <w:rFonts w:ascii="Arial" w:hAnsi="Arial" w:cs="Arial"/>
          <w:sz w:val="24"/>
          <w:szCs w:val="24"/>
        </w:rPr>
        <w:t xml:space="preserve">s por el presente. La fecha de registro coincidirá con la fecha de registro establecida en el domicilio de la emisora de </w:t>
      </w:r>
      <w:r w:rsidR="005F5F37">
        <w:rPr>
          <w:rFonts w:ascii="Arial" w:hAnsi="Arial" w:cs="Arial"/>
          <w:sz w:val="24"/>
          <w:szCs w:val="24"/>
        </w:rPr>
        <w:t>lo</w:t>
      </w:r>
      <w:r w:rsidR="000C616A"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CD12B2">
        <w:rPr>
          <w:rFonts w:ascii="Arial" w:hAnsi="Arial" w:cs="Arial"/>
          <w:sz w:val="24"/>
          <w:szCs w:val="24"/>
        </w:rPr>
        <w:t>, excepto en los casos en que se requiera una anticipación mayor y así sea informado por el Banco al Agente de Registro.</w:t>
      </w:r>
      <w:r w:rsidRPr="00C21BB4">
        <w:rPr>
          <w:rFonts w:ascii="Arial" w:hAnsi="Arial" w:cs="Arial"/>
          <w:sz w:val="24"/>
          <w:szCs w:val="24"/>
        </w:rPr>
        <w:t xml:space="preserve"> </w:t>
      </w:r>
    </w:p>
    <w:p w14:paraId="59EB5DE9" w14:textId="77777777" w:rsidR="004079B7" w:rsidRPr="00072719" w:rsidRDefault="004079B7">
      <w:pPr>
        <w:jc w:val="both"/>
        <w:rPr>
          <w:rFonts w:ascii="Arial" w:hAnsi="Arial" w:cs="Arial"/>
          <w:b/>
          <w:i/>
          <w:sz w:val="24"/>
          <w:szCs w:val="24"/>
        </w:rPr>
      </w:pPr>
    </w:p>
    <w:p w14:paraId="357E9234" w14:textId="77777777" w:rsidR="004079B7" w:rsidRPr="00C21BB4" w:rsidRDefault="004079B7">
      <w:pPr>
        <w:jc w:val="both"/>
        <w:rPr>
          <w:rFonts w:ascii="Arial" w:hAnsi="Arial" w:cs="Arial"/>
          <w:sz w:val="24"/>
          <w:szCs w:val="24"/>
        </w:rPr>
      </w:pPr>
      <w:r w:rsidRPr="00072719">
        <w:rPr>
          <w:rFonts w:ascii="Arial" w:hAnsi="Arial" w:cs="Arial"/>
          <w:b/>
          <w:i/>
          <w:sz w:val="24"/>
          <w:szCs w:val="24"/>
        </w:rPr>
        <w:tab/>
      </w:r>
    </w:p>
    <w:p w14:paraId="53BBB792" w14:textId="77777777" w:rsidR="004079B7" w:rsidRDefault="00AC3AEF">
      <w:pPr>
        <w:jc w:val="both"/>
        <w:rPr>
          <w:rFonts w:ascii="Arial" w:hAnsi="Arial" w:cs="Arial"/>
          <w:sz w:val="24"/>
          <w:szCs w:val="24"/>
        </w:rPr>
      </w:pPr>
      <w:r>
        <w:rPr>
          <w:rFonts w:ascii="Arial" w:hAnsi="Arial" w:cs="Arial"/>
          <w:b/>
          <w:i/>
          <w:sz w:val="24"/>
          <w:szCs w:val="24"/>
        </w:rPr>
        <w:tab/>
      </w:r>
      <w:r w:rsidR="00F6447D">
        <w:rPr>
          <w:rFonts w:ascii="Arial" w:hAnsi="Arial" w:cs="Arial"/>
          <w:b/>
          <w:i/>
          <w:sz w:val="24"/>
          <w:szCs w:val="24"/>
        </w:rPr>
        <w:t>16</w:t>
      </w:r>
      <w:r w:rsidR="004079B7" w:rsidRPr="00C21BB4">
        <w:rPr>
          <w:rFonts w:ascii="Arial" w:hAnsi="Arial" w:cs="Arial"/>
          <w:b/>
          <w:i/>
          <w:sz w:val="24"/>
          <w:szCs w:val="24"/>
        </w:rPr>
        <w:t xml:space="preserve">. Cambios que Afectan a </w:t>
      </w:r>
      <w:r w:rsidR="005F5F37">
        <w:rPr>
          <w:rFonts w:ascii="Arial" w:hAnsi="Arial" w:cs="Arial"/>
          <w:b/>
          <w:i/>
          <w:sz w:val="24"/>
          <w:szCs w:val="24"/>
        </w:rPr>
        <w:t>lo</w:t>
      </w:r>
      <w:r w:rsidR="00142E00" w:rsidRPr="00490C69">
        <w:rPr>
          <w:rFonts w:ascii="Arial" w:hAnsi="Arial" w:cs="Arial"/>
          <w:b/>
          <w:i/>
          <w:sz w:val="24"/>
          <w:szCs w:val="24"/>
        </w:rPr>
        <w:t xml:space="preserve">s </w:t>
      </w:r>
      <w:proofErr w:type="spellStart"/>
      <w:r w:rsidR="00477BC5">
        <w:rPr>
          <w:rFonts w:ascii="Arial" w:hAnsi="Arial" w:cs="Arial"/>
          <w:b/>
          <w:i/>
          <w:sz w:val="24"/>
          <w:szCs w:val="24"/>
        </w:rPr>
        <w:t>ADS</w:t>
      </w:r>
      <w:r w:rsidR="005F5F37" w:rsidRPr="005F5F37">
        <w:rPr>
          <w:rFonts w:ascii="Arial" w:hAnsi="Arial" w:cs="Arial"/>
          <w:b/>
          <w:i/>
          <w:sz w:val="24"/>
          <w:szCs w:val="24"/>
        </w:rPr>
        <w:t>s</w:t>
      </w:r>
      <w:proofErr w:type="spellEnd"/>
      <w:r w:rsidR="004079B7" w:rsidRPr="00C21BB4">
        <w:rPr>
          <w:rFonts w:ascii="Arial" w:hAnsi="Arial" w:cs="Arial"/>
          <w:sz w:val="24"/>
          <w:szCs w:val="24"/>
        </w:rPr>
        <w:t xml:space="preserve">. De ocurrir (i) cualquier cambio en el valor nominal o a la par o una división, combinación u otra forma de reclasificación de </w:t>
      </w:r>
      <w:r w:rsidR="005F5F37">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4079B7" w:rsidRPr="00C21BB4">
        <w:rPr>
          <w:rFonts w:ascii="Arial" w:hAnsi="Arial" w:cs="Arial"/>
          <w:sz w:val="24"/>
          <w:szCs w:val="24"/>
        </w:rPr>
        <w:t>; o (</w:t>
      </w:r>
      <w:proofErr w:type="spellStart"/>
      <w:r w:rsidR="004079B7" w:rsidRPr="00C21BB4">
        <w:rPr>
          <w:rFonts w:ascii="Arial" w:hAnsi="Arial" w:cs="Arial"/>
          <w:sz w:val="24"/>
          <w:szCs w:val="24"/>
        </w:rPr>
        <w:t>ii</w:t>
      </w:r>
      <w:proofErr w:type="spellEnd"/>
      <w:r w:rsidR="004079B7" w:rsidRPr="00C21BB4">
        <w:rPr>
          <w:rFonts w:ascii="Arial" w:hAnsi="Arial" w:cs="Arial"/>
          <w:sz w:val="24"/>
          <w:szCs w:val="24"/>
        </w:rPr>
        <w:t xml:space="preserve">) cualquier recapitalización, reorganización, venta de activos, liquidación, intervención, quiebra, fusión por absorción, fusión propiamente dicha que afecte </w:t>
      </w:r>
      <w:r w:rsidR="000B3B07" w:rsidRPr="00C21BB4">
        <w:rPr>
          <w:rFonts w:ascii="Arial" w:hAnsi="Arial" w:cs="Arial"/>
          <w:sz w:val="24"/>
          <w:szCs w:val="24"/>
        </w:rPr>
        <w:t>a</w:t>
      </w:r>
      <w:r w:rsidR="007B6DCA">
        <w:rPr>
          <w:rFonts w:ascii="Arial" w:hAnsi="Arial" w:cs="Arial"/>
          <w:sz w:val="24"/>
          <w:szCs w:val="24"/>
        </w:rPr>
        <w:t xml:space="preserve"> la sociedad emisora de las 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 xml:space="preserve">ubyacentes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5F4067" w:rsidRPr="00C21BB4">
        <w:rPr>
          <w:rFonts w:ascii="Arial" w:hAnsi="Arial" w:cs="Arial"/>
          <w:sz w:val="24"/>
          <w:szCs w:val="24"/>
        </w:rPr>
        <w:t xml:space="preserve"> </w:t>
      </w:r>
      <w:r w:rsidR="004079B7" w:rsidRPr="00C21BB4">
        <w:rPr>
          <w:rFonts w:ascii="Arial" w:hAnsi="Arial" w:cs="Arial"/>
          <w:sz w:val="24"/>
          <w:szCs w:val="24"/>
        </w:rPr>
        <w:t>o de la cual sea parte de la sociedad emisora</w:t>
      </w:r>
      <w:r w:rsidR="000B3B07">
        <w:rPr>
          <w:rFonts w:ascii="Arial" w:hAnsi="Arial" w:cs="Arial"/>
          <w:sz w:val="24"/>
          <w:szCs w:val="24"/>
        </w:rPr>
        <w:t xml:space="preserve"> de las </w:t>
      </w:r>
      <w:r w:rsidR="007B6DCA">
        <w:rPr>
          <w:rFonts w:ascii="Arial" w:hAnsi="Arial" w:cs="Arial"/>
          <w:sz w:val="24"/>
          <w:szCs w:val="24"/>
        </w:rPr>
        <w:t>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ubyacentes</w:t>
      </w:r>
      <w:r w:rsidR="005F4067" w:rsidRPr="005F4067">
        <w:rPr>
          <w:rFonts w:ascii="Arial" w:hAnsi="Arial" w:cs="Arial"/>
          <w:sz w:val="24"/>
          <w:szCs w:val="24"/>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4079B7" w:rsidRPr="00C21BB4">
        <w:rPr>
          <w:rFonts w:ascii="Arial" w:hAnsi="Arial" w:cs="Arial"/>
          <w:sz w:val="24"/>
          <w:szCs w:val="24"/>
        </w:rPr>
        <w:t xml:space="preserve">, entonces y en cualquiera de dichos casos el Banco podrá canjear o entregar </w:t>
      </w:r>
      <w:r w:rsidR="005F5F37">
        <w:rPr>
          <w:rFonts w:ascii="Arial" w:hAnsi="Arial" w:cs="Arial"/>
          <w:sz w:val="24"/>
          <w:szCs w:val="24"/>
        </w:rPr>
        <w:t>lo</w:t>
      </w:r>
      <w:r w:rsidR="00376239">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004079B7" w:rsidRPr="00AC6D9F">
        <w:rPr>
          <w:rFonts w:ascii="Arial" w:hAnsi="Arial" w:cs="Arial"/>
          <w:sz w:val="24"/>
          <w:szCs w:val="24"/>
        </w:rPr>
        <w:t>y aceptar y mantener bajo el presente en reemplazo de ellos otr</w:t>
      </w:r>
      <w:r w:rsidR="00CF4CF6">
        <w:rPr>
          <w:rFonts w:ascii="Arial" w:hAnsi="Arial" w:cs="Arial"/>
          <w:sz w:val="24"/>
          <w:szCs w:val="24"/>
        </w:rPr>
        <w:t>o</w:t>
      </w:r>
      <w:r w:rsidR="00FA0A65" w:rsidRPr="00AC6D9F">
        <w:rPr>
          <w:rFonts w:ascii="Arial" w:hAnsi="Arial" w:cs="Arial"/>
          <w:sz w:val="24"/>
          <w:szCs w:val="24"/>
        </w:rPr>
        <w:t xml:space="preserve">s </w:t>
      </w:r>
      <w:proofErr w:type="spellStart"/>
      <w:r w:rsidR="00477BC5">
        <w:rPr>
          <w:rFonts w:ascii="Arial" w:hAnsi="Arial" w:cs="Arial"/>
          <w:sz w:val="24"/>
          <w:szCs w:val="24"/>
        </w:rPr>
        <w:t>ADS</w:t>
      </w:r>
      <w:r w:rsidR="00CF4CF6">
        <w:rPr>
          <w:rFonts w:ascii="Arial" w:hAnsi="Arial" w:cs="Arial"/>
          <w:sz w:val="24"/>
          <w:szCs w:val="24"/>
        </w:rPr>
        <w:t>s</w:t>
      </w:r>
      <w:proofErr w:type="spellEnd"/>
      <w:r w:rsidR="00FA0A65" w:rsidRPr="00AC6D9F">
        <w:rPr>
          <w:rFonts w:ascii="Arial" w:hAnsi="Arial" w:cs="Arial"/>
          <w:sz w:val="24"/>
          <w:szCs w:val="24"/>
        </w:rPr>
        <w:t>,</w:t>
      </w:r>
      <w:r w:rsidR="004079B7" w:rsidRPr="00AC6D9F">
        <w:rPr>
          <w:rFonts w:ascii="Arial" w:hAnsi="Arial" w:cs="Arial"/>
          <w:sz w:val="24"/>
          <w:szCs w:val="24"/>
        </w:rPr>
        <w:t xml:space="preserve"> títulos, efectivo o bienes a ser emitidos o entregados en lugar o </w:t>
      </w:r>
      <w:r w:rsidR="002C5E19">
        <w:rPr>
          <w:rFonts w:ascii="Arial" w:hAnsi="Arial" w:cs="Arial"/>
          <w:sz w:val="24"/>
          <w:szCs w:val="24"/>
        </w:rPr>
        <w:t xml:space="preserve">en </w:t>
      </w:r>
      <w:r w:rsidR="004079B7" w:rsidRPr="00AC6D9F">
        <w:rPr>
          <w:rFonts w:ascii="Arial" w:hAnsi="Arial" w:cs="Arial"/>
          <w:sz w:val="24"/>
          <w:szCs w:val="24"/>
        </w:rPr>
        <w:t>canje o a ser distribuidos o pagados respecto de dich</w:t>
      </w:r>
      <w:r w:rsidR="005F5F37">
        <w:rPr>
          <w:rFonts w:ascii="Arial" w:hAnsi="Arial" w:cs="Arial"/>
          <w:sz w:val="24"/>
          <w:szCs w:val="24"/>
        </w:rPr>
        <w:t>o</w:t>
      </w:r>
      <w:r w:rsidR="004079B7" w:rsidRPr="00AC6D9F">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4079B7" w:rsidRPr="00AC6D9F">
        <w:rPr>
          <w:rFonts w:ascii="Arial" w:hAnsi="Arial" w:cs="Arial"/>
          <w:sz w:val="24"/>
          <w:szCs w:val="24"/>
        </w:rPr>
        <w:t xml:space="preserve">. </w:t>
      </w:r>
    </w:p>
    <w:p w14:paraId="637E3E58" w14:textId="77777777" w:rsidR="005F5F37" w:rsidRPr="00AC6D9F" w:rsidRDefault="005F5F37">
      <w:pPr>
        <w:jc w:val="both"/>
        <w:rPr>
          <w:rFonts w:ascii="Arial" w:hAnsi="Arial" w:cs="Arial"/>
          <w:sz w:val="24"/>
          <w:szCs w:val="24"/>
        </w:rPr>
      </w:pPr>
    </w:p>
    <w:p w14:paraId="7D2A9BCB" w14:textId="77777777" w:rsidR="004079B7" w:rsidRPr="00C21BB4" w:rsidRDefault="004079B7">
      <w:pPr>
        <w:jc w:val="both"/>
        <w:rPr>
          <w:rFonts w:ascii="Arial" w:hAnsi="Arial" w:cs="Arial"/>
          <w:sz w:val="24"/>
          <w:szCs w:val="24"/>
        </w:rPr>
      </w:pPr>
      <w:r w:rsidRPr="00AC6D9F">
        <w:rPr>
          <w:rFonts w:ascii="Arial" w:hAnsi="Arial" w:cs="Arial"/>
          <w:sz w:val="24"/>
          <w:szCs w:val="24"/>
        </w:rPr>
        <w:t>Ante un canje o entrega del tipo citados, el Banco podrá a su solo criterio cancelar el CEDEAR (contra el pago de las comisiones y gastos del Banco y de todos los impuestos y cargas gubernamentales o de otra índole aplicables) en canje de uno o más CEDEARs del mismo tenor que el CEDEAR cancelado, describiendo en forma expresa los nuev</w:t>
      </w:r>
      <w:r w:rsidR="00FA0A65" w:rsidRPr="00AC6D9F">
        <w:rPr>
          <w:rFonts w:ascii="Arial" w:hAnsi="Arial" w:cs="Arial"/>
          <w:sz w:val="24"/>
          <w:szCs w:val="24"/>
        </w:rPr>
        <w:t xml:space="preserve">as </w:t>
      </w:r>
      <w:r w:rsidR="007B6DCA">
        <w:rPr>
          <w:rFonts w:ascii="Arial" w:hAnsi="Arial" w:cs="Arial"/>
          <w:sz w:val="24"/>
          <w:szCs w:val="24"/>
        </w:rPr>
        <w:t>A</w:t>
      </w:r>
      <w:r w:rsidR="00FA0A65" w:rsidRPr="00AC6D9F">
        <w:rPr>
          <w:rFonts w:ascii="Arial" w:hAnsi="Arial" w:cs="Arial"/>
          <w:sz w:val="24"/>
          <w:szCs w:val="24"/>
        </w:rPr>
        <w:t>cciones</w:t>
      </w:r>
      <w:r w:rsidR="00E43560">
        <w:rPr>
          <w:rFonts w:ascii="Arial" w:hAnsi="Arial" w:cs="Arial"/>
          <w:sz w:val="24"/>
          <w:szCs w:val="24"/>
        </w:rPr>
        <w:t xml:space="preserve"> </w:t>
      </w:r>
      <w:r w:rsidR="007B6DCA">
        <w:rPr>
          <w:rFonts w:ascii="Arial" w:hAnsi="Arial" w:cs="Arial"/>
          <w:sz w:val="24"/>
          <w:szCs w:val="24"/>
        </w:rPr>
        <w:t>S</w:t>
      </w:r>
      <w:r w:rsidR="00E43560">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AC6D9F">
        <w:rPr>
          <w:rFonts w:ascii="Arial" w:hAnsi="Arial" w:cs="Arial"/>
          <w:sz w:val="24"/>
          <w:szCs w:val="24"/>
        </w:rPr>
        <w:t>, títulos, efectivo u otros bienes. En cualquiera de estos casos el Banco podrá fijar la fecha</w:t>
      </w:r>
      <w:r w:rsidRPr="00C21BB4">
        <w:rPr>
          <w:rFonts w:ascii="Arial" w:hAnsi="Arial" w:cs="Arial"/>
          <w:sz w:val="24"/>
          <w:szCs w:val="24"/>
        </w:rPr>
        <w:t xml:space="preserve"> a partir de la cual el CEDEAR solamente conferirá a su Titular el derecho a recibir dicho nuevo CEDEAR o CEDEARs. </w:t>
      </w:r>
    </w:p>
    <w:p w14:paraId="66A7B52D" w14:textId="77777777" w:rsidR="00AC6D9F" w:rsidRDefault="00AC6D9F">
      <w:pPr>
        <w:jc w:val="both"/>
        <w:rPr>
          <w:rFonts w:ascii="Arial" w:hAnsi="Arial" w:cs="Arial"/>
          <w:sz w:val="24"/>
          <w:szCs w:val="24"/>
        </w:rPr>
      </w:pPr>
    </w:p>
    <w:p w14:paraId="4ADE780F" w14:textId="091400CD" w:rsidR="004079B7" w:rsidRPr="00C21BB4" w:rsidRDefault="004079B7">
      <w:pPr>
        <w:jc w:val="both"/>
        <w:rPr>
          <w:rFonts w:ascii="Arial" w:hAnsi="Arial" w:cs="Arial"/>
          <w:sz w:val="24"/>
          <w:szCs w:val="24"/>
        </w:rPr>
      </w:pPr>
      <w:r w:rsidRPr="00CD12B2">
        <w:rPr>
          <w:rFonts w:ascii="Arial" w:hAnsi="Arial" w:cs="Arial"/>
          <w:sz w:val="24"/>
          <w:szCs w:val="24"/>
        </w:rPr>
        <w:t xml:space="preserve">Si cualquiera de </w:t>
      </w:r>
      <w:r w:rsidR="005F5F37">
        <w:rPr>
          <w:rFonts w:ascii="Arial" w:hAnsi="Arial" w:cs="Arial"/>
          <w:sz w:val="24"/>
          <w:szCs w:val="24"/>
        </w:rPr>
        <w:t>lo</w:t>
      </w:r>
      <w:r w:rsidR="00490C69">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 xml:space="preserve">fueran instrumentos rescatables, el Banco tendrá los derechos que se establecen en el párrafo anterior. El Banco </w:t>
      </w:r>
      <w:r w:rsidR="00C04AB5">
        <w:rPr>
          <w:rFonts w:ascii="Arial" w:hAnsi="Arial" w:cs="Arial"/>
          <w:sz w:val="24"/>
          <w:szCs w:val="24"/>
        </w:rPr>
        <w:t>publicará</w:t>
      </w:r>
      <w:r w:rsidR="00490C69">
        <w:rPr>
          <w:rFonts w:ascii="Arial" w:hAnsi="Arial" w:cs="Arial"/>
          <w:sz w:val="24"/>
          <w:szCs w:val="24"/>
        </w:rPr>
        <w:t xml:space="preserve"> la información relativa, </w:t>
      </w:r>
      <w:r w:rsidR="00975C85">
        <w:rPr>
          <w:rFonts w:ascii="Arial" w:hAnsi="Arial" w:cs="Arial"/>
          <w:sz w:val="24"/>
          <w:szCs w:val="24"/>
        </w:rPr>
        <w:t>en</w:t>
      </w:r>
      <w:bookmarkStart w:id="0" w:name="_GoBack"/>
      <w:bookmarkEnd w:id="0"/>
      <w:r w:rsidR="00490C69">
        <w:rPr>
          <w:rFonts w:ascii="Arial" w:hAnsi="Arial" w:cs="Arial"/>
          <w:sz w:val="24"/>
          <w:szCs w:val="24"/>
        </w:rPr>
        <w:t xml:space="preserve"> la Autopista de </w:t>
      </w:r>
      <w:r w:rsidR="00DC4274">
        <w:rPr>
          <w:rFonts w:ascii="Arial" w:hAnsi="Arial" w:cs="Arial"/>
          <w:sz w:val="24"/>
          <w:szCs w:val="24"/>
        </w:rPr>
        <w:t xml:space="preserve">la </w:t>
      </w:r>
      <w:r w:rsidR="00C04AB5">
        <w:rPr>
          <w:rFonts w:ascii="Arial" w:hAnsi="Arial" w:cs="Arial"/>
          <w:sz w:val="24"/>
          <w:szCs w:val="24"/>
        </w:rPr>
        <w:t>Información</w:t>
      </w:r>
      <w:r w:rsidR="00490C69">
        <w:rPr>
          <w:rFonts w:ascii="Arial" w:hAnsi="Arial" w:cs="Arial"/>
          <w:sz w:val="24"/>
          <w:szCs w:val="24"/>
        </w:rPr>
        <w:t xml:space="preserve"> Financiera de la </w:t>
      </w:r>
      <w:smartTag w:uri="urn:schemas-microsoft-com:office:smarttags" w:element="stockticker">
        <w:r w:rsidR="00DC4274">
          <w:rPr>
            <w:rFonts w:ascii="Arial" w:hAnsi="Arial" w:cs="Arial"/>
            <w:sz w:val="24"/>
            <w:szCs w:val="24"/>
          </w:rPr>
          <w:t>CNV</w:t>
        </w:r>
      </w:smartTag>
      <w:r w:rsidR="00490C69">
        <w:rPr>
          <w:rFonts w:ascii="Arial" w:hAnsi="Arial" w:cs="Arial"/>
          <w:sz w:val="24"/>
          <w:szCs w:val="24"/>
        </w:rPr>
        <w:t xml:space="preserve"> (</w:t>
      </w:r>
      <w:r w:rsidRPr="00CD12B2">
        <w:rPr>
          <w:rFonts w:ascii="Arial" w:hAnsi="Arial" w:cs="Arial"/>
          <w:sz w:val="24"/>
          <w:szCs w:val="24"/>
        </w:rPr>
        <w:t>pudiendo a su opción</w:t>
      </w:r>
      <w:r w:rsidR="004D5459">
        <w:rPr>
          <w:rFonts w:ascii="Arial" w:hAnsi="Arial" w:cs="Arial"/>
          <w:sz w:val="24"/>
          <w:szCs w:val="24"/>
        </w:rPr>
        <w:t xml:space="preserve"> informar adicionalmente a  través de otros medios)</w:t>
      </w:r>
      <w:r w:rsidRPr="00CD12B2">
        <w:rPr>
          <w:rFonts w:ascii="Arial" w:hAnsi="Arial" w:cs="Arial"/>
          <w:sz w:val="24"/>
          <w:szCs w:val="24"/>
        </w:rPr>
        <w:t xml:space="preserve"> de cualquier rescate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a</w:t>
      </w:r>
      <w:r w:rsidR="00C04AB5">
        <w:rPr>
          <w:rFonts w:ascii="Arial" w:hAnsi="Arial" w:cs="Arial"/>
          <w:sz w:val="24"/>
          <w:szCs w:val="24"/>
        </w:rPr>
        <w:t>l Público Inversor</w:t>
      </w:r>
      <w:r w:rsidRPr="00CD12B2">
        <w:rPr>
          <w:rFonts w:ascii="Arial" w:hAnsi="Arial" w:cs="Arial"/>
          <w:sz w:val="24"/>
          <w:szCs w:val="24"/>
        </w:rPr>
        <w:t xml:space="preserve">, estableciéndose que si se rescataran menos de la totalidad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CD12B2">
        <w:rPr>
          <w:rFonts w:ascii="Arial" w:hAnsi="Arial" w:cs="Arial"/>
          <w:sz w:val="24"/>
          <w:szCs w:val="24"/>
        </w:rPr>
        <w:t xml:space="preserve">, el Banco deberá extraer y seleccionar del Programa de Emisión de CEDEARs en la forma que estime adecuada una cantidad equivalente de CEDEARs y deberá </w:t>
      </w:r>
      <w:r w:rsidR="00226BA0">
        <w:rPr>
          <w:rFonts w:ascii="Arial" w:hAnsi="Arial" w:cs="Arial"/>
          <w:sz w:val="24"/>
          <w:szCs w:val="24"/>
        </w:rPr>
        <w:t>informar</w:t>
      </w:r>
      <w:r w:rsidR="00565558">
        <w:rPr>
          <w:rFonts w:ascii="Arial" w:hAnsi="Arial" w:cs="Arial"/>
          <w:sz w:val="24"/>
          <w:szCs w:val="24"/>
        </w:rPr>
        <w:t xml:space="preserve"> una </w:t>
      </w:r>
      <w:r w:rsidRPr="00CD12B2">
        <w:rPr>
          <w:rFonts w:ascii="Arial" w:hAnsi="Arial" w:cs="Arial"/>
          <w:sz w:val="24"/>
          <w:szCs w:val="24"/>
        </w:rPr>
        <w:t>notificación de rescate</w:t>
      </w:r>
      <w:r w:rsidR="00565558">
        <w:rPr>
          <w:rFonts w:ascii="Arial" w:hAnsi="Arial" w:cs="Arial"/>
          <w:sz w:val="24"/>
          <w:szCs w:val="24"/>
        </w:rPr>
        <w:t xml:space="preserve"> en el sitio web de la CNV</w:t>
      </w:r>
      <w:r w:rsidR="002C3DCE">
        <w:rPr>
          <w:rFonts w:ascii="Arial" w:hAnsi="Arial" w:cs="Arial"/>
          <w:sz w:val="24"/>
          <w:szCs w:val="24"/>
        </w:rPr>
        <w:t xml:space="preserve"> </w:t>
      </w:r>
      <w:r w:rsidRPr="00CD12B2">
        <w:rPr>
          <w:rFonts w:ascii="Arial" w:hAnsi="Arial" w:cs="Arial"/>
          <w:sz w:val="24"/>
          <w:szCs w:val="24"/>
        </w:rPr>
        <w:t xml:space="preserve">conforme al Programa de CEDEARs seleccionados a efectos de su rescate, en su totalidad o en parte. El único derecho de los Titulares de los CEDEARs elegibles a efectos de su rescate luego </w:t>
      </w:r>
      <w:r w:rsidR="00446CE7">
        <w:rPr>
          <w:rFonts w:ascii="Arial" w:hAnsi="Arial" w:cs="Arial"/>
          <w:sz w:val="24"/>
          <w:szCs w:val="24"/>
        </w:rPr>
        <w:t>de la información publicada a través del sitio web de la CNV</w:t>
      </w:r>
      <w:r w:rsidRPr="00CD12B2">
        <w:rPr>
          <w:rFonts w:ascii="Arial" w:hAnsi="Arial" w:cs="Arial"/>
          <w:sz w:val="24"/>
          <w:szCs w:val="24"/>
        </w:rPr>
        <w:t xml:space="preserve"> será el de recibir el efectivo, derechos y/u otros bienes aplicables, contra la cancelación </w:t>
      </w:r>
      <w:r w:rsidR="00565558">
        <w:rPr>
          <w:rFonts w:ascii="Arial" w:hAnsi="Arial" w:cs="Arial"/>
          <w:sz w:val="24"/>
          <w:szCs w:val="24"/>
        </w:rPr>
        <w:t xml:space="preserve">al </w:t>
      </w:r>
      <w:r w:rsidRPr="00CD12B2">
        <w:rPr>
          <w:rFonts w:ascii="Arial" w:hAnsi="Arial" w:cs="Arial"/>
          <w:sz w:val="24"/>
          <w:szCs w:val="24"/>
        </w:rPr>
        <w:t xml:space="preserve">Banco (y contra el pago de las comisiones y gastos del Banco y de cualesquiera impuestos aplicables y cargas gubernamentales o de otra índole) de los CEDEARs que evidencian </w:t>
      </w:r>
      <w:r w:rsidR="00142E00" w:rsidRPr="00CD12B2">
        <w:rPr>
          <w:rFonts w:ascii="Arial" w:hAnsi="Arial" w:cs="Arial"/>
          <w:sz w:val="24"/>
          <w:szCs w:val="24"/>
        </w:rPr>
        <w:t>dich</w:t>
      </w:r>
      <w:r w:rsidR="005F5F37">
        <w:rPr>
          <w:rFonts w:ascii="Arial" w:hAnsi="Arial" w:cs="Arial"/>
          <w:sz w:val="24"/>
          <w:szCs w:val="24"/>
        </w:rPr>
        <w:t>o</w:t>
      </w:r>
      <w:r w:rsidR="00142E00"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376239" w:rsidRPr="00CD12B2">
        <w:rPr>
          <w:rFonts w:ascii="Arial" w:hAnsi="Arial" w:cs="Arial"/>
          <w:sz w:val="24"/>
          <w:szCs w:val="24"/>
        </w:rPr>
        <w:t>.</w:t>
      </w:r>
    </w:p>
    <w:p w14:paraId="53B0A2D4" w14:textId="77777777" w:rsidR="004079B7" w:rsidRPr="00C21BB4" w:rsidRDefault="004079B7">
      <w:pPr>
        <w:jc w:val="both"/>
        <w:rPr>
          <w:rFonts w:ascii="Arial" w:hAnsi="Arial" w:cs="Arial"/>
          <w:sz w:val="24"/>
          <w:szCs w:val="24"/>
        </w:rPr>
      </w:pPr>
    </w:p>
    <w:p w14:paraId="3A636E84" w14:textId="77777777" w:rsidR="004079B7" w:rsidRPr="00C21BB4" w:rsidRDefault="004079B7">
      <w:pPr>
        <w:jc w:val="both"/>
        <w:rPr>
          <w:rFonts w:ascii="Arial" w:hAnsi="Arial" w:cs="Arial"/>
          <w:sz w:val="24"/>
          <w:szCs w:val="24"/>
        </w:rPr>
      </w:pPr>
    </w:p>
    <w:p w14:paraId="13938D15"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17</w:t>
      </w:r>
      <w:r w:rsidRPr="00C21BB4">
        <w:rPr>
          <w:rFonts w:ascii="Arial" w:hAnsi="Arial" w:cs="Arial"/>
          <w:b/>
          <w:i/>
          <w:sz w:val="24"/>
          <w:szCs w:val="24"/>
        </w:rPr>
        <w:t>. Responsabilidad del Banco.</w:t>
      </w:r>
      <w:r w:rsidRPr="00C21BB4">
        <w:rPr>
          <w:rFonts w:ascii="Arial" w:hAnsi="Arial" w:cs="Arial"/>
          <w:sz w:val="24"/>
          <w:szCs w:val="24"/>
        </w:rPr>
        <w:t xml:space="preserve"> El Banco no asume obligaciones o responsabilidades frente al Titular de CEDEARs (incluyendo, sin limitación, responsabilidad respecto de la validez o valor de </w:t>
      </w:r>
      <w:r w:rsidR="005F5F37">
        <w:rPr>
          <w:rFonts w:ascii="Arial" w:hAnsi="Arial" w:cs="Arial"/>
          <w:sz w:val="24"/>
          <w:szCs w:val="24"/>
        </w:rPr>
        <w:t>lo</w:t>
      </w:r>
      <w:r w:rsidR="00142E00" w:rsidRP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sidRPr="00C21BB4">
        <w:rPr>
          <w:rFonts w:ascii="Arial" w:hAnsi="Arial" w:cs="Arial"/>
          <w:sz w:val="24"/>
          <w:szCs w:val="24"/>
        </w:rPr>
        <w:t xml:space="preserve"> </w:t>
      </w:r>
      <w:r w:rsidRPr="00C21BB4">
        <w:rPr>
          <w:rFonts w:ascii="Arial" w:hAnsi="Arial" w:cs="Arial"/>
          <w:sz w:val="24"/>
          <w:szCs w:val="24"/>
        </w:rPr>
        <w:t xml:space="preserve">y respecto del plazo y tipo de </w:t>
      </w:r>
      <w:r w:rsidRPr="00C21BB4">
        <w:rPr>
          <w:rFonts w:ascii="Arial" w:hAnsi="Arial" w:cs="Arial"/>
          <w:sz w:val="24"/>
          <w:szCs w:val="24"/>
        </w:rPr>
        <w:lastRenderedPageBreak/>
        <w:t xml:space="preserve">cambio utilizado para la conversión de divisas en dólares estadounidenses), excepto en cuanto conviene que cumplirá y ejecutará las obligaciones asumidas en los Términos y Condiciones del Programa de Emisión de CEDEARs sin culpa ni dolo. </w:t>
      </w:r>
    </w:p>
    <w:p w14:paraId="1E980AEA" w14:textId="77777777" w:rsidR="004079B7" w:rsidRPr="00C21BB4" w:rsidRDefault="004079B7">
      <w:pPr>
        <w:jc w:val="both"/>
        <w:rPr>
          <w:rFonts w:ascii="Arial" w:hAnsi="Arial" w:cs="Arial"/>
          <w:sz w:val="24"/>
          <w:szCs w:val="24"/>
        </w:rPr>
      </w:pPr>
    </w:p>
    <w:p w14:paraId="49E773E5" w14:textId="77777777" w:rsidR="004079B7" w:rsidRPr="00C21BB4" w:rsidRDefault="004079B7">
      <w:pPr>
        <w:jc w:val="both"/>
        <w:rPr>
          <w:rFonts w:ascii="Arial" w:hAnsi="Arial" w:cs="Arial"/>
          <w:sz w:val="24"/>
          <w:szCs w:val="24"/>
        </w:rPr>
      </w:pPr>
      <w:r w:rsidRPr="00C21BB4">
        <w:rPr>
          <w:rFonts w:ascii="Arial" w:hAnsi="Arial" w:cs="Arial"/>
          <w:sz w:val="24"/>
          <w:szCs w:val="24"/>
        </w:rPr>
        <w:t>Adicionalmente, si el Banco no pudiera o se le prohibiera realizar o consumar o si fuera sancionado penal o civilmente o se le aplicaran gastos extraordinarios al realizar o consuma</w:t>
      </w:r>
      <w:r w:rsidR="004F0ACF">
        <w:rPr>
          <w:rFonts w:ascii="Arial" w:hAnsi="Arial" w:cs="Arial"/>
          <w:sz w:val="24"/>
          <w:szCs w:val="24"/>
        </w:rPr>
        <w:t>r un acto que en virtud de los Términos y C</w:t>
      </w:r>
      <w:r w:rsidRPr="00C21BB4">
        <w:rPr>
          <w:rFonts w:ascii="Arial" w:hAnsi="Arial" w:cs="Arial"/>
          <w:sz w:val="24"/>
          <w:szCs w:val="24"/>
        </w:rPr>
        <w:t xml:space="preserve">ondiciones del Programa de Emisión de CEDEARs debe ser llevado a cabo, el Banco no será responsable frente al Titular del CEDEAR si su actuar se debe a las disposiciones de una ley nacional o provincial presente o futura de la República Argentina, o de los Estados Unidos de América, u otro país o subdivisión política, o a una disposición presente o futura de los documentos orgánicos o acta constitutiva, estatutos o código de reglamentaciones del Emisor; y el Banco no asume responsabilidad frente a ningún Titular del CEDEAR por la demora en el cumplimiento o falta de cumplimiento de un acto que en virtud de los </w:t>
      </w:r>
      <w:r w:rsidR="004F0ACF">
        <w:rPr>
          <w:rFonts w:ascii="Arial" w:hAnsi="Arial" w:cs="Arial"/>
          <w:sz w:val="24"/>
          <w:szCs w:val="24"/>
        </w:rPr>
        <w:t>T</w:t>
      </w:r>
      <w:r w:rsidRPr="00C21BB4">
        <w:rPr>
          <w:rFonts w:ascii="Arial" w:hAnsi="Arial" w:cs="Arial"/>
          <w:sz w:val="24"/>
          <w:szCs w:val="24"/>
        </w:rPr>
        <w:t xml:space="preserve">érminos y </w:t>
      </w:r>
      <w:r w:rsidR="004F0ACF">
        <w:rPr>
          <w:rFonts w:ascii="Arial" w:hAnsi="Arial" w:cs="Arial"/>
          <w:sz w:val="24"/>
          <w:szCs w:val="24"/>
        </w:rPr>
        <w:t>C</w:t>
      </w:r>
      <w:r w:rsidRPr="00C21BB4">
        <w:rPr>
          <w:rFonts w:ascii="Arial" w:hAnsi="Arial" w:cs="Arial"/>
          <w:sz w:val="24"/>
          <w:szCs w:val="24"/>
        </w:rPr>
        <w:t xml:space="preserve">ondiciones del Programa debe ser realizado o cumplido o por el ejercicio o no ejercicio de cualquier facultad discrecional del Banco contemplada en estos Términos y Condiciones, cuando la demora, falta de cumplimiento, ejercicio o falta de ejercicio tienen como explicación un acto de fuerza mayor o guerra o cualquier otra circunstancia que escape a su control, los que serán considerados eximentes de responsabilidad derivada de la culpa o dolo. </w:t>
      </w:r>
    </w:p>
    <w:p w14:paraId="4F55FD92" w14:textId="77777777" w:rsidR="00AC6D9F" w:rsidRDefault="00AC6D9F">
      <w:pPr>
        <w:jc w:val="both"/>
        <w:rPr>
          <w:rFonts w:ascii="Arial" w:hAnsi="Arial" w:cs="Arial"/>
          <w:sz w:val="24"/>
          <w:szCs w:val="24"/>
        </w:rPr>
      </w:pPr>
    </w:p>
    <w:p w14:paraId="30ED9AAA"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El Banco no será responsable por no llevar adelante cualquier solicitud de ejercicio de los derechos de voto, o por la forma o efectos de cualquier votación (solicitada o no) o por la falta de ejercicio de cualquier derecho de voto, salvo que mediara culpa o dolo. No pesa sobre el Banco obligación alguna de comparecer, proseguir o defender cualquier acción, juicio u </w:t>
      </w:r>
      <w:r w:rsidRPr="00E53DCA">
        <w:rPr>
          <w:rFonts w:ascii="Arial" w:hAnsi="Arial" w:cs="Arial"/>
          <w:sz w:val="24"/>
          <w:szCs w:val="24"/>
        </w:rPr>
        <w:t xml:space="preserve">otro procedimiento respecto de cualquiera de </w:t>
      </w:r>
      <w:r w:rsidR="005F5F37" w:rsidRPr="00E53DCA">
        <w:rPr>
          <w:rFonts w:ascii="Arial" w:hAnsi="Arial" w:cs="Arial"/>
          <w:sz w:val="24"/>
          <w:szCs w:val="24"/>
        </w:rPr>
        <w:t>lo</w:t>
      </w:r>
      <w:r w:rsidR="00142E00" w:rsidRPr="00E53DCA">
        <w:rPr>
          <w:rFonts w:ascii="Arial" w:hAnsi="Arial" w:cs="Arial"/>
          <w:sz w:val="24"/>
          <w:szCs w:val="24"/>
        </w:rPr>
        <w:t xml:space="preserve">s </w:t>
      </w:r>
      <w:proofErr w:type="spellStart"/>
      <w:r w:rsidR="00477BC5">
        <w:rPr>
          <w:rFonts w:ascii="Arial" w:hAnsi="Arial" w:cs="Arial"/>
          <w:sz w:val="24"/>
          <w:szCs w:val="24"/>
        </w:rPr>
        <w:t>ADS</w:t>
      </w:r>
      <w:r w:rsidR="005F5F37" w:rsidRPr="00E53DCA">
        <w:rPr>
          <w:rFonts w:ascii="Arial" w:hAnsi="Arial" w:cs="Arial"/>
          <w:sz w:val="24"/>
          <w:szCs w:val="24"/>
        </w:rPr>
        <w:t>s</w:t>
      </w:r>
      <w:proofErr w:type="spellEnd"/>
      <w:r w:rsidR="005F5F37" w:rsidRPr="00E53DCA">
        <w:rPr>
          <w:rFonts w:ascii="Arial" w:hAnsi="Arial" w:cs="Arial"/>
          <w:sz w:val="24"/>
          <w:szCs w:val="24"/>
        </w:rPr>
        <w:t xml:space="preserve"> </w:t>
      </w:r>
      <w:r w:rsidRPr="00E53DCA">
        <w:rPr>
          <w:rFonts w:ascii="Arial" w:hAnsi="Arial" w:cs="Arial"/>
          <w:sz w:val="24"/>
          <w:szCs w:val="24"/>
        </w:rPr>
        <w:t xml:space="preserve">o respecto de los CEDEARs que a su criterio pueda importar para el Banco un gasto o responsabilidad, salvo que se le suministre una indemnidad satisfactoria de todo gasto o responsabilidad tan pronto como sea requerida. El Banco no incurrirá en responsabilidad alguna frente al Titular del CEDEAR por cualquier acción adoptada u omisión incurrida por él basándose en el asesoramiento o información de sus asesores legales, contadores, cualquier persona que presente </w:t>
      </w:r>
      <w:proofErr w:type="spellStart"/>
      <w:r w:rsidR="00477BC5">
        <w:rPr>
          <w:rFonts w:ascii="Arial" w:hAnsi="Arial" w:cs="Arial"/>
          <w:sz w:val="24"/>
          <w:szCs w:val="24"/>
        </w:rPr>
        <w:t>ADS</w:t>
      </w:r>
      <w:r w:rsidR="00E43560" w:rsidRPr="00E53DCA">
        <w:rPr>
          <w:rFonts w:ascii="Arial" w:hAnsi="Arial" w:cs="Arial"/>
          <w:sz w:val="24"/>
          <w:szCs w:val="24"/>
        </w:rPr>
        <w:t>s</w:t>
      </w:r>
      <w:proofErr w:type="spellEnd"/>
      <w:r w:rsidR="00E43560" w:rsidRPr="00E53DCA">
        <w:rPr>
          <w:rFonts w:ascii="Arial" w:hAnsi="Arial" w:cs="Arial"/>
          <w:sz w:val="24"/>
          <w:szCs w:val="24"/>
        </w:rPr>
        <w:t xml:space="preserve"> </w:t>
      </w:r>
      <w:r w:rsidRPr="00E53DCA">
        <w:rPr>
          <w:rFonts w:ascii="Arial" w:hAnsi="Arial" w:cs="Arial"/>
          <w:sz w:val="24"/>
          <w:szCs w:val="24"/>
        </w:rPr>
        <w:t xml:space="preserve">a efectos de su depósito, cualquier Titular o cualquier otra persona que a su leal saber y entender sea competente para brindar dicho asesoramiento o información, salvo que </w:t>
      </w:r>
      <w:proofErr w:type="gramStart"/>
      <w:r w:rsidRPr="00E53DCA">
        <w:rPr>
          <w:rFonts w:ascii="Arial" w:hAnsi="Arial" w:cs="Arial"/>
          <w:sz w:val="24"/>
          <w:szCs w:val="24"/>
        </w:rPr>
        <w:t>mediara</w:t>
      </w:r>
      <w:proofErr w:type="gramEnd"/>
      <w:r w:rsidRPr="00E53DCA">
        <w:rPr>
          <w:rFonts w:ascii="Arial" w:hAnsi="Arial" w:cs="Arial"/>
          <w:sz w:val="24"/>
          <w:szCs w:val="24"/>
        </w:rPr>
        <w:t xml:space="preserve"> culpa o dolo de El Banco. El Banco y cualquiera de sus afiliadas podrán constituirse en Titulares de CEDEARs y comercializar títulos</w:t>
      </w:r>
      <w:r w:rsidRPr="00C21BB4">
        <w:rPr>
          <w:rFonts w:ascii="Arial" w:hAnsi="Arial" w:cs="Arial"/>
          <w:sz w:val="24"/>
          <w:szCs w:val="24"/>
        </w:rPr>
        <w:t xml:space="preserve"> de cualquier clase del Emisor y los CEDEARs. </w:t>
      </w:r>
    </w:p>
    <w:p w14:paraId="26533052" w14:textId="77777777" w:rsidR="00AC6D9F" w:rsidRDefault="00AC6D9F">
      <w:pPr>
        <w:jc w:val="both"/>
        <w:rPr>
          <w:rFonts w:ascii="Arial" w:hAnsi="Arial" w:cs="Arial"/>
          <w:sz w:val="24"/>
          <w:szCs w:val="24"/>
        </w:rPr>
      </w:pPr>
    </w:p>
    <w:p w14:paraId="607174FB" w14:textId="77777777" w:rsidR="004079B7" w:rsidRDefault="004079B7">
      <w:pPr>
        <w:jc w:val="both"/>
        <w:rPr>
          <w:rFonts w:ascii="Arial" w:hAnsi="Arial" w:cs="Arial"/>
          <w:sz w:val="24"/>
          <w:szCs w:val="24"/>
        </w:rPr>
      </w:pPr>
      <w:r w:rsidRPr="00C21BB4">
        <w:rPr>
          <w:rFonts w:ascii="Arial" w:hAnsi="Arial" w:cs="Arial"/>
          <w:sz w:val="24"/>
          <w:szCs w:val="24"/>
        </w:rPr>
        <w:t xml:space="preserve">Queda entendido que el Banco es el emisor de los CEDEARs y como tal es la persona jurídica responsable, sin extensión a ninguna otra persona jurídica, que resulta del acuerdo evidenciado en los Términos y Condiciones del Programa de CEDEARs. </w:t>
      </w:r>
    </w:p>
    <w:p w14:paraId="7BA1AE0D" w14:textId="77777777" w:rsidR="000F309F" w:rsidRDefault="000F309F">
      <w:pPr>
        <w:jc w:val="both"/>
        <w:rPr>
          <w:rFonts w:ascii="Arial" w:hAnsi="Arial" w:cs="Arial"/>
          <w:sz w:val="24"/>
          <w:szCs w:val="24"/>
        </w:rPr>
      </w:pPr>
    </w:p>
    <w:p w14:paraId="049F2602" w14:textId="77777777" w:rsidR="000F309F" w:rsidRPr="00C21BB4" w:rsidRDefault="000F309F">
      <w:pPr>
        <w:jc w:val="both"/>
        <w:rPr>
          <w:rFonts w:ascii="Arial" w:hAnsi="Arial" w:cs="Arial"/>
          <w:sz w:val="24"/>
          <w:szCs w:val="24"/>
        </w:rPr>
      </w:pPr>
    </w:p>
    <w:p w14:paraId="6881C2D0" w14:textId="77777777" w:rsidR="004079B7" w:rsidRPr="00602742" w:rsidRDefault="004079B7">
      <w:pPr>
        <w:jc w:val="both"/>
        <w:rPr>
          <w:rFonts w:ascii="Arial" w:hAnsi="Arial" w:cs="Arial"/>
          <w:sz w:val="24"/>
          <w:szCs w:val="24"/>
          <w:lang w:val="es-AR"/>
        </w:rPr>
      </w:pPr>
      <w:r w:rsidRPr="00C21BB4">
        <w:rPr>
          <w:rFonts w:ascii="Arial" w:hAnsi="Arial" w:cs="Arial"/>
          <w:sz w:val="24"/>
          <w:szCs w:val="24"/>
        </w:rPr>
        <w:tab/>
      </w:r>
      <w:r w:rsidR="00F6447D">
        <w:rPr>
          <w:rFonts w:ascii="Arial" w:hAnsi="Arial" w:cs="Arial"/>
          <w:b/>
          <w:i/>
          <w:sz w:val="24"/>
          <w:szCs w:val="24"/>
        </w:rPr>
        <w:t>18</w:t>
      </w:r>
      <w:r w:rsidRPr="00C21BB4">
        <w:rPr>
          <w:rFonts w:ascii="Arial" w:hAnsi="Arial" w:cs="Arial"/>
          <w:b/>
          <w:i/>
          <w:sz w:val="24"/>
          <w:szCs w:val="24"/>
        </w:rPr>
        <w:t>. Modificación de los Términos y Condiciones de Suscripción del Programa de Emisión de CEDEARs.</w:t>
      </w:r>
      <w:r w:rsidRPr="00C21BB4">
        <w:rPr>
          <w:rFonts w:ascii="Arial" w:hAnsi="Arial" w:cs="Arial"/>
          <w:sz w:val="24"/>
          <w:szCs w:val="24"/>
        </w:rPr>
        <w:t xml:space="preserve"> Los Términos y Condiciones del Programa de Emisión de Certificados de Depósito Argentinos (CEDEARs) podrán en cualquier momento</w:t>
      </w:r>
      <w:r w:rsidR="000413BB">
        <w:rPr>
          <w:rFonts w:ascii="Arial" w:hAnsi="Arial" w:cs="Arial"/>
          <w:sz w:val="24"/>
          <w:szCs w:val="24"/>
        </w:rPr>
        <w:t>,</w:t>
      </w:r>
      <w:r w:rsidRPr="00C21BB4">
        <w:rPr>
          <w:rFonts w:ascii="Arial" w:hAnsi="Arial" w:cs="Arial"/>
          <w:sz w:val="24"/>
          <w:szCs w:val="24"/>
        </w:rPr>
        <w:t xml:space="preserve"> y de tanto en tanto</w:t>
      </w:r>
      <w:r w:rsidR="000413BB">
        <w:rPr>
          <w:rFonts w:ascii="Arial" w:hAnsi="Arial" w:cs="Arial"/>
          <w:sz w:val="24"/>
          <w:szCs w:val="24"/>
        </w:rPr>
        <w:t>,</w:t>
      </w:r>
      <w:r w:rsidRPr="00C21BB4">
        <w:rPr>
          <w:rFonts w:ascii="Arial" w:hAnsi="Arial" w:cs="Arial"/>
          <w:sz w:val="24"/>
          <w:szCs w:val="24"/>
        </w:rPr>
        <w:t xml:space="preserve"> ser reformados por el Banco en cualquier aspecto que </w:t>
      </w:r>
      <w:r w:rsidRPr="00C21BB4">
        <w:rPr>
          <w:rFonts w:ascii="Arial" w:hAnsi="Arial" w:cs="Arial"/>
          <w:sz w:val="24"/>
          <w:szCs w:val="24"/>
        </w:rPr>
        <w:lastRenderedPageBreak/>
        <w:t xml:space="preserve">éste considere necesario o aconsejable, previa presentación a la </w:t>
      </w:r>
      <w:smartTag w:uri="urn:schemas-microsoft-com:office:smarttags" w:element="stockticker">
        <w:r w:rsidRPr="00C21BB4">
          <w:rPr>
            <w:rFonts w:ascii="Arial" w:hAnsi="Arial" w:cs="Arial"/>
            <w:sz w:val="24"/>
            <w:szCs w:val="24"/>
          </w:rPr>
          <w:t>CNV</w:t>
        </w:r>
      </w:smartTag>
      <w:r w:rsidRPr="00C21BB4">
        <w:rPr>
          <w:rFonts w:ascii="Arial" w:hAnsi="Arial" w:cs="Arial"/>
          <w:sz w:val="24"/>
          <w:szCs w:val="24"/>
        </w:rPr>
        <w:t xml:space="preserve"> y aprobación por ésta confor</w:t>
      </w:r>
      <w:r w:rsidR="004B1C51" w:rsidRPr="00C21BB4">
        <w:rPr>
          <w:rFonts w:ascii="Arial" w:hAnsi="Arial" w:cs="Arial"/>
          <w:sz w:val="24"/>
          <w:szCs w:val="24"/>
        </w:rPr>
        <w:t>me a lo previsto por el art. 20</w:t>
      </w:r>
      <w:r w:rsidR="003A2495" w:rsidRPr="00C21BB4">
        <w:rPr>
          <w:rFonts w:ascii="Arial" w:hAnsi="Arial" w:cs="Arial"/>
          <w:sz w:val="24"/>
          <w:szCs w:val="24"/>
        </w:rPr>
        <w:t xml:space="preserve">, Sección III, Capítulo VIII, del Título II, </w:t>
      </w:r>
      <w:r w:rsidR="004B1C51" w:rsidRPr="00C21BB4">
        <w:rPr>
          <w:rFonts w:ascii="Arial" w:hAnsi="Arial" w:cs="Arial"/>
          <w:sz w:val="24"/>
          <w:szCs w:val="24"/>
        </w:rPr>
        <w:t xml:space="preserve">de las Normas de la </w:t>
      </w:r>
      <w:smartTag w:uri="urn:schemas-microsoft-com:office:smarttags" w:element="stockticker">
        <w:r w:rsidR="004B1C51" w:rsidRPr="00C21BB4">
          <w:rPr>
            <w:rFonts w:ascii="Arial" w:hAnsi="Arial" w:cs="Arial"/>
            <w:sz w:val="24"/>
            <w:szCs w:val="24"/>
          </w:rPr>
          <w:t>CNV</w:t>
        </w:r>
      </w:smartTag>
      <w:r w:rsidR="004B1C51" w:rsidRPr="00C21BB4">
        <w:rPr>
          <w:rFonts w:ascii="Arial" w:hAnsi="Arial" w:cs="Arial"/>
          <w:sz w:val="24"/>
          <w:szCs w:val="24"/>
        </w:rPr>
        <w:t xml:space="preserve"> (T.O. 20</w:t>
      </w:r>
      <w:r w:rsidR="003A2495" w:rsidRPr="00C21BB4">
        <w:rPr>
          <w:rFonts w:ascii="Arial" w:hAnsi="Arial" w:cs="Arial"/>
          <w:sz w:val="24"/>
          <w:szCs w:val="24"/>
        </w:rPr>
        <w:t>13</w:t>
      </w:r>
      <w:r w:rsidR="003E54B1">
        <w:rPr>
          <w:rFonts w:ascii="Arial" w:hAnsi="Arial" w:cs="Arial"/>
          <w:sz w:val="24"/>
          <w:szCs w:val="24"/>
        </w:rPr>
        <w:t>),</w:t>
      </w:r>
      <w:r w:rsidR="003E54B1" w:rsidRPr="001F3BD8">
        <w:rPr>
          <w:rFonts w:ascii="Arial" w:hAnsi="Arial" w:cs="Arial"/>
          <w:sz w:val="24"/>
          <w:szCs w:val="24"/>
          <w:lang w:val="es-AR"/>
        </w:rPr>
        <w:t xml:space="preserve"> y posterior publicación en la Autopista de la Información Financiera de la CNV, en el sitio web http://www.cnv</w:t>
      </w:r>
      <w:r w:rsidR="00406E1A">
        <w:rPr>
          <w:rFonts w:ascii="Arial" w:hAnsi="Arial" w:cs="Arial"/>
          <w:sz w:val="24"/>
          <w:szCs w:val="24"/>
          <w:lang w:val="es-AR"/>
        </w:rPr>
        <w:t>.</w:t>
      </w:r>
      <w:r w:rsidR="003E54B1" w:rsidRPr="001F3BD8">
        <w:rPr>
          <w:rFonts w:ascii="Arial" w:hAnsi="Arial" w:cs="Arial"/>
          <w:sz w:val="24"/>
          <w:szCs w:val="24"/>
          <w:lang w:val="es-AR"/>
        </w:rPr>
        <w:t xml:space="preserve">gov.ar/sitioWeb. </w:t>
      </w:r>
      <w:r w:rsidRPr="00C21BB4">
        <w:rPr>
          <w:rFonts w:ascii="Arial" w:hAnsi="Arial" w:cs="Arial"/>
          <w:sz w:val="24"/>
          <w:szCs w:val="24"/>
        </w:rPr>
        <w:t>Cualquier reforma que perjudique cualquier derecho sustancial vigente a ese momento de los Titulares no se aplicará a los CEDEAR</w:t>
      </w:r>
      <w:r w:rsidR="0063049C">
        <w:rPr>
          <w:rFonts w:ascii="Arial" w:hAnsi="Arial" w:cs="Arial"/>
          <w:sz w:val="24"/>
          <w:szCs w:val="24"/>
        </w:rPr>
        <w:t>s</w:t>
      </w:r>
      <w:r w:rsidRPr="00C21BB4">
        <w:rPr>
          <w:rFonts w:ascii="Arial" w:hAnsi="Arial" w:cs="Arial"/>
          <w:sz w:val="24"/>
          <w:szCs w:val="24"/>
        </w:rPr>
        <w:t xml:space="preserve"> en circulación hasta transcurridos treinta (30) días luego de la notificación de la citada reforma a los Titulares de los CEDEAR</w:t>
      </w:r>
      <w:r w:rsidR="0063049C">
        <w:rPr>
          <w:rFonts w:ascii="Arial" w:hAnsi="Arial" w:cs="Arial"/>
          <w:sz w:val="24"/>
          <w:szCs w:val="24"/>
        </w:rPr>
        <w:t>s</w:t>
      </w:r>
      <w:r w:rsidRPr="00C21BB4">
        <w:rPr>
          <w:rFonts w:ascii="Arial" w:hAnsi="Arial" w:cs="Arial"/>
          <w:sz w:val="24"/>
          <w:szCs w:val="24"/>
        </w:rPr>
        <w:t xml:space="preserve"> en circulación; estableciéndose, sin embargo, que el citado plazo de treinta días no se aplicará respecto de cualquier reforma que imponga o incremente cualquier impuesto u otra carga gubernamental, comisión de registro, costos de transmisión por</w:t>
      </w:r>
      <w:r w:rsidR="00A67379" w:rsidRPr="00C21BB4">
        <w:rPr>
          <w:rFonts w:ascii="Arial" w:hAnsi="Arial" w:cs="Arial"/>
          <w:sz w:val="24"/>
          <w:szCs w:val="24"/>
        </w:rPr>
        <w:t xml:space="preserve"> teléfono</w:t>
      </w:r>
      <w:r w:rsidRPr="00C21BB4">
        <w:rPr>
          <w:rFonts w:ascii="Arial" w:hAnsi="Arial" w:cs="Arial"/>
          <w:sz w:val="24"/>
          <w:szCs w:val="24"/>
        </w:rPr>
        <w:t xml:space="preserve">, </w:t>
      </w:r>
      <w:r w:rsidR="00A67379" w:rsidRPr="00C21BB4">
        <w:rPr>
          <w:rFonts w:ascii="Arial" w:hAnsi="Arial" w:cs="Arial"/>
          <w:sz w:val="24"/>
          <w:szCs w:val="24"/>
        </w:rPr>
        <w:t>email, cable</w:t>
      </w:r>
      <w:r w:rsidRPr="00C21BB4">
        <w:rPr>
          <w:rFonts w:ascii="Arial" w:hAnsi="Arial" w:cs="Arial"/>
          <w:sz w:val="24"/>
          <w:szCs w:val="24"/>
        </w:rPr>
        <w:t xml:space="preserve"> o fax, costos de entrega u otros similares. Al entrar en vigencia cualquier reforma, se considerará que todo Titular que posea entonces un CEDEAR registrado a su nombre y lo continúe poseyendo producida la reforma en cuestión, ha dado su consentimiento y manifestado su acuerdo con la referida reforma y que ha acordado obligarse por el acuerdo evidenciado por los Términos y Condiciones del CEDEAR así reformados. Ninguna reforma afectará en modo alguno</w:t>
      </w:r>
      <w:r w:rsidR="000413BB">
        <w:rPr>
          <w:rFonts w:ascii="Arial" w:hAnsi="Arial" w:cs="Arial"/>
          <w:sz w:val="24"/>
          <w:szCs w:val="24"/>
        </w:rPr>
        <w:t>,</w:t>
      </w:r>
      <w:r w:rsidRPr="00C21BB4">
        <w:rPr>
          <w:rFonts w:ascii="Arial" w:hAnsi="Arial" w:cs="Arial"/>
          <w:sz w:val="24"/>
          <w:szCs w:val="24"/>
        </w:rPr>
        <w:t xml:space="preserve"> el derecho</w:t>
      </w:r>
      <w:r w:rsidR="00C46213">
        <w:rPr>
          <w:rFonts w:ascii="Arial" w:hAnsi="Arial" w:cs="Arial"/>
          <w:sz w:val="24"/>
          <w:szCs w:val="24"/>
        </w:rPr>
        <w:t xml:space="preserve"> </w:t>
      </w:r>
      <w:r w:rsidRPr="00C21BB4">
        <w:rPr>
          <w:rFonts w:ascii="Arial" w:hAnsi="Arial" w:cs="Arial"/>
          <w:sz w:val="24"/>
          <w:szCs w:val="24"/>
        </w:rPr>
        <w:t>que tiene el Titular de un CEDEAR</w:t>
      </w:r>
      <w:r w:rsidR="005F5F37">
        <w:rPr>
          <w:rFonts w:ascii="Arial" w:hAnsi="Arial" w:cs="Arial"/>
          <w:sz w:val="24"/>
          <w:szCs w:val="24"/>
        </w:rPr>
        <w:t xml:space="preserve"> </w:t>
      </w:r>
      <w:r w:rsidR="003E54B1">
        <w:rPr>
          <w:rFonts w:ascii="Arial" w:hAnsi="Arial" w:cs="Arial"/>
          <w:sz w:val="24"/>
          <w:szCs w:val="24"/>
        </w:rPr>
        <w:t xml:space="preserve">de canjear irrestrictamente sus CEDEARs en todo momento (antes, durante o después de </w:t>
      </w:r>
      <w:proofErr w:type="gramStart"/>
      <w:r w:rsidR="003E54B1">
        <w:rPr>
          <w:rFonts w:ascii="Arial" w:hAnsi="Arial" w:cs="Arial"/>
          <w:sz w:val="24"/>
          <w:szCs w:val="24"/>
        </w:rPr>
        <w:t>entrada en vige</w:t>
      </w:r>
      <w:r w:rsidR="00020044">
        <w:rPr>
          <w:rFonts w:ascii="Arial" w:hAnsi="Arial" w:cs="Arial"/>
          <w:sz w:val="24"/>
          <w:szCs w:val="24"/>
        </w:rPr>
        <w:t>ncia</w:t>
      </w:r>
      <w:proofErr w:type="gramEnd"/>
      <w:r w:rsidR="00020044">
        <w:rPr>
          <w:rFonts w:ascii="Arial" w:hAnsi="Arial" w:cs="Arial"/>
          <w:sz w:val="24"/>
          <w:szCs w:val="24"/>
        </w:rPr>
        <w:t xml:space="preserve"> de la modificación de los T</w:t>
      </w:r>
      <w:r w:rsidR="003E54B1">
        <w:rPr>
          <w:rFonts w:ascii="Arial" w:hAnsi="Arial" w:cs="Arial"/>
          <w:sz w:val="24"/>
          <w:szCs w:val="24"/>
        </w:rPr>
        <w:t xml:space="preserve">érminos y Condiciones del Programa) </w:t>
      </w:r>
      <w:r w:rsidR="005F5F37">
        <w:rPr>
          <w:rFonts w:ascii="Arial" w:hAnsi="Arial" w:cs="Arial"/>
          <w:sz w:val="24"/>
          <w:szCs w:val="24"/>
        </w:rPr>
        <w:t>por lo</w:t>
      </w:r>
      <w:r w:rsidR="00C46213">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00C46213">
        <w:rPr>
          <w:rFonts w:ascii="Arial" w:hAnsi="Arial" w:cs="Arial"/>
          <w:sz w:val="24"/>
          <w:szCs w:val="24"/>
        </w:rPr>
        <w:t>representad</w:t>
      </w:r>
      <w:r w:rsidR="005F5F37">
        <w:rPr>
          <w:rFonts w:ascii="Arial" w:hAnsi="Arial" w:cs="Arial"/>
          <w:sz w:val="24"/>
          <w:szCs w:val="24"/>
        </w:rPr>
        <w:t>o</w:t>
      </w:r>
      <w:r w:rsidR="00C46213">
        <w:rPr>
          <w:rFonts w:ascii="Arial" w:hAnsi="Arial" w:cs="Arial"/>
          <w:sz w:val="24"/>
          <w:szCs w:val="24"/>
        </w:rPr>
        <w:t xml:space="preserve">s por </w:t>
      </w:r>
      <w:r w:rsidR="00C22865">
        <w:rPr>
          <w:rFonts w:ascii="Arial" w:hAnsi="Arial" w:cs="Arial"/>
          <w:sz w:val="24"/>
          <w:szCs w:val="24"/>
        </w:rPr>
        <w:t>éstos</w:t>
      </w:r>
      <w:r w:rsidR="002F63DC">
        <w:rPr>
          <w:rFonts w:ascii="Arial" w:hAnsi="Arial" w:cs="Arial"/>
          <w:sz w:val="24"/>
          <w:szCs w:val="24"/>
        </w:rPr>
        <w:t>, mediante su cancelación</w:t>
      </w:r>
      <w:r w:rsidR="00C22865">
        <w:rPr>
          <w:rFonts w:ascii="Arial" w:hAnsi="Arial" w:cs="Arial"/>
          <w:sz w:val="24"/>
          <w:szCs w:val="24"/>
        </w:rPr>
        <w:t>,</w:t>
      </w:r>
      <w:r w:rsidRPr="00C21BB4">
        <w:rPr>
          <w:rFonts w:ascii="Arial" w:hAnsi="Arial" w:cs="Arial"/>
          <w:sz w:val="24"/>
          <w:szCs w:val="24"/>
        </w:rPr>
        <w:t xml:space="preserve"> salvo para cumplir con disposiciones obligatorias de la legislación aplicable. </w:t>
      </w:r>
    </w:p>
    <w:p w14:paraId="551B8638" w14:textId="77777777" w:rsidR="00494C75" w:rsidRPr="00C21BB4" w:rsidRDefault="00494C75">
      <w:pPr>
        <w:jc w:val="both"/>
        <w:rPr>
          <w:rFonts w:ascii="Arial" w:hAnsi="Arial" w:cs="Arial"/>
          <w:sz w:val="24"/>
          <w:szCs w:val="24"/>
        </w:rPr>
      </w:pPr>
    </w:p>
    <w:p w14:paraId="1BF8F853" w14:textId="77777777" w:rsidR="004079B7" w:rsidRPr="00C21BB4" w:rsidRDefault="004079B7">
      <w:pPr>
        <w:jc w:val="both"/>
        <w:rPr>
          <w:rFonts w:ascii="Arial" w:hAnsi="Arial" w:cs="Arial"/>
          <w:sz w:val="24"/>
          <w:szCs w:val="24"/>
        </w:rPr>
      </w:pPr>
    </w:p>
    <w:p w14:paraId="395B43CC"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19</w:t>
      </w:r>
      <w:r w:rsidRPr="00C21BB4">
        <w:rPr>
          <w:rFonts w:ascii="Arial" w:hAnsi="Arial" w:cs="Arial"/>
          <w:b/>
          <w:i/>
          <w:sz w:val="24"/>
          <w:szCs w:val="24"/>
        </w:rPr>
        <w:t>. Conclusión y Resolución del Programa de Emisión de CEDEARs y Cancelación del CEDEAR</w:t>
      </w:r>
      <w:r w:rsidR="00CC537A" w:rsidRPr="00C21BB4">
        <w:rPr>
          <w:rFonts w:ascii="Arial" w:hAnsi="Arial" w:cs="Arial"/>
          <w:b/>
          <w:i/>
          <w:sz w:val="24"/>
          <w:szCs w:val="24"/>
        </w:rPr>
        <w:t>.</w:t>
      </w:r>
      <w:r w:rsidRPr="00C21BB4">
        <w:rPr>
          <w:rFonts w:ascii="Arial" w:hAnsi="Arial" w:cs="Arial"/>
          <w:sz w:val="24"/>
          <w:szCs w:val="24"/>
        </w:rPr>
        <w:t xml:space="preserve"> El Programa de CEDEARs no estará sujeto a un plazo de vencimiento, y el Banco cumplirá en forma permanente y continua las obligaciones establecidas en los Términos y Condiciones, incluida la de información conforme a lo previsto en el </w:t>
      </w:r>
      <w:r w:rsidR="00C16911">
        <w:rPr>
          <w:rFonts w:ascii="Arial" w:hAnsi="Arial" w:cs="Arial"/>
          <w:sz w:val="24"/>
          <w:szCs w:val="24"/>
        </w:rPr>
        <w:t>a</w:t>
      </w:r>
      <w:r w:rsidR="003A2495" w:rsidRPr="00C21BB4">
        <w:rPr>
          <w:rFonts w:ascii="Arial" w:hAnsi="Arial" w:cs="Arial"/>
          <w:sz w:val="24"/>
          <w:szCs w:val="24"/>
        </w:rPr>
        <w:t>rtículo</w:t>
      </w:r>
      <w:r w:rsidRPr="00C21BB4">
        <w:rPr>
          <w:rFonts w:ascii="Arial" w:hAnsi="Arial" w:cs="Arial"/>
          <w:sz w:val="24"/>
          <w:szCs w:val="24"/>
        </w:rPr>
        <w:t xml:space="preserve"> 1</w:t>
      </w:r>
      <w:r w:rsidR="003E54B1">
        <w:rPr>
          <w:rFonts w:ascii="Arial" w:hAnsi="Arial" w:cs="Arial"/>
          <w:sz w:val="24"/>
          <w:szCs w:val="24"/>
        </w:rPr>
        <w:t>2</w:t>
      </w:r>
      <w:r w:rsidRPr="00C21BB4">
        <w:rPr>
          <w:rFonts w:ascii="Arial" w:hAnsi="Arial" w:cs="Arial"/>
          <w:sz w:val="24"/>
          <w:szCs w:val="24"/>
        </w:rPr>
        <w:t xml:space="preserve">. Sin embargo, el Banco podrá en cualquier momento concluir y resolver el Programa de Emisión de CEDEARs conforme a estos Términos y Condiciones, cursando una notificación de tal resolución </w:t>
      </w:r>
      <w:r w:rsidR="00446CE7">
        <w:rPr>
          <w:rFonts w:ascii="Arial" w:hAnsi="Arial" w:cs="Arial"/>
          <w:sz w:val="24"/>
          <w:szCs w:val="24"/>
        </w:rPr>
        <w:t>mediante la publicación de hecho relevante en el sitio web de la CNV</w:t>
      </w:r>
      <w:r w:rsidR="004D5459">
        <w:rPr>
          <w:rFonts w:ascii="Arial" w:hAnsi="Arial" w:cs="Arial"/>
          <w:sz w:val="24"/>
          <w:szCs w:val="24"/>
        </w:rPr>
        <w:t xml:space="preserve"> (pudiendo además notificar mediante otros medios que el Banco estime  pertinente)</w:t>
      </w:r>
      <w:r w:rsidRPr="00C21BB4">
        <w:rPr>
          <w:rFonts w:ascii="Arial" w:hAnsi="Arial" w:cs="Arial"/>
          <w:sz w:val="24"/>
          <w:szCs w:val="24"/>
        </w:rPr>
        <w:t xml:space="preserve"> a los Titulares de todos los CEDEARs emitidos en ese momento, como mínimo treinta (30) días antes a la fecha fijada en la referida notificación de resolución. Al momento y con posterioridad a la citada fecha de resolución el Titular, contra cancelación del CEDEAR en la Oficina de Títulos del Banco, tendrá derecho a recibir </w:t>
      </w:r>
      <w:r w:rsidR="00C807FC">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representad</w:t>
      </w:r>
      <w:r w:rsidR="00C807FC">
        <w:rPr>
          <w:rFonts w:ascii="Arial" w:hAnsi="Arial" w:cs="Arial"/>
          <w:sz w:val="24"/>
          <w:szCs w:val="24"/>
        </w:rPr>
        <w:t>o</w:t>
      </w:r>
      <w:r w:rsidRPr="00C21BB4">
        <w:rPr>
          <w:rFonts w:ascii="Arial" w:hAnsi="Arial" w:cs="Arial"/>
          <w:sz w:val="24"/>
          <w:szCs w:val="24"/>
        </w:rPr>
        <w:t xml:space="preserve">s por los CEDEARs en dicha fecha de resolución en los mismos Términos y Condiciones, contra el pago de una comisión a las tasas dispuestas en los Términos y Condiciones de emisión para la cancelación del CEDEAR y entrega de </w:t>
      </w:r>
      <w:proofErr w:type="spellStart"/>
      <w:r w:rsidR="00477BC5">
        <w:rPr>
          <w:rFonts w:ascii="Arial" w:hAnsi="Arial" w:cs="Arial"/>
          <w:sz w:val="24"/>
          <w:szCs w:val="24"/>
        </w:rPr>
        <w:t>ADS</w:t>
      </w:r>
      <w:r w:rsidR="00C807FC">
        <w:rPr>
          <w:rFonts w:ascii="Arial" w:hAnsi="Arial" w:cs="Arial"/>
          <w:sz w:val="24"/>
          <w:szCs w:val="24"/>
        </w:rPr>
        <w:t>s</w:t>
      </w:r>
      <w:proofErr w:type="spellEnd"/>
      <w:r w:rsidRPr="00C21BB4">
        <w:rPr>
          <w:rFonts w:ascii="Arial" w:hAnsi="Arial" w:cs="Arial"/>
          <w:sz w:val="24"/>
          <w:szCs w:val="24"/>
        </w:rPr>
        <w:t xml:space="preserve">, y contra el pago de todo impuesto y carga gubernamental o de otro tipo aplicable. El Banco cancelará en dólares estadounidenses en la forma contemplada en el presente todo dividendo en efectivo recibido luego de la resolución, previa deducción de las comisiones y gastos del Banco y de los impuestos y otras cargas gubernamentales mencionadas en el presente y conservar el saldo de dichos dividendos para beneficio proporcional de los Titulares de los respectivos CEDEARs. </w:t>
      </w:r>
      <w:r w:rsidR="003B1326">
        <w:rPr>
          <w:rFonts w:ascii="Arial" w:hAnsi="Arial" w:cs="Arial"/>
          <w:sz w:val="24"/>
          <w:szCs w:val="24"/>
        </w:rPr>
        <w:t xml:space="preserve">Dicha distribución se efectuará a través de Caja de Valores S.A. (o a través del agente que el Banco designe en el futuro) depositando el resultante en la cuenta de titularidad del tenedor del CEDEAR. </w:t>
      </w:r>
      <w:r w:rsidRPr="00602742">
        <w:rPr>
          <w:rFonts w:ascii="Arial" w:hAnsi="Arial" w:cs="Arial"/>
          <w:b/>
          <w:sz w:val="24"/>
          <w:szCs w:val="24"/>
        </w:rPr>
        <w:t xml:space="preserve">En lo que respecta a cualquier CEDEAR que no sea entregado </w:t>
      </w:r>
      <w:r w:rsidRPr="00602742">
        <w:rPr>
          <w:rFonts w:ascii="Arial" w:hAnsi="Arial" w:cs="Arial"/>
          <w:b/>
          <w:sz w:val="24"/>
          <w:szCs w:val="24"/>
        </w:rPr>
        <w:lastRenderedPageBreak/>
        <w:t xml:space="preserve">de la citada manera dentro de los treinta (30) días posteriores a la resolución, el Banco no tendrá de allí en adelante obligación alguna con respecto a la cobranza o desembolso de cualquier dividendo posterior o a cualesquiera suscripciones u otros derechos que se devenguen sobre </w:t>
      </w:r>
      <w:r w:rsidR="00C807FC" w:rsidRPr="00602742">
        <w:rPr>
          <w:rFonts w:ascii="Arial" w:hAnsi="Arial" w:cs="Arial"/>
          <w:b/>
          <w:sz w:val="24"/>
          <w:szCs w:val="24"/>
        </w:rPr>
        <w:t>lo</w:t>
      </w:r>
      <w:r w:rsidR="00142E00" w:rsidRPr="00602742">
        <w:rPr>
          <w:rFonts w:ascii="Arial" w:hAnsi="Arial" w:cs="Arial"/>
          <w:b/>
          <w:sz w:val="24"/>
          <w:szCs w:val="24"/>
        </w:rPr>
        <w:t xml:space="preserve">s </w:t>
      </w:r>
      <w:proofErr w:type="spellStart"/>
      <w:r w:rsidR="00477BC5">
        <w:rPr>
          <w:rFonts w:ascii="Arial" w:hAnsi="Arial" w:cs="Arial"/>
          <w:b/>
          <w:sz w:val="24"/>
          <w:szCs w:val="24"/>
        </w:rPr>
        <w:t>ADS</w:t>
      </w:r>
      <w:r w:rsidR="00C807FC" w:rsidRPr="00602742">
        <w:rPr>
          <w:rFonts w:ascii="Arial" w:hAnsi="Arial" w:cs="Arial"/>
          <w:b/>
          <w:sz w:val="24"/>
          <w:szCs w:val="24"/>
        </w:rPr>
        <w:t>s</w:t>
      </w:r>
      <w:proofErr w:type="spellEnd"/>
      <w:r w:rsidRPr="00602742">
        <w:rPr>
          <w:rFonts w:ascii="Arial" w:hAnsi="Arial" w:cs="Arial"/>
          <w:b/>
          <w:sz w:val="24"/>
          <w:szCs w:val="24"/>
        </w:rPr>
        <w:t>, ni deberá el Banco proveer</w:t>
      </w:r>
      <w:r w:rsidR="00C16911">
        <w:rPr>
          <w:rFonts w:ascii="Arial" w:hAnsi="Arial" w:cs="Arial"/>
          <w:b/>
          <w:sz w:val="24"/>
          <w:szCs w:val="24"/>
        </w:rPr>
        <w:t xml:space="preserve"> la información prevista en el a</w:t>
      </w:r>
      <w:r w:rsidRPr="00602742">
        <w:rPr>
          <w:rFonts w:ascii="Arial" w:hAnsi="Arial" w:cs="Arial"/>
          <w:b/>
          <w:sz w:val="24"/>
          <w:szCs w:val="24"/>
        </w:rPr>
        <w:t>rtículo 1</w:t>
      </w:r>
      <w:r w:rsidR="00F6537A">
        <w:rPr>
          <w:rFonts w:ascii="Arial" w:hAnsi="Arial" w:cs="Arial"/>
          <w:b/>
          <w:sz w:val="24"/>
          <w:szCs w:val="24"/>
        </w:rPr>
        <w:t>2</w:t>
      </w:r>
      <w:r w:rsidRPr="00602742">
        <w:rPr>
          <w:rFonts w:ascii="Arial" w:hAnsi="Arial" w:cs="Arial"/>
          <w:b/>
          <w:sz w:val="24"/>
          <w:szCs w:val="24"/>
        </w:rPr>
        <w:t>.</w:t>
      </w:r>
      <w:r w:rsidRPr="00E53DCA">
        <w:rPr>
          <w:rFonts w:ascii="Arial" w:hAnsi="Arial" w:cs="Arial"/>
          <w:sz w:val="24"/>
          <w:szCs w:val="24"/>
        </w:rPr>
        <w:t xml:space="preserve"> Transcurridos seis meses de la resolución, el Banco podrá vender cualquier </w:t>
      </w:r>
      <w:r w:rsidR="00477BC5">
        <w:rPr>
          <w:rFonts w:ascii="Arial" w:hAnsi="Arial" w:cs="Arial"/>
          <w:sz w:val="24"/>
          <w:szCs w:val="24"/>
        </w:rPr>
        <w:t>ADS</w:t>
      </w:r>
      <w:r w:rsidRPr="00E53DCA">
        <w:rPr>
          <w:rFonts w:ascii="Arial" w:hAnsi="Arial" w:cs="Arial"/>
          <w:sz w:val="24"/>
          <w:szCs w:val="24"/>
        </w:rPr>
        <w:t xml:space="preserve"> remanente</w:t>
      </w:r>
      <w:r w:rsidRPr="00C21BB4">
        <w:rPr>
          <w:rFonts w:ascii="Arial" w:hAnsi="Arial" w:cs="Arial"/>
          <w:sz w:val="24"/>
          <w:szCs w:val="24"/>
        </w:rPr>
        <w:t xml:space="preserve"> en la forma que él determine adecuada, pudiendo conservar de allí en adelante sin invertir el producido neto de cualquiera de tales ventas, junto con cualquier dividendo recibido antes de la mencionada venta o los dólares estadounidenses recibidos al convertirlos, </w:t>
      </w:r>
      <w:r w:rsidR="003B1326">
        <w:rPr>
          <w:rFonts w:ascii="Arial" w:hAnsi="Arial" w:cs="Arial"/>
          <w:sz w:val="24"/>
          <w:szCs w:val="24"/>
        </w:rPr>
        <w:t xml:space="preserve">segregándolos </w:t>
      </w:r>
      <w:r w:rsidRPr="00C21BB4">
        <w:rPr>
          <w:rFonts w:ascii="Arial" w:hAnsi="Arial" w:cs="Arial"/>
          <w:sz w:val="24"/>
          <w:szCs w:val="24"/>
        </w:rPr>
        <w:t>del resto de su patrimonio y sin responsabilidad por los intereses sobre los mismos, para el beneficio proporcional de los Titulares de los CEDEARs cuya cancelación no hubiera sido solicitada hasta entonces. Luego de la citada venta o, de no poder concretarse una venta tal luego de transcurridos dos años desde la fecha de resolución, el Banco quedará liberado de toda obligación</w:t>
      </w:r>
      <w:r w:rsidR="008521D5" w:rsidRPr="00C21BB4">
        <w:rPr>
          <w:rFonts w:ascii="Arial" w:hAnsi="Arial" w:cs="Arial"/>
          <w:sz w:val="24"/>
          <w:szCs w:val="24"/>
        </w:rPr>
        <w:t xml:space="preserve"> </w:t>
      </w:r>
      <w:r w:rsidR="008521D5" w:rsidRPr="00A269B2">
        <w:rPr>
          <w:rFonts w:ascii="Arial" w:hAnsi="Arial" w:cs="Arial"/>
          <w:sz w:val="24"/>
          <w:szCs w:val="24"/>
        </w:rPr>
        <w:t>q</w:t>
      </w:r>
      <w:r w:rsidR="008521D5">
        <w:rPr>
          <w:rFonts w:ascii="Arial" w:hAnsi="Arial" w:cs="Arial"/>
          <w:sz w:val="24"/>
          <w:szCs w:val="24"/>
        </w:rPr>
        <w:t>ue hubiere persistido y de la cual no hubiere quedado liberado aún el Banco de conformidad co</w:t>
      </w:r>
      <w:r w:rsidR="00C16911">
        <w:rPr>
          <w:rFonts w:ascii="Arial" w:hAnsi="Arial" w:cs="Arial"/>
          <w:sz w:val="24"/>
          <w:szCs w:val="24"/>
        </w:rPr>
        <w:t>n los dispuesto en el presente a</w:t>
      </w:r>
      <w:r w:rsidR="008521D5">
        <w:rPr>
          <w:rFonts w:ascii="Arial" w:hAnsi="Arial" w:cs="Arial"/>
          <w:sz w:val="24"/>
          <w:szCs w:val="24"/>
        </w:rPr>
        <w:t xml:space="preserve">rtículo </w:t>
      </w:r>
      <w:r w:rsidR="008521D5" w:rsidRPr="001324FA">
        <w:rPr>
          <w:rFonts w:ascii="Arial" w:hAnsi="Arial" w:cs="Arial"/>
          <w:sz w:val="24"/>
          <w:szCs w:val="24"/>
        </w:rPr>
        <w:t>transcurridos los 30 días de la resolución citada</w:t>
      </w:r>
      <w:r w:rsidR="008521D5">
        <w:rPr>
          <w:rFonts w:ascii="Arial" w:hAnsi="Arial" w:cs="Arial"/>
          <w:sz w:val="24"/>
          <w:szCs w:val="24"/>
        </w:rPr>
        <w:t>,</w:t>
      </w:r>
      <w:r w:rsidR="008521D5" w:rsidRPr="00C21BB4" w:rsidDel="008A7AFC">
        <w:rPr>
          <w:rFonts w:ascii="Arial" w:hAnsi="Arial" w:cs="Arial"/>
          <w:sz w:val="24"/>
          <w:szCs w:val="24"/>
        </w:rPr>
        <w:t xml:space="preserve"> </w:t>
      </w:r>
      <w:r w:rsidRPr="00C21BB4">
        <w:rPr>
          <w:rFonts w:ascii="Arial" w:hAnsi="Arial" w:cs="Arial"/>
          <w:sz w:val="24"/>
          <w:szCs w:val="24"/>
        </w:rPr>
        <w:t xml:space="preserve"> respecto de los Titulares de los CEDEARs con excepción de la obligación de distribuir el producido neto de la venta y los referidos dividendos (luego de deducir las comisiones, cargas y gastos del Banco) o </w:t>
      </w:r>
      <w:r w:rsidR="00C807FC">
        <w:rPr>
          <w:rFonts w:ascii="Arial" w:hAnsi="Arial" w:cs="Arial"/>
          <w:sz w:val="24"/>
          <w:szCs w:val="24"/>
        </w:rPr>
        <w:t>lo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si no pudiera efectuarse una venta</w:t>
      </w:r>
      <w:r w:rsidR="00FA0A65" w:rsidRPr="00C21BB4">
        <w:rPr>
          <w:rFonts w:ascii="Arial" w:hAnsi="Arial" w:cs="Arial"/>
          <w:sz w:val="24"/>
          <w:szCs w:val="24"/>
        </w:rPr>
        <w:t xml:space="preserve"> contra entrega de los CEDEARs</w:t>
      </w:r>
      <w:r w:rsidR="008521D5">
        <w:rPr>
          <w:rFonts w:ascii="Arial" w:hAnsi="Arial" w:cs="Arial"/>
          <w:sz w:val="24"/>
          <w:szCs w:val="24"/>
        </w:rPr>
        <w:t>, obligación que tampoco podrá ser exigible por los Titulares de CEDEARs luego de los cinco años de publicada la mencionada resolución de acuerdo al plazo de prescripción genérico del Código Civil y Comercial de la Nación.</w:t>
      </w:r>
    </w:p>
    <w:p w14:paraId="7D44B30F" w14:textId="77777777" w:rsidR="004079B7" w:rsidRPr="00C21BB4" w:rsidRDefault="004079B7">
      <w:pPr>
        <w:jc w:val="both"/>
        <w:rPr>
          <w:rFonts w:ascii="Arial" w:hAnsi="Arial" w:cs="Arial"/>
          <w:sz w:val="24"/>
          <w:szCs w:val="24"/>
        </w:rPr>
      </w:pPr>
    </w:p>
    <w:p w14:paraId="4F96515E" w14:textId="77777777" w:rsidR="00494C75" w:rsidRPr="00C21BB4" w:rsidRDefault="00494C75">
      <w:pPr>
        <w:jc w:val="both"/>
        <w:rPr>
          <w:rFonts w:ascii="Arial" w:hAnsi="Arial" w:cs="Arial"/>
          <w:sz w:val="24"/>
          <w:szCs w:val="24"/>
        </w:rPr>
      </w:pPr>
    </w:p>
    <w:p w14:paraId="54BC53FF"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20</w:t>
      </w:r>
      <w:r w:rsidRPr="00C21BB4">
        <w:rPr>
          <w:rFonts w:ascii="Arial" w:hAnsi="Arial" w:cs="Arial"/>
          <w:b/>
          <w:i/>
          <w:sz w:val="24"/>
          <w:szCs w:val="24"/>
        </w:rPr>
        <w:t>. Ciertas Comisiones y Cargas del Banco.</w:t>
      </w:r>
      <w:r w:rsidRPr="00C21BB4">
        <w:rPr>
          <w:rFonts w:ascii="Arial" w:hAnsi="Arial" w:cs="Arial"/>
          <w:sz w:val="24"/>
          <w:szCs w:val="24"/>
        </w:rPr>
        <w:t xml:space="preserve"> El Banco podrá cobrar comisiones por la recepción de depósitos y emisión de CEDEARs, por la entrega de l</w:t>
      </w:r>
      <w:r w:rsidR="00C807FC">
        <w:rPr>
          <w:rFonts w:ascii="Arial" w:hAnsi="Arial" w:cs="Arial"/>
          <w:sz w:val="24"/>
          <w:szCs w:val="24"/>
        </w:rPr>
        <w:t>o</w:t>
      </w:r>
      <w:r w:rsidR="00FA0A65" w:rsidRPr="00C21BB4">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contra la cancelación de los CEDEARs, por la transferencia de CEDEARs, por la distribución de dividendos, por las ventas o ejercicios de derechos, o por cualquier otro servicio prestado bajo el presente. Las comisiones del Banco podrán ser diferentes de las de otros emisores de CEDEARs. El Banco se reserva el derecho de alterar, reducir o aumentar cualquier comisión o carga por los servicios prestados prev</w:t>
      </w:r>
      <w:r w:rsidR="000F309F">
        <w:rPr>
          <w:rFonts w:ascii="Arial" w:hAnsi="Arial" w:cs="Arial"/>
          <w:sz w:val="24"/>
          <w:szCs w:val="24"/>
        </w:rPr>
        <w:t>ia publicación al mercado</w:t>
      </w:r>
      <w:r w:rsidRPr="00C21BB4">
        <w:rPr>
          <w:rFonts w:ascii="Arial" w:hAnsi="Arial" w:cs="Arial"/>
          <w:sz w:val="24"/>
          <w:szCs w:val="24"/>
        </w:rPr>
        <w:t xml:space="preserve">. Si se tratara de aumentos de las comisiones éstos serán aplicables a los tenedores a partir de los (30) días de su publicación. </w:t>
      </w:r>
    </w:p>
    <w:p w14:paraId="57EF371A" w14:textId="77777777" w:rsidR="004079B7" w:rsidRPr="00C21BB4" w:rsidRDefault="004079B7">
      <w:pPr>
        <w:jc w:val="both"/>
        <w:rPr>
          <w:rFonts w:ascii="Arial" w:hAnsi="Arial" w:cs="Arial"/>
          <w:sz w:val="24"/>
          <w:szCs w:val="24"/>
        </w:rPr>
      </w:pPr>
    </w:p>
    <w:p w14:paraId="0F21B5A4" w14:textId="77777777" w:rsidR="00494C75" w:rsidRPr="00C21BB4" w:rsidRDefault="00494C75">
      <w:pPr>
        <w:jc w:val="both"/>
        <w:rPr>
          <w:rFonts w:ascii="Arial" w:hAnsi="Arial" w:cs="Arial"/>
          <w:sz w:val="24"/>
          <w:szCs w:val="24"/>
        </w:rPr>
      </w:pPr>
    </w:p>
    <w:p w14:paraId="1B421C36"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21</w:t>
      </w:r>
      <w:r w:rsidRPr="00C21BB4">
        <w:rPr>
          <w:rFonts w:ascii="Arial" w:hAnsi="Arial" w:cs="Arial"/>
          <w:b/>
          <w:i/>
          <w:sz w:val="24"/>
          <w:szCs w:val="24"/>
        </w:rPr>
        <w:t>. Ley y Jurisdicción Aplicable</w:t>
      </w:r>
      <w:r w:rsidRPr="00C21BB4">
        <w:rPr>
          <w:rFonts w:ascii="Arial" w:hAnsi="Arial" w:cs="Arial"/>
          <w:sz w:val="24"/>
          <w:szCs w:val="24"/>
        </w:rPr>
        <w:t xml:space="preserve">. El Programa de Emisión de CEDEARs regido por estos Términos y Condiciones de Suscripción se interpretará de conformidad con las leyes de la República Argentina, y todos los derechos, obligaciones y disposiciones que emanan de los mismos se regirán por dichas leyes de la República Argentina aplicables a los contratos celebrados y a ser cumplidos en su jurisdicción. Se deja constancia sin embargo de que el Contrato de Depósito en Custodia de </w:t>
      </w:r>
      <w:r w:rsidR="003635DD">
        <w:rPr>
          <w:rFonts w:ascii="Arial" w:hAnsi="Arial" w:cs="Arial"/>
          <w:sz w:val="24"/>
          <w:szCs w:val="24"/>
        </w:rPr>
        <w:t>l</w:t>
      </w:r>
      <w:r w:rsidR="00C807FC">
        <w:rPr>
          <w:rFonts w:ascii="Arial" w:hAnsi="Arial" w:cs="Arial"/>
          <w:sz w:val="24"/>
          <w:szCs w:val="24"/>
        </w:rPr>
        <w:t>o</w:t>
      </w:r>
      <w:r w:rsidR="003635DD">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 xml:space="preserve">se rige por la ley del Estado de Nueva York. Cualquier controversia o reclamo que se suscite respecto de su ejecución e interpretación se someterá definitivamente a la jurisdicción de los Tribunales Ordinarios de la Ciudad de Buenos Aires, con renuncia expresa a cualquier otro tribunal o jurisdicción. </w:t>
      </w:r>
    </w:p>
    <w:p w14:paraId="52410FF8" w14:textId="77777777" w:rsidR="0077625F" w:rsidRDefault="0077625F">
      <w:pPr>
        <w:jc w:val="both"/>
        <w:outlineLvl w:val="0"/>
        <w:rPr>
          <w:rFonts w:ascii="Arial" w:hAnsi="Arial" w:cs="Arial"/>
          <w:sz w:val="24"/>
          <w:szCs w:val="24"/>
        </w:rPr>
      </w:pPr>
    </w:p>
    <w:p w14:paraId="250E7A75" w14:textId="77777777" w:rsidR="005C658E" w:rsidRDefault="005C658E">
      <w:pPr>
        <w:jc w:val="both"/>
        <w:outlineLvl w:val="0"/>
        <w:rPr>
          <w:rFonts w:ascii="Arial" w:hAnsi="Arial" w:cs="Arial"/>
          <w:sz w:val="24"/>
          <w:szCs w:val="24"/>
        </w:rPr>
      </w:pPr>
    </w:p>
    <w:p w14:paraId="377C9A6B" w14:textId="77777777" w:rsidR="004079B7" w:rsidRPr="00C21BB4" w:rsidRDefault="00EB117A">
      <w:pPr>
        <w:jc w:val="both"/>
        <w:outlineLvl w:val="0"/>
        <w:rPr>
          <w:rFonts w:ascii="Arial" w:hAnsi="Arial" w:cs="Arial"/>
          <w:sz w:val="24"/>
          <w:szCs w:val="24"/>
        </w:rPr>
      </w:pPr>
      <w:r>
        <w:rPr>
          <w:rFonts w:ascii="Arial" w:hAnsi="Arial" w:cs="Arial"/>
          <w:sz w:val="24"/>
          <w:szCs w:val="24"/>
        </w:rPr>
        <w:t>B</w:t>
      </w:r>
      <w:r w:rsidR="003A2495" w:rsidRPr="00C21BB4">
        <w:rPr>
          <w:rFonts w:ascii="Arial" w:hAnsi="Arial" w:cs="Arial"/>
          <w:sz w:val="24"/>
          <w:szCs w:val="24"/>
        </w:rPr>
        <w:t>ANCO COMAFI S.A.</w:t>
      </w:r>
    </w:p>
    <w:p w14:paraId="423CD263" w14:textId="77777777" w:rsidR="004079B7" w:rsidRPr="00C21BB4" w:rsidRDefault="004079B7">
      <w:pPr>
        <w:jc w:val="both"/>
        <w:rPr>
          <w:rFonts w:ascii="Arial" w:hAnsi="Arial" w:cs="Arial"/>
          <w:sz w:val="24"/>
          <w:szCs w:val="24"/>
        </w:rPr>
      </w:pPr>
    </w:p>
    <w:p w14:paraId="325FFFCD" w14:textId="77777777" w:rsidR="004079B7" w:rsidRPr="00C21BB4" w:rsidRDefault="004079B7">
      <w:pPr>
        <w:jc w:val="both"/>
        <w:rPr>
          <w:rFonts w:ascii="Arial" w:hAnsi="Arial" w:cs="Arial"/>
          <w:sz w:val="24"/>
          <w:szCs w:val="24"/>
        </w:rPr>
      </w:pPr>
    </w:p>
    <w:p w14:paraId="27E51B2A" w14:textId="77777777" w:rsidR="004079B7" w:rsidRPr="00C21BB4" w:rsidRDefault="004079B7">
      <w:pPr>
        <w:jc w:val="both"/>
        <w:rPr>
          <w:rFonts w:ascii="Arial" w:hAnsi="Arial" w:cs="Arial"/>
          <w:sz w:val="24"/>
          <w:szCs w:val="24"/>
          <w:u w:val="single"/>
        </w:rPr>
      </w:pPr>
      <w:r w:rsidRPr="00C21BB4">
        <w:rPr>
          <w:rFonts w:ascii="Arial" w:hAnsi="Arial" w:cs="Arial"/>
          <w:sz w:val="24"/>
          <w:szCs w:val="24"/>
          <w:u w:val="single"/>
        </w:rPr>
        <w:t xml:space="preserve">MODELO DE FORMULARIO DE SOLICITUD DE REGISTRACION DE TRANSFERENCIA DE CEDEAR PREVISTO EN </w:t>
      </w:r>
      <w:r w:rsidR="008B1E4F">
        <w:rPr>
          <w:rFonts w:ascii="Arial" w:hAnsi="Arial" w:cs="Arial"/>
          <w:sz w:val="24"/>
          <w:szCs w:val="24"/>
          <w:u w:val="single"/>
        </w:rPr>
        <w:t xml:space="preserve">EL ART. </w:t>
      </w:r>
      <w:r w:rsidRPr="00C21BB4">
        <w:rPr>
          <w:rFonts w:ascii="Arial" w:hAnsi="Arial" w:cs="Arial"/>
          <w:sz w:val="24"/>
          <w:szCs w:val="24"/>
          <w:u w:val="single"/>
        </w:rPr>
        <w:t xml:space="preserve"> </w:t>
      </w:r>
      <w:r w:rsidR="008B1E4F">
        <w:rPr>
          <w:rFonts w:ascii="Arial" w:hAnsi="Arial" w:cs="Arial"/>
          <w:sz w:val="24"/>
          <w:szCs w:val="24"/>
          <w:u w:val="single"/>
        </w:rPr>
        <w:t>5</w:t>
      </w:r>
      <w:r w:rsidRPr="00C21BB4">
        <w:rPr>
          <w:rFonts w:ascii="Arial" w:hAnsi="Arial" w:cs="Arial"/>
          <w:sz w:val="24"/>
          <w:szCs w:val="24"/>
          <w:u w:val="single"/>
        </w:rPr>
        <w:t>ª DE LOS TERMINOS Y CONDICIONES DEL PROGRAMA DE CEDEARs.</w:t>
      </w:r>
    </w:p>
    <w:p w14:paraId="1B4FDCDF" w14:textId="77777777" w:rsidR="004079B7" w:rsidRPr="00C21BB4" w:rsidRDefault="004079B7">
      <w:pPr>
        <w:jc w:val="both"/>
        <w:rPr>
          <w:rFonts w:ascii="Arial" w:hAnsi="Arial" w:cs="Arial"/>
          <w:sz w:val="24"/>
          <w:szCs w:val="24"/>
        </w:rPr>
      </w:pPr>
    </w:p>
    <w:p w14:paraId="61D91CD8" w14:textId="77777777" w:rsidR="004079B7" w:rsidRPr="00C21BB4" w:rsidRDefault="004079B7">
      <w:pPr>
        <w:jc w:val="both"/>
        <w:rPr>
          <w:rFonts w:ascii="Arial" w:hAnsi="Arial" w:cs="Arial"/>
          <w:sz w:val="24"/>
          <w:szCs w:val="24"/>
        </w:rPr>
      </w:pPr>
    </w:p>
    <w:p w14:paraId="61346F65" w14:textId="77777777" w:rsidR="004079B7" w:rsidRPr="00C21BB4" w:rsidRDefault="004079B7">
      <w:pPr>
        <w:jc w:val="both"/>
        <w:rPr>
          <w:rFonts w:ascii="Arial" w:hAnsi="Arial" w:cs="Arial"/>
          <w:sz w:val="24"/>
          <w:szCs w:val="24"/>
        </w:rPr>
      </w:pPr>
      <w:r w:rsidRPr="00C21BB4">
        <w:rPr>
          <w:rFonts w:ascii="Arial" w:hAnsi="Arial" w:cs="Arial"/>
          <w:sz w:val="24"/>
          <w:szCs w:val="24"/>
        </w:rPr>
        <w:tab/>
        <w:t xml:space="preserve">POR VALOR RECIBIDO, el suscripto vende, cede y transfiere a: </w:t>
      </w:r>
    </w:p>
    <w:p w14:paraId="33A2693B"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w:t>
      </w:r>
    </w:p>
    <w:p w14:paraId="78ABD9B7" w14:textId="77777777" w:rsidR="004079B7" w:rsidRPr="00C21BB4" w:rsidRDefault="004079B7">
      <w:pPr>
        <w:jc w:val="both"/>
        <w:rPr>
          <w:rFonts w:ascii="Arial" w:hAnsi="Arial" w:cs="Arial"/>
          <w:sz w:val="24"/>
          <w:szCs w:val="24"/>
        </w:rPr>
      </w:pPr>
      <w:r w:rsidRPr="00C21BB4">
        <w:rPr>
          <w:rFonts w:ascii="Arial" w:hAnsi="Arial" w:cs="Arial"/>
          <w:sz w:val="24"/>
          <w:szCs w:val="24"/>
        </w:rPr>
        <w:tab/>
        <w:t>Sírvase insertar el número de Documento de Identidad o C.U.I.T. u otro número identificatorio del cesionario _________________________________</w:t>
      </w:r>
    </w:p>
    <w:p w14:paraId="73CC4726"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______________________________________________________________</w:t>
      </w:r>
      <w:proofErr w:type="gramStart"/>
      <w:r w:rsidRPr="00C21BB4">
        <w:rPr>
          <w:rFonts w:ascii="Arial" w:hAnsi="Arial" w:cs="Arial"/>
          <w:sz w:val="24"/>
          <w:szCs w:val="24"/>
        </w:rPr>
        <w:t>_(</w:t>
      </w:r>
      <w:proofErr w:type="gramEnd"/>
      <w:r w:rsidRPr="00C21BB4">
        <w:rPr>
          <w:rFonts w:ascii="Arial" w:hAnsi="Arial" w:cs="Arial"/>
          <w:sz w:val="24"/>
          <w:szCs w:val="24"/>
        </w:rPr>
        <w:t>Sírvase imprimir o mecanografiar el nombre y domicilio del cesionario)</w:t>
      </w:r>
    </w:p>
    <w:p w14:paraId="7ED27ECD" w14:textId="77777777" w:rsidR="004079B7" w:rsidRPr="00C21BB4" w:rsidRDefault="004079B7">
      <w:pPr>
        <w:jc w:val="both"/>
        <w:rPr>
          <w:rFonts w:ascii="Arial" w:hAnsi="Arial" w:cs="Arial"/>
          <w:sz w:val="24"/>
          <w:szCs w:val="24"/>
        </w:rPr>
      </w:pPr>
    </w:p>
    <w:p w14:paraId="6C57845E"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_____________________________________________________________el</w:t>
      </w:r>
    </w:p>
    <w:p w14:paraId="747DFAC3" w14:textId="77777777" w:rsidR="004079B7" w:rsidRPr="00C21BB4" w:rsidRDefault="004079B7">
      <w:pPr>
        <w:jc w:val="both"/>
        <w:rPr>
          <w:rFonts w:ascii="Arial" w:hAnsi="Arial" w:cs="Arial"/>
          <w:sz w:val="24"/>
          <w:szCs w:val="24"/>
        </w:rPr>
      </w:pPr>
      <w:r w:rsidRPr="00C21BB4">
        <w:rPr>
          <w:rFonts w:ascii="Arial" w:hAnsi="Arial" w:cs="Arial"/>
          <w:sz w:val="24"/>
          <w:szCs w:val="24"/>
        </w:rPr>
        <w:t>CEDEAR al que se hace referencia y todos los derechos y participaciones representados por éste, y por el presente designa y nombra de manera irrevocable a</w:t>
      </w:r>
    </w:p>
    <w:p w14:paraId="200A0B58" w14:textId="77777777" w:rsidR="004079B7" w:rsidRPr="00C21BB4" w:rsidRDefault="004079B7">
      <w:pPr>
        <w:jc w:val="both"/>
        <w:outlineLvl w:val="0"/>
        <w:rPr>
          <w:rFonts w:ascii="Arial" w:hAnsi="Arial" w:cs="Arial"/>
          <w:sz w:val="24"/>
          <w:szCs w:val="24"/>
        </w:rPr>
      </w:pPr>
      <w:r w:rsidRPr="00C21BB4">
        <w:rPr>
          <w:rFonts w:ascii="Arial" w:hAnsi="Arial" w:cs="Arial"/>
          <w:sz w:val="24"/>
          <w:szCs w:val="24"/>
        </w:rPr>
        <w:t>________________________________________________apoderado,  para</w:t>
      </w:r>
    </w:p>
    <w:p w14:paraId="3C61F63A" w14:textId="77777777" w:rsidR="004079B7" w:rsidRPr="00C21BB4" w:rsidRDefault="004079B7">
      <w:pPr>
        <w:jc w:val="both"/>
        <w:rPr>
          <w:rFonts w:ascii="Arial" w:hAnsi="Arial" w:cs="Arial"/>
          <w:sz w:val="24"/>
          <w:szCs w:val="24"/>
        </w:rPr>
      </w:pPr>
      <w:r w:rsidRPr="00C21BB4">
        <w:rPr>
          <w:rFonts w:ascii="Arial" w:hAnsi="Arial" w:cs="Arial"/>
          <w:sz w:val="24"/>
          <w:szCs w:val="24"/>
        </w:rPr>
        <w:t>transferirlo en los libros del Banco, con plenos poderes de sustitución.</w:t>
      </w:r>
    </w:p>
    <w:p w14:paraId="152FDEF2" w14:textId="77777777" w:rsidR="004079B7" w:rsidRPr="00C21BB4" w:rsidRDefault="004079B7">
      <w:pPr>
        <w:jc w:val="both"/>
        <w:rPr>
          <w:rFonts w:ascii="Arial" w:hAnsi="Arial" w:cs="Arial"/>
          <w:sz w:val="24"/>
          <w:szCs w:val="24"/>
        </w:rPr>
      </w:pPr>
    </w:p>
    <w:p w14:paraId="6888B584" w14:textId="77777777" w:rsidR="004079B7" w:rsidRPr="00C21BB4" w:rsidRDefault="004079B7">
      <w:pPr>
        <w:jc w:val="both"/>
        <w:outlineLvl w:val="0"/>
        <w:rPr>
          <w:rFonts w:ascii="Arial" w:hAnsi="Arial" w:cs="Arial"/>
          <w:sz w:val="24"/>
          <w:szCs w:val="24"/>
        </w:rPr>
      </w:pPr>
      <w:r w:rsidRPr="00C21BB4">
        <w:rPr>
          <w:rFonts w:ascii="Arial" w:hAnsi="Arial" w:cs="Arial"/>
          <w:sz w:val="24"/>
          <w:szCs w:val="24"/>
        </w:rPr>
        <w:t>Fecha: ______________________Firma: _____________________________</w:t>
      </w:r>
    </w:p>
    <w:p w14:paraId="5FA86D5B" w14:textId="77777777" w:rsidR="004079B7" w:rsidRPr="00C21BB4" w:rsidRDefault="004079B7">
      <w:pPr>
        <w:jc w:val="both"/>
        <w:rPr>
          <w:rFonts w:ascii="Arial" w:hAnsi="Arial" w:cs="Arial"/>
          <w:sz w:val="24"/>
          <w:szCs w:val="24"/>
        </w:rPr>
      </w:pPr>
    </w:p>
    <w:p w14:paraId="5B78252E" w14:textId="77777777" w:rsidR="004079B7" w:rsidRPr="00C21BB4" w:rsidRDefault="004079B7">
      <w:pPr>
        <w:jc w:val="both"/>
        <w:rPr>
          <w:rFonts w:ascii="Arial" w:hAnsi="Arial" w:cs="Arial"/>
          <w:sz w:val="24"/>
          <w:szCs w:val="24"/>
        </w:rPr>
      </w:pPr>
    </w:p>
    <w:p w14:paraId="2B374FD8" w14:textId="77777777" w:rsidR="004079B7" w:rsidRPr="00C21BB4" w:rsidRDefault="004079B7">
      <w:pPr>
        <w:jc w:val="both"/>
        <w:rPr>
          <w:rFonts w:ascii="Arial" w:hAnsi="Arial" w:cs="Arial"/>
          <w:sz w:val="24"/>
          <w:szCs w:val="24"/>
        </w:rPr>
      </w:pPr>
      <w:r w:rsidRPr="00C21BB4">
        <w:rPr>
          <w:rFonts w:ascii="Arial" w:hAnsi="Arial" w:cs="Arial"/>
          <w:sz w:val="24"/>
          <w:szCs w:val="24"/>
        </w:rPr>
        <w:tab/>
        <w:t xml:space="preserve">Si la solicitud de transferencia e inscripción en el Registro de CEDEARs está firmada por un apoderado, albacea, sindico, fiduciario o custodio, el endosante deberá informar su cargo e investidura y suministrar la constancia de la autoridad que le ha sido conferida para actuar en tal carácter, la cual, si no se hubiera presentado ante el Banco, deberá enviarse juntamente con el presente Formulario. </w:t>
      </w:r>
    </w:p>
    <w:p w14:paraId="03FEEE29" w14:textId="77777777" w:rsidR="004079B7" w:rsidRPr="00C21BB4" w:rsidRDefault="004079B7">
      <w:pPr>
        <w:jc w:val="both"/>
        <w:rPr>
          <w:rFonts w:ascii="Arial" w:hAnsi="Arial" w:cs="Arial"/>
          <w:sz w:val="24"/>
          <w:szCs w:val="24"/>
        </w:rPr>
      </w:pPr>
    </w:p>
    <w:p w14:paraId="66034274" w14:textId="77777777" w:rsidR="004079B7" w:rsidRPr="00C21BB4" w:rsidRDefault="004079B7">
      <w:pPr>
        <w:jc w:val="both"/>
        <w:rPr>
          <w:rFonts w:ascii="Arial" w:hAnsi="Arial" w:cs="Arial"/>
          <w:sz w:val="24"/>
          <w:szCs w:val="24"/>
        </w:rPr>
      </w:pPr>
      <w:r w:rsidRPr="00C21BB4">
        <w:rPr>
          <w:rFonts w:ascii="Arial" w:hAnsi="Arial" w:cs="Arial"/>
          <w:sz w:val="24"/>
          <w:szCs w:val="24"/>
        </w:rPr>
        <w:tab/>
        <w:t>En toda solicitud de registración de transferencia del CEDEAR deberá estar certificada la firma-----</w:t>
      </w:r>
    </w:p>
    <w:p w14:paraId="261958C0" w14:textId="77777777" w:rsidR="004079B7" w:rsidRPr="00C21BB4" w:rsidRDefault="004079B7">
      <w:pPr>
        <w:jc w:val="both"/>
        <w:rPr>
          <w:rFonts w:ascii="Arial" w:hAnsi="Arial" w:cs="Arial"/>
          <w:sz w:val="24"/>
          <w:szCs w:val="24"/>
        </w:rPr>
      </w:pPr>
    </w:p>
    <w:p w14:paraId="356E73D9" w14:textId="77777777" w:rsidR="004079B7" w:rsidRPr="00C21BB4" w:rsidRDefault="004079B7">
      <w:pPr>
        <w:pStyle w:val="Ttulo"/>
        <w:rPr>
          <w:rFonts w:ascii="Arial" w:hAnsi="Arial" w:cs="Arial"/>
          <w:szCs w:val="24"/>
        </w:rPr>
      </w:pPr>
    </w:p>
    <w:p w14:paraId="695F2B37" w14:textId="77777777" w:rsidR="004079B7" w:rsidRPr="00C21BB4" w:rsidRDefault="004079B7">
      <w:pPr>
        <w:pStyle w:val="Ttulo"/>
        <w:rPr>
          <w:rFonts w:ascii="Arial" w:hAnsi="Arial" w:cs="Arial"/>
          <w:szCs w:val="24"/>
        </w:rPr>
      </w:pPr>
    </w:p>
    <w:p w14:paraId="0309BF97" w14:textId="77777777" w:rsidR="004079B7" w:rsidRPr="00C21BB4" w:rsidRDefault="004079B7">
      <w:pPr>
        <w:pStyle w:val="Ttulo"/>
        <w:rPr>
          <w:rFonts w:ascii="Arial" w:hAnsi="Arial" w:cs="Arial"/>
          <w:szCs w:val="24"/>
        </w:rPr>
      </w:pPr>
    </w:p>
    <w:p w14:paraId="2807B8D5" w14:textId="77777777" w:rsidR="004079B7" w:rsidRPr="00C21BB4" w:rsidRDefault="004079B7">
      <w:pPr>
        <w:pStyle w:val="Ttulo"/>
        <w:rPr>
          <w:rFonts w:ascii="Arial" w:hAnsi="Arial" w:cs="Arial"/>
          <w:szCs w:val="24"/>
        </w:rPr>
      </w:pPr>
    </w:p>
    <w:p w14:paraId="4B4A86F7" w14:textId="77777777" w:rsidR="004079B7" w:rsidRPr="00C21BB4" w:rsidRDefault="004079B7">
      <w:pPr>
        <w:pStyle w:val="Ttulo"/>
        <w:rPr>
          <w:rFonts w:ascii="Arial" w:hAnsi="Arial" w:cs="Arial"/>
          <w:szCs w:val="24"/>
        </w:rPr>
      </w:pPr>
    </w:p>
    <w:p w14:paraId="05289C6F" w14:textId="77777777" w:rsidR="004079B7" w:rsidRPr="00C21BB4" w:rsidRDefault="004079B7">
      <w:pPr>
        <w:rPr>
          <w:rFonts w:ascii="Arial" w:hAnsi="Arial" w:cs="Arial"/>
          <w:sz w:val="24"/>
          <w:szCs w:val="24"/>
        </w:rPr>
      </w:pPr>
    </w:p>
    <w:p w14:paraId="0205F49E" w14:textId="77777777" w:rsidR="004079B7" w:rsidRPr="00C21BB4" w:rsidRDefault="004079B7">
      <w:pPr>
        <w:pStyle w:val="Ttulo"/>
        <w:rPr>
          <w:rFonts w:ascii="Arial" w:hAnsi="Arial" w:cs="Arial"/>
          <w:szCs w:val="24"/>
        </w:rPr>
      </w:pPr>
      <w:r w:rsidRPr="00C21BB4">
        <w:rPr>
          <w:rFonts w:ascii="Arial" w:hAnsi="Arial" w:cs="Arial"/>
          <w:szCs w:val="24"/>
        </w:rPr>
        <w:br w:type="page"/>
      </w:r>
      <w:r w:rsidRPr="00C21BB4">
        <w:rPr>
          <w:rFonts w:ascii="Arial" w:hAnsi="Arial" w:cs="Arial"/>
          <w:szCs w:val="24"/>
        </w:rPr>
        <w:lastRenderedPageBreak/>
        <w:t xml:space="preserve">ANEXO </w:t>
      </w:r>
      <w:r w:rsidR="0084412B" w:rsidRPr="00C21BB4">
        <w:rPr>
          <w:rFonts w:ascii="Arial" w:hAnsi="Arial" w:cs="Arial"/>
          <w:szCs w:val="24"/>
        </w:rPr>
        <w:t>ARTICULO</w:t>
      </w:r>
      <w:r w:rsidRPr="00C21BB4">
        <w:rPr>
          <w:rFonts w:ascii="Arial" w:hAnsi="Arial" w:cs="Arial"/>
          <w:szCs w:val="24"/>
        </w:rPr>
        <w:t xml:space="preserve"> 20 DE LOS TERMINOS Y CONDICIONES DE</w:t>
      </w:r>
      <w:r w:rsidR="003A3CA6">
        <w:rPr>
          <w:rFonts w:ascii="Arial" w:hAnsi="Arial" w:cs="Arial"/>
          <w:szCs w:val="24"/>
        </w:rPr>
        <w:t>L</w:t>
      </w:r>
      <w:r w:rsidRPr="00C21BB4">
        <w:rPr>
          <w:rFonts w:ascii="Arial" w:hAnsi="Arial" w:cs="Arial"/>
          <w:szCs w:val="24"/>
        </w:rPr>
        <w:t xml:space="preserve"> PROGRAMA DE CEDEAR DE </w:t>
      </w:r>
      <w:r w:rsidR="003A2495" w:rsidRPr="00C21BB4">
        <w:rPr>
          <w:rFonts w:ascii="Arial" w:hAnsi="Arial" w:cs="Arial"/>
          <w:szCs w:val="24"/>
        </w:rPr>
        <w:t>BANCO COMAFI S.A.</w:t>
      </w:r>
    </w:p>
    <w:p w14:paraId="3985FDE8" w14:textId="77777777" w:rsidR="004079B7" w:rsidRPr="00C21BB4" w:rsidRDefault="004079B7">
      <w:pPr>
        <w:pStyle w:val="Ttulo"/>
        <w:rPr>
          <w:rFonts w:ascii="Arial" w:hAnsi="Arial" w:cs="Arial"/>
          <w:szCs w:val="24"/>
        </w:rPr>
      </w:pPr>
    </w:p>
    <w:p w14:paraId="646A8313" w14:textId="77777777" w:rsidR="004079B7" w:rsidRPr="00C21BB4" w:rsidRDefault="004079B7">
      <w:pPr>
        <w:pStyle w:val="Ttulo"/>
        <w:outlineLvl w:val="0"/>
        <w:rPr>
          <w:rFonts w:ascii="Arial" w:hAnsi="Arial" w:cs="Arial"/>
          <w:i/>
          <w:szCs w:val="24"/>
        </w:rPr>
      </w:pPr>
      <w:r w:rsidRPr="00C21BB4">
        <w:rPr>
          <w:rFonts w:ascii="Arial" w:hAnsi="Arial" w:cs="Arial"/>
          <w:i/>
          <w:szCs w:val="24"/>
        </w:rPr>
        <w:t>TABLA DE HONORARIOS Y COMISIONES DE</w:t>
      </w:r>
      <w:r w:rsidR="003A3CA6">
        <w:rPr>
          <w:rFonts w:ascii="Arial" w:hAnsi="Arial" w:cs="Arial"/>
          <w:i/>
          <w:szCs w:val="24"/>
        </w:rPr>
        <w:t>L</w:t>
      </w:r>
      <w:r w:rsidRPr="00C21BB4">
        <w:rPr>
          <w:rFonts w:ascii="Arial" w:hAnsi="Arial" w:cs="Arial"/>
          <w:i/>
          <w:szCs w:val="24"/>
        </w:rPr>
        <w:t xml:space="preserve"> PROGRAMA DE CEDEAR</w:t>
      </w:r>
    </w:p>
    <w:p w14:paraId="65335FEB" w14:textId="77777777" w:rsidR="004079B7" w:rsidRPr="00C21BB4" w:rsidRDefault="004079B7">
      <w:pPr>
        <w:jc w:val="both"/>
        <w:rPr>
          <w:rFonts w:ascii="Arial" w:hAnsi="Arial" w:cs="Arial"/>
          <w:b/>
          <w:i/>
          <w:sz w:val="24"/>
          <w:szCs w:val="24"/>
          <w:u w:val="single"/>
        </w:rPr>
      </w:pPr>
    </w:p>
    <w:p w14:paraId="7EF3A969" w14:textId="77777777" w:rsidR="004079B7" w:rsidRPr="00C21BB4" w:rsidRDefault="004079B7">
      <w:pPr>
        <w:jc w:val="both"/>
        <w:rPr>
          <w:rFonts w:ascii="Arial" w:hAnsi="Arial" w:cs="Arial"/>
          <w:b/>
          <w:sz w:val="24"/>
          <w:szCs w:val="24"/>
          <w:u w:val="single"/>
        </w:rPr>
      </w:pPr>
    </w:p>
    <w:p w14:paraId="64B728B0" w14:textId="77777777" w:rsidR="004079B7" w:rsidRPr="00C21BB4" w:rsidRDefault="004079B7">
      <w:pPr>
        <w:jc w:val="both"/>
        <w:rPr>
          <w:rFonts w:ascii="Arial" w:hAnsi="Arial" w:cs="Arial"/>
          <w:b/>
          <w:sz w:val="24"/>
          <w:szCs w:val="24"/>
          <w:u w:val="single"/>
        </w:rPr>
      </w:pPr>
    </w:p>
    <w:p w14:paraId="61A0D867" w14:textId="77777777" w:rsidR="004079B7" w:rsidRPr="00C21BB4" w:rsidRDefault="003A2495">
      <w:pPr>
        <w:pStyle w:val="Textoindependiente"/>
        <w:rPr>
          <w:rFonts w:ascii="Arial" w:hAnsi="Arial" w:cs="Arial"/>
          <w:szCs w:val="24"/>
        </w:rPr>
      </w:pPr>
      <w:r w:rsidRPr="00C21BB4">
        <w:rPr>
          <w:rFonts w:ascii="Arial" w:hAnsi="Arial" w:cs="Arial"/>
          <w:szCs w:val="24"/>
        </w:rPr>
        <w:t>BANCO COMAFI S.A.</w:t>
      </w:r>
      <w:r w:rsidR="004079B7" w:rsidRPr="00C21BB4">
        <w:rPr>
          <w:rFonts w:ascii="Arial" w:hAnsi="Arial" w:cs="Arial"/>
          <w:szCs w:val="24"/>
        </w:rPr>
        <w:t xml:space="preserve"> PERCIBIRÁ LOS SIGUIENTES HONORARIOS Y COMISIONES POR LA EMISIÓN, CANCELACIÓN Y EJERCICIO DE DERECHOS DE VOTO DE CEDEARS CONFORME A</w:t>
      </w:r>
      <w:r w:rsidR="003A3CA6">
        <w:rPr>
          <w:rFonts w:ascii="Arial" w:hAnsi="Arial" w:cs="Arial"/>
          <w:szCs w:val="24"/>
        </w:rPr>
        <w:t>L</w:t>
      </w:r>
      <w:r w:rsidR="004079B7" w:rsidRPr="00C21BB4">
        <w:rPr>
          <w:rFonts w:ascii="Arial" w:hAnsi="Arial" w:cs="Arial"/>
          <w:szCs w:val="24"/>
        </w:rPr>
        <w:t xml:space="preserve"> PROGRAMA DE CERTIFICADOS ARGENTINOS.</w:t>
      </w:r>
    </w:p>
    <w:p w14:paraId="729AD9E8" w14:textId="77777777" w:rsidR="004079B7" w:rsidRPr="00C21BB4" w:rsidRDefault="004079B7">
      <w:pPr>
        <w:pStyle w:val="Textoindependiente"/>
        <w:rPr>
          <w:rFonts w:ascii="Arial" w:hAnsi="Arial" w:cs="Arial"/>
          <w:szCs w:val="24"/>
        </w:rPr>
      </w:pPr>
    </w:p>
    <w:p w14:paraId="39A6881A" w14:textId="77777777" w:rsidR="004079B7" w:rsidRPr="00C21BB4" w:rsidRDefault="004079B7">
      <w:pPr>
        <w:pStyle w:val="Textoindependiente"/>
        <w:rPr>
          <w:rFonts w:ascii="Arial" w:hAnsi="Arial" w:cs="Arial"/>
          <w:szCs w:val="24"/>
        </w:rPr>
      </w:pPr>
    </w:p>
    <w:p w14:paraId="44C019CC" w14:textId="77777777" w:rsidR="004079B7" w:rsidRPr="00C21BB4" w:rsidRDefault="004079B7">
      <w:pPr>
        <w:ind w:left="720"/>
        <w:jc w:val="both"/>
        <w:rPr>
          <w:rFonts w:ascii="Arial" w:hAnsi="Arial" w:cs="Arial"/>
          <w:sz w:val="24"/>
          <w:szCs w:val="24"/>
        </w:rPr>
      </w:pPr>
      <w:r w:rsidRPr="00C21BB4">
        <w:rPr>
          <w:rFonts w:ascii="Arial" w:hAnsi="Arial" w:cs="Arial"/>
          <w:sz w:val="24"/>
          <w:szCs w:val="24"/>
        </w:rPr>
        <w:t>HONORARIOS DE EMISIÓN</w:t>
      </w: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U$S 0,01 POR CEDEAR</w:t>
      </w:r>
      <w:r w:rsidRPr="00C21BB4">
        <w:rPr>
          <w:rStyle w:val="Refdenotaalpie"/>
          <w:rFonts w:ascii="Arial" w:hAnsi="Arial" w:cs="Arial"/>
          <w:sz w:val="24"/>
          <w:szCs w:val="24"/>
        </w:rPr>
        <w:footnoteReference w:customMarkFollows="1" w:id="12"/>
        <w:t>1</w:t>
      </w:r>
    </w:p>
    <w:p w14:paraId="18AA8479" w14:textId="77777777" w:rsidR="004079B7" w:rsidRPr="00C21BB4" w:rsidRDefault="004079B7">
      <w:pPr>
        <w:ind w:firstLine="709"/>
        <w:jc w:val="both"/>
        <w:rPr>
          <w:rFonts w:ascii="Arial" w:hAnsi="Arial" w:cs="Arial"/>
          <w:sz w:val="24"/>
          <w:szCs w:val="24"/>
        </w:rPr>
      </w:pPr>
      <w:r w:rsidRPr="00C21BB4">
        <w:rPr>
          <w:rFonts w:ascii="Arial" w:hAnsi="Arial" w:cs="Arial"/>
          <w:sz w:val="24"/>
          <w:szCs w:val="24"/>
        </w:rPr>
        <w:t>HONORARIOS DE CANCELACIÓN</w:t>
      </w:r>
      <w:r w:rsidRPr="00C21BB4">
        <w:rPr>
          <w:rFonts w:ascii="Arial" w:hAnsi="Arial" w:cs="Arial"/>
          <w:sz w:val="24"/>
          <w:szCs w:val="24"/>
        </w:rPr>
        <w:tab/>
      </w:r>
      <w:r w:rsidRPr="00C21BB4">
        <w:rPr>
          <w:rFonts w:ascii="Arial" w:hAnsi="Arial" w:cs="Arial"/>
          <w:sz w:val="24"/>
          <w:szCs w:val="24"/>
        </w:rPr>
        <w:tab/>
        <w:t>U$S 0,</w:t>
      </w:r>
      <w:r w:rsidR="004F255D" w:rsidRPr="00C21BB4">
        <w:rPr>
          <w:rFonts w:ascii="Arial" w:hAnsi="Arial" w:cs="Arial"/>
          <w:sz w:val="24"/>
          <w:szCs w:val="24"/>
        </w:rPr>
        <w:t xml:space="preserve">03 </w:t>
      </w:r>
      <w:r w:rsidRPr="00C21BB4">
        <w:rPr>
          <w:rFonts w:ascii="Arial" w:hAnsi="Arial" w:cs="Arial"/>
          <w:sz w:val="24"/>
          <w:szCs w:val="24"/>
        </w:rPr>
        <w:t>POR CEDEAR</w:t>
      </w:r>
      <w:r w:rsidRPr="00C21BB4">
        <w:rPr>
          <w:rStyle w:val="Refdenotaalpie"/>
          <w:rFonts w:ascii="Arial" w:hAnsi="Arial" w:cs="Arial"/>
          <w:sz w:val="24"/>
          <w:szCs w:val="24"/>
        </w:rPr>
        <w:footnoteReference w:customMarkFollows="1" w:id="13"/>
        <w:t>1</w:t>
      </w:r>
    </w:p>
    <w:p w14:paraId="60A8D5DF" w14:textId="77777777" w:rsidR="005642C3" w:rsidRPr="00C21BB4" w:rsidRDefault="005642C3">
      <w:pPr>
        <w:ind w:firstLine="709"/>
        <w:jc w:val="both"/>
        <w:rPr>
          <w:rFonts w:ascii="Arial" w:hAnsi="Arial" w:cs="Arial"/>
          <w:sz w:val="24"/>
          <w:szCs w:val="24"/>
        </w:rPr>
      </w:pPr>
    </w:p>
    <w:p w14:paraId="4821A387" w14:textId="77777777" w:rsidR="005642C3" w:rsidRPr="00C21BB4" w:rsidRDefault="005642C3">
      <w:pPr>
        <w:ind w:firstLine="709"/>
        <w:jc w:val="both"/>
        <w:rPr>
          <w:rFonts w:ascii="Arial" w:hAnsi="Arial" w:cs="Arial"/>
          <w:b/>
          <w:sz w:val="24"/>
          <w:szCs w:val="24"/>
          <w:u w:val="single"/>
        </w:rPr>
      </w:pPr>
    </w:p>
    <w:p w14:paraId="4D8B51E0" w14:textId="77777777" w:rsidR="004079B7" w:rsidRPr="00C21BB4" w:rsidRDefault="004079B7">
      <w:pPr>
        <w:jc w:val="both"/>
        <w:rPr>
          <w:rFonts w:ascii="Arial" w:hAnsi="Arial" w:cs="Arial"/>
          <w:b/>
          <w:sz w:val="24"/>
          <w:szCs w:val="24"/>
          <w:u w:val="single"/>
        </w:rPr>
      </w:pPr>
    </w:p>
    <w:p w14:paraId="74D0E46D" w14:textId="77777777" w:rsidR="004079B7" w:rsidRPr="00C21BB4" w:rsidRDefault="004079B7">
      <w:pPr>
        <w:jc w:val="both"/>
        <w:rPr>
          <w:rFonts w:ascii="Arial" w:hAnsi="Arial" w:cs="Arial"/>
          <w:b/>
          <w:sz w:val="24"/>
          <w:szCs w:val="24"/>
          <w:u w:val="single"/>
        </w:rPr>
      </w:pPr>
    </w:p>
    <w:p w14:paraId="0CD81293" w14:textId="77777777" w:rsidR="004079B7" w:rsidRPr="00C21BB4" w:rsidRDefault="004079B7">
      <w:pPr>
        <w:pStyle w:val="Textoindependiente"/>
        <w:rPr>
          <w:rFonts w:ascii="Arial" w:hAnsi="Arial" w:cs="Arial"/>
          <w:szCs w:val="24"/>
        </w:rPr>
      </w:pPr>
      <w:r w:rsidRPr="00C21BB4">
        <w:rPr>
          <w:rFonts w:ascii="Arial" w:hAnsi="Arial" w:cs="Arial"/>
          <w:szCs w:val="24"/>
        </w:rPr>
        <w:t>HONORARIOS Y GASTOS POR EJERCICIO DE DERECHOS DE VOTO: Se abonarán los honorarios y gastos que liquide el Agente de Registro, más los gastos de transferencia de las instrucciones a New York, más los gastos que liquide el Banco Custodio por el ejercicio de los derechos de voto.</w:t>
      </w:r>
    </w:p>
    <w:p w14:paraId="584D574F" w14:textId="77777777" w:rsidR="004079B7" w:rsidRPr="00C21BB4" w:rsidRDefault="004079B7">
      <w:pPr>
        <w:jc w:val="both"/>
        <w:rPr>
          <w:rFonts w:ascii="Arial" w:hAnsi="Arial" w:cs="Arial"/>
          <w:sz w:val="24"/>
          <w:szCs w:val="24"/>
          <w:lang w:val="es-AR"/>
        </w:rPr>
      </w:pPr>
    </w:p>
    <w:p w14:paraId="2A1B5D99" w14:textId="77777777" w:rsidR="004079B7" w:rsidRPr="00C21BB4" w:rsidRDefault="004079B7">
      <w:pPr>
        <w:jc w:val="both"/>
        <w:rPr>
          <w:rFonts w:ascii="Arial" w:hAnsi="Arial" w:cs="Arial"/>
          <w:b/>
          <w:sz w:val="24"/>
          <w:szCs w:val="24"/>
          <w:u w:val="single"/>
        </w:rPr>
      </w:pPr>
    </w:p>
    <w:p w14:paraId="76E27FA2" w14:textId="77777777" w:rsidR="009C54EC" w:rsidRPr="00C21BB4" w:rsidRDefault="009C54EC" w:rsidP="009C54EC">
      <w:pPr>
        <w:jc w:val="both"/>
        <w:rPr>
          <w:rFonts w:ascii="Arial" w:hAnsi="Arial" w:cs="Arial"/>
          <w:sz w:val="24"/>
          <w:szCs w:val="24"/>
        </w:rPr>
      </w:pPr>
      <w:r w:rsidRPr="00C21BB4">
        <w:rPr>
          <w:rFonts w:ascii="Arial" w:hAnsi="Arial" w:cs="Arial"/>
          <w:b/>
          <w:sz w:val="24"/>
          <w:szCs w:val="24"/>
        </w:rPr>
        <w:t>Comisión Mínima</w:t>
      </w:r>
      <w:r w:rsidRPr="00C21BB4">
        <w:rPr>
          <w:rFonts w:ascii="Arial" w:hAnsi="Arial" w:cs="Arial"/>
          <w:sz w:val="24"/>
          <w:szCs w:val="24"/>
        </w:rPr>
        <w:t>: La comisión mínima a aplicar por cada operación de emisión/cancelación de CEDEAR será de U$D 10.</w:t>
      </w:r>
    </w:p>
    <w:p w14:paraId="6A476DDF" w14:textId="77777777" w:rsidR="004079B7" w:rsidRPr="00C21BB4" w:rsidRDefault="004079B7">
      <w:pPr>
        <w:jc w:val="both"/>
        <w:rPr>
          <w:rFonts w:ascii="Arial" w:hAnsi="Arial" w:cs="Arial"/>
          <w:sz w:val="24"/>
          <w:szCs w:val="24"/>
        </w:rPr>
      </w:pPr>
    </w:p>
    <w:p w14:paraId="514F0650" w14:textId="77777777" w:rsidR="004079B7" w:rsidRPr="00C21BB4" w:rsidRDefault="004079B7">
      <w:pPr>
        <w:jc w:val="both"/>
        <w:rPr>
          <w:rFonts w:ascii="Arial" w:hAnsi="Arial" w:cs="Arial"/>
          <w:sz w:val="24"/>
          <w:szCs w:val="24"/>
        </w:rPr>
      </w:pPr>
    </w:p>
    <w:p w14:paraId="5FB20008" w14:textId="77777777" w:rsidR="00795C02" w:rsidRPr="00C21BB4" w:rsidRDefault="004079B7">
      <w:pPr>
        <w:jc w:val="both"/>
        <w:rPr>
          <w:rFonts w:ascii="Arial" w:hAnsi="Arial" w:cs="Arial"/>
          <w:sz w:val="24"/>
          <w:szCs w:val="24"/>
        </w:rPr>
      </w:pPr>
      <w:r w:rsidRPr="00C21BB4">
        <w:rPr>
          <w:rFonts w:ascii="Arial" w:hAnsi="Arial" w:cs="Arial"/>
          <w:b/>
          <w:sz w:val="24"/>
          <w:szCs w:val="24"/>
        </w:rPr>
        <w:t>Comisión por pago de dividendos</w:t>
      </w:r>
      <w:r w:rsidRPr="00C21BB4">
        <w:rPr>
          <w:rFonts w:ascii="Arial" w:hAnsi="Arial" w:cs="Arial"/>
          <w:sz w:val="24"/>
          <w:szCs w:val="24"/>
        </w:rPr>
        <w:t>: Se aplicará</w:t>
      </w:r>
      <w:r w:rsidR="00795C02" w:rsidRPr="00C21BB4">
        <w:rPr>
          <w:rFonts w:ascii="Arial" w:hAnsi="Arial" w:cs="Arial"/>
          <w:sz w:val="24"/>
          <w:szCs w:val="24"/>
        </w:rPr>
        <w:t xml:space="preserve"> una comisión del 12% sobre el valor neto</w:t>
      </w:r>
      <w:r w:rsidR="00762997" w:rsidRPr="00C21BB4">
        <w:rPr>
          <w:rFonts w:ascii="Arial" w:hAnsi="Arial" w:cs="Arial"/>
          <w:sz w:val="24"/>
          <w:szCs w:val="24"/>
        </w:rPr>
        <w:t xml:space="preserve"> de cada pago de dividendo en dólares estadounidenses. </w:t>
      </w:r>
    </w:p>
    <w:p w14:paraId="4AB80BFF" w14:textId="77777777" w:rsidR="004079B7" w:rsidRPr="00C21BB4" w:rsidRDefault="004079B7">
      <w:pPr>
        <w:jc w:val="both"/>
        <w:rPr>
          <w:rFonts w:ascii="Arial" w:hAnsi="Arial" w:cs="Arial"/>
          <w:sz w:val="24"/>
          <w:szCs w:val="24"/>
        </w:rPr>
      </w:pPr>
    </w:p>
    <w:p w14:paraId="11B10E5B" w14:textId="77777777" w:rsidR="004079B7" w:rsidRPr="00C21BB4" w:rsidRDefault="004079B7">
      <w:pPr>
        <w:jc w:val="both"/>
        <w:rPr>
          <w:rFonts w:ascii="Arial" w:hAnsi="Arial" w:cs="Arial"/>
          <w:sz w:val="24"/>
          <w:szCs w:val="24"/>
        </w:rPr>
      </w:pPr>
    </w:p>
    <w:p w14:paraId="50806EEE" w14:textId="77777777" w:rsidR="004079B7" w:rsidRPr="00C21BB4" w:rsidRDefault="004079B7">
      <w:pPr>
        <w:jc w:val="both"/>
        <w:rPr>
          <w:rFonts w:ascii="Arial" w:hAnsi="Arial" w:cs="Arial"/>
          <w:sz w:val="24"/>
          <w:szCs w:val="24"/>
        </w:rPr>
      </w:pPr>
      <w:r w:rsidRPr="00C21BB4">
        <w:rPr>
          <w:rFonts w:ascii="Arial" w:hAnsi="Arial" w:cs="Arial"/>
          <w:b/>
          <w:sz w:val="24"/>
          <w:szCs w:val="24"/>
        </w:rPr>
        <w:t xml:space="preserve">Costos: </w:t>
      </w:r>
      <w:r w:rsidRPr="00C21BB4">
        <w:rPr>
          <w:rFonts w:ascii="Arial" w:hAnsi="Arial" w:cs="Arial"/>
          <w:sz w:val="24"/>
          <w:szCs w:val="24"/>
        </w:rPr>
        <w:t xml:space="preserve">En todos los casos los Titulares de CEDEARs se harán cargo de los gastos en concepto de impuestos y contribuciones (inclusive intereses y penalidades) y cualquier arancel </w:t>
      </w:r>
      <w:r w:rsidR="00762997" w:rsidRPr="00C21BB4">
        <w:rPr>
          <w:rFonts w:ascii="Arial" w:hAnsi="Arial" w:cs="Arial"/>
          <w:sz w:val="24"/>
          <w:szCs w:val="24"/>
        </w:rPr>
        <w:t>gubernamental</w:t>
      </w:r>
      <w:r w:rsidRPr="00C21BB4">
        <w:rPr>
          <w:rFonts w:ascii="Arial" w:hAnsi="Arial" w:cs="Arial"/>
          <w:sz w:val="24"/>
          <w:szCs w:val="24"/>
        </w:rPr>
        <w:t>, incluido el Impuesto al Valor Agregado si correspondiera.</w:t>
      </w:r>
    </w:p>
    <w:p w14:paraId="6A2C914D" w14:textId="77777777" w:rsidR="004079B7" w:rsidRPr="00C21BB4" w:rsidRDefault="004079B7">
      <w:pPr>
        <w:jc w:val="both"/>
        <w:rPr>
          <w:rFonts w:ascii="Arial" w:hAnsi="Arial" w:cs="Arial"/>
          <w:sz w:val="24"/>
          <w:szCs w:val="24"/>
        </w:rPr>
      </w:pPr>
    </w:p>
    <w:p w14:paraId="4ACF25F1" w14:textId="77777777" w:rsidR="004079B7" w:rsidRPr="00C21BB4" w:rsidRDefault="004079B7">
      <w:pPr>
        <w:jc w:val="both"/>
        <w:rPr>
          <w:rFonts w:ascii="Arial" w:hAnsi="Arial" w:cs="Arial"/>
          <w:b/>
          <w:sz w:val="24"/>
          <w:szCs w:val="24"/>
          <w:u w:val="single"/>
        </w:rPr>
      </w:pPr>
    </w:p>
    <w:p w14:paraId="07EF68C5" w14:textId="77777777" w:rsidR="004079B7" w:rsidRPr="00C21BB4" w:rsidRDefault="004079B7">
      <w:pPr>
        <w:pStyle w:val="Textoindependiente"/>
        <w:ind w:firstLine="705"/>
        <w:rPr>
          <w:rFonts w:ascii="Arial" w:hAnsi="Arial" w:cs="Arial"/>
          <w:szCs w:val="24"/>
        </w:rPr>
      </w:pPr>
    </w:p>
    <w:p w14:paraId="0692F55B" w14:textId="77777777" w:rsidR="004079B7" w:rsidRPr="00FF5B68" w:rsidRDefault="004079B7">
      <w:pPr>
        <w:pStyle w:val="Textoindependiente"/>
        <w:ind w:firstLine="705"/>
        <w:rPr>
          <w:rFonts w:ascii="Arial" w:hAnsi="Arial" w:cs="Arial"/>
          <w:szCs w:val="24"/>
        </w:rPr>
      </w:pPr>
    </w:p>
    <w:p w14:paraId="4EDB68D8" w14:textId="77777777" w:rsidR="004079B7" w:rsidRPr="00FF5B68" w:rsidRDefault="004079B7">
      <w:pPr>
        <w:pStyle w:val="Textoindependiente"/>
        <w:ind w:firstLine="705"/>
        <w:rPr>
          <w:rFonts w:ascii="Arial" w:hAnsi="Arial" w:cs="Arial"/>
          <w:szCs w:val="24"/>
        </w:rPr>
      </w:pPr>
    </w:p>
    <w:p w14:paraId="5251F691" w14:textId="3A05B8F4" w:rsidR="004079B7" w:rsidRPr="00FF5B68" w:rsidRDefault="004079B7" w:rsidP="00206935">
      <w:pPr>
        <w:pStyle w:val="Textoindependiente"/>
        <w:ind w:firstLine="705"/>
        <w:rPr>
          <w:rFonts w:ascii="Arial" w:hAnsi="Arial" w:cs="Arial"/>
          <w:szCs w:val="24"/>
        </w:rPr>
      </w:pP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0021740F" w:rsidRPr="00FF5B68">
        <w:rPr>
          <w:rFonts w:ascii="Arial" w:hAnsi="Arial" w:cs="Arial"/>
          <w:szCs w:val="24"/>
        </w:rPr>
        <w:t xml:space="preserve"> </w:t>
      </w:r>
      <w:r w:rsidRPr="00FF5B68">
        <w:rPr>
          <w:rFonts w:ascii="Arial" w:hAnsi="Arial" w:cs="Arial"/>
          <w:szCs w:val="24"/>
        </w:rPr>
        <w:t>B</w:t>
      </w:r>
      <w:r w:rsidR="0021740F" w:rsidRPr="00FF5B68">
        <w:rPr>
          <w:rFonts w:ascii="Arial" w:hAnsi="Arial" w:cs="Arial"/>
          <w:szCs w:val="24"/>
        </w:rPr>
        <w:t>uenos Aires</w:t>
      </w:r>
      <w:r w:rsidR="00DA2B11">
        <w:rPr>
          <w:rFonts w:ascii="Arial" w:hAnsi="Arial" w:cs="Arial"/>
          <w:szCs w:val="24"/>
        </w:rPr>
        <w:t xml:space="preserve">, </w:t>
      </w:r>
      <w:r w:rsidR="00FF4641">
        <w:rPr>
          <w:rFonts w:ascii="Arial" w:hAnsi="Arial" w:cs="Arial"/>
          <w:szCs w:val="24"/>
        </w:rPr>
        <w:t xml:space="preserve">21 </w:t>
      </w:r>
      <w:r w:rsidR="00DA2B11">
        <w:rPr>
          <w:rFonts w:ascii="Arial" w:hAnsi="Arial" w:cs="Arial"/>
          <w:szCs w:val="24"/>
        </w:rPr>
        <w:t xml:space="preserve">de </w:t>
      </w:r>
      <w:r w:rsidR="00FF4641">
        <w:rPr>
          <w:rFonts w:ascii="Arial" w:hAnsi="Arial" w:cs="Arial"/>
          <w:szCs w:val="24"/>
        </w:rPr>
        <w:t>octubre</w:t>
      </w:r>
      <w:r w:rsidR="00DA2B11">
        <w:rPr>
          <w:rFonts w:ascii="Arial" w:hAnsi="Arial" w:cs="Arial"/>
          <w:szCs w:val="24"/>
        </w:rPr>
        <w:t xml:space="preserve"> </w:t>
      </w:r>
      <w:r w:rsidR="00206935" w:rsidRPr="00FF5B68">
        <w:rPr>
          <w:rFonts w:ascii="Arial" w:hAnsi="Arial" w:cs="Arial"/>
          <w:szCs w:val="24"/>
        </w:rPr>
        <w:t>de 20</w:t>
      </w:r>
      <w:r w:rsidR="003A2495" w:rsidRPr="00FF5B68">
        <w:rPr>
          <w:rFonts w:ascii="Arial" w:hAnsi="Arial" w:cs="Arial"/>
          <w:szCs w:val="24"/>
        </w:rPr>
        <w:t>1</w:t>
      </w:r>
      <w:r w:rsidR="0077625F">
        <w:rPr>
          <w:rFonts w:ascii="Arial" w:hAnsi="Arial" w:cs="Arial"/>
          <w:szCs w:val="24"/>
        </w:rPr>
        <w:t>9</w:t>
      </w:r>
    </w:p>
    <w:p w14:paraId="2D6CF92F" w14:textId="77777777" w:rsidR="004079B7" w:rsidRPr="00FF4641" w:rsidRDefault="004079B7">
      <w:pPr>
        <w:rPr>
          <w:rFonts w:ascii="Arial" w:hAnsi="Arial" w:cs="Arial"/>
          <w:sz w:val="24"/>
          <w:szCs w:val="24"/>
          <w:lang w:val="es-AR"/>
        </w:rPr>
      </w:pPr>
    </w:p>
    <w:p w14:paraId="48A0581D" w14:textId="77777777" w:rsidR="004079B7" w:rsidRPr="00C21BB4" w:rsidRDefault="004079B7">
      <w:pPr>
        <w:pStyle w:val="Ttulo"/>
        <w:rPr>
          <w:rFonts w:ascii="Arial" w:hAnsi="Arial" w:cs="Arial"/>
          <w:szCs w:val="24"/>
        </w:rPr>
      </w:pPr>
    </w:p>
    <w:sectPr w:rsidR="004079B7" w:rsidRPr="00C21BB4" w:rsidSect="006D1D02">
      <w:footerReference w:type="even" r:id="rId31"/>
      <w:footerReference w:type="default" r:id="rId32"/>
      <w:footerReference w:type="first" r:id="rId33"/>
      <w:pgSz w:w="12242" w:h="15842" w:code="1"/>
      <w:pgMar w:top="1440" w:right="1440" w:bottom="1440" w:left="1440"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8D3F" w14:textId="77777777" w:rsidR="002746C4" w:rsidRDefault="002746C4">
      <w:r>
        <w:separator/>
      </w:r>
    </w:p>
  </w:endnote>
  <w:endnote w:type="continuationSeparator" w:id="0">
    <w:p w14:paraId="6E81B826" w14:textId="77777777" w:rsidR="002746C4" w:rsidRDefault="002746C4">
      <w:r>
        <w:continuationSeparator/>
      </w:r>
    </w:p>
  </w:endnote>
  <w:endnote w:type="continuationNotice" w:id="1">
    <w:p w14:paraId="035D9572" w14:textId="77777777" w:rsidR="002746C4" w:rsidRDefault="00274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39FC" w14:textId="77777777" w:rsidR="002746C4" w:rsidRDefault="002746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0760FF" w14:textId="77777777" w:rsidR="002746C4" w:rsidRDefault="002746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FC49" w14:textId="77777777" w:rsidR="002746C4" w:rsidRDefault="002746C4" w:rsidP="00AC6B0F">
    <w:pPr>
      <w:pStyle w:val="Piedepgina"/>
    </w:pPr>
    <w:r w:rsidRPr="006A5F23">
      <w:tab/>
      <w:t xml:space="preserve">- </w:t>
    </w:r>
    <w:r w:rsidRPr="006A5F23">
      <w:fldChar w:fldCharType="begin"/>
    </w:r>
    <w:r w:rsidRPr="006A5F23">
      <w:instrText xml:space="preserve"> PAGE </w:instrText>
    </w:r>
    <w:r w:rsidRPr="006A5F23">
      <w:fldChar w:fldCharType="separate"/>
    </w:r>
    <w:r>
      <w:rPr>
        <w:noProof/>
      </w:rPr>
      <w:t>2</w:t>
    </w:r>
    <w:r w:rsidRPr="006A5F23">
      <w:fldChar w:fldCharType="end"/>
    </w:r>
    <w:r w:rsidRPr="006A5F23">
      <w:t xml:space="preserve"> -</w:t>
    </w:r>
    <w:r>
      <w:rPr>
        <w:rStyle w:val="Nmerodepgin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7379" w14:textId="77777777" w:rsidR="002746C4" w:rsidRPr="00AC6B0F" w:rsidRDefault="002746C4" w:rsidP="00AC6B0F">
    <w:pPr>
      <w:pStyle w:val="Piedepgina"/>
      <w:rPr>
        <w:lang w:val="es-AR"/>
      </w:rPr>
    </w:pPr>
    <w:r>
      <w:rPr>
        <w:lang w:val="es-A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A1DA" w14:textId="77777777" w:rsidR="002746C4" w:rsidRDefault="002746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F6E82F" w14:textId="77777777" w:rsidR="002746C4" w:rsidRDefault="002746C4">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E2E1" w14:textId="77777777" w:rsidR="002746C4" w:rsidRPr="00B56463" w:rsidRDefault="002746C4" w:rsidP="00AC6B0F">
    <w:pPr>
      <w:pStyle w:val="Piedepgina"/>
      <w:rPr>
        <w:rFonts w:ascii="Arial" w:hAnsi="Arial" w:cs="Arial"/>
      </w:rPr>
    </w:pPr>
    <w:r w:rsidRPr="00B56463">
      <w:rPr>
        <w:rFonts w:ascii="Arial" w:hAnsi="Arial" w:cs="Arial"/>
      </w:rPr>
      <w:tab/>
      <w:t xml:space="preserve">- </w:t>
    </w:r>
    <w:r w:rsidRPr="00B56463">
      <w:rPr>
        <w:rFonts w:ascii="Arial" w:hAnsi="Arial" w:cs="Arial"/>
      </w:rPr>
      <w:fldChar w:fldCharType="begin"/>
    </w:r>
    <w:r w:rsidRPr="00B56463">
      <w:rPr>
        <w:rFonts w:ascii="Arial" w:hAnsi="Arial" w:cs="Arial"/>
      </w:rPr>
      <w:instrText xml:space="preserve"> PAGE </w:instrText>
    </w:r>
    <w:r w:rsidRPr="00B56463">
      <w:rPr>
        <w:rFonts w:ascii="Arial" w:hAnsi="Arial" w:cs="Arial"/>
      </w:rPr>
      <w:fldChar w:fldCharType="separate"/>
    </w:r>
    <w:r>
      <w:rPr>
        <w:rFonts w:ascii="Arial" w:hAnsi="Arial" w:cs="Arial"/>
        <w:noProof/>
      </w:rPr>
      <w:t>41</w:t>
    </w:r>
    <w:r w:rsidRPr="00B56463">
      <w:rPr>
        <w:rFonts w:ascii="Arial" w:hAnsi="Arial" w:cs="Arial"/>
      </w:rPr>
      <w:fldChar w:fldCharType="end"/>
    </w:r>
    <w:r w:rsidRPr="00B56463">
      <w:rPr>
        <w:rFonts w:ascii="Arial" w:hAnsi="Arial" w:cs="Arial"/>
      </w:rPr>
      <w:t xml:space="preserve"> -</w:t>
    </w:r>
    <w:r w:rsidRPr="00B56463">
      <w:rPr>
        <w:rStyle w:val="Nmerodepgina"/>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47C5" w14:textId="77777777" w:rsidR="002746C4" w:rsidRPr="00304FFF" w:rsidRDefault="002746C4" w:rsidP="00AC6B0F">
    <w:pPr>
      <w:pStyle w:val="Piedepgina"/>
      <w:rPr>
        <w:lang w:val="es-AR"/>
      </w:rPr>
    </w:pPr>
    <w:r w:rsidRPr="00304FFF">
      <w:rPr>
        <w:lang w:val="es-A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093A" w14:textId="77777777" w:rsidR="002746C4" w:rsidRDefault="002746C4">
      <w:r>
        <w:separator/>
      </w:r>
    </w:p>
  </w:footnote>
  <w:footnote w:type="continuationSeparator" w:id="0">
    <w:p w14:paraId="6522A067" w14:textId="77777777" w:rsidR="002746C4" w:rsidRDefault="002746C4">
      <w:r>
        <w:continuationSeparator/>
      </w:r>
    </w:p>
  </w:footnote>
  <w:footnote w:type="continuationNotice" w:id="1">
    <w:p w14:paraId="0179E405" w14:textId="77777777" w:rsidR="002746C4" w:rsidRDefault="002746C4"/>
  </w:footnote>
  <w:footnote w:id="2">
    <w:p w14:paraId="2AB03594" w14:textId="77777777" w:rsidR="002746C4" w:rsidRPr="000C2512" w:rsidRDefault="002746C4" w:rsidP="00E20D34">
      <w:pPr>
        <w:pStyle w:val="Textonotapie"/>
        <w:rPr>
          <w:rFonts w:ascii="Arial" w:hAnsi="Arial" w:cs="Arial"/>
          <w:lang w:val="es-AR"/>
        </w:rPr>
      </w:pPr>
      <w:r w:rsidRPr="002C3DCE">
        <w:rPr>
          <w:rStyle w:val="Refdenotaalpie"/>
          <w:rFonts w:ascii="Arial" w:hAnsi="Arial" w:cs="Arial"/>
          <w:sz w:val="14"/>
          <w:szCs w:val="14"/>
        </w:rPr>
        <w:footnoteRef/>
      </w:r>
      <w:r w:rsidRPr="002C3DCE">
        <w:rPr>
          <w:rFonts w:ascii="Arial" w:hAnsi="Arial" w:cs="Arial"/>
          <w:sz w:val="14"/>
          <w:szCs w:val="14"/>
          <w:lang w:val="es-AR"/>
        </w:rPr>
        <w:t xml:space="preserve"> Cfr. Blanco Cordero, Isidoro: El Delito de Blanqueo de Capitales, Ed. Aranzadi, Pamplona,1997, Pág. 101</w:t>
      </w:r>
      <w:r w:rsidRPr="000C2512">
        <w:rPr>
          <w:rFonts w:ascii="Arial" w:hAnsi="Arial" w:cs="Arial"/>
          <w:lang w:val="es-AR"/>
        </w:rPr>
        <w:t>.</w:t>
      </w:r>
    </w:p>
  </w:footnote>
  <w:footnote w:id="3">
    <w:p w14:paraId="45043C2B"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0C2512">
        <w:rPr>
          <w:rStyle w:val="Refdenotaalpie"/>
          <w:rFonts w:ascii="Arial" w:hAnsi="Arial" w:cs="Arial"/>
        </w:rPr>
        <w:footnoteRef/>
      </w:r>
      <w:r w:rsidRPr="002C3DCE">
        <w:rPr>
          <w:rFonts w:ascii="Arial" w:hAnsi="Arial" w:cs="Arial"/>
          <w:lang w:val="es-AR"/>
        </w:rPr>
        <w:t xml:space="preserve"> </w:t>
      </w:r>
      <w:r w:rsidRPr="002C3DCE">
        <w:rPr>
          <w:rFonts w:ascii="Arial" w:hAnsi="Arial" w:cs="Arial"/>
          <w:sz w:val="14"/>
          <w:szCs w:val="14"/>
          <w:lang w:val="es-AR"/>
        </w:rPr>
        <w:t>ANEXO “A”</w:t>
      </w:r>
    </w:p>
    <w:p w14:paraId="4E850973"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1. Convenio para la represión del apoderamiento ilícito de aeronaves, firmado en La Haya el 16 de diciembre de 1970.</w:t>
      </w:r>
    </w:p>
    <w:p w14:paraId="60C853B9"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2. Convenio para la represión de actos ilícitos contra la seguridad de la aviación civil, firmado en Montreal el 23 de septiembre de 1971.</w:t>
      </w:r>
    </w:p>
    <w:p w14:paraId="0040BCF9"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3. Convención sobre la prevención y el castigo de delitos contra personas internacionalmente protegidas, inclusive los agentes diplomáticos, aprobada por la Asamblea General de las Naciones Unidas el 14 de diciembre de 1973.</w:t>
      </w:r>
    </w:p>
    <w:p w14:paraId="4E9E4AFD"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4. Convención Internacional contra la toma de rehenes, aprobada por la Asamblea General de las Naciones Unidas el 17 de diciembre de 1979.</w:t>
      </w:r>
    </w:p>
    <w:p w14:paraId="29AF9E09"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5. Convención sobre la protección física de los materiales nucleares, aprobada en Viena el 3 de marzo de 1980.</w:t>
      </w:r>
    </w:p>
    <w:p w14:paraId="514E8421"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6. Protocolo para la represión de actos ilícitos de violencia en los aeropuertos que presten servicios a la aviación civil internacional, complementario del Convenio para la represión de actos ilícitos contra la seguridad de la aviación civil, firmado en Montreal el 24 de febrero de d988.</w:t>
      </w:r>
    </w:p>
    <w:p w14:paraId="4C2FBD0E"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7. Convenio para la represión de actos ilícitos contra la seguridad de la navegación marítima, firmado en Roma el 10 de marzo de 1988.</w:t>
      </w:r>
    </w:p>
    <w:p w14:paraId="5E749E79"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8. Protocolo para la represión de actos ilícitos contra la seguridad de las plataformas fijas emplazadas en la plataforma continental, hecho en Roma el 10 de marzo de 1988.</w:t>
      </w:r>
    </w:p>
    <w:p w14:paraId="3AF06060"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9. Convenio Internacional para la represión de los atentados terroristas cometidos con bombas, aprobado por la Asamblea General de las Naciones Unidas el 15 de diciembre de 1997.</w:t>
      </w:r>
    </w:p>
    <w:p w14:paraId="32AE033D" w14:textId="77777777" w:rsidR="002746C4" w:rsidRPr="002C3DCE" w:rsidRDefault="002746C4"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10. Ley de Acta Patriótica de los Estados Unidos del 26 de octubre de 2001.</w:t>
      </w:r>
    </w:p>
    <w:p w14:paraId="58BF161F" w14:textId="77777777" w:rsidR="002746C4" w:rsidRPr="00203D19" w:rsidRDefault="002746C4" w:rsidP="00E20D34">
      <w:pPr>
        <w:pStyle w:val="Textonotapie"/>
        <w:rPr>
          <w:lang w:val="es-AR"/>
        </w:rPr>
      </w:pPr>
    </w:p>
  </w:footnote>
  <w:footnote w:id="4">
    <w:p w14:paraId="35C090BC" w14:textId="77777777" w:rsidR="002746C4" w:rsidRPr="007E6FE0" w:rsidRDefault="002746C4">
      <w:pPr>
        <w:pStyle w:val="Textonotapie"/>
        <w:rPr>
          <w:lang w:val="es-AR"/>
        </w:rPr>
      </w:pPr>
      <w:r w:rsidRPr="007E6FE0">
        <w:rPr>
          <w:rStyle w:val="Refdenotaalpie"/>
          <w:lang w:val="es-AR"/>
        </w:rPr>
        <w:t xml:space="preserve">1 </w:t>
      </w:r>
      <w:r w:rsidRPr="005E4095">
        <w:rPr>
          <w:lang w:val="es-AR"/>
        </w:rPr>
        <w:t>https://www.bnymellon.com/_global-assets/pdf/investor-relations/</w:t>
      </w:r>
      <w:r>
        <w:rPr>
          <w:lang w:val="es-AR"/>
        </w:rPr>
        <w:t>financial-supplement-2q</w:t>
      </w:r>
      <w:r w:rsidRPr="005E4095">
        <w:rPr>
          <w:lang w:val="es-AR"/>
        </w:rPr>
        <w:t>-201</w:t>
      </w:r>
      <w:r>
        <w:rPr>
          <w:lang w:val="es-AR"/>
        </w:rPr>
        <w:t>9</w:t>
      </w:r>
      <w:r w:rsidRPr="005E4095">
        <w:rPr>
          <w:lang w:val="es-AR"/>
        </w:rPr>
        <w:t>.pdf</w:t>
      </w:r>
    </w:p>
  </w:footnote>
  <w:footnote w:id="5">
    <w:p w14:paraId="377D3E3C" w14:textId="77777777" w:rsidR="002746C4" w:rsidRPr="00B470B9" w:rsidRDefault="002746C4" w:rsidP="00A46296">
      <w:pPr>
        <w:pStyle w:val="Textonotapie"/>
        <w:rPr>
          <w:rFonts w:ascii="Arial" w:hAnsi="Arial" w:cs="Arial"/>
          <w:lang w:val="es-AR"/>
        </w:rPr>
      </w:pPr>
      <w:r w:rsidRPr="004649A9">
        <w:rPr>
          <w:rStyle w:val="Refdenotaalpie"/>
          <w:rFonts w:ascii="Arial" w:hAnsi="Arial" w:cs="Arial"/>
          <w:lang w:val="es-AR"/>
        </w:rPr>
        <w:t>4</w:t>
      </w:r>
      <w:r w:rsidRPr="00B470B9">
        <w:rPr>
          <w:rFonts w:ascii="Arial" w:hAnsi="Arial" w:cs="Arial"/>
          <w:lang w:val="es-AR"/>
        </w:rPr>
        <w:t xml:space="preserve"> A completar en cada Programa de CEDEAR con la información de la Tabla Nro.3 relativa a la sociedad emisora de </w:t>
      </w:r>
      <w:r>
        <w:rPr>
          <w:rFonts w:ascii="Arial" w:hAnsi="Arial" w:cs="Arial"/>
          <w:lang w:val="es-AR"/>
        </w:rPr>
        <w:t xml:space="preserve">las Acciones Subyacentes de los </w:t>
      </w:r>
      <w:r w:rsidRPr="00B470B9">
        <w:rPr>
          <w:rFonts w:ascii="Arial" w:hAnsi="Arial" w:cs="Arial"/>
          <w:lang w:val="es-AR"/>
        </w:rPr>
        <w:t>AD</w:t>
      </w:r>
      <w:r>
        <w:rPr>
          <w:rFonts w:ascii="Arial" w:hAnsi="Arial" w:cs="Arial"/>
          <w:lang w:val="es-AR"/>
        </w:rPr>
        <w:t>S</w:t>
      </w:r>
      <w:r w:rsidRPr="00B470B9">
        <w:rPr>
          <w:rFonts w:ascii="Arial" w:hAnsi="Arial" w:cs="Arial"/>
          <w:lang w:val="es-AR"/>
        </w:rPr>
        <w:t xml:space="preserve"> representados por los CEDEAR</w:t>
      </w:r>
      <w:r>
        <w:rPr>
          <w:rFonts w:ascii="Arial" w:hAnsi="Arial" w:cs="Arial"/>
          <w:lang w:val="es-AR"/>
        </w:rPr>
        <w:t>s.</w:t>
      </w:r>
    </w:p>
  </w:footnote>
  <w:footnote w:id="6">
    <w:p w14:paraId="5AC957A4" w14:textId="77777777" w:rsidR="002746C4" w:rsidRPr="00B470B9" w:rsidRDefault="002746C4" w:rsidP="00A46296">
      <w:pPr>
        <w:pStyle w:val="Textonotapie"/>
        <w:rPr>
          <w:rFonts w:ascii="Arial" w:hAnsi="Arial" w:cs="Arial"/>
          <w:lang w:val="es-AR"/>
        </w:rPr>
      </w:pPr>
      <w:r w:rsidRPr="004649A9">
        <w:rPr>
          <w:rStyle w:val="Refdenotaalpie"/>
          <w:rFonts w:ascii="Arial" w:hAnsi="Arial" w:cs="Arial"/>
          <w:lang w:val="es-AR"/>
        </w:rPr>
        <w:t>5</w:t>
      </w:r>
      <w:r w:rsidRPr="00B470B9">
        <w:rPr>
          <w:rFonts w:ascii="Arial" w:hAnsi="Arial" w:cs="Arial"/>
          <w:lang w:val="es-AR"/>
        </w:rPr>
        <w:t xml:space="preserve"> Idem nota anterior.</w:t>
      </w:r>
    </w:p>
  </w:footnote>
  <w:footnote w:id="7">
    <w:p w14:paraId="7934123B" w14:textId="77777777" w:rsidR="002746C4" w:rsidRPr="00B470B9" w:rsidRDefault="002746C4" w:rsidP="00A46296">
      <w:pPr>
        <w:pStyle w:val="Textonotapie"/>
        <w:rPr>
          <w:rFonts w:ascii="Arial" w:hAnsi="Arial" w:cs="Arial"/>
          <w:lang w:val="es-AR"/>
        </w:rPr>
      </w:pPr>
      <w:r w:rsidRPr="004649A9">
        <w:rPr>
          <w:rStyle w:val="Refdenotaalpie"/>
          <w:rFonts w:ascii="Arial" w:hAnsi="Arial" w:cs="Arial"/>
          <w:lang w:val="es-AR"/>
        </w:rPr>
        <w:t>6</w:t>
      </w:r>
      <w:r w:rsidRPr="00B470B9">
        <w:rPr>
          <w:rFonts w:ascii="Arial" w:hAnsi="Arial" w:cs="Arial"/>
          <w:lang w:val="es-AR"/>
        </w:rPr>
        <w:t xml:space="preserve"> Idem nota anterior.</w:t>
      </w:r>
    </w:p>
  </w:footnote>
  <w:footnote w:id="8">
    <w:p w14:paraId="5DAC519A" w14:textId="77777777" w:rsidR="002746C4" w:rsidRPr="00B470B9" w:rsidRDefault="002746C4" w:rsidP="00A46296">
      <w:pPr>
        <w:pStyle w:val="Textonotapie"/>
        <w:rPr>
          <w:rFonts w:ascii="Arial" w:hAnsi="Arial" w:cs="Arial"/>
          <w:lang w:val="es-AR"/>
        </w:rPr>
      </w:pPr>
      <w:r w:rsidRPr="004649A9">
        <w:rPr>
          <w:rStyle w:val="Refdenotaalpie"/>
          <w:rFonts w:ascii="Arial" w:hAnsi="Arial" w:cs="Arial"/>
          <w:lang w:val="es-AR"/>
        </w:rPr>
        <w:t>7</w:t>
      </w:r>
      <w:r w:rsidRPr="00B470B9">
        <w:rPr>
          <w:rFonts w:ascii="Arial" w:hAnsi="Arial" w:cs="Arial"/>
          <w:lang w:val="es-AR"/>
        </w:rPr>
        <w:t xml:space="preserve"> Idem nota anterior.</w:t>
      </w:r>
    </w:p>
  </w:footnote>
  <w:footnote w:id="9">
    <w:p w14:paraId="36C357A3" w14:textId="77777777" w:rsidR="002746C4" w:rsidRPr="00B470B9" w:rsidRDefault="002746C4" w:rsidP="00A46296">
      <w:pPr>
        <w:pStyle w:val="Textonotapie"/>
        <w:rPr>
          <w:lang w:val="es-AR"/>
        </w:rPr>
      </w:pPr>
      <w:r w:rsidRPr="004649A9">
        <w:rPr>
          <w:rStyle w:val="Refdenotaalpie"/>
          <w:rFonts w:ascii="Arial" w:hAnsi="Arial" w:cs="Arial"/>
          <w:lang w:val="es-AR"/>
        </w:rPr>
        <w:t>8</w:t>
      </w:r>
      <w:r w:rsidRPr="00B470B9">
        <w:rPr>
          <w:rFonts w:ascii="Arial" w:hAnsi="Arial" w:cs="Arial"/>
          <w:lang w:val="es-AR"/>
        </w:rPr>
        <w:t xml:space="preserve"> Idem nota anterior.</w:t>
      </w:r>
    </w:p>
  </w:footnote>
  <w:footnote w:id="10">
    <w:p w14:paraId="7F05E81F" w14:textId="77777777" w:rsidR="002746C4" w:rsidRPr="00B470B9" w:rsidRDefault="002746C4" w:rsidP="00A46296">
      <w:pPr>
        <w:pStyle w:val="Textonotapie"/>
        <w:rPr>
          <w:rFonts w:ascii="Arial" w:hAnsi="Arial" w:cs="Arial"/>
          <w:lang w:val="es-AR"/>
        </w:rPr>
      </w:pPr>
      <w:r w:rsidRPr="006C3589">
        <w:rPr>
          <w:rStyle w:val="Refdenotaalpie"/>
          <w:rFonts w:ascii="Arial" w:hAnsi="Arial" w:cs="Arial"/>
          <w:lang w:val="es-AR"/>
        </w:rPr>
        <w:t>9</w:t>
      </w:r>
      <w:r w:rsidRPr="00B470B9">
        <w:rPr>
          <w:rFonts w:ascii="Arial" w:hAnsi="Arial" w:cs="Arial"/>
          <w:lang w:val="es-AR"/>
        </w:rPr>
        <w:t xml:space="preserve"> Idem nota anterior</w:t>
      </w:r>
    </w:p>
  </w:footnote>
  <w:footnote w:id="11">
    <w:p w14:paraId="20A6DA49" w14:textId="77777777" w:rsidR="002746C4" w:rsidRPr="00B470B9" w:rsidRDefault="002746C4" w:rsidP="00A46296">
      <w:pPr>
        <w:pStyle w:val="Textonotapie"/>
        <w:rPr>
          <w:lang w:val="es-AR"/>
        </w:rPr>
      </w:pPr>
    </w:p>
  </w:footnote>
  <w:footnote w:id="12">
    <w:p w14:paraId="3C10E116" w14:textId="77777777" w:rsidR="002746C4" w:rsidRPr="00397CC5" w:rsidRDefault="002746C4">
      <w:pPr>
        <w:pStyle w:val="Textonotapie"/>
        <w:rPr>
          <w:lang w:val="es-AR"/>
        </w:rPr>
      </w:pPr>
      <w:r w:rsidRPr="00397CC5">
        <w:rPr>
          <w:rStyle w:val="Refdenotaalpie"/>
          <w:lang w:val="es-AR"/>
        </w:rPr>
        <w:t>1</w:t>
      </w:r>
      <w:r w:rsidRPr="00397CC5">
        <w:rPr>
          <w:lang w:val="es-AR"/>
        </w:rPr>
        <w:t xml:space="preserve"> </w:t>
      </w:r>
      <w:r w:rsidRPr="00EB117A">
        <w:rPr>
          <w:rFonts w:ascii="Arial" w:hAnsi="Arial" w:cs="Arial"/>
          <w:lang w:val="es-AR"/>
        </w:rPr>
        <w:t>más el Impuesto al Valor Agregado y otros impuestos que pudieran corresponder</w:t>
      </w:r>
    </w:p>
  </w:footnote>
  <w:footnote w:id="13">
    <w:p w14:paraId="6E97D62A" w14:textId="77777777" w:rsidR="002746C4" w:rsidRPr="00397CC5" w:rsidRDefault="002746C4">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845"/>
    <w:multiLevelType w:val="hybridMultilevel"/>
    <w:tmpl w:val="53C6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4909"/>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E893E7C"/>
    <w:multiLevelType w:val="hybridMultilevel"/>
    <w:tmpl w:val="77B846FC"/>
    <w:lvl w:ilvl="0" w:tplc="DA021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616E4"/>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53B7C"/>
    <w:multiLevelType w:val="hybridMultilevel"/>
    <w:tmpl w:val="35A67BFE"/>
    <w:lvl w:ilvl="0" w:tplc="04090017">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9333F"/>
    <w:multiLevelType w:val="singleLevel"/>
    <w:tmpl w:val="7700C1FA"/>
    <w:lvl w:ilvl="0">
      <w:start w:val="2"/>
      <w:numFmt w:val="decimal"/>
      <w:lvlText w:val="(%1)"/>
      <w:lvlJc w:val="left"/>
      <w:pPr>
        <w:tabs>
          <w:tab w:val="num" w:pos="1144"/>
        </w:tabs>
        <w:ind w:left="1144" w:hanging="435"/>
      </w:pPr>
      <w:rPr>
        <w:rFonts w:hint="default"/>
      </w:rPr>
    </w:lvl>
  </w:abstractNum>
  <w:abstractNum w:abstractNumId="6" w15:restartNumberingAfterBreak="0">
    <w:nsid w:val="28C65B3E"/>
    <w:multiLevelType w:val="singleLevel"/>
    <w:tmpl w:val="5D505A2A"/>
    <w:lvl w:ilvl="0">
      <w:start w:val="1"/>
      <w:numFmt w:val="lowerLetter"/>
      <w:lvlText w:val="(%1)"/>
      <w:lvlJc w:val="left"/>
      <w:pPr>
        <w:tabs>
          <w:tab w:val="num" w:pos="2550"/>
        </w:tabs>
        <w:ind w:left="2550" w:hanging="390"/>
      </w:pPr>
      <w:rPr>
        <w:rFonts w:hint="default"/>
      </w:rPr>
    </w:lvl>
  </w:abstractNum>
  <w:abstractNum w:abstractNumId="7" w15:restartNumberingAfterBreak="0">
    <w:nsid w:val="2BD677B3"/>
    <w:multiLevelType w:val="hybridMultilevel"/>
    <w:tmpl w:val="48B2460A"/>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8" w15:restartNumberingAfterBreak="0">
    <w:nsid w:val="36226237"/>
    <w:multiLevelType w:val="hybridMultilevel"/>
    <w:tmpl w:val="BAE8D506"/>
    <w:lvl w:ilvl="0" w:tplc="83CC9E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3957CF2"/>
    <w:multiLevelType w:val="hybridMultilevel"/>
    <w:tmpl w:val="1D92EAB4"/>
    <w:lvl w:ilvl="0" w:tplc="3BD6E0E4">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FF06A09"/>
    <w:multiLevelType w:val="hybridMultilevel"/>
    <w:tmpl w:val="D2BE5D9E"/>
    <w:lvl w:ilvl="0" w:tplc="8118D9C4">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50A87357"/>
    <w:multiLevelType w:val="hybridMultilevel"/>
    <w:tmpl w:val="A680E670"/>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E1A48"/>
    <w:multiLevelType w:val="hybridMultilevel"/>
    <w:tmpl w:val="E8CED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53451"/>
    <w:multiLevelType w:val="hybridMultilevel"/>
    <w:tmpl w:val="AE28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86EC1"/>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5" w15:restartNumberingAfterBreak="0">
    <w:nsid w:val="6CAE13AD"/>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B01D3"/>
    <w:multiLevelType w:val="hybridMultilevel"/>
    <w:tmpl w:val="8D6C0442"/>
    <w:lvl w:ilvl="0" w:tplc="FDD68A1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7" w15:restartNumberingAfterBreak="0">
    <w:nsid w:val="6FB65941"/>
    <w:multiLevelType w:val="hybridMultilevel"/>
    <w:tmpl w:val="9DDC8508"/>
    <w:lvl w:ilvl="0" w:tplc="F51CF5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105122A"/>
    <w:multiLevelType w:val="hybridMultilevel"/>
    <w:tmpl w:val="EF1CB4D2"/>
    <w:lvl w:ilvl="0" w:tplc="2C0A0011">
      <w:start w:val="1"/>
      <w:numFmt w:val="decimal"/>
      <w:lvlText w:val="%1)"/>
      <w:lvlJc w:val="left"/>
      <w:pPr>
        <w:tabs>
          <w:tab w:val="num" w:pos="720"/>
        </w:tabs>
        <w:ind w:left="720" w:hanging="360"/>
      </w:pPr>
      <w:rPr>
        <w:rFonts w:hint="default"/>
        <w:u w:val="none"/>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77780282"/>
    <w:multiLevelType w:val="hybridMultilevel"/>
    <w:tmpl w:val="254A03FC"/>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8"/>
  </w:num>
  <w:num w:numId="4">
    <w:abstractNumId w:val="7"/>
  </w:num>
  <w:num w:numId="5">
    <w:abstractNumId w:val="10"/>
  </w:num>
  <w:num w:numId="6">
    <w:abstractNumId w:val="11"/>
  </w:num>
  <w:num w:numId="7">
    <w:abstractNumId w:val="19"/>
  </w:num>
  <w:num w:numId="8">
    <w:abstractNumId w:val="16"/>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4"/>
  </w:num>
  <w:num w:numId="13">
    <w:abstractNumId w:val="2"/>
  </w:num>
  <w:num w:numId="14">
    <w:abstractNumId w:val="15"/>
  </w:num>
  <w:num w:numId="15">
    <w:abstractNumId w:val="14"/>
  </w:num>
  <w:num w:numId="16">
    <w:abstractNumId w:val="1"/>
  </w:num>
  <w:num w:numId="17">
    <w:abstractNumId w:val="0"/>
  </w:num>
  <w:num w:numId="18">
    <w:abstractNumId w:val="9"/>
  </w:num>
  <w:num w:numId="19">
    <w:abstractNumId w:val="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ES" w:vendorID="64" w:dllVersion="0" w:nlCheck="1" w:checkStyle="0"/>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95"/>
    <w:rsid w:val="00000727"/>
    <w:rsid w:val="00001D16"/>
    <w:rsid w:val="00004095"/>
    <w:rsid w:val="00004247"/>
    <w:rsid w:val="000121FE"/>
    <w:rsid w:val="00012BEB"/>
    <w:rsid w:val="00015515"/>
    <w:rsid w:val="00015867"/>
    <w:rsid w:val="0001656A"/>
    <w:rsid w:val="00020044"/>
    <w:rsid w:val="00021197"/>
    <w:rsid w:val="00024028"/>
    <w:rsid w:val="00027C64"/>
    <w:rsid w:val="00030887"/>
    <w:rsid w:val="00036828"/>
    <w:rsid w:val="00037053"/>
    <w:rsid w:val="000413BB"/>
    <w:rsid w:val="00050175"/>
    <w:rsid w:val="00050BDA"/>
    <w:rsid w:val="00051835"/>
    <w:rsid w:val="00053962"/>
    <w:rsid w:val="0006439C"/>
    <w:rsid w:val="00065054"/>
    <w:rsid w:val="000657F5"/>
    <w:rsid w:val="00065C13"/>
    <w:rsid w:val="00071957"/>
    <w:rsid w:val="00072719"/>
    <w:rsid w:val="00072E02"/>
    <w:rsid w:val="000764E7"/>
    <w:rsid w:val="00076D5E"/>
    <w:rsid w:val="00080684"/>
    <w:rsid w:val="00080694"/>
    <w:rsid w:val="00084CB8"/>
    <w:rsid w:val="0009241B"/>
    <w:rsid w:val="00094A34"/>
    <w:rsid w:val="000962DA"/>
    <w:rsid w:val="000A2745"/>
    <w:rsid w:val="000A4303"/>
    <w:rsid w:val="000A6828"/>
    <w:rsid w:val="000B1078"/>
    <w:rsid w:val="000B3B07"/>
    <w:rsid w:val="000B609A"/>
    <w:rsid w:val="000B69AC"/>
    <w:rsid w:val="000C17D2"/>
    <w:rsid w:val="000C2512"/>
    <w:rsid w:val="000C616A"/>
    <w:rsid w:val="000D4F90"/>
    <w:rsid w:val="000E056D"/>
    <w:rsid w:val="000E09F4"/>
    <w:rsid w:val="000E34C9"/>
    <w:rsid w:val="000E76CF"/>
    <w:rsid w:val="000F035C"/>
    <w:rsid w:val="000F0861"/>
    <w:rsid w:val="000F0BEE"/>
    <w:rsid w:val="000F0FC7"/>
    <w:rsid w:val="000F2666"/>
    <w:rsid w:val="000F2871"/>
    <w:rsid w:val="000F309F"/>
    <w:rsid w:val="000F4ACC"/>
    <w:rsid w:val="000F5D62"/>
    <w:rsid w:val="001008E0"/>
    <w:rsid w:val="00100F5F"/>
    <w:rsid w:val="00103B2D"/>
    <w:rsid w:val="00106637"/>
    <w:rsid w:val="00106DC5"/>
    <w:rsid w:val="0011665E"/>
    <w:rsid w:val="00116CF2"/>
    <w:rsid w:val="0011754D"/>
    <w:rsid w:val="001228B0"/>
    <w:rsid w:val="00123DD1"/>
    <w:rsid w:val="00124591"/>
    <w:rsid w:val="00125FF5"/>
    <w:rsid w:val="001266DD"/>
    <w:rsid w:val="001275D2"/>
    <w:rsid w:val="001328A0"/>
    <w:rsid w:val="00135448"/>
    <w:rsid w:val="00136D5E"/>
    <w:rsid w:val="00136FA6"/>
    <w:rsid w:val="00140465"/>
    <w:rsid w:val="001408F0"/>
    <w:rsid w:val="00140B64"/>
    <w:rsid w:val="00142E00"/>
    <w:rsid w:val="001447B4"/>
    <w:rsid w:val="0015095E"/>
    <w:rsid w:val="00151721"/>
    <w:rsid w:val="00153427"/>
    <w:rsid w:val="00154F83"/>
    <w:rsid w:val="00155912"/>
    <w:rsid w:val="00156147"/>
    <w:rsid w:val="001572E5"/>
    <w:rsid w:val="00157593"/>
    <w:rsid w:val="00162197"/>
    <w:rsid w:val="00162388"/>
    <w:rsid w:val="00167D97"/>
    <w:rsid w:val="00167F04"/>
    <w:rsid w:val="00170FD4"/>
    <w:rsid w:val="00171C06"/>
    <w:rsid w:val="00173EC7"/>
    <w:rsid w:val="001759C5"/>
    <w:rsid w:val="00180E3F"/>
    <w:rsid w:val="0018211B"/>
    <w:rsid w:val="001830BE"/>
    <w:rsid w:val="00183E0E"/>
    <w:rsid w:val="001847DE"/>
    <w:rsid w:val="00186EB5"/>
    <w:rsid w:val="00190417"/>
    <w:rsid w:val="00192C0C"/>
    <w:rsid w:val="00193B95"/>
    <w:rsid w:val="001969CA"/>
    <w:rsid w:val="001A0A2E"/>
    <w:rsid w:val="001A161F"/>
    <w:rsid w:val="001A337F"/>
    <w:rsid w:val="001A4226"/>
    <w:rsid w:val="001A6D52"/>
    <w:rsid w:val="001B02B2"/>
    <w:rsid w:val="001B0B73"/>
    <w:rsid w:val="001B6518"/>
    <w:rsid w:val="001B6E8D"/>
    <w:rsid w:val="001B7072"/>
    <w:rsid w:val="001B7EBC"/>
    <w:rsid w:val="001C09BC"/>
    <w:rsid w:val="001C1245"/>
    <w:rsid w:val="001C496A"/>
    <w:rsid w:val="001C4B08"/>
    <w:rsid w:val="001C6E16"/>
    <w:rsid w:val="001C7B17"/>
    <w:rsid w:val="001D278C"/>
    <w:rsid w:val="001D4D0A"/>
    <w:rsid w:val="001D7CC3"/>
    <w:rsid w:val="001E5464"/>
    <w:rsid w:val="001E5B3D"/>
    <w:rsid w:val="001E774A"/>
    <w:rsid w:val="001F1336"/>
    <w:rsid w:val="001F26EF"/>
    <w:rsid w:val="001F3BD8"/>
    <w:rsid w:val="001F7057"/>
    <w:rsid w:val="001F7C05"/>
    <w:rsid w:val="00201A0B"/>
    <w:rsid w:val="00202A32"/>
    <w:rsid w:val="00202B2A"/>
    <w:rsid w:val="002044AE"/>
    <w:rsid w:val="00206935"/>
    <w:rsid w:val="00206E8F"/>
    <w:rsid w:val="0021053B"/>
    <w:rsid w:val="00214BBE"/>
    <w:rsid w:val="0021723C"/>
    <w:rsid w:val="0021740F"/>
    <w:rsid w:val="002228E4"/>
    <w:rsid w:val="002254E0"/>
    <w:rsid w:val="00226BA0"/>
    <w:rsid w:val="0023033B"/>
    <w:rsid w:val="002338E2"/>
    <w:rsid w:val="002341C7"/>
    <w:rsid w:val="00234988"/>
    <w:rsid w:val="0023732A"/>
    <w:rsid w:val="00240308"/>
    <w:rsid w:val="00242868"/>
    <w:rsid w:val="0024762E"/>
    <w:rsid w:val="00247A30"/>
    <w:rsid w:val="00255AA3"/>
    <w:rsid w:val="00257F24"/>
    <w:rsid w:val="00263135"/>
    <w:rsid w:val="00263FC5"/>
    <w:rsid w:val="002706A9"/>
    <w:rsid w:val="00272788"/>
    <w:rsid w:val="0027344E"/>
    <w:rsid w:val="00273B70"/>
    <w:rsid w:val="00273F9E"/>
    <w:rsid w:val="002746C4"/>
    <w:rsid w:val="00274D48"/>
    <w:rsid w:val="002802AF"/>
    <w:rsid w:val="002809E5"/>
    <w:rsid w:val="0028125A"/>
    <w:rsid w:val="0028238B"/>
    <w:rsid w:val="002830E1"/>
    <w:rsid w:val="002900EC"/>
    <w:rsid w:val="00290EE9"/>
    <w:rsid w:val="00295EEB"/>
    <w:rsid w:val="002A0F3D"/>
    <w:rsid w:val="002A7AA7"/>
    <w:rsid w:val="002B134F"/>
    <w:rsid w:val="002B16B3"/>
    <w:rsid w:val="002B1FA2"/>
    <w:rsid w:val="002B3E0C"/>
    <w:rsid w:val="002B4581"/>
    <w:rsid w:val="002B6DAC"/>
    <w:rsid w:val="002B7F6E"/>
    <w:rsid w:val="002C284E"/>
    <w:rsid w:val="002C33B7"/>
    <w:rsid w:val="002C3DCE"/>
    <w:rsid w:val="002C5AAE"/>
    <w:rsid w:val="002C5E19"/>
    <w:rsid w:val="002D2053"/>
    <w:rsid w:val="002D5271"/>
    <w:rsid w:val="002D7941"/>
    <w:rsid w:val="002E1DE6"/>
    <w:rsid w:val="002E4254"/>
    <w:rsid w:val="002E4905"/>
    <w:rsid w:val="002F1F54"/>
    <w:rsid w:val="002F26DF"/>
    <w:rsid w:val="002F387F"/>
    <w:rsid w:val="002F44D3"/>
    <w:rsid w:val="002F63DC"/>
    <w:rsid w:val="002F7B49"/>
    <w:rsid w:val="003008FF"/>
    <w:rsid w:val="00303A27"/>
    <w:rsid w:val="00304FFF"/>
    <w:rsid w:val="00306EC0"/>
    <w:rsid w:val="0031082B"/>
    <w:rsid w:val="003118F1"/>
    <w:rsid w:val="0031280B"/>
    <w:rsid w:val="00312811"/>
    <w:rsid w:val="003128FC"/>
    <w:rsid w:val="0031355D"/>
    <w:rsid w:val="003156FC"/>
    <w:rsid w:val="0031571D"/>
    <w:rsid w:val="00316ABC"/>
    <w:rsid w:val="003210C9"/>
    <w:rsid w:val="00321551"/>
    <w:rsid w:val="0032362F"/>
    <w:rsid w:val="00323E1D"/>
    <w:rsid w:val="003245D6"/>
    <w:rsid w:val="00325C3B"/>
    <w:rsid w:val="00327475"/>
    <w:rsid w:val="0033175C"/>
    <w:rsid w:val="00332195"/>
    <w:rsid w:val="00332355"/>
    <w:rsid w:val="00332A2D"/>
    <w:rsid w:val="00336630"/>
    <w:rsid w:val="00336D50"/>
    <w:rsid w:val="003374D2"/>
    <w:rsid w:val="00342DDE"/>
    <w:rsid w:val="00345EA9"/>
    <w:rsid w:val="00346606"/>
    <w:rsid w:val="00346E15"/>
    <w:rsid w:val="00351254"/>
    <w:rsid w:val="00352BB4"/>
    <w:rsid w:val="00353FA4"/>
    <w:rsid w:val="0035484C"/>
    <w:rsid w:val="00354B97"/>
    <w:rsid w:val="00356610"/>
    <w:rsid w:val="0035711E"/>
    <w:rsid w:val="003603D0"/>
    <w:rsid w:val="00360D04"/>
    <w:rsid w:val="003615FF"/>
    <w:rsid w:val="003635DD"/>
    <w:rsid w:val="00366D94"/>
    <w:rsid w:val="00371E04"/>
    <w:rsid w:val="00373FBC"/>
    <w:rsid w:val="00376239"/>
    <w:rsid w:val="003820CE"/>
    <w:rsid w:val="00383812"/>
    <w:rsid w:val="003848FF"/>
    <w:rsid w:val="00386200"/>
    <w:rsid w:val="00386A02"/>
    <w:rsid w:val="0039160F"/>
    <w:rsid w:val="003920C7"/>
    <w:rsid w:val="003950C2"/>
    <w:rsid w:val="00397CC5"/>
    <w:rsid w:val="003A0B7F"/>
    <w:rsid w:val="003A1CDB"/>
    <w:rsid w:val="003A2495"/>
    <w:rsid w:val="003A3CA6"/>
    <w:rsid w:val="003B075D"/>
    <w:rsid w:val="003B1326"/>
    <w:rsid w:val="003B2932"/>
    <w:rsid w:val="003B47A9"/>
    <w:rsid w:val="003B5A2D"/>
    <w:rsid w:val="003C044D"/>
    <w:rsid w:val="003C0CE2"/>
    <w:rsid w:val="003C17A1"/>
    <w:rsid w:val="003C1D77"/>
    <w:rsid w:val="003C73C3"/>
    <w:rsid w:val="003D4062"/>
    <w:rsid w:val="003D6E20"/>
    <w:rsid w:val="003E2BCC"/>
    <w:rsid w:val="003E4556"/>
    <w:rsid w:val="003E54B1"/>
    <w:rsid w:val="003E7E90"/>
    <w:rsid w:val="003F5432"/>
    <w:rsid w:val="003F5871"/>
    <w:rsid w:val="004032F1"/>
    <w:rsid w:val="00406E1A"/>
    <w:rsid w:val="004079B7"/>
    <w:rsid w:val="00411D49"/>
    <w:rsid w:val="00411DEF"/>
    <w:rsid w:val="004120C4"/>
    <w:rsid w:val="00412C92"/>
    <w:rsid w:val="00421757"/>
    <w:rsid w:val="00421B8D"/>
    <w:rsid w:val="004242D1"/>
    <w:rsid w:val="00427477"/>
    <w:rsid w:val="00434580"/>
    <w:rsid w:val="00434A90"/>
    <w:rsid w:val="00434D02"/>
    <w:rsid w:val="00442E68"/>
    <w:rsid w:val="00444AD8"/>
    <w:rsid w:val="00445DFD"/>
    <w:rsid w:val="004464F8"/>
    <w:rsid w:val="00446CE7"/>
    <w:rsid w:val="00450613"/>
    <w:rsid w:val="0045501E"/>
    <w:rsid w:val="004573A3"/>
    <w:rsid w:val="00462821"/>
    <w:rsid w:val="0046291E"/>
    <w:rsid w:val="00463927"/>
    <w:rsid w:val="004649A9"/>
    <w:rsid w:val="00465614"/>
    <w:rsid w:val="00466EB0"/>
    <w:rsid w:val="00470A0F"/>
    <w:rsid w:val="004749DA"/>
    <w:rsid w:val="00474DE9"/>
    <w:rsid w:val="00476086"/>
    <w:rsid w:val="00476FFE"/>
    <w:rsid w:val="004772D4"/>
    <w:rsid w:val="004776B9"/>
    <w:rsid w:val="00477BC5"/>
    <w:rsid w:val="00483B5C"/>
    <w:rsid w:val="004873C2"/>
    <w:rsid w:val="00490C69"/>
    <w:rsid w:val="004918F7"/>
    <w:rsid w:val="00491DC1"/>
    <w:rsid w:val="004922B3"/>
    <w:rsid w:val="00494C75"/>
    <w:rsid w:val="004A0B14"/>
    <w:rsid w:val="004A0F84"/>
    <w:rsid w:val="004A2901"/>
    <w:rsid w:val="004A524C"/>
    <w:rsid w:val="004A61CF"/>
    <w:rsid w:val="004B0AF5"/>
    <w:rsid w:val="004B1C51"/>
    <w:rsid w:val="004B43B6"/>
    <w:rsid w:val="004B7AEC"/>
    <w:rsid w:val="004C2332"/>
    <w:rsid w:val="004C4852"/>
    <w:rsid w:val="004C4A37"/>
    <w:rsid w:val="004D1DE0"/>
    <w:rsid w:val="004D5459"/>
    <w:rsid w:val="004D578E"/>
    <w:rsid w:val="004E5B73"/>
    <w:rsid w:val="004E6B85"/>
    <w:rsid w:val="004F0ACF"/>
    <w:rsid w:val="004F255D"/>
    <w:rsid w:val="004F39F9"/>
    <w:rsid w:val="004F535E"/>
    <w:rsid w:val="004F5A88"/>
    <w:rsid w:val="004F6721"/>
    <w:rsid w:val="004F6F01"/>
    <w:rsid w:val="00500A2A"/>
    <w:rsid w:val="00500EED"/>
    <w:rsid w:val="005019B4"/>
    <w:rsid w:val="00502877"/>
    <w:rsid w:val="00503572"/>
    <w:rsid w:val="00504E6B"/>
    <w:rsid w:val="00506477"/>
    <w:rsid w:val="005121D0"/>
    <w:rsid w:val="00512985"/>
    <w:rsid w:val="00514AAE"/>
    <w:rsid w:val="0051555D"/>
    <w:rsid w:val="005164BB"/>
    <w:rsid w:val="00516583"/>
    <w:rsid w:val="00520203"/>
    <w:rsid w:val="00521977"/>
    <w:rsid w:val="0052324A"/>
    <w:rsid w:val="00523E01"/>
    <w:rsid w:val="0052778C"/>
    <w:rsid w:val="00535B65"/>
    <w:rsid w:val="0053620E"/>
    <w:rsid w:val="00536865"/>
    <w:rsid w:val="00536B9F"/>
    <w:rsid w:val="00537B52"/>
    <w:rsid w:val="005403CE"/>
    <w:rsid w:val="005427FF"/>
    <w:rsid w:val="005577DB"/>
    <w:rsid w:val="005627F4"/>
    <w:rsid w:val="00563F04"/>
    <w:rsid w:val="005642C3"/>
    <w:rsid w:val="00565558"/>
    <w:rsid w:val="00565D74"/>
    <w:rsid w:val="00565EC9"/>
    <w:rsid w:val="0056616B"/>
    <w:rsid w:val="005669F3"/>
    <w:rsid w:val="00571D74"/>
    <w:rsid w:val="00572EA9"/>
    <w:rsid w:val="005734C2"/>
    <w:rsid w:val="00574E65"/>
    <w:rsid w:val="005765FB"/>
    <w:rsid w:val="0057673A"/>
    <w:rsid w:val="00593C31"/>
    <w:rsid w:val="0059414A"/>
    <w:rsid w:val="005946EB"/>
    <w:rsid w:val="00594F90"/>
    <w:rsid w:val="005A092C"/>
    <w:rsid w:val="005B62B1"/>
    <w:rsid w:val="005B7590"/>
    <w:rsid w:val="005B7712"/>
    <w:rsid w:val="005C3B3A"/>
    <w:rsid w:val="005C658E"/>
    <w:rsid w:val="005C7F43"/>
    <w:rsid w:val="005D3AEB"/>
    <w:rsid w:val="005D70F2"/>
    <w:rsid w:val="005D7957"/>
    <w:rsid w:val="005E1C86"/>
    <w:rsid w:val="005E2B0E"/>
    <w:rsid w:val="005E3745"/>
    <w:rsid w:val="005E4095"/>
    <w:rsid w:val="005E4A31"/>
    <w:rsid w:val="005E6691"/>
    <w:rsid w:val="005E7FEF"/>
    <w:rsid w:val="005F0485"/>
    <w:rsid w:val="005F12BB"/>
    <w:rsid w:val="005F161C"/>
    <w:rsid w:val="005F3BCB"/>
    <w:rsid w:val="005F4067"/>
    <w:rsid w:val="005F5F37"/>
    <w:rsid w:val="005F7198"/>
    <w:rsid w:val="00602742"/>
    <w:rsid w:val="00605C3F"/>
    <w:rsid w:val="00610966"/>
    <w:rsid w:val="00610DED"/>
    <w:rsid w:val="00614B9A"/>
    <w:rsid w:val="00617993"/>
    <w:rsid w:val="00620F71"/>
    <w:rsid w:val="00624A1E"/>
    <w:rsid w:val="0062670C"/>
    <w:rsid w:val="0063049C"/>
    <w:rsid w:val="006322C1"/>
    <w:rsid w:val="006347F7"/>
    <w:rsid w:val="00640236"/>
    <w:rsid w:val="00642513"/>
    <w:rsid w:val="00646FEC"/>
    <w:rsid w:val="00647150"/>
    <w:rsid w:val="006476C8"/>
    <w:rsid w:val="0064771C"/>
    <w:rsid w:val="00653F2D"/>
    <w:rsid w:val="0066062F"/>
    <w:rsid w:val="006631CF"/>
    <w:rsid w:val="00666A1D"/>
    <w:rsid w:val="00671C7E"/>
    <w:rsid w:val="00673986"/>
    <w:rsid w:val="00673B63"/>
    <w:rsid w:val="00674103"/>
    <w:rsid w:val="00675BBB"/>
    <w:rsid w:val="00677B66"/>
    <w:rsid w:val="0068126B"/>
    <w:rsid w:val="006834E2"/>
    <w:rsid w:val="006843B9"/>
    <w:rsid w:val="00685E50"/>
    <w:rsid w:val="00690DD7"/>
    <w:rsid w:val="006942A9"/>
    <w:rsid w:val="006947A6"/>
    <w:rsid w:val="006A12CF"/>
    <w:rsid w:val="006A2006"/>
    <w:rsid w:val="006A2D95"/>
    <w:rsid w:val="006A3686"/>
    <w:rsid w:val="006A5878"/>
    <w:rsid w:val="006A7B79"/>
    <w:rsid w:val="006A7ECA"/>
    <w:rsid w:val="006B24C4"/>
    <w:rsid w:val="006B38E5"/>
    <w:rsid w:val="006B7689"/>
    <w:rsid w:val="006B7DC3"/>
    <w:rsid w:val="006C059A"/>
    <w:rsid w:val="006C13C9"/>
    <w:rsid w:val="006C3589"/>
    <w:rsid w:val="006C7FF9"/>
    <w:rsid w:val="006D00A7"/>
    <w:rsid w:val="006D1D02"/>
    <w:rsid w:val="006D32EA"/>
    <w:rsid w:val="006D55C6"/>
    <w:rsid w:val="006D7582"/>
    <w:rsid w:val="006E207C"/>
    <w:rsid w:val="006E5293"/>
    <w:rsid w:val="006E52F2"/>
    <w:rsid w:val="006E700A"/>
    <w:rsid w:val="006E752F"/>
    <w:rsid w:val="006F17CA"/>
    <w:rsid w:val="006F1B4A"/>
    <w:rsid w:val="006F5CC2"/>
    <w:rsid w:val="007017DA"/>
    <w:rsid w:val="00701AC3"/>
    <w:rsid w:val="00702339"/>
    <w:rsid w:val="00702B54"/>
    <w:rsid w:val="007053B4"/>
    <w:rsid w:val="007057BD"/>
    <w:rsid w:val="00705D72"/>
    <w:rsid w:val="00711CDA"/>
    <w:rsid w:val="007204AE"/>
    <w:rsid w:val="00720588"/>
    <w:rsid w:val="00720DCF"/>
    <w:rsid w:val="0072122B"/>
    <w:rsid w:val="00724133"/>
    <w:rsid w:val="00725BA2"/>
    <w:rsid w:val="00727CA8"/>
    <w:rsid w:val="00733113"/>
    <w:rsid w:val="007331FF"/>
    <w:rsid w:val="007343FD"/>
    <w:rsid w:val="0074255A"/>
    <w:rsid w:val="00744E9C"/>
    <w:rsid w:val="007573BF"/>
    <w:rsid w:val="007621B4"/>
    <w:rsid w:val="00762997"/>
    <w:rsid w:val="00765208"/>
    <w:rsid w:val="00766975"/>
    <w:rsid w:val="00770E86"/>
    <w:rsid w:val="0077625F"/>
    <w:rsid w:val="00776CA5"/>
    <w:rsid w:val="00780234"/>
    <w:rsid w:val="00792A0A"/>
    <w:rsid w:val="00795C02"/>
    <w:rsid w:val="00796438"/>
    <w:rsid w:val="00796952"/>
    <w:rsid w:val="007A61DE"/>
    <w:rsid w:val="007A6785"/>
    <w:rsid w:val="007B0A42"/>
    <w:rsid w:val="007B6DCA"/>
    <w:rsid w:val="007B7C4F"/>
    <w:rsid w:val="007C0139"/>
    <w:rsid w:val="007C0944"/>
    <w:rsid w:val="007C0DAD"/>
    <w:rsid w:val="007C3473"/>
    <w:rsid w:val="007C3DAA"/>
    <w:rsid w:val="007C3DFD"/>
    <w:rsid w:val="007C648A"/>
    <w:rsid w:val="007C7834"/>
    <w:rsid w:val="007D097C"/>
    <w:rsid w:val="007D100B"/>
    <w:rsid w:val="007D1C24"/>
    <w:rsid w:val="007D1E53"/>
    <w:rsid w:val="007D3457"/>
    <w:rsid w:val="007D35E5"/>
    <w:rsid w:val="007E6D69"/>
    <w:rsid w:val="007E6FE0"/>
    <w:rsid w:val="007F0AC2"/>
    <w:rsid w:val="007F1D3A"/>
    <w:rsid w:val="007F39B9"/>
    <w:rsid w:val="007F3D01"/>
    <w:rsid w:val="007F774B"/>
    <w:rsid w:val="00801193"/>
    <w:rsid w:val="00802C2A"/>
    <w:rsid w:val="00802CBC"/>
    <w:rsid w:val="00802E48"/>
    <w:rsid w:val="00804AFD"/>
    <w:rsid w:val="00810AC7"/>
    <w:rsid w:val="008133C5"/>
    <w:rsid w:val="008142C7"/>
    <w:rsid w:val="00817698"/>
    <w:rsid w:val="00821825"/>
    <w:rsid w:val="00822742"/>
    <w:rsid w:val="00822C7F"/>
    <w:rsid w:val="00826222"/>
    <w:rsid w:val="00831E56"/>
    <w:rsid w:val="00831F6E"/>
    <w:rsid w:val="00833132"/>
    <w:rsid w:val="008345DC"/>
    <w:rsid w:val="00837E86"/>
    <w:rsid w:val="0084066E"/>
    <w:rsid w:val="00840FF1"/>
    <w:rsid w:val="00841920"/>
    <w:rsid w:val="0084370D"/>
    <w:rsid w:val="0084412B"/>
    <w:rsid w:val="00845011"/>
    <w:rsid w:val="00845CB9"/>
    <w:rsid w:val="008521D5"/>
    <w:rsid w:val="00852221"/>
    <w:rsid w:val="00855400"/>
    <w:rsid w:val="00857553"/>
    <w:rsid w:val="0086251C"/>
    <w:rsid w:val="008746F1"/>
    <w:rsid w:val="00874F60"/>
    <w:rsid w:val="0087535A"/>
    <w:rsid w:val="0087660A"/>
    <w:rsid w:val="008816B6"/>
    <w:rsid w:val="00882A38"/>
    <w:rsid w:val="00885AF9"/>
    <w:rsid w:val="00885CA3"/>
    <w:rsid w:val="00891C71"/>
    <w:rsid w:val="00891C80"/>
    <w:rsid w:val="00897603"/>
    <w:rsid w:val="008A1928"/>
    <w:rsid w:val="008B14AA"/>
    <w:rsid w:val="008B1E3A"/>
    <w:rsid w:val="008B1E4F"/>
    <w:rsid w:val="008D09F2"/>
    <w:rsid w:val="008D1681"/>
    <w:rsid w:val="008E2959"/>
    <w:rsid w:val="008E2FA7"/>
    <w:rsid w:val="008E3057"/>
    <w:rsid w:val="008E6E5B"/>
    <w:rsid w:val="008F05F7"/>
    <w:rsid w:val="008F2182"/>
    <w:rsid w:val="008F7517"/>
    <w:rsid w:val="008F7851"/>
    <w:rsid w:val="008F7935"/>
    <w:rsid w:val="009019AF"/>
    <w:rsid w:val="00902340"/>
    <w:rsid w:val="009046CD"/>
    <w:rsid w:val="00904D37"/>
    <w:rsid w:val="00911499"/>
    <w:rsid w:val="0091207F"/>
    <w:rsid w:val="00917AED"/>
    <w:rsid w:val="00920960"/>
    <w:rsid w:val="00923E94"/>
    <w:rsid w:val="00924EAC"/>
    <w:rsid w:val="00926961"/>
    <w:rsid w:val="00926B29"/>
    <w:rsid w:val="00930553"/>
    <w:rsid w:val="00932274"/>
    <w:rsid w:val="00932C32"/>
    <w:rsid w:val="00940D1C"/>
    <w:rsid w:val="00940F56"/>
    <w:rsid w:val="009421E1"/>
    <w:rsid w:val="00943596"/>
    <w:rsid w:val="009445FA"/>
    <w:rsid w:val="009458B0"/>
    <w:rsid w:val="00951563"/>
    <w:rsid w:val="00956657"/>
    <w:rsid w:val="0095753E"/>
    <w:rsid w:val="00960F96"/>
    <w:rsid w:val="009614DD"/>
    <w:rsid w:val="009615C4"/>
    <w:rsid w:val="009628B9"/>
    <w:rsid w:val="00966658"/>
    <w:rsid w:val="00973003"/>
    <w:rsid w:val="00975C85"/>
    <w:rsid w:val="00980F48"/>
    <w:rsid w:val="0098419F"/>
    <w:rsid w:val="00985148"/>
    <w:rsid w:val="00985F5B"/>
    <w:rsid w:val="0098786A"/>
    <w:rsid w:val="00987C83"/>
    <w:rsid w:val="00990063"/>
    <w:rsid w:val="009928A9"/>
    <w:rsid w:val="00992CC7"/>
    <w:rsid w:val="00993406"/>
    <w:rsid w:val="00995DE7"/>
    <w:rsid w:val="0099631D"/>
    <w:rsid w:val="009A2A3A"/>
    <w:rsid w:val="009A42A5"/>
    <w:rsid w:val="009B3E75"/>
    <w:rsid w:val="009B5532"/>
    <w:rsid w:val="009B7B21"/>
    <w:rsid w:val="009C04D6"/>
    <w:rsid w:val="009C2496"/>
    <w:rsid w:val="009C54EC"/>
    <w:rsid w:val="009C75A0"/>
    <w:rsid w:val="009D06CD"/>
    <w:rsid w:val="009D103D"/>
    <w:rsid w:val="009D20E9"/>
    <w:rsid w:val="009D2704"/>
    <w:rsid w:val="009D5E0D"/>
    <w:rsid w:val="009D7CF3"/>
    <w:rsid w:val="009D7ECA"/>
    <w:rsid w:val="009E2C8C"/>
    <w:rsid w:val="009E3090"/>
    <w:rsid w:val="009E39B7"/>
    <w:rsid w:val="009E4FEA"/>
    <w:rsid w:val="009F1F6F"/>
    <w:rsid w:val="009F270F"/>
    <w:rsid w:val="009F334D"/>
    <w:rsid w:val="00A01FEF"/>
    <w:rsid w:val="00A032B2"/>
    <w:rsid w:val="00A03BFB"/>
    <w:rsid w:val="00A06225"/>
    <w:rsid w:val="00A0768C"/>
    <w:rsid w:val="00A079D5"/>
    <w:rsid w:val="00A106E5"/>
    <w:rsid w:val="00A1312B"/>
    <w:rsid w:val="00A1347A"/>
    <w:rsid w:val="00A14B44"/>
    <w:rsid w:val="00A14BEA"/>
    <w:rsid w:val="00A1559B"/>
    <w:rsid w:val="00A20725"/>
    <w:rsid w:val="00A20BEE"/>
    <w:rsid w:val="00A20DA0"/>
    <w:rsid w:val="00A23BA1"/>
    <w:rsid w:val="00A301B8"/>
    <w:rsid w:val="00A30C59"/>
    <w:rsid w:val="00A31C31"/>
    <w:rsid w:val="00A33295"/>
    <w:rsid w:val="00A3489E"/>
    <w:rsid w:val="00A35DB6"/>
    <w:rsid w:val="00A45311"/>
    <w:rsid w:val="00A45861"/>
    <w:rsid w:val="00A4622F"/>
    <w:rsid w:val="00A46296"/>
    <w:rsid w:val="00A503FA"/>
    <w:rsid w:val="00A53DFD"/>
    <w:rsid w:val="00A54AFA"/>
    <w:rsid w:val="00A55CDA"/>
    <w:rsid w:val="00A565BF"/>
    <w:rsid w:val="00A57E38"/>
    <w:rsid w:val="00A66B05"/>
    <w:rsid w:val="00A67379"/>
    <w:rsid w:val="00A67C4F"/>
    <w:rsid w:val="00A70783"/>
    <w:rsid w:val="00A712DD"/>
    <w:rsid w:val="00A7305E"/>
    <w:rsid w:val="00A73330"/>
    <w:rsid w:val="00A824AF"/>
    <w:rsid w:val="00A828A7"/>
    <w:rsid w:val="00A82E41"/>
    <w:rsid w:val="00A84147"/>
    <w:rsid w:val="00A86D21"/>
    <w:rsid w:val="00A9044D"/>
    <w:rsid w:val="00A91B92"/>
    <w:rsid w:val="00A91CDB"/>
    <w:rsid w:val="00A93082"/>
    <w:rsid w:val="00A94088"/>
    <w:rsid w:val="00A9516A"/>
    <w:rsid w:val="00A959D9"/>
    <w:rsid w:val="00A96912"/>
    <w:rsid w:val="00A97579"/>
    <w:rsid w:val="00AA06DC"/>
    <w:rsid w:val="00AA0B08"/>
    <w:rsid w:val="00AA0ED6"/>
    <w:rsid w:val="00AA1510"/>
    <w:rsid w:val="00AA186E"/>
    <w:rsid w:val="00AA1A74"/>
    <w:rsid w:val="00AA4740"/>
    <w:rsid w:val="00AA72BB"/>
    <w:rsid w:val="00AB0C55"/>
    <w:rsid w:val="00AB1767"/>
    <w:rsid w:val="00AB2144"/>
    <w:rsid w:val="00AC0401"/>
    <w:rsid w:val="00AC0BDE"/>
    <w:rsid w:val="00AC0ED2"/>
    <w:rsid w:val="00AC3AEF"/>
    <w:rsid w:val="00AC56C2"/>
    <w:rsid w:val="00AC6B0F"/>
    <w:rsid w:val="00AC6D9F"/>
    <w:rsid w:val="00AC6F55"/>
    <w:rsid w:val="00AC79CA"/>
    <w:rsid w:val="00AD0A22"/>
    <w:rsid w:val="00AD40C1"/>
    <w:rsid w:val="00AD7AB5"/>
    <w:rsid w:val="00AD7E17"/>
    <w:rsid w:val="00AE04B3"/>
    <w:rsid w:val="00AE0EDC"/>
    <w:rsid w:val="00AE2F7F"/>
    <w:rsid w:val="00AE3475"/>
    <w:rsid w:val="00AE3DF0"/>
    <w:rsid w:val="00AE52C0"/>
    <w:rsid w:val="00AF0F43"/>
    <w:rsid w:val="00AF1CA2"/>
    <w:rsid w:val="00AF2F88"/>
    <w:rsid w:val="00AF52DA"/>
    <w:rsid w:val="00AF577A"/>
    <w:rsid w:val="00AF5CE9"/>
    <w:rsid w:val="00B002E4"/>
    <w:rsid w:val="00B00315"/>
    <w:rsid w:val="00B008A4"/>
    <w:rsid w:val="00B009C8"/>
    <w:rsid w:val="00B04522"/>
    <w:rsid w:val="00B077FF"/>
    <w:rsid w:val="00B111D2"/>
    <w:rsid w:val="00B20CFC"/>
    <w:rsid w:val="00B21377"/>
    <w:rsid w:val="00B2178F"/>
    <w:rsid w:val="00B21D09"/>
    <w:rsid w:val="00B22F87"/>
    <w:rsid w:val="00B30B0B"/>
    <w:rsid w:val="00B3160C"/>
    <w:rsid w:val="00B33A57"/>
    <w:rsid w:val="00B33CF6"/>
    <w:rsid w:val="00B35043"/>
    <w:rsid w:val="00B35E70"/>
    <w:rsid w:val="00B36545"/>
    <w:rsid w:val="00B37C83"/>
    <w:rsid w:val="00B54FC1"/>
    <w:rsid w:val="00B552C7"/>
    <w:rsid w:val="00B56463"/>
    <w:rsid w:val="00B5730D"/>
    <w:rsid w:val="00B57B79"/>
    <w:rsid w:val="00B60411"/>
    <w:rsid w:val="00B60FA3"/>
    <w:rsid w:val="00B648B6"/>
    <w:rsid w:val="00B65130"/>
    <w:rsid w:val="00B65CA5"/>
    <w:rsid w:val="00B66ADE"/>
    <w:rsid w:val="00B66FC2"/>
    <w:rsid w:val="00B67D0C"/>
    <w:rsid w:val="00B740B3"/>
    <w:rsid w:val="00B77C74"/>
    <w:rsid w:val="00B80998"/>
    <w:rsid w:val="00B86F86"/>
    <w:rsid w:val="00B90BE3"/>
    <w:rsid w:val="00B944EB"/>
    <w:rsid w:val="00B954BD"/>
    <w:rsid w:val="00B95ED0"/>
    <w:rsid w:val="00B962B2"/>
    <w:rsid w:val="00BA50A4"/>
    <w:rsid w:val="00BA599B"/>
    <w:rsid w:val="00BA6ED9"/>
    <w:rsid w:val="00BA7A48"/>
    <w:rsid w:val="00BB28F2"/>
    <w:rsid w:val="00BB3C61"/>
    <w:rsid w:val="00BB49EE"/>
    <w:rsid w:val="00BC19DC"/>
    <w:rsid w:val="00BC2CD0"/>
    <w:rsid w:val="00BC4017"/>
    <w:rsid w:val="00BC44ED"/>
    <w:rsid w:val="00BC7CFD"/>
    <w:rsid w:val="00BD0358"/>
    <w:rsid w:val="00BD257D"/>
    <w:rsid w:val="00BD2AE3"/>
    <w:rsid w:val="00BD3C61"/>
    <w:rsid w:val="00BD4F55"/>
    <w:rsid w:val="00BD7FEB"/>
    <w:rsid w:val="00BE583E"/>
    <w:rsid w:val="00BE74F1"/>
    <w:rsid w:val="00BE753C"/>
    <w:rsid w:val="00BE76BF"/>
    <w:rsid w:val="00BF0946"/>
    <w:rsid w:val="00BF164A"/>
    <w:rsid w:val="00BF2607"/>
    <w:rsid w:val="00BF2627"/>
    <w:rsid w:val="00C0269A"/>
    <w:rsid w:val="00C030BB"/>
    <w:rsid w:val="00C04AB5"/>
    <w:rsid w:val="00C050BB"/>
    <w:rsid w:val="00C05CD7"/>
    <w:rsid w:val="00C0766F"/>
    <w:rsid w:val="00C07D2C"/>
    <w:rsid w:val="00C11776"/>
    <w:rsid w:val="00C11815"/>
    <w:rsid w:val="00C130CF"/>
    <w:rsid w:val="00C16458"/>
    <w:rsid w:val="00C16911"/>
    <w:rsid w:val="00C21BB4"/>
    <w:rsid w:val="00C22596"/>
    <w:rsid w:val="00C22865"/>
    <w:rsid w:val="00C22982"/>
    <w:rsid w:val="00C231C4"/>
    <w:rsid w:val="00C23C07"/>
    <w:rsid w:val="00C23D14"/>
    <w:rsid w:val="00C24E22"/>
    <w:rsid w:val="00C2746D"/>
    <w:rsid w:val="00C27854"/>
    <w:rsid w:val="00C333ED"/>
    <w:rsid w:val="00C37159"/>
    <w:rsid w:val="00C42DBC"/>
    <w:rsid w:val="00C46213"/>
    <w:rsid w:val="00C46A40"/>
    <w:rsid w:val="00C54BEA"/>
    <w:rsid w:val="00C55D64"/>
    <w:rsid w:val="00C55E63"/>
    <w:rsid w:val="00C62062"/>
    <w:rsid w:val="00C65702"/>
    <w:rsid w:val="00C70CE1"/>
    <w:rsid w:val="00C74A97"/>
    <w:rsid w:val="00C753CA"/>
    <w:rsid w:val="00C77A8E"/>
    <w:rsid w:val="00C807FC"/>
    <w:rsid w:val="00C8110F"/>
    <w:rsid w:val="00C9078B"/>
    <w:rsid w:val="00C97557"/>
    <w:rsid w:val="00CA2012"/>
    <w:rsid w:val="00CA30D0"/>
    <w:rsid w:val="00CA3D5B"/>
    <w:rsid w:val="00CA3F8B"/>
    <w:rsid w:val="00CA7686"/>
    <w:rsid w:val="00CB06B3"/>
    <w:rsid w:val="00CB0BE6"/>
    <w:rsid w:val="00CB4D3E"/>
    <w:rsid w:val="00CB5368"/>
    <w:rsid w:val="00CC052F"/>
    <w:rsid w:val="00CC1646"/>
    <w:rsid w:val="00CC3D2D"/>
    <w:rsid w:val="00CC537A"/>
    <w:rsid w:val="00CC6A7B"/>
    <w:rsid w:val="00CC74BE"/>
    <w:rsid w:val="00CD12B2"/>
    <w:rsid w:val="00CD408E"/>
    <w:rsid w:val="00CD7793"/>
    <w:rsid w:val="00CE19C8"/>
    <w:rsid w:val="00CE25BE"/>
    <w:rsid w:val="00CE49F1"/>
    <w:rsid w:val="00CE4AC1"/>
    <w:rsid w:val="00CE7899"/>
    <w:rsid w:val="00CF0DD7"/>
    <w:rsid w:val="00CF2D46"/>
    <w:rsid w:val="00CF300C"/>
    <w:rsid w:val="00CF4CF6"/>
    <w:rsid w:val="00CF60B5"/>
    <w:rsid w:val="00CF67D3"/>
    <w:rsid w:val="00CF6BDD"/>
    <w:rsid w:val="00CF76A1"/>
    <w:rsid w:val="00CF7E33"/>
    <w:rsid w:val="00D00D58"/>
    <w:rsid w:val="00D013F7"/>
    <w:rsid w:val="00D01452"/>
    <w:rsid w:val="00D01AE8"/>
    <w:rsid w:val="00D076AC"/>
    <w:rsid w:val="00D12BA0"/>
    <w:rsid w:val="00D14CA8"/>
    <w:rsid w:val="00D15C6E"/>
    <w:rsid w:val="00D171B7"/>
    <w:rsid w:val="00D2169F"/>
    <w:rsid w:val="00D22DA1"/>
    <w:rsid w:val="00D2347F"/>
    <w:rsid w:val="00D2559F"/>
    <w:rsid w:val="00D31B3E"/>
    <w:rsid w:val="00D338E2"/>
    <w:rsid w:val="00D355F6"/>
    <w:rsid w:val="00D357BA"/>
    <w:rsid w:val="00D36A22"/>
    <w:rsid w:val="00D46CF7"/>
    <w:rsid w:val="00D47218"/>
    <w:rsid w:val="00D51A70"/>
    <w:rsid w:val="00D5230D"/>
    <w:rsid w:val="00D53EE1"/>
    <w:rsid w:val="00D55152"/>
    <w:rsid w:val="00D56521"/>
    <w:rsid w:val="00D606D0"/>
    <w:rsid w:val="00D60886"/>
    <w:rsid w:val="00D6096D"/>
    <w:rsid w:val="00D60CCB"/>
    <w:rsid w:val="00D667CD"/>
    <w:rsid w:val="00D67A5D"/>
    <w:rsid w:val="00D70563"/>
    <w:rsid w:val="00D736EA"/>
    <w:rsid w:val="00D7556E"/>
    <w:rsid w:val="00D82B97"/>
    <w:rsid w:val="00D84EBC"/>
    <w:rsid w:val="00D93249"/>
    <w:rsid w:val="00D94740"/>
    <w:rsid w:val="00DA2A52"/>
    <w:rsid w:val="00DA2B11"/>
    <w:rsid w:val="00DA3F98"/>
    <w:rsid w:val="00DA439B"/>
    <w:rsid w:val="00DB01B2"/>
    <w:rsid w:val="00DB76ED"/>
    <w:rsid w:val="00DC0415"/>
    <w:rsid w:val="00DC4274"/>
    <w:rsid w:val="00DC4CE7"/>
    <w:rsid w:val="00DC6DBA"/>
    <w:rsid w:val="00DC6F9F"/>
    <w:rsid w:val="00DD01A8"/>
    <w:rsid w:val="00DD5A21"/>
    <w:rsid w:val="00DE770C"/>
    <w:rsid w:val="00DF01E5"/>
    <w:rsid w:val="00DF221F"/>
    <w:rsid w:val="00DF6C9C"/>
    <w:rsid w:val="00DF7236"/>
    <w:rsid w:val="00E00F3D"/>
    <w:rsid w:val="00E0118E"/>
    <w:rsid w:val="00E0340D"/>
    <w:rsid w:val="00E0592A"/>
    <w:rsid w:val="00E0650E"/>
    <w:rsid w:val="00E10AE6"/>
    <w:rsid w:val="00E1116F"/>
    <w:rsid w:val="00E159E0"/>
    <w:rsid w:val="00E20CB6"/>
    <w:rsid w:val="00E20D34"/>
    <w:rsid w:val="00E27901"/>
    <w:rsid w:val="00E32DFD"/>
    <w:rsid w:val="00E33AE5"/>
    <w:rsid w:val="00E341A4"/>
    <w:rsid w:val="00E37DC1"/>
    <w:rsid w:val="00E43560"/>
    <w:rsid w:val="00E45635"/>
    <w:rsid w:val="00E46123"/>
    <w:rsid w:val="00E46371"/>
    <w:rsid w:val="00E52848"/>
    <w:rsid w:val="00E528C7"/>
    <w:rsid w:val="00E53DCA"/>
    <w:rsid w:val="00E556D2"/>
    <w:rsid w:val="00E56286"/>
    <w:rsid w:val="00E56D12"/>
    <w:rsid w:val="00E57C57"/>
    <w:rsid w:val="00E626BF"/>
    <w:rsid w:val="00E62CD1"/>
    <w:rsid w:val="00E631D0"/>
    <w:rsid w:val="00E63866"/>
    <w:rsid w:val="00E63B6E"/>
    <w:rsid w:val="00E67464"/>
    <w:rsid w:val="00E721A3"/>
    <w:rsid w:val="00E75560"/>
    <w:rsid w:val="00E851B0"/>
    <w:rsid w:val="00E85A63"/>
    <w:rsid w:val="00E91F61"/>
    <w:rsid w:val="00E9542D"/>
    <w:rsid w:val="00E972D5"/>
    <w:rsid w:val="00EA1733"/>
    <w:rsid w:val="00EA2654"/>
    <w:rsid w:val="00EA2F7A"/>
    <w:rsid w:val="00EA6373"/>
    <w:rsid w:val="00EA7375"/>
    <w:rsid w:val="00EB0210"/>
    <w:rsid w:val="00EB117A"/>
    <w:rsid w:val="00EB1450"/>
    <w:rsid w:val="00EB164B"/>
    <w:rsid w:val="00EB16C9"/>
    <w:rsid w:val="00EB5F78"/>
    <w:rsid w:val="00EC199D"/>
    <w:rsid w:val="00EC1A6C"/>
    <w:rsid w:val="00EC1CC5"/>
    <w:rsid w:val="00EC2C5F"/>
    <w:rsid w:val="00EC2F8D"/>
    <w:rsid w:val="00ED130A"/>
    <w:rsid w:val="00ED761D"/>
    <w:rsid w:val="00ED793C"/>
    <w:rsid w:val="00EE0934"/>
    <w:rsid w:val="00EE2886"/>
    <w:rsid w:val="00EE63E4"/>
    <w:rsid w:val="00EF1E97"/>
    <w:rsid w:val="00EF7351"/>
    <w:rsid w:val="00F01A32"/>
    <w:rsid w:val="00F01C7B"/>
    <w:rsid w:val="00F106FC"/>
    <w:rsid w:val="00F11396"/>
    <w:rsid w:val="00F121E8"/>
    <w:rsid w:val="00F14910"/>
    <w:rsid w:val="00F14ABB"/>
    <w:rsid w:val="00F17058"/>
    <w:rsid w:val="00F2311C"/>
    <w:rsid w:val="00F23486"/>
    <w:rsid w:val="00F23F06"/>
    <w:rsid w:val="00F245B1"/>
    <w:rsid w:val="00F319DC"/>
    <w:rsid w:val="00F323C1"/>
    <w:rsid w:val="00F329DC"/>
    <w:rsid w:val="00F355C5"/>
    <w:rsid w:val="00F359CA"/>
    <w:rsid w:val="00F36237"/>
    <w:rsid w:val="00F3734F"/>
    <w:rsid w:val="00F40302"/>
    <w:rsid w:val="00F40B5A"/>
    <w:rsid w:val="00F42695"/>
    <w:rsid w:val="00F43DDF"/>
    <w:rsid w:val="00F47A8C"/>
    <w:rsid w:val="00F53D73"/>
    <w:rsid w:val="00F5470A"/>
    <w:rsid w:val="00F55141"/>
    <w:rsid w:val="00F56968"/>
    <w:rsid w:val="00F56ED0"/>
    <w:rsid w:val="00F6447D"/>
    <w:rsid w:val="00F6537A"/>
    <w:rsid w:val="00F65E94"/>
    <w:rsid w:val="00F676EA"/>
    <w:rsid w:val="00F67AFD"/>
    <w:rsid w:val="00F73BB6"/>
    <w:rsid w:val="00F7542B"/>
    <w:rsid w:val="00F76B09"/>
    <w:rsid w:val="00F90351"/>
    <w:rsid w:val="00F90544"/>
    <w:rsid w:val="00F9317E"/>
    <w:rsid w:val="00F94FA0"/>
    <w:rsid w:val="00F97F91"/>
    <w:rsid w:val="00FA00E7"/>
    <w:rsid w:val="00FA03A9"/>
    <w:rsid w:val="00FA06C9"/>
    <w:rsid w:val="00FA0A65"/>
    <w:rsid w:val="00FA30E2"/>
    <w:rsid w:val="00FA4D7C"/>
    <w:rsid w:val="00FB1624"/>
    <w:rsid w:val="00FB2341"/>
    <w:rsid w:val="00FD0E9A"/>
    <w:rsid w:val="00FD215D"/>
    <w:rsid w:val="00FD5EAE"/>
    <w:rsid w:val="00FE0183"/>
    <w:rsid w:val="00FE0214"/>
    <w:rsid w:val="00FE0694"/>
    <w:rsid w:val="00FE2930"/>
    <w:rsid w:val="00FF4641"/>
    <w:rsid w:val="00FF467E"/>
    <w:rsid w:val="00FF5977"/>
    <w:rsid w:val="00FF5B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6C8BFF5C"/>
  <w15:docId w15:val="{EAB77077-3FF3-423C-B83D-BAC15AB0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183"/>
    <w:rPr>
      <w:lang w:val="es-ES"/>
    </w:rPr>
  </w:style>
  <w:style w:type="paragraph" w:styleId="Ttulo1">
    <w:name w:val="heading 1"/>
    <w:basedOn w:val="Normal"/>
    <w:next w:val="Normal"/>
    <w:qFormat/>
    <w:pPr>
      <w:keepNext/>
      <w:ind w:firstLine="3686"/>
      <w:outlineLvl w:val="0"/>
    </w:pPr>
    <w:rPr>
      <w:sz w:val="24"/>
      <w:lang w:eastAsia="es-ES"/>
    </w:rPr>
  </w:style>
  <w:style w:type="paragraph" w:styleId="Ttulo2">
    <w:name w:val="heading 2"/>
    <w:basedOn w:val="Normal"/>
    <w:next w:val="Normal"/>
    <w:qFormat/>
    <w:pPr>
      <w:keepNext/>
      <w:outlineLvl w:val="1"/>
    </w:pPr>
    <w:rPr>
      <w:sz w:val="24"/>
      <w:lang w:eastAsia="es-ES"/>
    </w:rPr>
  </w:style>
  <w:style w:type="paragraph" w:styleId="Ttulo3">
    <w:name w:val="heading 3"/>
    <w:basedOn w:val="Normal"/>
    <w:next w:val="Normal"/>
    <w:qFormat/>
    <w:pPr>
      <w:keepNext/>
      <w:outlineLvl w:val="2"/>
    </w:pPr>
    <w:rPr>
      <w:sz w:val="24"/>
      <w:u w:val="single"/>
      <w:lang w:eastAsia="es-ES"/>
    </w:rPr>
  </w:style>
  <w:style w:type="paragraph" w:styleId="Ttulo4">
    <w:name w:val="heading 4"/>
    <w:basedOn w:val="Normal"/>
    <w:next w:val="Normal"/>
    <w:qFormat/>
    <w:pPr>
      <w:keepNext/>
      <w:tabs>
        <w:tab w:val="left" w:pos="-720"/>
      </w:tabs>
      <w:suppressAutoHyphens/>
      <w:jc w:val="center"/>
      <w:outlineLvl w:val="3"/>
    </w:pPr>
    <w:rPr>
      <w:b/>
      <w:spacing w:val="-2"/>
      <w:sz w:val="24"/>
      <w:u w:val="single"/>
      <w:lang w:val="es-AR" w:eastAsia="es-ES"/>
    </w:rPr>
  </w:style>
  <w:style w:type="paragraph" w:styleId="Ttulo5">
    <w:name w:val="heading 5"/>
    <w:basedOn w:val="Normal"/>
    <w:next w:val="Normal"/>
    <w:qFormat/>
    <w:pPr>
      <w:keepNext/>
      <w:outlineLvl w:val="4"/>
    </w:pPr>
    <w:rPr>
      <w:b/>
      <w:sz w:val="24"/>
      <w:u w:val="single"/>
      <w:lang w:val="es-AR" w:eastAsia="es-ES"/>
    </w:rPr>
  </w:style>
  <w:style w:type="paragraph" w:styleId="Ttulo6">
    <w:name w:val="heading 6"/>
    <w:basedOn w:val="Normal"/>
    <w:next w:val="Normal"/>
    <w:qFormat/>
    <w:pPr>
      <w:keepNext/>
      <w:suppressAutoHyphens/>
      <w:jc w:val="both"/>
      <w:outlineLvl w:val="5"/>
    </w:pPr>
    <w:rPr>
      <w:rFonts w:ascii="Arial" w:hAnsi="Arial"/>
      <w:b/>
      <w:spacing w:val="-2"/>
      <w:sz w:val="24"/>
      <w:u w:val="single"/>
    </w:rPr>
  </w:style>
  <w:style w:type="paragraph" w:styleId="Ttulo7">
    <w:name w:val="heading 7"/>
    <w:basedOn w:val="Normal"/>
    <w:next w:val="Normal"/>
    <w:qFormat/>
    <w:pPr>
      <w:keepNext/>
      <w:tabs>
        <w:tab w:val="left" w:pos="-720"/>
      </w:tabs>
      <w:suppressAutoHyphens/>
      <w:jc w:val="center"/>
      <w:outlineLvl w:val="6"/>
    </w:pPr>
    <w:rPr>
      <w:rFonts w:ascii="Arial" w:hAnsi="Arial"/>
      <w:b/>
      <w:u w:val="single"/>
    </w:rPr>
  </w:style>
  <w:style w:type="paragraph" w:styleId="Ttulo8">
    <w:name w:val="heading 8"/>
    <w:basedOn w:val="Normal"/>
    <w:next w:val="Normal"/>
    <w:qFormat/>
    <w:pPr>
      <w:keepNext/>
      <w:suppressAutoHyphens/>
      <w:jc w:val="both"/>
      <w:outlineLvl w:val="7"/>
    </w:pPr>
    <w:rPr>
      <w:spacing w:val="-2"/>
      <w:sz w:val="24"/>
      <w:u w:val="single"/>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uppressAutoHyphens/>
      <w:jc w:val="center"/>
    </w:pPr>
    <w:rPr>
      <w:b/>
      <w:spacing w:val="-2"/>
      <w:sz w:val="24"/>
      <w:u w:val="single"/>
      <w:lang w:val="es-AR" w:eastAsia="es-ES"/>
    </w:rPr>
  </w:style>
  <w:style w:type="paragraph" w:styleId="Textoindependiente3">
    <w:name w:val="Body Text 3"/>
    <w:basedOn w:val="Normal"/>
    <w:pPr>
      <w:suppressAutoHyphens/>
      <w:spacing w:line="360" w:lineRule="auto"/>
      <w:jc w:val="center"/>
    </w:pPr>
    <w:rPr>
      <w:b/>
      <w:spacing w:val="-2"/>
      <w:sz w:val="32"/>
      <w:u w:val="single"/>
      <w:lang w:val="es-AR" w:eastAsia="es-ES"/>
    </w:rPr>
  </w:style>
  <w:style w:type="paragraph" w:styleId="Textoindependiente">
    <w:name w:val="Body Text"/>
    <w:basedOn w:val="Normal"/>
    <w:pPr>
      <w:jc w:val="both"/>
    </w:pPr>
    <w:rPr>
      <w:sz w:val="24"/>
      <w:lang w:val="es-AR" w:eastAsia="es-ES"/>
    </w:rPr>
  </w:style>
  <w:style w:type="paragraph" w:styleId="Textoindependiente2">
    <w:name w:val="Body Text 2"/>
    <w:basedOn w:val="Normal"/>
    <w:pPr>
      <w:jc w:val="center"/>
    </w:pPr>
    <w:rPr>
      <w:sz w:val="24"/>
      <w:u w:val="single"/>
      <w:lang w:val="es-AR" w:eastAsia="es-ES"/>
    </w:rPr>
  </w:style>
  <w:style w:type="paragraph" w:customStyle="1" w:styleId="toa">
    <w:name w:val="toa"/>
    <w:basedOn w:val="Normal"/>
    <w:pPr>
      <w:tabs>
        <w:tab w:val="left" w:pos="9000"/>
        <w:tab w:val="right" w:pos="9360"/>
      </w:tabs>
      <w:suppressAutoHyphens/>
    </w:pPr>
    <w:rPr>
      <w:rFonts w:ascii="Courier" w:hAnsi="Courier"/>
      <w:sz w:val="24"/>
      <w:lang w:val="es-AR" w:eastAsia="es-ES"/>
    </w:rPr>
  </w:style>
  <w:style w:type="paragraph" w:styleId="Sangradetextonormal">
    <w:name w:val="Body Text Indent"/>
    <w:basedOn w:val="Normal"/>
    <w:pPr>
      <w:jc w:val="both"/>
    </w:pPr>
    <w:rPr>
      <w:rFonts w:ascii="Arial" w:hAnsi="Arial"/>
      <w:sz w:val="22"/>
      <w:lang w:val="es-AR" w:eastAsia="es-ES"/>
    </w:rPr>
  </w:style>
  <w:style w:type="paragraph" w:styleId="Sangra2detindependiente">
    <w:name w:val="Body Text Indent 2"/>
    <w:basedOn w:val="Normal"/>
    <w:pPr>
      <w:spacing w:line="360" w:lineRule="auto"/>
      <w:ind w:firstLine="720"/>
      <w:jc w:val="both"/>
    </w:pPr>
    <w:rPr>
      <w:sz w:val="24"/>
      <w:lang w:val="es-AR" w:eastAsia="es-ES"/>
    </w:rPr>
  </w:style>
  <w:style w:type="character" w:styleId="Refdenotaalpie">
    <w:name w:val="footnote reference"/>
    <w:rPr>
      <w:vertAlign w:val="superscript"/>
    </w:rPr>
  </w:style>
  <w:style w:type="paragraph" w:styleId="Textonotapie">
    <w:name w:val="footnote text"/>
    <w:basedOn w:val="Normal"/>
    <w:link w:val="TextonotapieCar"/>
    <w:uiPriority w:val="99"/>
    <w:rPr>
      <w:rFonts w:ascii="CG Times (W1)" w:hAnsi="CG Times (W1)"/>
      <w:lang w:val="en-US"/>
    </w:rPr>
  </w:style>
  <w:style w:type="paragraph" w:styleId="Encabezado">
    <w:name w:val="header"/>
    <w:basedOn w:val="Normal"/>
    <w:pPr>
      <w:tabs>
        <w:tab w:val="center" w:pos="4419"/>
        <w:tab w:val="right" w:pos="8838"/>
      </w:tabs>
    </w:pPr>
    <w:rPr>
      <w:sz w:val="24"/>
      <w:lang w:val="en-US"/>
    </w:rPr>
  </w:style>
  <w:style w:type="character" w:styleId="Nmerodepgina">
    <w:name w:val="page number"/>
    <w:basedOn w:val="Fuentedeprrafopredeter"/>
  </w:style>
  <w:style w:type="paragraph" w:styleId="Piedepgina">
    <w:name w:val="footer"/>
    <w:basedOn w:val="Normal"/>
    <w:pPr>
      <w:tabs>
        <w:tab w:val="center" w:pos="4419"/>
        <w:tab w:val="right" w:pos="8838"/>
      </w:tabs>
    </w:pPr>
    <w:rPr>
      <w:sz w:val="24"/>
      <w:lang w:val="en-US"/>
    </w:rPr>
  </w:style>
  <w:style w:type="paragraph" w:styleId="Sangra3detindependiente">
    <w:name w:val="Body Text Indent 3"/>
    <w:basedOn w:val="Normal"/>
    <w:pPr>
      <w:suppressAutoHyphens/>
      <w:ind w:firstLine="708"/>
      <w:jc w:val="both"/>
    </w:pPr>
    <w:rPr>
      <w:rFonts w:ascii="Arial" w:hAnsi="Arial"/>
      <w:spacing w:val="-2"/>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rPr>
  </w:style>
  <w:style w:type="paragraph" w:styleId="Textodeglobo">
    <w:name w:val="Balloon Text"/>
    <w:basedOn w:val="Normal"/>
    <w:semiHidden/>
    <w:rsid w:val="00397CC5"/>
    <w:rPr>
      <w:rFonts w:ascii="Tahoma" w:hAnsi="Tahoma" w:cs="Tahoma"/>
      <w:sz w:val="16"/>
      <w:szCs w:val="16"/>
    </w:rPr>
  </w:style>
  <w:style w:type="character" w:customStyle="1" w:styleId="spanbody">
    <w:name w:val="spanbody"/>
    <w:basedOn w:val="Fuentedeprrafopredeter"/>
    <w:rsid w:val="006E752F"/>
  </w:style>
  <w:style w:type="paragraph" w:customStyle="1" w:styleId="BodyText22">
    <w:name w:val="Body Text 22"/>
    <w:basedOn w:val="Normal"/>
    <w:rsid w:val="00B5730D"/>
    <w:pPr>
      <w:widowControl w:val="0"/>
      <w:jc w:val="both"/>
    </w:pPr>
    <w:rPr>
      <w:snapToGrid w:val="0"/>
      <w:lang w:val="es-AR" w:eastAsia="es-ES"/>
    </w:rPr>
  </w:style>
  <w:style w:type="character" w:customStyle="1" w:styleId="TextonotapieCar">
    <w:name w:val="Texto nota pie Car"/>
    <w:link w:val="Textonotapie"/>
    <w:uiPriority w:val="99"/>
    <w:rsid w:val="00AC0BDE"/>
    <w:rPr>
      <w:rFonts w:ascii="CG Times (W1)" w:hAnsi="CG Times (W1)"/>
      <w:lang w:val="en-US" w:eastAsia="es-AR" w:bidi="ar-SA"/>
    </w:rPr>
  </w:style>
  <w:style w:type="paragraph" w:styleId="NormalWeb">
    <w:name w:val="Normal (Web)"/>
    <w:basedOn w:val="Normal"/>
    <w:rsid w:val="00A84147"/>
    <w:pPr>
      <w:spacing w:before="100" w:beforeAutospacing="1" w:after="100" w:afterAutospacing="1"/>
    </w:pPr>
    <w:rPr>
      <w:color w:val="000000"/>
      <w:sz w:val="24"/>
      <w:szCs w:val="24"/>
      <w:lang w:val="es-AR"/>
    </w:rPr>
  </w:style>
  <w:style w:type="paragraph" w:customStyle="1" w:styleId="NormalWeb31">
    <w:name w:val="Normal (Web)31"/>
    <w:basedOn w:val="Normal"/>
    <w:rsid w:val="006F17CA"/>
    <w:pPr>
      <w:spacing w:before="100" w:beforeAutospacing="1" w:after="240"/>
    </w:pPr>
    <w:rPr>
      <w:sz w:val="24"/>
      <w:szCs w:val="24"/>
      <w:lang w:val="es-AR" w:bidi="th-TH"/>
    </w:rPr>
  </w:style>
  <w:style w:type="character" w:styleId="Textoennegrita">
    <w:name w:val="Strong"/>
    <w:uiPriority w:val="99"/>
    <w:qFormat/>
    <w:rsid w:val="00776CA5"/>
    <w:rPr>
      <w:rFonts w:ascii="Times New Roman" w:hAnsi="Times New Roman" w:cs="Times New Roman" w:hint="default"/>
      <w:b/>
      <w:bCs/>
    </w:rPr>
  </w:style>
  <w:style w:type="character" w:customStyle="1" w:styleId="DeltaViewInsertion">
    <w:name w:val="DeltaView Insertion"/>
    <w:uiPriority w:val="99"/>
    <w:rsid w:val="00776CA5"/>
    <w:rPr>
      <w:color w:val="0000FF"/>
      <w:spacing w:val="0"/>
      <w:u w:val="single"/>
    </w:rPr>
  </w:style>
  <w:style w:type="character" w:styleId="Refdecomentario">
    <w:name w:val="annotation reference"/>
    <w:uiPriority w:val="99"/>
    <w:semiHidden/>
    <w:unhideWhenUsed/>
    <w:rsid w:val="00776CA5"/>
    <w:rPr>
      <w:sz w:val="16"/>
      <w:szCs w:val="16"/>
    </w:rPr>
  </w:style>
  <w:style w:type="paragraph" w:styleId="Textocomentario">
    <w:name w:val="annotation text"/>
    <w:basedOn w:val="Normal"/>
    <w:link w:val="TextocomentarioCar"/>
    <w:uiPriority w:val="99"/>
    <w:semiHidden/>
    <w:unhideWhenUsed/>
    <w:rsid w:val="00776CA5"/>
  </w:style>
  <w:style w:type="character" w:customStyle="1" w:styleId="TextocomentarioCar">
    <w:name w:val="Texto comentario Car"/>
    <w:link w:val="Textocomentario"/>
    <w:uiPriority w:val="99"/>
    <w:semiHidden/>
    <w:rsid w:val="00776CA5"/>
    <w:rPr>
      <w:lang w:val="es-ES"/>
    </w:rPr>
  </w:style>
  <w:style w:type="paragraph" w:styleId="Asuntodelcomentario">
    <w:name w:val="annotation subject"/>
    <w:basedOn w:val="Textocomentario"/>
    <w:next w:val="Textocomentario"/>
    <w:link w:val="AsuntodelcomentarioCar"/>
    <w:uiPriority w:val="99"/>
    <w:semiHidden/>
    <w:unhideWhenUsed/>
    <w:rsid w:val="00776CA5"/>
    <w:rPr>
      <w:b/>
      <w:bCs/>
    </w:rPr>
  </w:style>
  <w:style w:type="character" w:customStyle="1" w:styleId="AsuntodelcomentarioCar">
    <w:name w:val="Asunto del comentario Car"/>
    <w:link w:val="Asuntodelcomentario"/>
    <w:uiPriority w:val="99"/>
    <w:semiHidden/>
    <w:rsid w:val="00776CA5"/>
    <w:rPr>
      <w:b/>
      <w:bCs/>
      <w:lang w:val="es-ES"/>
    </w:rPr>
  </w:style>
  <w:style w:type="paragraph" w:styleId="Prrafodelista">
    <w:name w:val="List Paragraph"/>
    <w:basedOn w:val="Normal"/>
    <w:uiPriority w:val="34"/>
    <w:qFormat/>
    <w:rsid w:val="00EE2886"/>
    <w:pPr>
      <w:spacing w:after="200" w:line="276" w:lineRule="auto"/>
      <w:ind w:left="720"/>
      <w:contextualSpacing/>
    </w:pPr>
    <w:rPr>
      <w:rFonts w:ascii="Calibri" w:eastAsia="Calibri" w:hAnsi="Calibri"/>
      <w:sz w:val="22"/>
      <w:szCs w:val="22"/>
      <w:lang w:val="en-US" w:eastAsia="en-US"/>
    </w:rPr>
  </w:style>
  <w:style w:type="character" w:customStyle="1" w:styleId="shorttext">
    <w:name w:val="short_text"/>
    <w:rsid w:val="008F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2122">
      <w:bodyDiv w:val="1"/>
      <w:marLeft w:val="0"/>
      <w:marRight w:val="0"/>
      <w:marTop w:val="0"/>
      <w:marBottom w:val="0"/>
      <w:divBdr>
        <w:top w:val="none" w:sz="0" w:space="0" w:color="auto"/>
        <w:left w:val="none" w:sz="0" w:space="0" w:color="auto"/>
        <w:bottom w:val="none" w:sz="0" w:space="0" w:color="auto"/>
        <w:right w:val="none" w:sz="0" w:space="0" w:color="auto"/>
      </w:divBdr>
    </w:div>
    <w:div w:id="228345790">
      <w:bodyDiv w:val="1"/>
      <w:marLeft w:val="0"/>
      <w:marRight w:val="0"/>
      <w:marTop w:val="0"/>
      <w:marBottom w:val="0"/>
      <w:divBdr>
        <w:top w:val="none" w:sz="0" w:space="0" w:color="auto"/>
        <w:left w:val="none" w:sz="0" w:space="0" w:color="auto"/>
        <w:bottom w:val="none" w:sz="0" w:space="0" w:color="auto"/>
        <w:right w:val="none" w:sz="0" w:space="0" w:color="auto"/>
      </w:divBdr>
    </w:div>
    <w:div w:id="242567888">
      <w:bodyDiv w:val="1"/>
      <w:marLeft w:val="0"/>
      <w:marRight w:val="0"/>
      <w:marTop w:val="0"/>
      <w:marBottom w:val="0"/>
      <w:divBdr>
        <w:top w:val="none" w:sz="0" w:space="0" w:color="auto"/>
        <w:left w:val="none" w:sz="0" w:space="0" w:color="auto"/>
        <w:bottom w:val="none" w:sz="0" w:space="0" w:color="auto"/>
        <w:right w:val="none" w:sz="0" w:space="0" w:color="auto"/>
      </w:divBdr>
    </w:div>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337119891">
      <w:bodyDiv w:val="1"/>
      <w:marLeft w:val="0"/>
      <w:marRight w:val="0"/>
      <w:marTop w:val="0"/>
      <w:marBottom w:val="0"/>
      <w:divBdr>
        <w:top w:val="none" w:sz="0" w:space="0" w:color="auto"/>
        <w:left w:val="none" w:sz="0" w:space="0" w:color="auto"/>
        <w:bottom w:val="none" w:sz="0" w:space="0" w:color="auto"/>
        <w:right w:val="none" w:sz="0" w:space="0" w:color="auto"/>
      </w:divBdr>
    </w:div>
    <w:div w:id="342977498">
      <w:bodyDiv w:val="1"/>
      <w:marLeft w:val="0"/>
      <w:marRight w:val="0"/>
      <w:marTop w:val="0"/>
      <w:marBottom w:val="0"/>
      <w:divBdr>
        <w:top w:val="none" w:sz="0" w:space="0" w:color="auto"/>
        <w:left w:val="none" w:sz="0" w:space="0" w:color="auto"/>
        <w:bottom w:val="none" w:sz="0" w:space="0" w:color="auto"/>
        <w:right w:val="none" w:sz="0" w:space="0" w:color="auto"/>
      </w:divBdr>
    </w:div>
    <w:div w:id="554435778">
      <w:bodyDiv w:val="1"/>
      <w:marLeft w:val="0"/>
      <w:marRight w:val="0"/>
      <w:marTop w:val="0"/>
      <w:marBottom w:val="0"/>
      <w:divBdr>
        <w:top w:val="none" w:sz="0" w:space="0" w:color="auto"/>
        <w:left w:val="none" w:sz="0" w:space="0" w:color="auto"/>
        <w:bottom w:val="none" w:sz="0" w:space="0" w:color="auto"/>
        <w:right w:val="none" w:sz="0" w:space="0" w:color="auto"/>
      </w:divBdr>
    </w:div>
    <w:div w:id="753936791">
      <w:bodyDiv w:val="1"/>
      <w:marLeft w:val="0"/>
      <w:marRight w:val="0"/>
      <w:marTop w:val="0"/>
      <w:marBottom w:val="0"/>
      <w:divBdr>
        <w:top w:val="none" w:sz="0" w:space="0" w:color="auto"/>
        <w:left w:val="none" w:sz="0" w:space="0" w:color="auto"/>
        <w:bottom w:val="none" w:sz="0" w:space="0" w:color="auto"/>
        <w:right w:val="none" w:sz="0" w:space="0" w:color="auto"/>
      </w:divBdr>
    </w:div>
    <w:div w:id="929775471">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099714659">
      <w:bodyDiv w:val="1"/>
      <w:marLeft w:val="0"/>
      <w:marRight w:val="0"/>
      <w:marTop w:val="0"/>
      <w:marBottom w:val="0"/>
      <w:divBdr>
        <w:top w:val="none" w:sz="0" w:space="0" w:color="auto"/>
        <w:left w:val="none" w:sz="0" w:space="0" w:color="auto"/>
        <w:bottom w:val="none" w:sz="0" w:space="0" w:color="auto"/>
        <w:right w:val="none" w:sz="0" w:space="0" w:color="auto"/>
      </w:divBdr>
    </w:div>
    <w:div w:id="1227644022">
      <w:bodyDiv w:val="1"/>
      <w:marLeft w:val="0"/>
      <w:marRight w:val="0"/>
      <w:marTop w:val="0"/>
      <w:marBottom w:val="0"/>
      <w:divBdr>
        <w:top w:val="none" w:sz="0" w:space="0" w:color="auto"/>
        <w:left w:val="none" w:sz="0" w:space="0" w:color="auto"/>
        <w:bottom w:val="none" w:sz="0" w:space="0" w:color="auto"/>
        <w:right w:val="none" w:sz="0" w:space="0" w:color="auto"/>
      </w:divBdr>
    </w:div>
    <w:div w:id="1233153258">
      <w:bodyDiv w:val="1"/>
      <w:marLeft w:val="0"/>
      <w:marRight w:val="0"/>
      <w:marTop w:val="0"/>
      <w:marBottom w:val="0"/>
      <w:divBdr>
        <w:top w:val="none" w:sz="0" w:space="0" w:color="auto"/>
        <w:left w:val="none" w:sz="0" w:space="0" w:color="auto"/>
        <w:bottom w:val="none" w:sz="0" w:space="0" w:color="auto"/>
        <w:right w:val="none" w:sz="0" w:space="0" w:color="auto"/>
      </w:divBdr>
    </w:div>
    <w:div w:id="1322081140">
      <w:bodyDiv w:val="1"/>
      <w:marLeft w:val="0"/>
      <w:marRight w:val="0"/>
      <w:marTop w:val="0"/>
      <w:marBottom w:val="0"/>
      <w:divBdr>
        <w:top w:val="none" w:sz="0" w:space="0" w:color="auto"/>
        <w:left w:val="none" w:sz="0" w:space="0" w:color="auto"/>
        <w:bottom w:val="none" w:sz="0" w:space="0" w:color="auto"/>
        <w:right w:val="none" w:sz="0" w:space="0" w:color="auto"/>
      </w:divBdr>
    </w:div>
    <w:div w:id="1353846475">
      <w:bodyDiv w:val="1"/>
      <w:marLeft w:val="0"/>
      <w:marRight w:val="0"/>
      <w:marTop w:val="0"/>
      <w:marBottom w:val="0"/>
      <w:divBdr>
        <w:top w:val="none" w:sz="0" w:space="0" w:color="auto"/>
        <w:left w:val="none" w:sz="0" w:space="0" w:color="auto"/>
        <w:bottom w:val="none" w:sz="0" w:space="0" w:color="auto"/>
        <w:right w:val="none" w:sz="0" w:space="0" w:color="auto"/>
      </w:divBdr>
    </w:div>
    <w:div w:id="1462573407">
      <w:bodyDiv w:val="1"/>
      <w:marLeft w:val="0"/>
      <w:marRight w:val="0"/>
      <w:marTop w:val="0"/>
      <w:marBottom w:val="0"/>
      <w:divBdr>
        <w:top w:val="none" w:sz="0" w:space="0" w:color="auto"/>
        <w:left w:val="none" w:sz="0" w:space="0" w:color="auto"/>
        <w:bottom w:val="none" w:sz="0" w:space="0" w:color="auto"/>
        <w:right w:val="none" w:sz="0" w:space="0" w:color="auto"/>
      </w:divBdr>
    </w:div>
    <w:div w:id="1471704022">
      <w:bodyDiv w:val="1"/>
      <w:marLeft w:val="0"/>
      <w:marRight w:val="0"/>
      <w:marTop w:val="0"/>
      <w:marBottom w:val="0"/>
      <w:divBdr>
        <w:top w:val="none" w:sz="0" w:space="0" w:color="auto"/>
        <w:left w:val="none" w:sz="0" w:space="0" w:color="auto"/>
        <w:bottom w:val="none" w:sz="0" w:space="0" w:color="auto"/>
        <w:right w:val="none" w:sz="0" w:space="0" w:color="auto"/>
      </w:divBdr>
    </w:div>
    <w:div w:id="1515919579">
      <w:bodyDiv w:val="1"/>
      <w:marLeft w:val="0"/>
      <w:marRight w:val="0"/>
      <w:marTop w:val="0"/>
      <w:marBottom w:val="0"/>
      <w:divBdr>
        <w:top w:val="none" w:sz="0" w:space="0" w:color="auto"/>
        <w:left w:val="none" w:sz="0" w:space="0" w:color="auto"/>
        <w:bottom w:val="none" w:sz="0" w:space="0" w:color="auto"/>
        <w:right w:val="none" w:sz="0" w:space="0" w:color="auto"/>
      </w:divBdr>
    </w:div>
    <w:div w:id="1986229212">
      <w:bodyDiv w:val="1"/>
      <w:marLeft w:val="0"/>
      <w:marRight w:val="0"/>
      <w:marTop w:val="0"/>
      <w:marBottom w:val="0"/>
      <w:divBdr>
        <w:top w:val="none" w:sz="0" w:space="0" w:color="auto"/>
        <w:left w:val="none" w:sz="0" w:space="0" w:color="auto"/>
        <w:bottom w:val="none" w:sz="0" w:space="0" w:color="auto"/>
        <w:right w:val="none" w:sz="0" w:space="0" w:color="auto"/>
      </w:divBdr>
    </w:div>
    <w:div w:id="2041126794">
      <w:bodyDiv w:val="1"/>
      <w:marLeft w:val="0"/>
      <w:marRight w:val="0"/>
      <w:marTop w:val="0"/>
      <w:marBottom w:val="0"/>
      <w:divBdr>
        <w:top w:val="none" w:sz="0" w:space="0" w:color="auto"/>
        <w:left w:val="none" w:sz="0" w:space="0" w:color="auto"/>
        <w:bottom w:val="none" w:sz="0" w:space="0" w:color="auto"/>
        <w:right w:val="none" w:sz="0" w:space="0" w:color="auto"/>
      </w:divBdr>
    </w:div>
    <w:div w:id="20742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tchratings.com/site/definitions" TargetMode="External"/><Relationship Id="rId18" Type="http://schemas.openxmlformats.org/officeDocument/2006/relationships/hyperlink" Target="https://www.moodys.com/page/lookuparating.aspx" TargetMode="External"/><Relationship Id="rId26" Type="http://schemas.openxmlformats.org/officeDocument/2006/relationships/hyperlink" Target="https://www.comafi.com.ar/2258-CEDEARs.note.aspx" TargetMode="External"/><Relationship Id="rId3" Type="http://schemas.openxmlformats.org/officeDocument/2006/relationships/numbering" Target="numbering.xml"/><Relationship Id="rId21" Type="http://schemas.openxmlformats.org/officeDocument/2006/relationships/hyperlink" Target="http://www.bcra.gob.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moodys.com/Pages/amr002002.aspx" TargetMode="External"/><Relationship Id="rId25" Type="http://schemas.openxmlformats.org/officeDocument/2006/relationships/hyperlink" Target="http://www.sec.gov"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fitchratings.com/creditdesk/search/ratings.cfm?srch_rtng_id_typ=batch&amp;cft=0" TargetMode="External"/><Relationship Id="rId20" Type="http://schemas.openxmlformats.org/officeDocument/2006/relationships/image" Target="media/image2.emf"/><Relationship Id="rId29" Type="http://schemas.openxmlformats.org/officeDocument/2006/relationships/hyperlink" Target="http://www.se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nv.gov.ar/sitioWeb"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fitchratings.com/site/definitions" TargetMode="External"/><Relationship Id="rId23" Type="http://schemas.openxmlformats.org/officeDocument/2006/relationships/hyperlink" Target="http://www.cnv.gob.ar/" TargetMode="External"/><Relationship Id="rId28" Type="http://schemas.openxmlformats.org/officeDocument/2006/relationships/hyperlink" Target="http://www.cnv.gov.ar/sitioWeb" TargetMode="External"/><Relationship Id="rId10" Type="http://schemas.openxmlformats.org/officeDocument/2006/relationships/footer" Target="footer1.xml"/><Relationship Id="rId19" Type="http://schemas.openxmlformats.org/officeDocument/2006/relationships/hyperlink" Target="file://\\dbfls02\Groups\FERRERV\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AppData\Roaming\OpenText\DM\Temp\www.comafi.com.ar"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tandardandpoors.com/en_US/web/guest/home" TargetMode="External"/><Relationship Id="rId22" Type="http://schemas.openxmlformats.org/officeDocument/2006/relationships/hyperlink" Target="http://www.argentina.fob.ar/uif/" TargetMode="External"/><Relationship Id="rId27" Type="http://schemas.openxmlformats.org/officeDocument/2006/relationships/image" Target="media/image3.emf"/><Relationship Id="rId30" Type="http://schemas.openxmlformats.org/officeDocument/2006/relationships/hyperlink" Target="https://www.comafi.com.ar/2258-CEDEARs.note.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3B59-A062-46C7-BDCE-7468DBD8D381}">
  <ds:schemaRefs>
    <ds:schemaRef ds:uri="http://schemas.openxmlformats.org/officeDocument/2006/bibliography"/>
  </ds:schemaRefs>
</ds:datastoreItem>
</file>

<file path=customXml/itemProps2.xml><?xml version="1.0" encoding="utf-8"?>
<ds:datastoreItem xmlns:ds="http://schemas.openxmlformats.org/officeDocument/2006/customXml" ds:itemID="{82F41213-344F-4DE2-973B-E0A99B37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15428</Words>
  <Characters>83392</Characters>
  <Application>Microsoft Office Word</Application>
  <DocSecurity>0</DocSecurity>
  <Lines>694</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PROSPECTO</vt:lpstr>
      <vt:lpstr>PROSPECTO</vt:lpstr>
    </vt:vector>
  </TitlesOfParts>
  <Company>Deutsche Bank</Company>
  <LinksUpToDate>false</LinksUpToDate>
  <CharactersWithSpaces>98623</CharactersWithSpaces>
  <SharedDoc>false</SharedDoc>
  <HLinks>
    <vt:vector size="222" baseType="variant">
      <vt:variant>
        <vt:i4>5177432</vt:i4>
      </vt:variant>
      <vt:variant>
        <vt:i4>108</vt:i4>
      </vt:variant>
      <vt:variant>
        <vt:i4>0</vt:i4>
      </vt:variant>
      <vt:variant>
        <vt:i4>5</vt:i4>
      </vt:variant>
      <vt:variant>
        <vt:lpwstr>https://www.comafi.com.ar/2258-CEDEARs.note.aspx</vt:lpwstr>
      </vt:variant>
      <vt:variant>
        <vt:lpwstr/>
      </vt:variant>
      <vt:variant>
        <vt:i4>2752628</vt:i4>
      </vt:variant>
      <vt:variant>
        <vt:i4>105</vt:i4>
      </vt:variant>
      <vt:variant>
        <vt:i4>0</vt:i4>
      </vt:variant>
      <vt:variant>
        <vt:i4>5</vt:i4>
      </vt:variant>
      <vt:variant>
        <vt:lpwstr>http://www.sec.gov/</vt:lpwstr>
      </vt:variant>
      <vt:variant>
        <vt:lpwstr/>
      </vt:variant>
      <vt:variant>
        <vt:i4>7602222</vt:i4>
      </vt:variant>
      <vt:variant>
        <vt:i4>102</vt:i4>
      </vt:variant>
      <vt:variant>
        <vt:i4>0</vt:i4>
      </vt:variant>
      <vt:variant>
        <vt:i4>5</vt:i4>
      </vt:variant>
      <vt:variant>
        <vt:lpwstr>http://www.cnv.gov.ar/sitioWeb</vt:lpwstr>
      </vt:variant>
      <vt:variant>
        <vt:lpwstr/>
      </vt:variant>
      <vt:variant>
        <vt:i4>6619198</vt:i4>
      </vt:variant>
      <vt:variant>
        <vt:i4>99</vt:i4>
      </vt:variant>
      <vt:variant>
        <vt:i4>0</vt:i4>
      </vt:variant>
      <vt:variant>
        <vt:i4>5</vt:i4>
      </vt:variant>
      <vt:variant>
        <vt:lpwstr>http://www.csn.com.br/</vt:lpwstr>
      </vt:variant>
      <vt:variant>
        <vt:lpwstr/>
      </vt:variant>
      <vt:variant>
        <vt:i4>1835086</vt:i4>
      </vt:variant>
      <vt:variant>
        <vt:i4>96</vt:i4>
      </vt:variant>
      <vt:variant>
        <vt:i4>0</vt:i4>
      </vt:variant>
      <vt:variant>
        <vt:i4>5</vt:i4>
      </vt:variant>
      <vt:variant>
        <vt:lpwstr>http://www.timbrasil.com.br/</vt:lpwstr>
      </vt:variant>
      <vt:variant>
        <vt:lpwstr/>
      </vt:variant>
      <vt:variant>
        <vt:i4>5898267</vt:i4>
      </vt:variant>
      <vt:variant>
        <vt:i4>93</vt:i4>
      </vt:variant>
      <vt:variant>
        <vt:i4>0</vt:i4>
      </vt:variant>
      <vt:variant>
        <vt:i4>5</vt:i4>
      </vt:variant>
      <vt:variant>
        <vt:lpwstr>http://www.copel.com/</vt:lpwstr>
      </vt:variant>
      <vt:variant>
        <vt:lpwstr/>
      </vt:variant>
      <vt:variant>
        <vt:i4>4653141</vt:i4>
      </vt:variant>
      <vt:variant>
        <vt:i4>90</vt:i4>
      </vt:variant>
      <vt:variant>
        <vt:i4>0</vt:i4>
      </vt:variant>
      <vt:variant>
        <vt:i4>5</vt:i4>
      </vt:variant>
      <vt:variant>
        <vt:lpwstr>http://www.eletrobras.gov.br/</vt:lpwstr>
      </vt:variant>
      <vt:variant>
        <vt:lpwstr/>
      </vt:variant>
      <vt:variant>
        <vt:i4>5308487</vt:i4>
      </vt:variant>
      <vt:variant>
        <vt:i4>87</vt:i4>
      </vt:variant>
      <vt:variant>
        <vt:i4>0</vt:i4>
      </vt:variant>
      <vt:variant>
        <vt:i4>5</vt:i4>
      </vt:variant>
      <vt:variant>
        <vt:lpwstr>http://www.suzano.com.br/</vt:lpwstr>
      </vt:variant>
      <vt:variant>
        <vt:lpwstr/>
      </vt:variant>
      <vt:variant>
        <vt:i4>2097269</vt:i4>
      </vt:variant>
      <vt:variant>
        <vt:i4>84</vt:i4>
      </vt:variant>
      <vt:variant>
        <vt:i4>0</vt:i4>
      </vt:variant>
      <vt:variant>
        <vt:i4>5</vt:i4>
      </vt:variant>
      <vt:variant>
        <vt:lpwstr>http://www.braskem.com/</vt:lpwstr>
      </vt:variant>
      <vt:variant>
        <vt:lpwstr/>
      </vt:variant>
      <vt:variant>
        <vt:i4>524371</vt:i4>
      </vt:variant>
      <vt:variant>
        <vt:i4>81</vt:i4>
      </vt:variant>
      <vt:variant>
        <vt:i4>0</vt:i4>
      </vt:variant>
      <vt:variant>
        <vt:i4>5</vt:i4>
      </vt:variant>
      <vt:variant>
        <vt:lpwstr>http://www.ultra.com.br/</vt:lpwstr>
      </vt:variant>
      <vt:variant>
        <vt:lpwstr/>
      </vt:variant>
      <vt:variant>
        <vt:i4>8126519</vt:i4>
      </vt:variant>
      <vt:variant>
        <vt:i4>78</vt:i4>
      </vt:variant>
      <vt:variant>
        <vt:i4>0</vt:i4>
      </vt:variant>
      <vt:variant>
        <vt:i4>5</vt:i4>
      </vt:variant>
      <vt:variant>
        <vt:lpwstr>http://www.embraer.com.br/</vt:lpwstr>
      </vt:variant>
      <vt:variant>
        <vt:lpwstr/>
      </vt:variant>
      <vt:variant>
        <vt:i4>4063293</vt:i4>
      </vt:variant>
      <vt:variant>
        <vt:i4>75</vt:i4>
      </vt:variant>
      <vt:variant>
        <vt:i4>0</vt:i4>
      </vt:variant>
      <vt:variant>
        <vt:i4>5</vt:i4>
      </vt:variant>
      <vt:variant>
        <vt:lpwstr>http://www.itau.com.br/</vt:lpwstr>
      </vt:variant>
      <vt:variant>
        <vt:lpwstr/>
      </vt:variant>
      <vt:variant>
        <vt:i4>5505046</vt:i4>
      </vt:variant>
      <vt:variant>
        <vt:i4>72</vt:i4>
      </vt:variant>
      <vt:variant>
        <vt:i4>0</vt:i4>
      </vt:variant>
      <vt:variant>
        <vt:i4>5</vt:i4>
      </vt:variant>
      <vt:variant>
        <vt:lpwstr>http://www.weibo.com/</vt:lpwstr>
      </vt:variant>
      <vt:variant>
        <vt:lpwstr/>
      </vt:variant>
      <vt:variant>
        <vt:i4>5505096</vt:i4>
      </vt:variant>
      <vt:variant>
        <vt:i4>69</vt:i4>
      </vt:variant>
      <vt:variant>
        <vt:i4>0</vt:i4>
      </vt:variant>
      <vt:variant>
        <vt:i4>5</vt:i4>
      </vt:variant>
      <vt:variant>
        <vt:lpwstr>http://www.sabesp.com.br/</vt:lpwstr>
      </vt:variant>
      <vt:variant>
        <vt:lpwstr/>
      </vt:variant>
      <vt:variant>
        <vt:i4>458831</vt:i4>
      </vt:variant>
      <vt:variant>
        <vt:i4>66</vt:i4>
      </vt:variant>
      <vt:variant>
        <vt:i4>0</vt:i4>
      </vt:variant>
      <vt:variant>
        <vt:i4>5</vt:i4>
      </vt:variant>
      <vt:variant>
        <vt:lpwstr>http://www.gpari.com.br/</vt:lpwstr>
      </vt:variant>
      <vt:variant>
        <vt:lpwstr/>
      </vt:variant>
      <vt:variant>
        <vt:i4>2293875</vt:i4>
      </vt:variant>
      <vt:variant>
        <vt:i4>63</vt:i4>
      </vt:variant>
      <vt:variant>
        <vt:i4>0</vt:i4>
      </vt:variant>
      <vt:variant>
        <vt:i4>5</vt:i4>
      </vt:variant>
      <vt:variant>
        <vt:lpwstr>http://www.brf-br.com/</vt:lpwstr>
      </vt:variant>
      <vt:variant>
        <vt:lpwstr/>
      </vt:variant>
      <vt:variant>
        <vt:i4>4325448</vt:i4>
      </vt:variant>
      <vt:variant>
        <vt:i4>60</vt:i4>
      </vt:variant>
      <vt:variant>
        <vt:i4>0</vt:i4>
      </vt:variant>
      <vt:variant>
        <vt:i4>5</vt:i4>
      </vt:variant>
      <vt:variant>
        <vt:lpwstr>http://www.gerdau.com.br/</vt:lpwstr>
      </vt:variant>
      <vt:variant>
        <vt:lpwstr/>
      </vt:variant>
      <vt:variant>
        <vt:i4>3932199</vt:i4>
      </vt:variant>
      <vt:variant>
        <vt:i4>57</vt:i4>
      </vt:variant>
      <vt:variant>
        <vt:i4>0</vt:i4>
      </vt:variant>
      <vt:variant>
        <vt:i4>5</vt:i4>
      </vt:variant>
      <vt:variant>
        <vt:lpwstr>http://www.yy.com/</vt:lpwstr>
      </vt:variant>
      <vt:variant>
        <vt:lpwstr/>
      </vt:variant>
      <vt:variant>
        <vt:i4>4653139</vt:i4>
      </vt:variant>
      <vt:variant>
        <vt:i4>54</vt:i4>
      </vt:variant>
      <vt:variant>
        <vt:i4>0</vt:i4>
      </vt:variant>
      <vt:variant>
        <vt:i4>5</vt:i4>
      </vt:variant>
      <vt:variant>
        <vt:lpwstr>http://www.english.ctrip.com/</vt:lpwstr>
      </vt:variant>
      <vt:variant>
        <vt:lpwstr/>
      </vt:variant>
      <vt:variant>
        <vt:i4>3080250</vt:i4>
      </vt:variant>
      <vt:variant>
        <vt:i4>51</vt:i4>
      </vt:variant>
      <vt:variant>
        <vt:i4>0</vt:i4>
      </vt:variant>
      <vt:variant>
        <vt:i4>5</vt:i4>
      </vt:variant>
      <vt:variant>
        <vt:lpwstr>http://www.jd.com/</vt:lpwstr>
      </vt:variant>
      <vt:variant>
        <vt:lpwstr/>
      </vt:variant>
      <vt:variant>
        <vt:i4>3997759</vt:i4>
      </vt:variant>
      <vt:variant>
        <vt:i4>48</vt:i4>
      </vt:variant>
      <vt:variant>
        <vt:i4>0</vt:i4>
      </vt:variant>
      <vt:variant>
        <vt:i4>5</vt:i4>
      </vt:variant>
      <vt:variant>
        <vt:lpwstr>http://www.vedantalimited.com/</vt:lpwstr>
      </vt:variant>
      <vt:variant>
        <vt:lpwstr/>
      </vt:variant>
      <vt:variant>
        <vt:i4>4522075</vt:i4>
      </vt:variant>
      <vt:variant>
        <vt:i4>45</vt:i4>
      </vt:variant>
      <vt:variant>
        <vt:i4>0</vt:i4>
      </vt:variant>
      <vt:variant>
        <vt:i4>5</vt:i4>
      </vt:variant>
      <vt:variant>
        <vt:lpwstr>http://www.telefonica.com.br/</vt:lpwstr>
      </vt:variant>
      <vt:variant>
        <vt:lpwstr/>
      </vt:variant>
      <vt:variant>
        <vt:i4>1900613</vt:i4>
      </vt:variant>
      <vt:variant>
        <vt:i4>42</vt:i4>
      </vt:variant>
      <vt:variant>
        <vt:i4>0</vt:i4>
      </vt:variant>
      <vt:variant>
        <vt:i4>5</vt:i4>
      </vt:variant>
      <vt:variant>
        <vt:lpwstr>http://www.ambev.com.br/</vt:lpwstr>
      </vt:variant>
      <vt:variant>
        <vt:lpwstr/>
      </vt:variant>
      <vt:variant>
        <vt:i4>4849738</vt:i4>
      </vt:variant>
      <vt:variant>
        <vt:i4>39</vt:i4>
      </vt:variant>
      <vt:variant>
        <vt:i4>0</vt:i4>
      </vt:variant>
      <vt:variant>
        <vt:i4>5</vt:i4>
      </vt:variant>
      <vt:variant>
        <vt:lpwstr>http://www.alibabagroup.com/</vt:lpwstr>
      </vt:variant>
      <vt:variant>
        <vt:lpwstr/>
      </vt:variant>
      <vt:variant>
        <vt:i4>5177432</vt:i4>
      </vt:variant>
      <vt:variant>
        <vt:i4>36</vt:i4>
      </vt:variant>
      <vt:variant>
        <vt:i4>0</vt:i4>
      </vt:variant>
      <vt:variant>
        <vt:i4>5</vt:i4>
      </vt:variant>
      <vt:variant>
        <vt:lpwstr>https://www.comafi.com.ar/2258-CEDEARs.note.aspx</vt:lpwstr>
      </vt:variant>
      <vt:variant>
        <vt:lpwstr/>
      </vt:variant>
      <vt:variant>
        <vt:i4>2752628</vt:i4>
      </vt:variant>
      <vt:variant>
        <vt:i4>33</vt:i4>
      </vt:variant>
      <vt:variant>
        <vt:i4>0</vt:i4>
      </vt:variant>
      <vt:variant>
        <vt:i4>5</vt:i4>
      </vt:variant>
      <vt:variant>
        <vt:lpwstr>http://www.sec.gov/</vt:lpwstr>
      </vt:variant>
      <vt:variant>
        <vt:lpwstr/>
      </vt:variant>
      <vt:variant>
        <vt:i4>7602222</vt:i4>
      </vt:variant>
      <vt:variant>
        <vt:i4>30</vt:i4>
      </vt:variant>
      <vt:variant>
        <vt:i4>0</vt:i4>
      </vt:variant>
      <vt:variant>
        <vt:i4>5</vt:i4>
      </vt:variant>
      <vt:variant>
        <vt:lpwstr>http://www.cnv.gov.ar/sitioWeb</vt:lpwstr>
      </vt:variant>
      <vt:variant>
        <vt:lpwstr/>
      </vt:variant>
      <vt:variant>
        <vt:i4>7667747</vt:i4>
      </vt:variant>
      <vt:variant>
        <vt:i4>27</vt:i4>
      </vt:variant>
      <vt:variant>
        <vt:i4>0</vt:i4>
      </vt:variant>
      <vt:variant>
        <vt:i4>5</vt:i4>
      </vt:variant>
      <vt:variant>
        <vt:lpwstr>http://www.cnv.gob.ar/</vt:lpwstr>
      </vt:variant>
      <vt:variant>
        <vt:lpwstr/>
      </vt:variant>
      <vt:variant>
        <vt:i4>4653139</vt:i4>
      </vt:variant>
      <vt:variant>
        <vt:i4>24</vt:i4>
      </vt:variant>
      <vt:variant>
        <vt:i4>0</vt:i4>
      </vt:variant>
      <vt:variant>
        <vt:i4>5</vt:i4>
      </vt:variant>
      <vt:variant>
        <vt:lpwstr>http://www.argentina.fob.ar/uif/</vt:lpwstr>
      </vt:variant>
      <vt:variant>
        <vt:lpwstr/>
      </vt:variant>
      <vt:variant>
        <vt:i4>2490422</vt:i4>
      </vt:variant>
      <vt:variant>
        <vt:i4>21</vt:i4>
      </vt:variant>
      <vt:variant>
        <vt:i4>0</vt:i4>
      </vt:variant>
      <vt:variant>
        <vt:i4>5</vt:i4>
      </vt:variant>
      <vt:variant>
        <vt:lpwstr>http://www.bcra.gob.ar/</vt:lpwstr>
      </vt:variant>
      <vt:variant>
        <vt:lpwstr/>
      </vt:variant>
      <vt:variant>
        <vt:i4>3997741</vt:i4>
      </vt:variant>
      <vt:variant>
        <vt:i4>18</vt:i4>
      </vt:variant>
      <vt:variant>
        <vt:i4>0</vt:i4>
      </vt:variant>
      <vt:variant>
        <vt:i4>5</vt:i4>
      </vt:variant>
      <vt:variant>
        <vt:lpwstr>../../../../FERRERV/AppData/Local/Microsoft/Windows/Temporary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Files/Content.Outlook/AppData/AppData/Roaming/OpenText/DM/Temp/www.comafi.com.ar</vt:lpwstr>
      </vt:variant>
      <vt:variant>
        <vt:lpwstr/>
      </vt:variant>
      <vt:variant>
        <vt:i4>4128824</vt:i4>
      </vt:variant>
      <vt:variant>
        <vt:i4>15</vt:i4>
      </vt:variant>
      <vt:variant>
        <vt:i4>0</vt:i4>
      </vt:variant>
      <vt:variant>
        <vt:i4>5</vt:i4>
      </vt:variant>
      <vt:variant>
        <vt:lpwstr>https://www.moodys.com/page/lookuparating.aspx</vt:lpwstr>
      </vt:variant>
      <vt:variant>
        <vt:lpwstr/>
      </vt:variant>
      <vt:variant>
        <vt:i4>6946940</vt:i4>
      </vt:variant>
      <vt:variant>
        <vt:i4>12</vt:i4>
      </vt:variant>
      <vt:variant>
        <vt:i4>0</vt:i4>
      </vt:variant>
      <vt:variant>
        <vt:i4>5</vt:i4>
      </vt:variant>
      <vt:variant>
        <vt:lpwstr>https://www.moodys.com/Pages/amr002002.aspx</vt:lpwstr>
      </vt:variant>
      <vt:variant>
        <vt:lpwstr/>
      </vt:variant>
      <vt:variant>
        <vt:i4>3866689</vt:i4>
      </vt:variant>
      <vt:variant>
        <vt:i4>9</vt:i4>
      </vt:variant>
      <vt:variant>
        <vt:i4>0</vt:i4>
      </vt:variant>
      <vt:variant>
        <vt:i4>5</vt:i4>
      </vt:variant>
      <vt:variant>
        <vt:lpwstr>https://www.fitchratings.com/creditdesk/search/ratings.cfm?srch_rtng_id_typ=batch&amp;cft=0</vt:lpwstr>
      </vt:variant>
      <vt:variant>
        <vt:lpwstr/>
      </vt:variant>
      <vt:variant>
        <vt:i4>1900608</vt:i4>
      </vt:variant>
      <vt:variant>
        <vt:i4>6</vt:i4>
      </vt:variant>
      <vt:variant>
        <vt:i4>0</vt:i4>
      </vt:variant>
      <vt:variant>
        <vt:i4>5</vt:i4>
      </vt:variant>
      <vt:variant>
        <vt:lpwstr>https://www.fitchratings.com/site/definitions</vt:lpwstr>
      </vt:variant>
      <vt:variant>
        <vt:lpwstr/>
      </vt:variant>
      <vt:variant>
        <vt:i4>7602186</vt:i4>
      </vt:variant>
      <vt:variant>
        <vt:i4>3</vt:i4>
      </vt:variant>
      <vt:variant>
        <vt:i4>0</vt:i4>
      </vt:variant>
      <vt:variant>
        <vt:i4>5</vt:i4>
      </vt:variant>
      <vt:variant>
        <vt:lpwstr>https://www.standardandpoors.com/en_US/web/guest/home</vt:lpwstr>
      </vt:variant>
      <vt:variant>
        <vt:lpwstr/>
      </vt:variant>
      <vt:variant>
        <vt:i4>1900608</vt:i4>
      </vt:variant>
      <vt:variant>
        <vt:i4>0</vt:i4>
      </vt:variant>
      <vt:variant>
        <vt:i4>0</vt:i4>
      </vt:variant>
      <vt:variant>
        <vt:i4>5</vt:i4>
      </vt:variant>
      <vt:variant>
        <vt:lpwstr>https://www.fitchratings.com/site/definitions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PROSPECTO</dc:title>
  <dc:creator>jdigirolamo</dc:creator>
  <cp:lastModifiedBy>Ferrer Reyes, Victoria Rita</cp:lastModifiedBy>
  <cp:revision>3</cp:revision>
  <cp:lastPrinted>2019-10-21T15:44:00Z</cp:lastPrinted>
  <dcterms:created xsi:type="dcterms:W3CDTF">2019-10-22T14:03:00Z</dcterms:created>
  <dcterms:modified xsi:type="dcterms:W3CDTF">2019-10-22T14:03:00Z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857710322</vt:i4>
  </property>
</Properties>
</file>