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05D" w:rsidRDefault="0091005D" w:rsidP="0091005D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16/8/2022</w:t>
      </w:r>
    </w:p>
    <w:p w:rsidR="0091005D" w:rsidRDefault="0091005D" w:rsidP="009100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91005D" w:rsidRDefault="0091005D" w:rsidP="0091005D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91005D" w:rsidRDefault="0091005D" w:rsidP="0091005D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91005D" w:rsidRDefault="0091005D" w:rsidP="0091005D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91005D" w:rsidRDefault="0091005D" w:rsidP="0091005D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91005D" w:rsidRDefault="0091005D" w:rsidP="0091005D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1C1016" w:rsidRDefault="001C1016" w:rsidP="001C1016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ING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Groep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NV ADR</w:t>
      </w:r>
    </w:p>
    <w:p w:rsidR="001C1016" w:rsidRDefault="001C1016" w:rsidP="001C1016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8199</w:t>
      </w:r>
    </w:p>
    <w:p w:rsidR="001C1016" w:rsidRDefault="001C1016" w:rsidP="001C1016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ARDEUT111937</w:t>
      </w:r>
    </w:p>
    <w:p w:rsidR="001C1016" w:rsidRDefault="001C1016" w:rsidP="001C1016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456837103</w:t>
      </w:r>
    </w:p>
    <w:p w:rsidR="001C1016" w:rsidRDefault="001C1016" w:rsidP="001C1016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15/8/2022</w:t>
      </w:r>
    </w:p>
    <w:p w:rsidR="001C1016" w:rsidRDefault="001C1016" w:rsidP="001C1016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3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22/8/2022</w:t>
      </w:r>
    </w:p>
    <w:p w:rsidR="001C1016" w:rsidRDefault="001C1016" w:rsidP="001C1016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Importe en USD a pagar por acción: (estimado*)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0,172951</w:t>
      </w:r>
    </w:p>
    <w:p w:rsidR="001C1016" w:rsidRDefault="001C1016" w:rsidP="001C1016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/1 Acción):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3</w:t>
      </w:r>
    </w:p>
    <w:p w:rsidR="001C1016" w:rsidRDefault="001C1016" w:rsidP="001C1016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(Importe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0,057650</w:t>
      </w:r>
    </w:p>
    <w:p w:rsidR="001C1016" w:rsidRDefault="001C1016" w:rsidP="001C101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Bruto - estimado*)</w:t>
      </w:r>
    </w:p>
    <w:p w:rsidR="001C1016" w:rsidRDefault="001C1016" w:rsidP="001C1016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1C1016" w:rsidRDefault="001C1016" w:rsidP="001C1016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Comisión (12% sobre el 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1C1016" w:rsidRDefault="001C1016" w:rsidP="001C101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neto - estimado*)</w:t>
      </w:r>
    </w:p>
    <w:p w:rsidR="001C1016" w:rsidRDefault="001C1016" w:rsidP="001C1016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Importe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en USD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1C1016" w:rsidRDefault="001C1016" w:rsidP="001C101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- estimado*)</w:t>
      </w:r>
    </w:p>
    <w:p w:rsidR="001C1016" w:rsidRDefault="001C1016" w:rsidP="001C101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bookmarkStart w:id="0" w:name="_GoBack"/>
      <w:bookmarkEnd w:id="0"/>
    </w:p>
    <w:p w:rsidR="00BC53AF" w:rsidRDefault="0091005D" w:rsidP="0091005D">
      <w:r>
        <w:rPr>
          <w:rFonts w:ascii="Arial" w:hAnsi="Arial" w:cs="Arial"/>
          <w:color w:val="000000"/>
          <w:sz w:val="16"/>
          <w:szCs w:val="16"/>
        </w:rPr>
        <w:t>*Los montos en USD mencionados están sujetos a variación del tipo de cambio vigente a la fecha de pago</w:t>
      </w:r>
    </w:p>
    <w:sectPr w:rsidR="00BC53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05D"/>
    <w:rsid w:val="001C1016"/>
    <w:rsid w:val="007E7776"/>
    <w:rsid w:val="0091005D"/>
    <w:rsid w:val="00BD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C446"/>
  <w15:chartTrackingRefBased/>
  <w15:docId w15:val="{83945E5C-AB56-49DF-8532-36BBDAC7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05D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827</Characters>
  <Application>Microsoft Office Word</Application>
  <DocSecurity>0</DocSecurity>
  <Lines>6</Lines>
  <Paragraphs>1</Paragraphs>
  <ScaleCrop>false</ScaleCrop>
  <Company>Banco Comafi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2</cp:revision>
  <dcterms:created xsi:type="dcterms:W3CDTF">2022-08-16T21:46:00Z</dcterms:created>
  <dcterms:modified xsi:type="dcterms:W3CDTF">2022-08-16T21:46:00Z</dcterms:modified>
</cp:coreProperties>
</file>