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FBCA" w14:textId="77777777" w:rsidR="00453A77" w:rsidRDefault="00453A77" w:rsidP="001A0523">
      <w:pPr>
        <w:pStyle w:val="Ttulo"/>
        <w:rPr>
          <w:sz w:val="20"/>
        </w:rPr>
      </w:pPr>
    </w:p>
    <w:p w14:paraId="402A086C" w14:textId="77777777" w:rsidR="00453A77" w:rsidRDefault="00453A77" w:rsidP="001A0523">
      <w:pPr>
        <w:pStyle w:val="Ttulo"/>
        <w:rPr>
          <w:sz w:val="20"/>
        </w:rPr>
      </w:pPr>
    </w:p>
    <w:p w14:paraId="6AB0A6DC" w14:textId="043353FF" w:rsidR="001A0523" w:rsidRPr="003A0D00" w:rsidRDefault="001A0523" w:rsidP="001A0523">
      <w:pPr>
        <w:pStyle w:val="Ttulo"/>
        <w:rPr>
          <w:sz w:val="20"/>
        </w:rPr>
      </w:pPr>
      <w:bookmarkStart w:id="0" w:name="_GoBack"/>
      <w:bookmarkEnd w:id="0"/>
      <w:r w:rsidRPr="003A0D00">
        <w:rPr>
          <w:sz w:val="20"/>
        </w:rPr>
        <w:t>AVISO DE SUSCRIPCIÓN</w:t>
      </w:r>
    </w:p>
    <w:p w14:paraId="15FE3DF6" w14:textId="77777777" w:rsidR="001A0523" w:rsidRPr="003A0D00" w:rsidRDefault="001F7F1A" w:rsidP="001A0523">
      <w:pPr>
        <w:pStyle w:val="Ttulo"/>
      </w:pPr>
      <w:r w:rsidRPr="00110A9E">
        <w:rPr>
          <w:noProof/>
          <w:lang w:eastAsia="es-AR"/>
        </w:rPr>
        <w:drawing>
          <wp:inline distT="0" distB="0" distL="0" distR="0" wp14:anchorId="4617921B" wp14:editId="114CE443">
            <wp:extent cx="1219200" cy="838200"/>
            <wp:effectExtent l="0" t="0" r="0" b="0"/>
            <wp:docPr id="3" name="Imagen 3" descr="cid:image003.png@01D18B76.E3409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png@01D18B76.E3409F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p w14:paraId="559BB964" w14:textId="77777777" w:rsidR="001A0523" w:rsidRPr="001F7F1A" w:rsidRDefault="007E5376" w:rsidP="001A0523">
      <w:pPr>
        <w:spacing w:line="211" w:lineRule="auto"/>
        <w:jc w:val="center"/>
        <w:rPr>
          <w:rFonts w:ascii="Times New Roman" w:hAnsi="Times New Roman"/>
          <w:b/>
          <w:sz w:val="20"/>
          <w:lang w:val="es-ES"/>
        </w:rPr>
      </w:pPr>
      <w:r w:rsidRPr="001F7F1A">
        <w:rPr>
          <w:rFonts w:ascii="Times New Roman" w:hAnsi="Times New Roman"/>
          <w:b/>
          <w:sz w:val="20"/>
          <w:lang w:val="es-ES"/>
        </w:rPr>
        <w:t>MSU</w:t>
      </w:r>
      <w:r w:rsidR="001A0523" w:rsidRPr="001F7F1A">
        <w:rPr>
          <w:rFonts w:ascii="Times New Roman" w:hAnsi="Times New Roman"/>
          <w:b/>
          <w:sz w:val="20"/>
          <w:lang w:val="es-ES"/>
        </w:rPr>
        <w:t xml:space="preserve"> S.A.</w:t>
      </w:r>
    </w:p>
    <w:p w14:paraId="522425EA" w14:textId="77777777" w:rsidR="001A0523" w:rsidRPr="003A0D00" w:rsidRDefault="001A0523" w:rsidP="001A0523">
      <w:pPr>
        <w:spacing w:line="211" w:lineRule="auto"/>
        <w:jc w:val="center"/>
        <w:rPr>
          <w:rFonts w:ascii="Times New Roman" w:hAnsi="Times New Roman"/>
          <w:b/>
          <w:sz w:val="20"/>
          <w:lang w:val="es-ES"/>
        </w:rPr>
      </w:pPr>
    </w:p>
    <w:p w14:paraId="4FCF741F" w14:textId="77777777" w:rsidR="001F7F1A" w:rsidRPr="00A84EBD" w:rsidRDefault="001F7F1A" w:rsidP="001F7F1A">
      <w:pPr>
        <w:widowControl w:val="0"/>
        <w:suppressLineNumbers/>
        <w:suppressAutoHyphens/>
        <w:jc w:val="center"/>
        <w:rPr>
          <w:rFonts w:ascii="Calibri" w:hAnsi="Calibri"/>
          <w:b/>
          <w:sz w:val="20"/>
          <w:lang w:val="es-MX"/>
        </w:rPr>
      </w:pPr>
      <w:r w:rsidRPr="00A84EBD">
        <w:rPr>
          <w:rFonts w:ascii="Calibri" w:hAnsi="Calibri"/>
          <w:b/>
          <w:sz w:val="20"/>
          <w:lang w:val="es-MX"/>
        </w:rPr>
        <w:t xml:space="preserve">Obligaciones Negociables </w:t>
      </w:r>
      <w:r w:rsidR="001A4976">
        <w:rPr>
          <w:rFonts w:ascii="Calibri" w:hAnsi="Calibri"/>
          <w:b/>
          <w:sz w:val="20"/>
          <w:lang w:val="es-MX"/>
        </w:rPr>
        <w:t xml:space="preserve">Simples </w:t>
      </w:r>
      <w:r>
        <w:rPr>
          <w:rFonts w:ascii="Calibri" w:hAnsi="Calibri"/>
          <w:b/>
          <w:sz w:val="20"/>
          <w:lang w:val="es-MX"/>
        </w:rPr>
        <w:t>Serie VII</w:t>
      </w:r>
    </w:p>
    <w:p w14:paraId="64A6BB9A" w14:textId="77777777" w:rsidR="00B4775D" w:rsidRDefault="001F7F1A" w:rsidP="001F7F1A">
      <w:pPr>
        <w:widowControl w:val="0"/>
        <w:suppressLineNumbers/>
        <w:suppressAutoHyphens/>
        <w:jc w:val="center"/>
        <w:rPr>
          <w:rFonts w:ascii="Calibri" w:hAnsi="Calibri"/>
          <w:b/>
          <w:sz w:val="20"/>
          <w:lang w:val="es-MX"/>
        </w:rPr>
      </w:pPr>
      <w:r w:rsidRPr="00A84EBD">
        <w:rPr>
          <w:rFonts w:ascii="Calibri" w:hAnsi="Calibri"/>
          <w:b/>
          <w:sz w:val="20"/>
          <w:lang w:val="es-MX"/>
        </w:rPr>
        <w:t xml:space="preserve">por un valor nominal </w:t>
      </w:r>
      <w:r w:rsidR="001A4976">
        <w:rPr>
          <w:rFonts w:ascii="Calibri" w:hAnsi="Calibri"/>
          <w:b/>
          <w:sz w:val="20"/>
          <w:lang w:val="es-MX"/>
        </w:rPr>
        <w:t xml:space="preserve">en conjunto </w:t>
      </w:r>
      <w:r w:rsidRPr="00A84EBD">
        <w:rPr>
          <w:rFonts w:ascii="Calibri" w:hAnsi="Calibri"/>
          <w:b/>
          <w:sz w:val="20"/>
          <w:lang w:val="es-MX"/>
        </w:rPr>
        <w:t xml:space="preserve">de hasta U$S </w:t>
      </w:r>
      <w:r w:rsidR="001A4976">
        <w:rPr>
          <w:rFonts w:ascii="Calibri" w:hAnsi="Calibri"/>
          <w:b/>
          <w:sz w:val="20"/>
          <w:lang w:val="es-MX"/>
        </w:rPr>
        <w:t>8</w:t>
      </w:r>
      <w:r w:rsidRPr="00A84EBD">
        <w:rPr>
          <w:rFonts w:ascii="Calibri" w:hAnsi="Calibri"/>
          <w:b/>
          <w:sz w:val="20"/>
          <w:lang w:val="es-MX"/>
        </w:rPr>
        <w:t xml:space="preserve">.000.000 </w:t>
      </w:r>
      <w:r>
        <w:rPr>
          <w:rFonts w:ascii="Calibri" w:hAnsi="Calibri"/>
          <w:b/>
          <w:sz w:val="20"/>
          <w:lang w:val="es-MX"/>
        </w:rPr>
        <w:t>(</w:t>
      </w:r>
      <w:r w:rsidR="004C315B">
        <w:rPr>
          <w:rFonts w:ascii="Calibri" w:hAnsi="Calibri"/>
          <w:b/>
          <w:sz w:val="20"/>
          <w:lang w:val="es-MX"/>
        </w:rPr>
        <w:t>D</w:t>
      </w:r>
      <w:r>
        <w:rPr>
          <w:rFonts w:ascii="Calibri" w:hAnsi="Calibri"/>
          <w:b/>
          <w:sz w:val="20"/>
          <w:lang w:val="es-MX"/>
        </w:rPr>
        <w:t xml:space="preserve">ólares </w:t>
      </w:r>
      <w:r w:rsidR="004C315B">
        <w:rPr>
          <w:rFonts w:ascii="Calibri" w:hAnsi="Calibri"/>
          <w:b/>
          <w:sz w:val="20"/>
          <w:lang w:val="es-MX"/>
        </w:rPr>
        <w:t>E</w:t>
      </w:r>
      <w:r>
        <w:rPr>
          <w:rFonts w:ascii="Calibri" w:hAnsi="Calibri"/>
          <w:b/>
          <w:sz w:val="20"/>
          <w:lang w:val="es-MX"/>
        </w:rPr>
        <w:t xml:space="preserve">stadounidenses </w:t>
      </w:r>
      <w:r w:rsidR="001A4976">
        <w:rPr>
          <w:rFonts w:ascii="Calibri" w:hAnsi="Calibri"/>
          <w:b/>
          <w:sz w:val="20"/>
          <w:lang w:val="es-MX"/>
        </w:rPr>
        <w:t>ocho</w:t>
      </w:r>
      <w:r>
        <w:rPr>
          <w:rFonts w:ascii="Calibri" w:hAnsi="Calibri"/>
          <w:b/>
          <w:sz w:val="20"/>
          <w:lang w:val="es-MX"/>
        </w:rPr>
        <w:t xml:space="preserve"> millones) </w:t>
      </w:r>
      <w:r w:rsidRPr="00A84EBD">
        <w:rPr>
          <w:rFonts w:ascii="Calibri" w:hAnsi="Calibri"/>
          <w:b/>
          <w:sz w:val="20"/>
          <w:lang w:val="es-MX"/>
        </w:rPr>
        <w:t xml:space="preserve">ampliable por hasta US$ </w:t>
      </w:r>
      <w:r w:rsidR="00CF3F63">
        <w:rPr>
          <w:rFonts w:ascii="Calibri" w:hAnsi="Calibri"/>
          <w:b/>
          <w:sz w:val="20"/>
          <w:lang w:val="es-MX"/>
        </w:rPr>
        <w:t>15</w:t>
      </w:r>
      <w:r w:rsidRPr="00A84EBD">
        <w:rPr>
          <w:rFonts w:ascii="Calibri" w:hAnsi="Calibri"/>
          <w:b/>
          <w:sz w:val="20"/>
          <w:lang w:val="es-MX"/>
        </w:rPr>
        <w:t>.000.000</w:t>
      </w:r>
      <w:r>
        <w:rPr>
          <w:rFonts w:ascii="Calibri" w:hAnsi="Calibri"/>
          <w:b/>
          <w:sz w:val="20"/>
          <w:lang w:val="es-MX"/>
        </w:rPr>
        <w:t xml:space="preserve"> (</w:t>
      </w:r>
      <w:r w:rsidR="004C315B">
        <w:rPr>
          <w:rFonts w:ascii="Calibri" w:hAnsi="Calibri"/>
          <w:b/>
          <w:sz w:val="20"/>
          <w:lang w:val="es-MX"/>
        </w:rPr>
        <w:t>D</w:t>
      </w:r>
      <w:r>
        <w:rPr>
          <w:rFonts w:ascii="Calibri" w:hAnsi="Calibri"/>
          <w:b/>
          <w:sz w:val="20"/>
          <w:lang w:val="es-MX"/>
        </w:rPr>
        <w:t xml:space="preserve">ólares </w:t>
      </w:r>
      <w:r w:rsidR="004C315B">
        <w:rPr>
          <w:rFonts w:ascii="Calibri" w:hAnsi="Calibri"/>
          <w:b/>
          <w:sz w:val="20"/>
          <w:lang w:val="es-MX"/>
        </w:rPr>
        <w:t>E</w:t>
      </w:r>
      <w:r>
        <w:rPr>
          <w:rFonts w:ascii="Calibri" w:hAnsi="Calibri"/>
          <w:b/>
          <w:sz w:val="20"/>
          <w:lang w:val="es-MX"/>
        </w:rPr>
        <w:t xml:space="preserve">stadounidenses </w:t>
      </w:r>
      <w:r w:rsidR="00CF3F63">
        <w:rPr>
          <w:rFonts w:ascii="Calibri" w:hAnsi="Calibri"/>
          <w:b/>
          <w:sz w:val="20"/>
          <w:lang w:val="es-MX"/>
        </w:rPr>
        <w:t>quince</w:t>
      </w:r>
      <w:r>
        <w:rPr>
          <w:rFonts w:ascii="Calibri" w:hAnsi="Calibri"/>
          <w:b/>
          <w:sz w:val="20"/>
          <w:lang w:val="es-MX"/>
        </w:rPr>
        <w:t xml:space="preserve"> millones)</w:t>
      </w:r>
      <w:r w:rsidRPr="00A84EBD">
        <w:rPr>
          <w:rFonts w:ascii="Calibri" w:hAnsi="Calibri"/>
          <w:b/>
          <w:sz w:val="20"/>
          <w:lang w:val="es-MX"/>
        </w:rPr>
        <w:t>,</w:t>
      </w:r>
      <w:r w:rsidR="001A4976">
        <w:rPr>
          <w:rFonts w:ascii="Calibri" w:hAnsi="Calibri"/>
          <w:b/>
          <w:sz w:val="20"/>
          <w:lang w:val="es-MX"/>
        </w:rPr>
        <w:t xml:space="preserve"> que serán indistintamente </w:t>
      </w:r>
      <w:r w:rsidRPr="00A84EBD">
        <w:rPr>
          <w:rFonts w:ascii="Calibri" w:hAnsi="Calibri"/>
          <w:b/>
          <w:sz w:val="20"/>
          <w:lang w:val="es-MX"/>
        </w:rPr>
        <w:t xml:space="preserve"> </w:t>
      </w:r>
    </w:p>
    <w:p w14:paraId="6B77E3D3" w14:textId="77777777" w:rsidR="001A4976" w:rsidRPr="003A0D00" w:rsidRDefault="001F7F1A" w:rsidP="001F7F1A">
      <w:pPr>
        <w:jc w:val="center"/>
        <w:rPr>
          <w:rFonts w:ascii="Times New Roman" w:hAnsi="Times New Roman"/>
          <w:b/>
          <w:sz w:val="20"/>
          <w:lang w:val="es-ES"/>
        </w:rPr>
      </w:pPr>
      <w:r w:rsidRPr="007E5376">
        <w:rPr>
          <w:rFonts w:ascii="Times New Roman" w:hAnsi="Times New Roman"/>
          <w:b/>
          <w:sz w:val="20"/>
          <w:lang w:val="es-MX"/>
        </w:rPr>
        <w:t xml:space="preserve"> </w:t>
      </w:r>
    </w:p>
    <w:tbl>
      <w:tblPr>
        <w:tblW w:w="5000" w:type="pct"/>
        <w:tblLook w:val="04A0" w:firstRow="1" w:lastRow="0" w:firstColumn="1" w:lastColumn="0" w:noHBand="0" w:noVBand="1"/>
      </w:tblPr>
      <w:tblGrid>
        <w:gridCol w:w="4419"/>
        <w:gridCol w:w="4419"/>
      </w:tblGrid>
      <w:tr w:rsidR="001A4976" w:rsidRPr="00A83203" w14:paraId="2FB206AA" w14:textId="77777777" w:rsidTr="00E275BD">
        <w:tc>
          <w:tcPr>
            <w:tcW w:w="2500" w:type="pct"/>
            <w:shd w:val="clear" w:color="auto" w:fill="auto"/>
          </w:tcPr>
          <w:p w14:paraId="716C1088" w14:textId="77777777" w:rsidR="001A4976" w:rsidRPr="00A83203" w:rsidRDefault="001A4976" w:rsidP="00E275BD">
            <w:pPr>
              <w:widowControl w:val="0"/>
              <w:suppressLineNumbers/>
              <w:suppressAutoHyphens/>
              <w:jc w:val="center"/>
              <w:rPr>
                <w:rFonts w:ascii="Calibri" w:hAnsi="Calibri"/>
                <w:b/>
                <w:sz w:val="20"/>
                <w:lang w:val="es-MX"/>
              </w:rPr>
            </w:pPr>
            <w:r w:rsidRPr="00A83203">
              <w:rPr>
                <w:rFonts w:ascii="Calibri" w:hAnsi="Calibri"/>
                <w:b/>
                <w:sz w:val="20"/>
                <w:lang w:val="es-MX"/>
              </w:rPr>
              <w:t>CLASE A</w:t>
            </w:r>
          </w:p>
        </w:tc>
        <w:tc>
          <w:tcPr>
            <w:tcW w:w="2500" w:type="pct"/>
            <w:shd w:val="clear" w:color="auto" w:fill="auto"/>
          </w:tcPr>
          <w:p w14:paraId="59C32D69" w14:textId="77777777" w:rsidR="001A4976" w:rsidRPr="00A83203" w:rsidRDefault="001A4976" w:rsidP="00E275BD">
            <w:pPr>
              <w:widowControl w:val="0"/>
              <w:suppressLineNumbers/>
              <w:suppressAutoHyphens/>
              <w:jc w:val="center"/>
              <w:rPr>
                <w:rFonts w:ascii="Calibri" w:hAnsi="Calibri"/>
                <w:b/>
                <w:sz w:val="20"/>
                <w:lang w:val="es-MX"/>
              </w:rPr>
            </w:pPr>
            <w:r w:rsidRPr="00A83203">
              <w:rPr>
                <w:rFonts w:ascii="Calibri" w:hAnsi="Calibri"/>
                <w:b/>
                <w:sz w:val="20"/>
                <w:lang w:val="es-MX"/>
              </w:rPr>
              <w:t>CLASE B</w:t>
            </w:r>
          </w:p>
        </w:tc>
      </w:tr>
      <w:tr w:rsidR="001A4976" w:rsidRPr="00453A77" w14:paraId="2342C699" w14:textId="77777777" w:rsidTr="00E275BD">
        <w:tc>
          <w:tcPr>
            <w:tcW w:w="2500" w:type="pct"/>
            <w:shd w:val="clear" w:color="auto" w:fill="auto"/>
          </w:tcPr>
          <w:p w14:paraId="5BB6625A" w14:textId="4C2BC501" w:rsidR="001A4976" w:rsidRPr="00A83203" w:rsidRDefault="001A4976" w:rsidP="00E275BD">
            <w:pPr>
              <w:widowControl w:val="0"/>
              <w:suppressLineNumbers/>
              <w:suppressAutoHyphens/>
              <w:jc w:val="center"/>
              <w:rPr>
                <w:rFonts w:ascii="Calibri" w:hAnsi="Calibri"/>
                <w:b/>
                <w:sz w:val="20"/>
                <w:lang w:val="es-MX"/>
              </w:rPr>
            </w:pPr>
            <w:r w:rsidRPr="00A83203">
              <w:rPr>
                <w:rFonts w:ascii="Calibri" w:hAnsi="Calibri"/>
                <w:b/>
                <w:sz w:val="20"/>
                <w:lang w:val="es-MX"/>
              </w:rPr>
              <w:t xml:space="preserve">Denominadas en Dólares </w:t>
            </w:r>
            <w:r>
              <w:rPr>
                <w:rFonts w:ascii="Calibri" w:hAnsi="Calibri"/>
                <w:b/>
                <w:sz w:val="20"/>
                <w:lang w:val="es-MX"/>
              </w:rPr>
              <w:t xml:space="preserve">Estadounidenses </w:t>
            </w:r>
            <w:r w:rsidRPr="00A83203">
              <w:rPr>
                <w:rFonts w:ascii="Calibri" w:hAnsi="Calibri"/>
                <w:b/>
                <w:sz w:val="20"/>
                <w:lang w:val="es-MX"/>
              </w:rPr>
              <w:t xml:space="preserve">y pagaderas en Pesos al Tipo de Cambio Aplicable, a tasa </w:t>
            </w:r>
            <w:r>
              <w:rPr>
                <w:rFonts w:ascii="Calibri" w:hAnsi="Calibri"/>
                <w:b/>
                <w:sz w:val="20"/>
                <w:lang w:val="es-MX"/>
              </w:rPr>
              <w:t>fija</w:t>
            </w:r>
            <w:r w:rsidRPr="00A83203">
              <w:rPr>
                <w:rFonts w:ascii="Calibri" w:hAnsi="Calibri"/>
                <w:b/>
                <w:sz w:val="20"/>
                <w:lang w:val="es-MX"/>
              </w:rPr>
              <w:t xml:space="preserve"> con vencimiento a los </w:t>
            </w:r>
            <w:r>
              <w:rPr>
                <w:rFonts w:ascii="Calibri" w:hAnsi="Calibri"/>
                <w:b/>
                <w:sz w:val="20"/>
                <w:lang w:val="es-MX"/>
              </w:rPr>
              <w:t>15</w:t>
            </w:r>
            <w:r w:rsidRPr="00A83203">
              <w:rPr>
                <w:rFonts w:ascii="Calibri" w:hAnsi="Calibri"/>
                <w:b/>
                <w:sz w:val="20"/>
                <w:lang w:val="es-MX"/>
              </w:rPr>
              <w:t xml:space="preserve"> meses </w:t>
            </w:r>
            <w:r w:rsidR="00470026">
              <w:rPr>
                <w:rFonts w:ascii="Calibri" w:hAnsi="Calibri"/>
                <w:b/>
                <w:sz w:val="20"/>
                <w:lang w:val="es-MX"/>
              </w:rPr>
              <w:t xml:space="preserve">contados </w:t>
            </w:r>
            <w:r w:rsidRPr="00A83203">
              <w:rPr>
                <w:rFonts w:ascii="Calibri" w:hAnsi="Calibri"/>
                <w:b/>
                <w:sz w:val="20"/>
                <w:lang w:val="es-MX"/>
              </w:rPr>
              <w:t>desde la Fecha de Emisión y Liquidación</w:t>
            </w:r>
          </w:p>
        </w:tc>
        <w:tc>
          <w:tcPr>
            <w:tcW w:w="2500" w:type="pct"/>
            <w:shd w:val="clear" w:color="auto" w:fill="auto"/>
          </w:tcPr>
          <w:p w14:paraId="7EE7F22E" w14:textId="1B1C8EBE" w:rsidR="001A4976" w:rsidRPr="00A83203" w:rsidRDefault="001A4976" w:rsidP="00E275BD">
            <w:pPr>
              <w:widowControl w:val="0"/>
              <w:suppressLineNumbers/>
              <w:suppressAutoHyphens/>
              <w:jc w:val="center"/>
              <w:rPr>
                <w:rFonts w:ascii="Calibri" w:hAnsi="Calibri"/>
                <w:b/>
                <w:sz w:val="20"/>
                <w:lang w:val="es-MX"/>
              </w:rPr>
            </w:pPr>
            <w:r>
              <w:rPr>
                <w:rFonts w:ascii="Calibri" w:hAnsi="Calibri"/>
                <w:b/>
                <w:sz w:val="20"/>
                <w:lang w:val="es-MX"/>
              </w:rPr>
              <w:t>Denominadas y pagaderas en Dólares Estadounidenses, a</w:t>
            </w:r>
            <w:r w:rsidRPr="00A83203">
              <w:rPr>
                <w:rFonts w:ascii="Calibri" w:hAnsi="Calibri"/>
                <w:b/>
                <w:sz w:val="20"/>
                <w:lang w:val="es-MX"/>
              </w:rPr>
              <w:t xml:space="preserve"> tasa </w:t>
            </w:r>
            <w:r>
              <w:rPr>
                <w:rFonts w:ascii="Calibri" w:hAnsi="Calibri"/>
                <w:b/>
                <w:sz w:val="20"/>
                <w:lang w:val="es-MX"/>
              </w:rPr>
              <w:t>fija</w:t>
            </w:r>
            <w:r w:rsidRPr="00A83203">
              <w:rPr>
                <w:rFonts w:ascii="Calibri" w:hAnsi="Calibri"/>
                <w:b/>
                <w:sz w:val="20"/>
                <w:lang w:val="es-MX"/>
              </w:rPr>
              <w:t xml:space="preserve"> con vencimiento a los </w:t>
            </w:r>
            <w:r>
              <w:rPr>
                <w:rFonts w:ascii="Calibri" w:hAnsi="Calibri"/>
                <w:b/>
                <w:sz w:val="20"/>
                <w:lang w:val="es-MX"/>
              </w:rPr>
              <w:t>15</w:t>
            </w:r>
            <w:r w:rsidRPr="00A83203">
              <w:rPr>
                <w:rFonts w:ascii="Calibri" w:hAnsi="Calibri"/>
                <w:b/>
                <w:sz w:val="20"/>
                <w:lang w:val="es-MX"/>
              </w:rPr>
              <w:t xml:space="preserve"> meses </w:t>
            </w:r>
            <w:r w:rsidR="00470026">
              <w:rPr>
                <w:rFonts w:ascii="Calibri" w:hAnsi="Calibri"/>
                <w:b/>
                <w:sz w:val="20"/>
                <w:lang w:val="es-MX"/>
              </w:rPr>
              <w:t xml:space="preserve">contados </w:t>
            </w:r>
            <w:r w:rsidRPr="00A83203">
              <w:rPr>
                <w:rFonts w:ascii="Calibri" w:hAnsi="Calibri"/>
                <w:b/>
                <w:sz w:val="20"/>
                <w:lang w:val="es-MX"/>
              </w:rPr>
              <w:t>desde la Fecha de Emisión y Liquidación</w:t>
            </w:r>
          </w:p>
        </w:tc>
      </w:tr>
    </w:tbl>
    <w:p w14:paraId="53C9A709" w14:textId="77777777" w:rsidR="001D57A7" w:rsidRPr="003A0D00" w:rsidRDefault="001D57A7" w:rsidP="001A0523">
      <w:pPr>
        <w:jc w:val="center"/>
        <w:rPr>
          <w:rFonts w:ascii="Times New Roman" w:hAnsi="Times New Roman"/>
          <w:b/>
          <w:sz w:val="20"/>
          <w:lang w:val="es-ES"/>
        </w:rPr>
      </w:pPr>
    </w:p>
    <w:p w14:paraId="7A19DABC" w14:textId="1561F05A" w:rsidR="001A0523" w:rsidRPr="001A4976" w:rsidRDefault="00167C47" w:rsidP="00500687">
      <w:pPr>
        <w:jc w:val="both"/>
        <w:rPr>
          <w:rFonts w:ascii="Times New Roman" w:hAnsi="Times New Roman"/>
          <w:sz w:val="20"/>
          <w:lang w:val="es-MX"/>
        </w:rPr>
      </w:pPr>
      <w:r>
        <w:rPr>
          <w:rFonts w:ascii="Times New Roman" w:hAnsi="Times New Roman"/>
          <w:sz w:val="20"/>
          <w:lang w:val="es-AR"/>
        </w:rPr>
        <w:t>Mediante el presente aviso de suscripción (el “</w:t>
      </w:r>
      <w:r w:rsidRPr="009F2DBE">
        <w:rPr>
          <w:rFonts w:ascii="Times New Roman" w:hAnsi="Times New Roman"/>
          <w:b/>
          <w:sz w:val="20"/>
          <w:lang w:val="es-AR"/>
        </w:rPr>
        <w:t>Aviso de Suscripción</w:t>
      </w:r>
      <w:r>
        <w:rPr>
          <w:rFonts w:ascii="Times New Roman" w:hAnsi="Times New Roman"/>
          <w:sz w:val="20"/>
          <w:lang w:val="es-AR"/>
        </w:rPr>
        <w:t>”), s</w:t>
      </w:r>
      <w:r w:rsidR="001A0523" w:rsidRPr="003A0D00">
        <w:rPr>
          <w:rFonts w:ascii="Times New Roman" w:hAnsi="Times New Roman"/>
          <w:sz w:val="20"/>
          <w:lang w:val="es-AR"/>
        </w:rPr>
        <w:t xml:space="preserve">e comunica al público inversor en general que </w:t>
      </w:r>
      <w:r w:rsidR="00E36408">
        <w:rPr>
          <w:rFonts w:ascii="Times New Roman" w:hAnsi="Times New Roman"/>
          <w:sz w:val="20"/>
          <w:lang w:val="es-AR"/>
        </w:rPr>
        <w:t>MSU S.A.</w:t>
      </w:r>
      <w:r w:rsidR="001A0523" w:rsidRPr="003A0D00">
        <w:rPr>
          <w:rFonts w:ascii="Times New Roman" w:hAnsi="Times New Roman"/>
          <w:sz w:val="20"/>
          <w:lang w:val="es-AR"/>
        </w:rPr>
        <w:t xml:space="preserve"> (“</w:t>
      </w:r>
      <w:r w:rsidR="00E36408">
        <w:rPr>
          <w:rFonts w:ascii="Times New Roman" w:hAnsi="Times New Roman"/>
          <w:b/>
          <w:sz w:val="20"/>
          <w:lang w:val="es-AR"/>
        </w:rPr>
        <w:t>MSU</w:t>
      </w:r>
      <w:r w:rsidR="001A0523" w:rsidRPr="003A0D00">
        <w:rPr>
          <w:rFonts w:ascii="Times New Roman" w:hAnsi="Times New Roman"/>
          <w:sz w:val="20"/>
          <w:lang w:val="es-AR"/>
        </w:rPr>
        <w:t>” o el “</w:t>
      </w:r>
      <w:r w:rsidR="001A0523" w:rsidRPr="003A0D00">
        <w:rPr>
          <w:rFonts w:ascii="Times New Roman" w:hAnsi="Times New Roman"/>
          <w:b/>
          <w:bCs/>
          <w:sz w:val="20"/>
          <w:lang w:val="es-AR"/>
        </w:rPr>
        <w:t>Emisor</w:t>
      </w:r>
      <w:r w:rsidR="001A4976">
        <w:rPr>
          <w:rFonts w:ascii="Times New Roman" w:hAnsi="Times New Roman"/>
          <w:sz w:val="20"/>
          <w:lang w:val="es-AR"/>
        </w:rPr>
        <w:t xml:space="preserve">”) ofrece en suscripción: </w:t>
      </w:r>
      <w:r w:rsidR="001A4976" w:rsidRPr="001A4976">
        <w:rPr>
          <w:rFonts w:ascii="Times New Roman" w:hAnsi="Times New Roman"/>
          <w:sz w:val="20"/>
          <w:lang w:val="es-MX"/>
        </w:rPr>
        <w:t>(i) las obligaciones negociables Clase A denominadas en Dólares Estadounidenses y pagaderas en Pesos al Tipo de Cambio Aplicable a una tasa de interés fija y con vencimiento a los 15 meses desde la Fecha de Emisión y Liquidación (las “</w:t>
      </w:r>
      <w:r w:rsidR="001A4976" w:rsidRPr="001A4976">
        <w:rPr>
          <w:rFonts w:ascii="Times New Roman" w:hAnsi="Times New Roman"/>
          <w:sz w:val="20"/>
          <w:u w:val="single"/>
          <w:lang w:val="es-MX"/>
        </w:rPr>
        <w:t>ON Clase A</w:t>
      </w:r>
      <w:r w:rsidR="001A4976" w:rsidRPr="001A4976">
        <w:rPr>
          <w:rFonts w:ascii="Times New Roman" w:hAnsi="Times New Roman"/>
          <w:sz w:val="20"/>
          <w:lang w:val="es-MX"/>
        </w:rPr>
        <w:t>”); y (ii) las obligaciones negociables Clase B denominadas y pagaderas en Dólares Estadounidenses a una tasa de interés fija y con vencimiento a los 15 meses desde la Fecha de Emisión y Liquidación (las “</w:t>
      </w:r>
      <w:r w:rsidR="001A4976" w:rsidRPr="001A4976">
        <w:rPr>
          <w:rFonts w:ascii="Times New Roman" w:hAnsi="Times New Roman"/>
          <w:sz w:val="20"/>
          <w:u w:val="single"/>
          <w:lang w:val="es-MX"/>
        </w:rPr>
        <w:t>ON Clase B</w:t>
      </w:r>
      <w:r w:rsidR="001A4976" w:rsidRPr="001A4976">
        <w:rPr>
          <w:rFonts w:ascii="Times New Roman" w:hAnsi="Times New Roman"/>
          <w:sz w:val="20"/>
          <w:lang w:val="es-MX"/>
        </w:rPr>
        <w:t>”</w:t>
      </w:r>
      <w:r w:rsidR="001A4976">
        <w:rPr>
          <w:rFonts w:ascii="Times New Roman" w:hAnsi="Times New Roman"/>
          <w:sz w:val="20"/>
          <w:lang w:val="es-MX"/>
        </w:rPr>
        <w:t xml:space="preserve"> y junto con las ON Clase A, las “</w:t>
      </w:r>
      <w:r w:rsidR="001A4976" w:rsidRPr="001A4976">
        <w:rPr>
          <w:rFonts w:ascii="Times New Roman" w:hAnsi="Times New Roman"/>
          <w:sz w:val="20"/>
          <w:u w:val="single"/>
          <w:lang w:val="es-MX"/>
        </w:rPr>
        <w:t>Obligaciones Negociables</w:t>
      </w:r>
      <w:r w:rsidR="001A4976">
        <w:rPr>
          <w:rFonts w:ascii="Times New Roman" w:hAnsi="Times New Roman"/>
          <w:sz w:val="20"/>
          <w:lang w:val="es-MX"/>
        </w:rPr>
        <w:t>”</w:t>
      </w:r>
      <w:r w:rsidR="001A4976" w:rsidRPr="001A4976">
        <w:rPr>
          <w:rFonts w:ascii="Times New Roman" w:hAnsi="Times New Roman"/>
          <w:sz w:val="20"/>
          <w:lang w:val="es-MX"/>
        </w:rPr>
        <w:t>)</w:t>
      </w:r>
      <w:r w:rsidR="001A4976">
        <w:rPr>
          <w:rFonts w:ascii="Times New Roman" w:hAnsi="Times New Roman"/>
          <w:sz w:val="20"/>
          <w:lang w:val="es-MX"/>
        </w:rPr>
        <w:t xml:space="preserve">; </w:t>
      </w:r>
      <w:r w:rsidR="008C6425" w:rsidRPr="008133CC">
        <w:rPr>
          <w:rFonts w:ascii="Times New Roman" w:hAnsi="Times New Roman"/>
          <w:color w:val="000000"/>
          <w:sz w:val="20"/>
          <w:lang w:val="es-MX"/>
        </w:rPr>
        <w:t xml:space="preserve">por un valor nominal </w:t>
      </w:r>
      <w:r w:rsidR="001A4976">
        <w:rPr>
          <w:rFonts w:ascii="Times New Roman" w:hAnsi="Times New Roman"/>
          <w:color w:val="000000"/>
          <w:sz w:val="20"/>
          <w:lang w:val="es-MX"/>
        </w:rPr>
        <w:t xml:space="preserve">en conjunto </w:t>
      </w:r>
      <w:r w:rsidR="008C6425" w:rsidRPr="008133CC">
        <w:rPr>
          <w:rFonts w:ascii="Times New Roman" w:hAnsi="Times New Roman"/>
          <w:color w:val="000000"/>
          <w:sz w:val="20"/>
          <w:lang w:val="es-MX"/>
        </w:rPr>
        <w:t xml:space="preserve">de hasta U$S </w:t>
      </w:r>
      <w:r w:rsidR="001A4976">
        <w:rPr>
          <w:rFonts w:ascii="Times New Roman" w:hAnsi="Times New Roman"/>
          <w:color w:val="000000"/>
          <w:sz w:val="20"/>
          <w:lang w:val="es-MX"/>
        </w:rPr>
        <w:t>8</w:t>
      </w:r>
      <w:r w:rsidR="008C6425" w:rsidRPr="008133CC">
        <w:rPr>
          <w:rFonts w:ascii="Times New Roman" w:hAnsi="Times New Roman"/>
          <w:color w:val="000000"/>
          <w:sz w:val="20"/>
          <w:lang w:val="es-MX"/>
        </w:rPr>
        <w:t xml:space="preserve">.000.000 (Dólares </w:t>
      </w:r>
      <w:r w:rsidR="00B8353E">
        <w:rPr>
          <w:rFonts w:ascii="Times New Roman" w:hAnsi="Times New Roman"/>
          <w:color w:val="000000"/>
          <w:sz w:val="20"/>
          <w:lang w:val="es-MX"/>
        </w:rPr>
        <w:t xml:space="preserve">Estadounidenses </w:t>
      </w:r>
      <w:r w:rsidR="001A4976">
        <w:rPr>
          <w:rFonts w:ascii="Times New Roman" w:hAnsi="Times New Roman"/>
          <w:color w:val="000000"/>
          <w:sz w:val="20"/>
          <w:lang w:val="es-MX"/>
        </w:rPr>
        <w:t>ocho</w:t>
      </w:r>
      <w:r w:rsidR="008C6425" w:rsidRPr="008133CC">
        <w:rPr>
          <w:rFonts w:ascii="Times New Roman" w:hAnsi="Times New Roman"/>
          <w:color w:val="000000"/>
          <w:sz w:val="20"/>
          <w:lang w:val="es-MX"/>
        </w:rPr>
        <w:t xml:space="preserve"> millones) ampliable por hasta </w:t>
      </w:r>
      <w:r w:rsidR="00B43A7E">
        <w:rPr>
          <w:rFonts w:ascii="Times New Roman" w:hAnsi="Times New Roman"/>
          <w:color w:val="000000"/>
          <w:sz w:val="20"/>
          <w:lang w:val="es-MX"/>
        </w:rPr>
        <w:t xml:space="preserve">un valor nominal de </w:t>
      </w:r>
      <w:r w:rsidR="008C6425" w:rsidRPr="008133CC">
        <w:rPr>
          <w:rFonts w:ascii="Times New Roman" w:hAnsi="Times New Roman"/>
          <w:color w:val="000000"/>
          <w:sz w:val="20"/>
          <w:lang w:val="es-MX"/>
        </w:rPr>
        <w:t>US$</w:t>
      </w:r>
      <w:r w:rsidR="00CF3F63">
        <w:rPr>
          <w:rFonts w:ascii="Times New Roman" w:hAnsi="Times New Roman"/>
          <w:color w:val="000000"/>
          <w:sz w:val="20"/>
          <w:lang w:val="es-MX"/>
        </w:rPr>
        <w:t>15</w:t>
      </w:r>
      <w:r w:rsidR="008C6425" w:rsidRPr="008133CC">
        <w:rPr>
          <w:rFonts w:ascii="Times New Roman" w:hAnsi="Times New Roman"/>
          <w:color w:val="000000"/>
          <w:sz w:val="20"/>
          <w:lang w:val="es-MX"/>
        </w:rPr>
        <w:t xml:space="preserve">.000.000 (Dólares </w:t>
      </w:r>
      <w:r w:rsidR="00B8353E">
        <w:rPr>
          <w:rFonts w:ascii="Times New Roman" w:hAnsi="Times New Roman"/>
          <w:color w:val="000000"/>
          <w:sz w:val="20"/>
          <w:lang w:val="es-MX"/>
        </w:rPr>
        <w:t xml:space="preserve">Estadounidenses </w:t>
      </w:r>
      <w:r w:rsidR="00CF3F63">
        <w:rPr>
          <w:rFonts w:ascii="Times New Roman" w:hAnsi="Times New Roman"/>
          <w:color w:val="000000"/>
          <w:sz w:val="20"/>
          <w:lang w:val="es-MX"/>
        </w:rPr>
        <w:t>quince</w:t>
      </w:r>
      <w:r w:rsidR="008C6425" w:rsidRPr="008133CC">
        <w:rPr>
          <w:rFonts w:ascii="Times New Roman" w:hAnsi="Times New Roman"/>
          <w:color w:val="000000"/>
          <w:sz w:val="20"/>
          <w:lang w:val="es-MX"/>
        </w:rPr>
        <w:t xml:space="preserve"> millones)</w:t>
      </w:r>
      <w:r w:rsidR="001A0523" w:rsidRPr="003A0D00">
        <w:rPr>
          <w:rFonts w:ascii="Times New Roman" w:hAnsi="Times New Roman"/>
          <w:sz w:val="20"/>
          <w:lang w:val="es-ES"/>
        </w:rPr>
        <w:t xml:space="preserve">, a ser emitidas </w:t>
      </w:r>
      <w:r w:rsidR="001A0523" w:rsidRPr="003A0D00">
        <w:rPr>
          <w:rFonts w:ascii="Times New Roman" w:hAnsi="Times New Roman"/>
          <w:sz w:val="20"/>
          <w:lang w:val="es-AR"/>
        </w:rPr>
        <w:t xml:space="preserve">en el marco </w:t>
      </w:r>
      <w:r w:rsidR="001A0523" w:rsidRPr="003A0D00">
        <w:rPr>
          <w:rFonts w:ascii="Times New Roman" w:hAnsi="Times New Roman"/>
          <w:sz w:val="20"/>
          <w:lang w:val="es-ES"/>
        </w:rPr>
        <w:t xml:space="preserve">de su </w:t>
      </w:r>
      <w:r w:rsidR="004C315B">
        <w:rPr>
          <w:rFonts w:ascii="Times New Roman" w:hAnsi="Times New Roman"/>
          <w:sz w:val="20"/>
          <w:lang w:val="es-ES"/>
        </w:rPr>
        <w:t>p</w:t>
      </w:r>
      <w:r w:rsidR="001A0523" w:rsidRPr="003A0D00">
        <w:rPr>
          <w:rFonts w:ascii="Times New Roman" w:hAnsi="Times New Roman"/>
          <w:sz w:val="20"/>
          <w:lang w:val="es-ES"/>
        </w:rPr>
        <w:t xml:space="preserve">rograma </w:t>
      </w:r>
      <w:r w:rsidR="004C315B">
        <w:rPr>
          <w:rFonts w:ascii="Times New Roman" w:hAnsi="Times New Roman"/>
          <w:sz w:val="20"/>
          <w:lang w:val="es-ES"/>
        </w:rPr>
        <w:t>g</w:t>
      </w:r>
      <w:r w:rsidR="001A0523" w:rsidRPr="003A0D00">
        <w:rPr>
          <w:rFonts w:ascii="Times New Roman" w:hAnsi="Times New Roman"/>
          <w:sz w:val="20"/>
          <w:lang w:val="es-ES"/>
        </w:rPr>
        <w:t xml:space="preserve">lobal para la </w:t>
      </w:r>
      <w:r w:rsidR="004C315B">
        <w:rPr>
          <w:rFonts w:ascii="Times New Roman" w:hAnsi="Times New Roman"/>
          <w:sz w:val="20"/>
          <w:lang w:val="es-ES"/>
        </w:rPr>
        <w:t>e</w:t>
      </w:r>
      <w:r w:rsidR="001A0523" w:rsidRPr="003A0D00">
        <w:rPr>
          <w:rFonts w:ascii="Times New Roman" w:hAnsi="Times New Roman"/>
          <w:sz w:val="20"/>
          <w:lang w:val="es-ES"/>
        </w:rPr>
        <w:t xml:space="preserve">misión de </w:t>
      </w:r>
      <w:r w:rsidR="004C315B">
        <w:rPr>
          <w:rFonts w:ascii="Times New Roman" w:hAnsi="Times New Roman"/>
          <w:sz w:val="20"/>
          <w:lang w:val="es-ES"/>
        </w:rPr>
        <w:t>o</w:t>
      </w:r>
      <w:r w:rsidR="001A0523" w:rsidRPr="003A0D00">
        <w:rPr>
          <w:rFonts w:ascii="Times New Roman" w:hAnsi="Times New Roman"/>
          <w:sz w:val="20"/>
          <w:lang w:val="es-ES"/>
        </w:rPr>
        <w:t xml:space="preserve">bligaciones </w:t>
      </w:r>
      <w:r w:rsidR="004C315B">
        <w:rPr>
          <w:rFonts w:ascii="Times New Roman" w:hAnsi="Times New Roman"/>
          <w:sz w:val="20"/>
          <w:lang w:val="es-ES"/>
        </w:rPr>
        <w:t>n</w:t>
      </w:r>
      <w:r w:rsidR="001A0523" w:rsidRPr="003A0D00">
        <w:rPr>
          <w:rFonts w:ascii="Times New Roman" w:hAnsi="Times New Roman"/>
          <w:sz w:val="20"/>
          <w:lang w:val="es-ES"/>
        </w:rPr>
        <w:t>egociables p</w:t>
      </w:r>
      <w:r w:rsidR="00A6449B">
        <w:rPr>
          <w:rFonts w:ascii="Times New Roman" w:hAnsi="Times New Roman"/>
          <w:sz w:val="20"/>
          <w:lang w:val="es-ES"/>
        </w:rPr>
        <w:t>or un valor nominal de hasta US</w:t>
      </w:r>
      <w:r w:rsidR="004C315B">
        <w:rPr>
          <w:rFonts w:ascii="Times New Roman" w:hAnsi="Times New Roman"/>
          <w:sz w:val="20"/>
          <w:lang w:val="es-ES"/>
        </w:rPr>
        <w:t>$</w:t>
      </w:r>
      <w:r w:rsidR="00A6449B">
        <w:rPr>
          <w:rFonts w:ascii="Times New Roman" w:hAnsi="Times New Roman"/>
          <w:sz w:val="20"/>
          <w:lang w:val="es-ES"/>
        </w:rPr>
        <w:t xml:space="preserve"> </w:t>
      </w:r>
      <w:r w:rsidR="001A0523" w:rsidRPr="003A0D00">
        <w:rPr>
          <w:rFonts w:ascii="Times New Roman" w:hAnsi="Times New Roman"/>
          <w:sz w:val="20"/>
          <w:lang w:val="es-ES"/>
        </w:rPr>
        <w:t xml:space="preserve">50.000.000 </w:t>
      </w:r>
      <w:r w:rsidR="004C315B">
        <w:rPr>
          <w:rFonts w:ascii="Times New Roman" w:hAnsi="Times New Roman"/>
          <w:sz w:val="20"/>
          <w:lang w:val="es-ES"/>
        </w:rPr>
        <w:t xml:space="preserve">(Dólares </w:t>
      </w:r>
      <w:r w:rsidR="00B8353E">
        <w:rPr>
          <w:rFonts w:ascii="Times New Roman" w:hAnsi="Times New Roman"/>
          <w:sz w:val="20"/>
          <w:lang w:val="es-ES"/>
        </w:rPr>
        <w:t xml:space="preserve">Estadounidenses </w:t>
      </w:r>
      <w:r w:rsidR="00D90863">
        <w:rPr>
          <w:rFonts w:ascii="Times New Roman" w:hAnsi="Times New Roman"/>
          <w:sz w:val="20"/>
          <w:lang w:val="es-ES"/>
        </w:rPr>
        <w:t xml:space="preserve">cincuenta millones) </w:t>
      </w:r>
      <w:r w:rsidR="001A0523" w:rsidRPr="003A0D00">
        <w:rPr>
          <w:rFonts w:ascii="Times New Roman" w:hAnsi="Times New Roman"/>
          <w:sz w:val="20"/>
          <w:lang w:val="es-ES"/>
        </w:rPr>
        <w:t>(o su equivalente en otras monedas) (el “</w:t>
      </w:r>
      <w:r w:rsidR="001A0523" w:rsidRPr="003A0D00">
        <w:rPr>
          <w:rFonts w:ascii="Times New Roman" w:hAnsi="Times New Roman"/>
          <w:b/>
          <w:sz w:val="20"/>
          <w:lang w:val="es-ES"/>
        </w:rPr>
        <w:t>Programa</w:t>
      </w:r>
      <w:r w:rsidR="001A0523" w:rsidRPr="003A0D00">
        <w:rPr>
          <w:rFonts w:ascii="Times New Roman" w:hAnsi="Times New Roman"/>
          <w:sz w:val="20"/>
          <w:lang w:val="es-ES"/>
        </w:rPr>
        <w:t xml:space="preserve">”), y de acuerdo con los principales términos y condiciones que se resumen a continuación y que forman parte del prospecto del Programa de fecha </w:t>
      </w:r>
      <w:r w:rsidR="001A4976">
        <w:rPr>
          <w:rFonts w:ascii="Times New Roman" w:hAnsi="Times New Roman"/>
          <w:sz w:val="20"/>
          <w:lang w:val="es-ES"/>
        </w:rPr>
        <w:t>27</w:t>
      </w:r>
      <w:r w:rsidR="008E0E07" w:rsidRPr="008E0E07">
        <w:rPr>
          <w:rFonts w:ascii="Times New Roman" w:hAnsi="Times New Roman"/>
          <w:sz w:val="20"/>
          <w:lang w:val="es-ES"/>
        </w:rPr>
        <w:t xml:space="preserve"> de </w:t>
      </w:r>
      <w:r w:rsidR="001A4976">
        <w:rPr>
          <w:rFonts w:ascii="Times New Roman" w:hAnsi="Times New Roman"/>
          <w:sz w:val="20"/>
          <w:lang w:val="es-ES"/>
        </w:rPr>
        <w:t>noviembre</w:t>
      </w:r>
      <w:r w:rsidR="008C6425">
        <w:rPr>
          <w:rFonts w:ascii="Times New Roman" w:hAnsi="Times New Roman"/>
          <w:sz w:val="20"/>
          <w:lang w:val="es-ES"/>
        </w:rPr>
        <w:t xml:space="preserve"> de 2019</w:t>
      </w:r>
      <w:r w:rsidR="008E0E07" w:rsidRPr="008E0E07">
        <w:rPr>
          <w:rFonts w:ascii="Times New Roman" w:hAnsi="Times New Roman"/>
          <w:sz w:val="20"/>
          <w:lang w:val="es-ES"/>
        </w:rPr>
        <w:t xml:space="preserve"> </w:t>
      </w:r>
      <w:r w:rsidR="001A0523" w:rsidRPr="003A0D00">
        <w:rPr>
          <w:rFonts w:ascii="Times New Roman" w:hAnsi="Times New Roman"/>
          <w:sz w:val="20"/>
          <w:lang w:val="es-ES"/>
        </w:rPr>
        <w:t>(el “</w:t>
      </w:r>
      <w:r w:rsidR="001A0523" w:rsidRPr="003A0D00">
        <w:rPr>
          <w:rFonts w:ascii="Times New Roman" w:hAnsi="Times New Roman"/>
          <w:b/>
          <w:bCs/>
          <w:sz w:val="20"/>
          <w:lang w:val="es-ES"/>
        </w:rPr>
        <w:t>Prospecto</w:t>
      </w:r>
      <w:r w:rsidR="001A0523" w:rsidRPr="003A0D00">
        <w:rPr>
          <w:rFonts w:ascii="Times New Roman" w:hAnsi="Times New Roman"/>
          <w:sz w:val="20"/>
          <w:lang w:val="es-ES"/>
        </w:rPr>
        <w:t>”)</w:t>
      </w:r>
      <w:r>
        <w:rPr>
          <w:rFonts w:ascii="Times New Roman" w:hAnsi="Times New Roman"/>
          <w:sz w:val="20"/>
          <w:lang w:val="es-ES"/>
        </w:rPr>
        <w:t>,</w:t>
      </w:r>
      <w:r w:rsidR="001A0523" w:rsidRPr="003A0D00">
        <w:rPr>
          <w:rFonts w:ascii="Times New Roman" w:hAnsi="Times New Roman"/>
          <w:sz w:val="20"/>
          <w:lang w:val="es-ES"/>
        </w:rPr>
        <w:t xml:space="preserve"> cuya versión resumida fuera publicada en el Boletín Diario de la Bolsa de Comercio de Buenos Aires (la “</w:t>
      </w:r>
      <w:r w:rsidR="001A0523" w:rsidRPr="003A0D00">
        <w:rPr>
          <w:rFonts w:ascii="Times New Roman" w:hAnsi="Times New Roman"/>
          <w:b/>
          <w:bCs/>
          <w:sz w:val="20"/>
          <w:lang w:val="es-ES"/>
        </w:rPr>
        <w:t>BCBA</w:t>
      </w:r>
      <w:r w:rsidR="001A0523" w:rsidRPr="003A0D00">
        <w:rPr>
          <w:rFonts w:ascii="Times New Roman" w:hAnsi="Times New Roman"/>
          <w:sz w:val="20"/>
          <w:lang w:val="es-ES"/>
        </w:rPr>
        <w:t>”)</w:t>
      </w:r>
      <w:r w:rsidR="001908CD" w:rsidRPr="003A0D00">
        <w:rPr>
          <w:rFonts w:ascii="Times New Roman" w:hAnsi="Times New Roman"/>
          <w:sz w:val="20"/>
          <w:lang w:val="es-ES"/>
        </w:rPr>
        <w:t>,</w:t>
      </w:r>
      <w:r w:rsidR="001A0523" w:rsidRPr="003A0D00">
        <w:rPr>
          <w:rFonts w:ascii="Times New Roman" w:hAnsi="Times New Roman"/>
          <w:sz w:val="20"/>
          <w:lang w:val="es-ES"/>
        </w:rPr>
        <w:t xml:space="preserve"> </w:t>
      </w:r>
      <w:r w:rsidR="001908CD" w:rsidRPr="003A0D00">
        <w:rPr>
          <w:rFonts w:ascii="Times New Roman" w:hAnsi="Times New Roman"/>
          <w:sz w:val="20"/>
          <w:lang w:val="es-ES"/>
        </w:rPr>
        <w:t xml:space="preserve">actuando ésta entidad en virtud del ejercicio de facultades delegadas por </w:t>
      </w:r>
      <w:r w:rsidR="008E0E07" w:rsidRPr="008E0E07">
        <w:rPr>
          <w:rFonts w:ascii="Times New Roman" w:hAnsi="Times New Roman"/>
          <w:sz w:val="20"/>
          <w:lang w:val="es-ES"/>
        </w:rPr>
        <w:t>Bolsas y Mercados Argentinos S.A. (“</w:t>
      </w:r>
      <w:r w:rsidR="008E0E07" w:rsidRPr="00ED12ED">
        <w:rPr>
          <w:rFonts w:ascii="Times New Roman" w:hAnsi="Times New Roman"/>
          <w:b/>
          <w:sz w:val="20"/>
          <w:lang w:val="es-ES"/>
        </w:rPr>
        <w:t>BYMA</w:t>
      </w:r>
      <w:r w:rsidR="008E0E07" w:rsidRPr="008E0E07">
        <w:rPr>
          <w:rFonts w:ascii="Times New Roman" w:hAnsi="Times New Roman"/>
          <w:sz w:val="20"/>
          <w:lang w:val="es-ES"/>
        </w:rPr>
        <w:t>”)</w:t>
      </w:r>
      <w:r w:rsidR="001908CD" w:rsidRPr="003A0D00">
        <w:rPr>
          <w:rFonts w:ascii="Times New Roman" w:hAnsi="Times New Roman"/>
          <w:sz w:val="20"/>
          <w:lang w:val="es-ES"/>
        </w:rPr>
        <w:t xml:space="preserve"> a favor de aquella, </w:t>
      </w:r>
      <w:r w:rsidR="004E3E1F">
        <w:rPr>
          <w:rFonts w:ascii="Times New Roman" w:hAnsi="Times New Roman"/>
          <w:sz w:val="20"/>
          <w:lang w:val="es-ES"/>
        </w:rPr>
        <w:t>en la misma fecha</w:t>
      </w:r>
      <w:r w:rsidR="001A0523" w:rsidRPr="003A0D00">
        <w:rPr>
          <w:rFonts w:ascii="Times New Roman" w:hAnsi="Times New Roman"/>
          <w:sz w:val="20"/>
          <w:lang w:val="es-ES"/>
        </w:rPr>
        <w:t xml:space="preserve">; y del suplemento de </w:t>
      </w:r>
      <w:r w:rsidR="008C6425">
        <w:rPr>
          <w:rFonts w:ascii="Times New Roman" w:hAnsi="Times New Roman"/>
          <w:sz w:val="20"/>
          <w:lang w:val="es-ES"/>
        </w:rPr>
        <w:t>prospecto</w:t>
      </w:r>
      <w:r w:rsidR="001A0523" w:rsidRPr="003A0D00">
        <w:rPr>
          <w:rFonts w:ascii="Times New Roman" w:hAnsi="Times New Roman"/>
          <w:sz w:val="20"/>
          <w:lang w:val="es-ES"/>
        </w:rPr>
        <w:t xml:space="preserve"> relativo a la emisión de las Obligaciones Negociables de fecha </w:t>
      </w:r>
      <w:r w:rsidR="00477202">
        <w:rPr>
          <w:rFonts w:ascii="Times New Roman" w:hAnsi="Times New Roman"/>
          <w:sz w:val="20"/>
          <w:lang w:val="es-ES"/>
        </w:rPr>
        <w:t xml:space="preserve">28 </w:t>
      </w:r>
      <w:r w:rsidR="001D43F0">
        <w:rPr>
          <w:rFonts w:ascii="Times New Roman" w:hAnsi="Times New Roman"/>
          <w:sz w:val="20"/>
          <w:lang w:val="es-ES"/>
        </w:rPr>
        <w:t xml:space="preserve">de </w:t>
      </w:r>
      <w:r w:rsidR="001A4976">
        <w:rPr>
          <w:rFonts w:ascii="Times New Roman" w:hAnsi="Times New Roman"/>
          <w:sz w:val="20"/>
          <w:lang w:val="es-ES"/>
        </w:rPr>
        <w:t>febrero</w:t>
      </w:r>
      <w:r w:rsidR="008C6425">
        <w:rPr>
          <w:rFonts w:ascii="Times New Roman" w:hAnsi="Times New Roman"/>
          <w:sz w:val="20"/>
          <w:lang w:val="es-ES"/>
        </w:rPr>
        <w:t xml:space="preserve"> de 20</w:t>
      </w:r>
      <w:r w:rsidR="001A4976">
        <w:rPr>
          <w:rFonts w:ascii="Times New Roman" w:hAnsi="Times New Roman"/>
          <w:sz w:val="20"/>
          <w:lang w:val="es-ES"/>
        </w:rPr>
        <w:t>20</w:t>
      </w:r>
      <w:r w:rsidR="00B10A8E" w:rsidRPr="003A0D00">
        <w:rPr>
          <w:rFonts w:ascii="Times New Roman" w:hAnsi="Times New Roman"/>
          <w:sz w:val="20"/>
          <w:lang w:val="es-ES"/>
        </w:rPr>
        <w:t xml:space="preserve"> </w:t>
      </w:r>
      <w:r w:rsidR="001A0523" w:rsidRPr="003A0D00">
        <w:rPr>
          <w:rFonts w:ascii="Times New Roman" w:hAnsi="Times New Roman"/>
          <w:sz w:val="20"/>
          <w:lang w:val="es-ES"/>
        </w:rPr>
        <w:t>(el “</w:t>
      </w:r>
      <w:r w:rsidR="001A0523" w:rsidRPr="003A0D00">
        <w:rPr>
          <w:rFonts w:ascii="Times New Roman" w:hAnsi="Times New Roman"/>
          <w:b/>
          <w:bCs/>
          <w:sz w:val="20"/>
          <w:lang w:val="es-ES"/>
        </w:rPr>
        <w:t xml:space="preserve">Suplemento de </w:t>
      </w:r>
      <w:r w:rsidR="008C6425">
        <w:rPr>
          <w:rFonts w:ascii="Times New Roman" w:hAnsi="Times New Roman"/>
          <w:b/>
          <w:bCs/>
          <w:sz w:val="20"/>
          <w:lang w:val="es-ES"/>
        </w:rPr>
        <w:t>Prospecto</w:t>
      </w:r>
      <w:r w:rsidR="001A0523" w:rsidRPr="003A0D00">
        <w:rPr>
          <w:rFonts w:ascii="Times New Roman" w:hAnsi="Times New Roman"/>
          <w:sz w:val="20"/>
          <w:lang w:val="es-ES"/>
        </w:rPr>
        <w:t>”)</w:t>
      </w:r>
      <w:r>
        <w:rPr>
          <w:rFonts w:ascii="Times New Roman" w:hAnsi="Times New Roman"/>
          <w:sz w:val="20"/>
          <w:lang w:val="es-ES"/>
        </w:rPr>
        <w:t>,</w:t>
      </w:r>
      <w:r w:rsidR="001A0523" w:rsidRPr="003A0D00">
        <w:rPr>
          <w:rFonts w:ascii="Times New Roman" w:hAnsi="Times New Roman"/>
          <w:sz w:val="20"/>
          <w:lang w:val="es-ES"/>
        </w:rPr>
        <w:t xml:space="preserve"> </w:t>
      </w:r>
      <w:r w:rsidR="008133CC">
        <w:rPr>
          <w:rFonts w:ascii="Times New Roman" w:hAnsi="Times New Roman"/>
          <w:sz w:val="20"/>
          <w:lang w:val="es-ES"/>
        </w:rPr>
        <w:t xml:space="preserve">cuya versión resumida </w:t>
      </w:r>
      <w:r w:rsidR="001A0523" w:rsidRPr="003A0D00">
        <w:rPr>
          <w:rFonts w:ascii="Times New Roman" w:hAnsi="Times New Roman"/>
          <w:sz w:val="20"/>
          <w:lang w:val="es-ES"/>
        </w:rPr>
        <w:t>que fuera publicad</w:t>
      </w:r>
      <w:r>
        <w:rPr>
          <w:rFonts w:ascii="Times New Roman" w:hAnsi="Times New Roman"/>
          <w:sz w:val="20"/>
          <w:lang w:val="es-ES"/>
        </w:rPr>
        <w:t>a</w:t>
      </w:r>
      <w:r w:rsidR="001A0523" w:rsidRPr="003A0D00">
        <w:rPr>
          <w:rFonts w:ascii="Times New Roman" w:hAnsi="Times New Roman"/>
          <w:sz w:val="20"/>
          <w:lang w:val="es-ES"/>
        </w:rPr>
        <w:t xml:space="preserve"> en el Boletín Diario de la </w:t>
      </w:r>
      <w:r w:rsidR="001A0523" w:rsidRPr="003A0D00">
        <w:rPr>
          <w:rFonts w:ascii="Times New Roman" w:hAnsi="Times New Roman"/>
          <w:bCs/>
          <w:sz w:val="20"/>
          <w:lang w:val="es-ES"/>
        </w:rPr>
        <w:t>BCBA</w:t>
      </w:r>
      <w:r w:rsidR="001A0523" w:rsidRPr="003A0D00">
        <w:rPr>
          <w:rFonts w:ascii="Times New Roman" w:hAnsi="Times New Roman"/>
          <w:sz w:val="20"/>
          <w:lang w:val="es-ES"/>
        </w:rPr>
        <w:t xml:space="preserve">, </w:t>
      </w:r>
      <w:r w:rsidR="001D43F0">
        <w:rPr>
          <w:rFonts w:ascii="Times New Roman" w:hAnsi="Times New Roman"/>
          <w:sz w:val="20"/>
          <w:lang w:val="es-ES"/>
        </w:rPr>
        <w:t>en la misma fecha</w:t>
      </w:r>
      <w:r w:rsidR="001A0523" w:rsidRPr="003A0D00">
        <w:rPr>
          <w:rFonts w:ascii="Times New Roman" w:hAnsi="Times New Roman"/>
          <w:sz w:val="20"/>
          <w:lang w:val="es-ES"/>
        </w:rPr>
        <w:t xml:space="preserve">, pudiendo el Prospecto, </w:t>
      </w:r>
      <w:r w:rsidR="008133CC">
        <w:rPr>
          <w:rFonts w:ascii="Times New Roman" w:hAnsi="Times New Roman"/>
          <w:sz w:val="20"/>
          <w:lang w:val="es-ES"/>
        </w:rPr>
        <w:t xml:space="preserve">el Suplemento de Prospecto y </w:t>
      </w:r>
      <w:r w:rsidR="001A0523" w:rsidRPr="003A0D00">
        <w:rPr>
          <w:rFonts w:ascii="Times New Roman" w:hAnsi="Times New Roman"/>
          <w:sz w:val="20"/>
          <w:lang w:val="es-ES"/>
        </w:rPr>
        <w:t>la</w:t>
      </w:r>
      <w:r w:rsidR="008133CC">
        <w:rPr>
          <w:rFonts w:ascii="Times New Roman" w:hAnsi="Times New Roman"/>
          <w:sz w:val="20"/>
          <w:lang w:val="es-ES"/>
        </w:rPr>
        <w:t>s</w:t>
      </w:r>
      <w:r w:rsidR="001A0523" w:rsidRPr="003A0D00">
        <w:rPr>
          <w:rFonts w:ascii="Times New Roman" w:hAnsi="Times New Roman"/>
          <w:sz w:val="20"/>
          <w:lang w:val="es-ES"/>
        </w:rPr>
        <w:t xml:space="preserve"> </w:t>
      </w:r>
      <w:r w:rsidR="008133CC" w:rsidRPr="003A0D00">
        <w:rPr>
          <w:rFonts w:ascii="Times New Roman" w:hAnsi="Times New Roman"/>
          <w:sz w:val="20"/>
          <w:lang w:val="es-ES"/>
        </w:rPr>
        <w:t>version</w:t>
      </w:r>
      <w:r w:rsidR="008133CC">
        <w:rPr>
          <w:rFonts w:ascii="Times New Roman" w:hAnsi="Times New Roman"/>
          <w:sz w:val="20"/>
          <w:lang w:val="es-ES"/>
        </w:rPr>
        <w:t>es</w:t>
      </w:r>
      <w:r w:rsidR="001A0523" w:rsidRPr="003A0D00">
        <w:rPr>
          <w:rFonts w:ascii="Times New Roman" w:hAnsi="Times New Roman"/>
          <w:sz w:val="20"/>
          <w:lang w:val="es-ES"/>
        </w:rPr>
        <w:t xml:space="preserve"> resumida</w:t>
      </w:r>
      <w:r w:rsidR="008133CC">
        <w:rPr>
          <w:rFonts w:ascii="Times New Roman" w:hAnsi="Times New Roman"/>
          <w:sz w:val="20"/>
          <w:lang w:val="es-ES"/>
        </w:rPr>
        <w:t>s de ambos documentos</w:t>
      </w:r>
      <w:r w:rsidR="001A0523" w:rsidRPr="003A0D00">
        <w:rPr>
          <w:rFonts w:ascii="Times New Roman" w:hAnsi="Times New Roman"/>
          <w:sz w:val="20"/>
          <w:lang w:val="es-ES"/>
        </w:rPr>
        <w:t xml:space="preserve"> ser encontrados en la Autopista de Información Financiera (la </w:t>
      </w:r>
      <w:r w:rsidR="001A0523" w:rsidRPr="003A0D00">
        <w:rPr>
          <w:rFonts w:ascii="Times New Roman" w:hAnsi="Times New Roman"/>
          <w:b/>
          <w:sz w:val="20"/>
          <w:lang w:val="es-ES"/>
        </w:rPr>
        <w:t>“AIF”</w:t>
      </w:r>
      <w:r w:rsidR="001A0523" w:rsidRPr="003A0D00">
        <w:rPr>
          <w:rFonts w:ascii="Times New Roman" w:hAnsi="Times New Roman"/>
          <w:sz w:val="20"/>
          <w:lang w:val="es-ES"/>
        </w:rPr>
        <w:t xml:space="preserve">) de la </w:t>
      </w:r>
      <w:r w:rsidR="001A0523" w:rsidRPr="003A0D00">
        <w:rPr>
          <w:rFonts w:ascii="Times New Roman" w:hAnsi="Times New Roman"/>
          <w:bCs/>
          <w:sz w:val="20"/>
          <w:lang w:val="es-ES"/>
        </w:rPr>
        <w:t>CNV</w:t>
      </w:r>
      <w:r w:rsidR="001908CD" w:rsidRPr="003A0D00">
        <w:rPr>
          <w:rFonts w:ascii="Times New Roman" w:hAnsi="Times New Roman"/>
          <w:bCs/>
          <w:sz w:val="20"/>
          <w:lang w:val="es-ES"/>
        </w:rPr>
        <w:t>,</w:t>
      </w:r>
      <w:r w:rsidR="001A0523" w:rsidRPr="003A0D00">
        <w:rPr>
          <w:rFonts w:ascii="Times New Roman" w:hAnsi="Times New Roman"/>
          <w:sz w:val="20"/>
          <w:lang w:val="es-ES"/>
        </w:rPr>
        <w:t xml:space="preserve"> en el sitio web institucional del Emisor </w:t>
      </w:r>
      <w:r w:rsidR="00152B13">
        <w:rPr>
          <w:rFonts w:ascii="Times New Roman" w:hAnsi="Times New Roman"/>
          <w:sz w:val="20"/>
          <w:lang w:val="es-ES"/>
        </w:rPr>
        <w:t>(</w:t>
      </w:r>
      <w:hyperlink r:id="rId8" w:history="1">
        <w:r w:rsidR="004E3E1F" w:rsidRPr="001E3DC9">
          <w:rPr>
            <w:rStyle w:val="Hipervnculo"/>
            <w:rFonts w:ascii="Times New Roman" w:hAnsi="Times New Roman"/>
            <w:sz w:val="20"/>
            <w:lang w:val="es-ES"/>
          </w:rPr>
          <w:t>www.msu.com.ar</w:t>
        </w:r>
      </w:hyperlink>
      <w:r w:rsidR="00152B13">
        <w:rPr>
          <w:rStyle w:val="Hipervnculo"/>
          <w:rFonts w:ascii="Times New Roman" w:hAnsi="Times New Roman"/>
          <w:sz w:val="20"/>
          <w:lang w:val="es-ES"/>
        </w:rPr>
        <w:t>)</w:t>
      </w:r>
      <w:r w:rsidR="001A0523" w:rsidRPr="003A0D00">
        <w:rPr>
          <w:rFonts w:ascii="Times New Roman" w:hAnsi="Times New Roman"/>
          <w:sz w:val="20"/>
          <w:lang w:val="es-ES"/>
        </w:rPr>
        <w:t>; y en el micrositio web del MAE para colocaciones primarias (</w:t>
      </w:r>
      <w:hyperlink r:id="rId9" w:history="1">
        <w:r w:rsidR="001A0523" w:rsidRPr="003A0D00">
          <w:rPr>
            <w:rStyle w:val="Hipervnculo"/>
            <w:rFonts w:ascii="Times New Roman" w:hAnsi="Times New Roman"/>
            <w:sz w:val="20"/>
            <w:lang w:val="es-ES"/>
          </w:rPr>
          <w:t>www.mae.com.ar/mpmae</w:t>
        </w:r>
      </w:hyperlink>
      <w:r w:rsidR="008133CC">
        <w:rPr>
          <w:rFonts w:ascii="Times New Roman" w:hAnsi="Times New Roman"/>
          <w:sz w:val="20"/>
          <w:lang w:val="es-ES"/>
        </w:rPr>
        <w:t>)</w:t>
      </w:r>
      <w:r w:rsidR="001A0523" w:rsidRPr="003A0D00">
        <w:rPr>
          <w:rFonts w:ascii="Times New Roman" w:hAnsi="Times New Roman"/>
          <w:sz w:val="20"/>
          <w:lang w:val="es-ES"/>
        </w:rPr>
        <w:t xml:space="preserve">. Todos los términos utilizados en mayúscula no definidos en el presente </w:t>
      </w:r>
      <w:r>
        <w:rPr>
          <w:rFonts w:ascii="Times New Roman" w:hAnsi="Times New Roman"/>
          <w:sz w:val="20"/>
          <w:lang w:val="es-ES"/>
        </w:rPr>
        <w:t>A</w:t>
      </w:r>
      <w:r w:rsidR="001A0523" w:rsidRPr="003A0D00">
        <w:rPr>
          <w:rFonts w:ascii="Times New Roman" w:hAnsi="Times New Roman"/>
          <w:sz w:val="20"/>
          <w:lang w:val="es-ES"/>
        </w:rPr>
        <w:t>viso</w:t>
      </w:r>
      <w:r>
        <w:rPr>
          <w:rFonts w:ascii="Times New Roman" w:hAnsi="Times New Roman"/>
          <w:sz w:val="20"/>
          <w:lang w:val="es-ES"/>
        </w:rPr>
        <w:t xml:space="preserve"> de Suscripción</w:t>
      </w:r>
      <w:r w:rsidR="001A0523" w:rsidRPr="003A0D00">
        <w:rPr>
          <w:rFonts w:ascii="Times New Roman" w:hAnsi="Times New Roman"/>
          <w:sz w:val="20"/>
          <w:lang w:val="es-ES"/>
        </w:rPr>
        <w:t xml:space="preserve"> tendrán el significado que se les asigna en el Suplemento de </w:t>
      </w:r>
      <w:r w:rsidR="008133CC">
        <w:rPr>
          <w:rFonts w:ascii="Times New Roman" w:hAnsi="Times New Roman"/>
          <w:sz w:val="20"/>
          <w:lang w:val="es-ES"/>
        </w:rPr>
        <w:t>Prospecto</w:t>
      </w:r>
      <w:r w:rsidR="001A0523" w:rsidRPr="003A0D00">
        <w:rPr>
          <w:rFonts w:ascii="Times New Roman" w:hAnsi="Times New Roman"/>
          <w:sz w:val="20"/>
          <w:lang w:val="es-ES"/>
        </w:rPr>
        <w:t>:</w:t>
      </w:r>
    </w:p>
    <w:p w14:paraId="4CE94FAA" w14:textId="77777777" w:rsidR="001A0523" w:rsidRPr="003A0D00" w:rsidRDefault="001A0523" w:rsidP="001A0523">
      <w:pPr>
        <w:jc w:val="both"/>
        <w:rPr>
          <w:rFonts w:ascii="Times New Roman" w:hAnsi="Times New Roman"/>
          <w:sz w:val="20"/>
          <w:lang w:val="es-ES"/>
        </w:rPr>
      </w:pPr>
    </w:p>
    <w:p w14:paraId="2DA1FFDB" w14:textId="09F13E37" w:rsidR="001A0523" w:rsidRPr="00F72900" w:rsidRDefault="00E07F95" w:rsidP="00493ED4">
      <w:pPr>
        <w:autoSpaceDE w:val="0"/>
        <w:autoSpaceDN w:val="0"/>
        <w:adjustRightInd w:val="0"/>
        <w:jc w:val="both"/>
        <w:rPr>
          <w:rFonts w:ascii="Times New Roman" w:hAnsi="Times New Roman"/>
          <w:sz w:val="20"/>
          <w:highlight w:val="yellow"/>
          <w:lang w:val="es-AR"/>
        </w:rPr>
      </w:pPr>
      <w:r>
        <w:rPr>
          <w:rFonts w:ascii="Times New Roman" w:hAnsi="Times New Roman"/>
          <w:sz w:val="20"/>
          <w:lang w:val="es-ES"/>
        </w:rPr>
        <w:t>1</w:t>
      </w:r>
      <w:r w:rsidR="001A0523" w:rsidRPr="003A0D00">
        <w:rPr>
          <w:rFonts w:ascii="Times New Roman" w:hAnsi="Times New Roman"/>
          <w:sz w:val="20"/>
          <w:lang w:val="es-ES"/>
        </w:rPr>
        <w:t xml:space="preserve">) </w:t>
      </w:r>
      <w:r w:rsidR="001D1B85">
        <w:rPr>
          <w:rFonts w:ascii="Times New Roman" w:hAnsi="Times New Roman"/>
          <w:b/>
          <w:sz w:val="20"/>
          <w:lang w:val="es-ES"/>
        </w:rPr>
        <w:t>Organizadores y Colocadores</w:t>
      </w:r>
      <w:r w:rsidR="001A0523" w:rsidRPr="003A0D00">
        <w:rPr>
          <w:rFonts w:ascii="Times New Roman" w:hAnsi="Times New Roman"/>
          <w:sz w:val="20"/>
          <w:lang w:val="es-ES"/>
        </w:rPr>
        <w:t xml:space="preserve">: </w:t>
      </w:r>
      <w:r w:rsidR="004E53A9" w:rsidRPr="004E53A9">
        <w:rPr>
          <w:rFonts w:ascii="Times New Roman" w:hAnsi="Times New Roman"/>
          <w:sz w:val="20"/>
          <w:lang w:val="es-AR"/>
        </w:rPr>
        <w:t>Banco de Galicia y Buenos Aires S.A.U.</w:t>
      </w:r>
      <w:r w:rsidR="00AD2FB8">
        <w:rPr>
          <w:rFonts w:ascii="Times New Roman" w:hAnsi="Times New Roman"/>
          <w:sz w:val="20"/>
          <w:lang w:val="es-AR"/>
        </w:rPr>
        <w:t xml:space="preserve"> (</w:t>
      </w:r>
      <w:r w:rsidR="00AD2FB8" w:rsidRPr="00AD2FB8">
        <w:rPr>
          <w:rFonts w:ascii="Times New Roman" w:hAnsi="Times New Roman"/>
          <w:sz w:val="20"/>
          <w:lang w:val="es-ES"/>
        </w:rPr>
        <w:t>Tte. Gral. J. D. Perón 430,</w:t>
      </w:r>
      <w:r w:rsidR="00CE7298">
        <w:rPr>
          <w:rFonts w:ascii="Times New Roman" w:hAnsi="Times New Roman"/>
          <w:sz w:val="20"/>
          <w:lang w:val="es-ES"/>
        </w:rPr>
        <w:t xml:space="preserve"> Piso 21°</w:t>
      </w:r>
      <w:r w:rsidR="00AD2FB8" w:rsidRPr="00AD2FB8">
        <w:rPr>
          <w:rFonts w:ascii="Times New Roman" w:hAnsi="Times New Roman"/>
          <w:sz w:val="20"/>
          <w:lang w:val="es-ES"/>
        </w:rPr>
        <w:t xml:space="preserve">, Ciudad de Buenos Aires, </w:t>
      </w:r>
      <w:r w:rsidR="00CE7298">
        <w:rPr>
          <w:rFonts w:ascii="Times New Roman" w:hAnsi="Times New Roman"/>
          <w:sz w:val="20"/>
          <w:lang w:val="es-ES"/>
        </w:rPr>
        <w:t>Argentina</w:t>
      </w:r>
      <w:r w:rsidR="00AD2FB8" w:rsidRPr="00AD2FB8">
        <w:rPr>
          <w:rFonts w:ascii="Times New Roman" w:hAnsi="Times New Roman"/>
          <w:sz w:val="20"/>
          <w:lang w:val="es-ES"/>
        </w:rPr>
        <w:t>,</w:t>
      </w:r>
      <w:r w:rsidR="00CE7298">
        <w:rPr>
          <w:rFonts w:ascii="Times New Roman" w:hAnsi="Times New Roman"/>
          <w:sz w:val="20"/>
          <w:lang w:val="es-AR"/>
        </w:rPr>
        <w:t>),</w:t>
      </w:r>
      <w:r w:rsidR="004E53A9" w:rsidRPr="004E53A9">
        <w:rPr>
          <w:rFonts w:ascii="Times New Roman" w:hAnsi="Times New Roman"/>
          <w:sz w:val="20"/>
          <w:lang w:val="es-AR"/>
        </w:rPr>
        <w:t xml:space="preserve"> Balanz Capital </w:t>
      </w:r>
      <w:r w:rsidR="004E53A9">
        <w:rPr>
          <w:rFonts w:ascii="Times New Roman" w:hAnsi="Times New Roman"/>
          <w:sz w:val="20"/>
          <w:lang w:val="es-AR"/>
        </w:rPr>
        <w:t xml:space="preserve">Valores S.A.U. </w:t>
      </w:r>
      <w:r w:rsidR="00CE7298">
        <w:rPr>
          <w:rFonts w:ascii="Times New Roman" w:hAnsi="Times New Roman"/>
          <w:sz w:val="20"/>
          <w:lang w:val="es-AR"/>
        </w:rPr>
        <w:t>(</w:t>
      </w:r>
      <w:r w:rsidR="00CE7298">
        <w:rPr>
          <w:rFonts w:ascii="Times New Roman" w:hAnsi="Times New Roman"/>
          <w:sz w:val="20"/>
          <w:lang w:val="es-ES"/>
        </w:rPr>
        <w:t>Av. Corrientes 316, Piso 3°, Of. 362, Ciudad de Buenos Aires, Argentina</w:t>
      </w:r>
      <w:r w:rsidR="001A4976">
        <w:rPr>
          <w:rFonts w:ascii="Times New Roman" w:hAnsi="Times New Roman"/>
          <w:sz w:val="20"/>
          <w:lang w:val="es-AR"/>
        </w:rPr>
        <w:t>),</w:t>
      </w:r>
      <w:r w:rsidR="004E53A9">
        <w:rPr>
          <w:rFonts w:ascii="Times New Roman" w:hAnsi="Times New Roman"/>
          <w:sz w:val="20"/>
          <w:lang w:val="es-AR"/>
        </w:rPr>
        <w:t xml:space="preserve"> INTL CIBSA S.A</w:t>
      </w:r>
      <w:r w:rsidR="003E2529" w:rsidRPr="003E2529">
        <w:rPr>
          <w:rFonts w:ascii="Times New Roman" w:hAnsi="Times New Roman"/>
          <w:sz w:val="20"/>
          <w:lang w:val="es-ES"/>
        </w:rPr>
        <w:t>.</w:t>
      </w:r>
      <w:r w:rsidR="00F45135">
        <w:rPr>
          <w:rFonts w:ascii="Times New Roman" w:hAnsi="Times New Roman"/>
          <w:sz w:val="20"/>
          <w:lang w:val="es-ES"/>
        </w:rPr>
        <w:t xml:space="preserve"> </w:t>
      </w:r>
      <w:r w:rsidR="00CE7298">
        <w:rPr>
          <w:rFonts w:ascii="Times New Roman" w:hAnsi="Times New Roman"/>
          <w:sz w:val="20"/>
          <w:lang w:val="es-ES"/>
        </w:rPr>
        <w:t>(Sarmiento 459, Piso 9°, Ciudad de Buenos Aires, Argentina)</w:t>
      </w:r>
      <w:r w:rsidR="008D361E">
        <w:rPr>
          <w:rFonts w:ascii="Times New Roman" w:hAnsi="Times New Roman"/>
          <w:sz w:val="20"/>
          <w:lang w:val="es-ES"/>
        </w:rPr>
        <w:t xml:space="preserve"> </w:t>
      </w:r>
      <w:r w:rsidR="001A4976">
        <w:rPr>
          <w:rFonts w:ascii="Times New Roman" w:hAnsi="Times New Roman"/>
          <w:sz w:val="20"/>
          <w:lang w:val="es-ES"/>
        </w:rPr>
        <w:t xml:space="preserve">y Banco de la Provincia de Buenos Aires </w:t>
      </w:r>
      <w:r w:rsidR="00477202">
        <w:rPr>
          <w:rFonts w:ascii="Times New Roman" w:hAnsi="Times New Roman"/>
          <w:sz w:val="20"/>
          <w:lang w:val="es-ES"/>
        </w:rPr>
        <w:t xml:space="preserve">(San Martin 108, Piso 15, Ciudad de Buenos Aires, Argentina). </w:t>
      </w:r>
    </w:p>
    <w:p w14:paraId="3AE138E5" w14:textId="77777777" w:rsidR="004E53A9" w:rsidRDefault="004E53A9" w:rsidP="004E53A9">
      <w:pPr>
        <w:autoSpaceDE w:val="0"/>
        <w:autoSpaceDN w:val="0"/>
        <w:adjustRightInd w:val="0"/>
        <w:jc w:val="both"/>
        <w:rPr>
          <w:rFonts w:ascii="Times New Roman" w:hAnsi="Times New Roman"/>
          <w:sz w:val="20"/>
          <w:lang w:val="es-ES"/>
        </w:rPr>
      </w:pPr>
    </w:p>
    <w:p w14:paraId="6D5075D7" w14:textId="51C1976D" w:rsidR="004E53A9" w:rsidRDefault="00E07F95" w:rsidP="004E53A9">
      <w:pPr>
        <w:autoSpaceDE w:val="0"/>
        <w:autoSpaceDN w:val="0"/>
        <w:adjustRightInd w:val="0"/>
        <w:jc w:val="both"/>
        <w:rPr>
          <w:rFonts w:ascii="Times New Roman" w:hAnsi="Times New Roman"/>
          <w:sz w:val="20"/>
          <w:lang w:val="es-AR"/>
        </w:rPr>
      </w:pPr>
      <w:r>
        <w:rPr>
          <w:rFonts w:ascii="Times New Roman" w:hAnsi="Times New Roman"/>
          <w:sz w:val="20"/>
          <w:lang w:val="es-ES"/>
        </w:rPr>
        <w:t>2</w:t>
      </w:r>
      <w:r w:rsidR="004E53A9">
        <w:rPr>
          <w:rFonts w:ascii="Times New Roman" w:hAnsi="Times New Roman"/>
          <w:sz w:val="20"/>
          <w:lang w:val="es-ES"/>
        </w:rPr>
        <w:t xml:space="preserve">) </w:t>
      </w:r>
      <w:r w:rsidR="004E53A9" w:rsidRPr="004E53A9">
        <w:rPr>
          <w:rFonts w:ascii="Times New Roman" w:hAnsi="Times New Roman"/>
          <w:b/>
          <w:sz w:val="20"/>
          <w:lang w:val="es-ES"/>
        </w:rPr>
        <w:t>Descripción:</w:t>
      </w:r>
      <w:r w:rsidR="004E53A9">
        <w:rPr>
          <w:rFonts w:ascii="Times New Roman" w:hAnsi="Times New Roman"/>
          <w:sz w:val="20"/>
          <w:lang w:val="es-ES"/>
        </w:rPr>
        <w:t xml:space="preserve"> </w:t>
      </w:r>
      <w:r w:rsidR="004E53A9" w:rsidRPr="004E53A9">
        <w:rPr>
          <w:rFonts w:ascii="Times New Roman" w:hAnsi="Times New Roman"/>
          <w:sz w:val="20"/>
          <w:lang w:val="es-AR"/>
        </w:rPr>
        <w:t>Obligaciones Negociables simples con garantía común, sin garantía de terceros, no subordinadas</w:t>
      </w:r>
      <w:r w:rsidR="00F96262">
        <w:rPr>
          <w:rFonts w:ascii="Times New Roman" w:hAnsi="Times New Roman"/>
          <w:sz w:val="20"/>
          <w:lang w:val="es-AR"/>
        </w:rPr>
        <w:t xml:space="preserve"> y no convertibles</w:t>
      </w:r>
      <w:r w:rsidR="004E53A9" w:rsidRPr="004E53A9">
        <w:rPr>
          <w:rFonts w:ascii="Times New Roman" w:hAnsi="Times New Roman"/>
          <w:sz w:val="20"/>
          <w:lang w:val="es-AR"/>
        </w:rPr>
        <w:t>. Las Obligaciones Negociables serán emitidas conforme con la Ley de Obligaciones Negociables y demás normas vigentes</w:t>
      </w:r>
      <w:r w:rsidR="004E53A9">
        <w:rPr>
          <w:rFonts w:ascii="Times New Roman" w:hAnsi="Times New Roman"/>
          <w:sz w:val="20"/>
          <w:lang w:val="es-AR"/>
        </w:rPr>
        <w:t>.</w:t>
      </w:r>
    </w:p>
    <w:p w14:paraId="42C5B257" w14:textId="77777777" w:rsidR="004E53A9" w:rsidRDefault="004E53A9" w:rsidP="004E53A9">
      <w:pPr>
        <w:autoSpaceDE w:val="0"/>
        <w:autoSpaceDN w:val="0"/>
        <w:adjustRightInd w:val="0"/>
        <w:jc w:val="both"/>
        <w:rPr>
          <w:rFonts w:ascii="Times New Roman" w:hAnsi="Times New Roman"/>
          <w:sz w:val="20"/>
          <w:lang w:val="es-AR"/>
        </w:rPr>
      </w:pPr>
    </w:p>
    <w:p w14:paraId="3557898D" w14:textId="77777777" w:rsidR="004E53A9" w:rsidRDefault="00E07F95" w:rsidP="004E53A9">
      <w:pPr>
        <w:autoSpaceDE w:val="0"/>
        <w:autoSpaceDN w:val="0"/>
        <w:adjustRightInd w:val="0"/>
        <w:jc w:val="both"/>
        <w:rPr>
          <w:rFonts w:ascii="Times New Roman" w:hAnsi="Times New Roman"/>
          <w:sz w:val="20"/>
          <w:lang w:val="es-AR"/>
        </w:rPr>
      </w:pPr>
      <w:r>
        <w:rPr>
          <w:rFonts w:ascii="Times New Roman" w:hAnsi="Times New Roman"/>
          <w:sz w:val="20"/>
          <w:lang w:val="es-AR"/>
        </w:rPr>
        <w:lastRenderedPageBreak/>
        <w:t>3</w:t>
      </w:r>
      <w:r w:rsidR="004E53A9">
        <w:rPr>
          <w:rFonts w:ascii="Times New Roman" w:hAnsi="Times New Roman"/>
          <w:sz w:val="20"/>
          <w:lang w:val="es-AR"/>
        </w:rPr>
        <w:t xml:space="preserve">) </w:t>
      </w:r>
      <w:r w:rsidR="004E53A9" w:rsidRPr="004E53A9">
        <w:rPr>
          <w:rFonts w:ascii="Times New Roman" w:hAnsi="Times New Roman"/>
          <w:b/>
          <w:sz w:val="20"/>
          <w:lang w:val="es-AR"/>
        </w:rPr>
        <w:t>Monto Ofertado</w:t>
      </w:r>
      <w:r w:rsidR="004E53A9">
        <w:rPr>
          <w:rFonts w:ascii="Times New Roman" w:hAnsi="Times New Roman"/>
          <w:sz w:val="20"/>
          <w:lang w:val="es-AR"/>
        </w:rPr>
        <w:t xml:space="preserve">: </w:t>
      </w:r>
      <w:r w:rsidR="004E53A9" w:rsidRPr="004E53A9">
        <w:rPr>
          <w:rFonts w:ascii="Times New Roman" w:hAnsi="Times New Roman"/>
          <w:sz w:val="20"/>
          <w:lang w:val="es-AR"/>
        </w:rPr>
        <w:t xml:space="preserve">Hasta valor nominal de U$S </w:t>
      </w:r>
      <w:r w:rsidR="00B8353E">
        <w:rPr>
          <w:rFonts w:ascii="Times New Roman" w:hAnsi="Times New Roman"/>
          <w:sz w:val="20"/>
          <w:lang w:val="es-AR"/>
        </w:rPr>
        <w:t>8</w:t>
      </w:r>
      <w:r w:rsidR="004E53A9" w:rsidRPr="004E53A9">
        <w:rPr>
          <w:rFonts w:ascii="Times New Roman" w:hAnsi="Times New Roman"/>
          <w:sz w:val="20"/>
          <w:lang w:val="es-AR"/>
        </w:rPr>
        <w:t xml:space="preserve">.000.000 (Dólares </w:t>
      </w:r>
      <w:r w:rsidR="00B8353E">
        <w:rPr>
          <w:rFonts w:ascii="Times New Roman" w:hAnsi="Times New Roman"/>
          <w:sz w:val="20"/>
          <w:lang w:val="es-AR"/>
        </w:rPr>
        <w:t>Estadounidenses ocho</w:t>
      </w:r>
      <w:r w:rsidR="004E53A9" w:rsidRPr="004E53A9">
        <w:rPr>
          <w:rFonts w:ascii="Times New Roman" w:hAnsi="Times New Roman"/>
          <w:sz w:val="20"/>
          <w:lang w:val="es-AR"/>
        </w:rPr>
        <w:t xml:space="preserve"> millones) ampliable </w:t>
      </w:r>
      <w:r w:rsidR="00DC35DA">
        <w:rPr>
          <w:rFonts w:ascii="Times New Roman" w:hAnsi="Times New Roman"/>
          <w:sz w:val="20"/>
          <w:lang w:val="es-AR"/>
        </w:rPr>
        <w:t>por hasta valor nominal de US$ 15</w:t>
      </w:r>
      <w:r w:rsidR="004E53A9" w:rsidRPr="004E53A9">
        <w:rPr>
          <w:rFonts w:ascii="Times New Roman" w:hAnsi="Times New Roman"/>
          <w:sz w:val="20"/>
          <w:lang w:val="es-AR"/>
        </w:rPr>
        <w:t xml:space="preserve">.000.000 (Dólares </w:t>
      </w:r>
      <w:r w:rsidR="00B8353E">
        <w:rPr>
          <w:rFonts w:ascii="Times New Roman" w:hAnsi="Times New Roman"/>
          <w:sz w:val="20"/>
          <w:lang w:val="es-AR"/>
        </w:rPr>
        <w:t xml:space="preserve">Estadounidenses </w:t>
      </w:r>
      <w:r w:rsidR="00DC35DA">
        <w:rPr>
          <w:rFonts w:ascii="Times New Roman" w:hAnsi="Times New Roman"/>
          <w:sz w:val="20"/>
          <w:lang w:val="es-AR"/>
        </w:rPr>
        <w:t>quince</w:t>
      </w:r>
      <w:r w:rsidR="004E53A9" w:rsidRPr="004E53A9">
        <w:rPr>
          <w:rFonts w:ascii="Times New Roman" w:hAnsi="Times New Roman"/>
          <w:sz w:val="20"/>
          <w:lang w:val="es-AR"/>
        </w:rPr>
        <w:t xml:space="preserve"> millones). El monto de emisión definitivo será informado en el Aviso de Resultado</w:t>
      </w:r>
      <w:r w:rsidR="004E53A9">
        <w:rPr>
          <w:rFonts w:ascii="Times New Roman" w:hAnsi="Times New Roman"/>
          <w:sz w:val="20"/>
          <w:lang w:val="es-AR"/>
        </w:rPr>
        <w:t>.</w:t>
      </w:r>
    </w:p>
    <w:p w14:paraId="7A44A6CF" w14:textId="77777777" w:rsidR="004E53A9" w:rsidRDefault="004E53A9" w:rsidP="004E53A9">
      <w:pPr>
        <w:autoSpaceDE w:val="0"/>
        <w:autoSpaceDN w:val="0"/>
        <w:adjustRightInd w:val="0"/>
        <w:jc w:val="both"/>
        <w:rPr>
          <w:rFonts w:ascii="Times New Roman" w:hAnsi="Times New Roman"/>
          <w:sz w:val="20"/>
          <w:lang w:val="es-AR"/>
        </w:rPr>
      </w:pPr>
    </w:p>
    <w:p w14:paraId="36C04311" w14:textId="77777777" w:rsidR="00B8353E" w:rsidRDefault="00E07F95" w:rsidP="004E53A9">
      <w:pPr>
        <w:autoSpaceDE w:val="0"/>
        <w:autoSpaceDN w:val="0"/>
        <w:adjustRightInd w:val="0"/>
        <w:jc w:val="both"/>
        <w:rPr>
          <w:rFonts w:ascii="Times New Roman" w:hAnsi="Times New Roman"/>
          <w:sz w:val="20"/>
          <w:lang w:val="es-AR"/>
        </w:rPr>
      </w:pPr>
      <w:r>
        <w:rPr>
          <w:rFonts w:ascii="Times New Roman" w:hAnsi="Times New Roman"/>
          <w:sz w:val="20"/>
          <w:lang w:val="es-AR"/>
        </w:rPr>
        <w:t>4</w:t>
      </w:r>
      <w:r w:rsidR="004E53A9">
        <w:rPr>
          <w:rFonts w:ascii="Times New Roman" w:hAnsi="Times New Roman"/>
          <w:sz w:val="20"/>
          <w:lang w:val="es-AR"/>
        </w:rPr>
        <w:t xml:space="preserve">) </w:t>
      </w:r>
      <w:r w:rsidR="004E53A9" w:rsidRPr="004E53A9">
        <w:rPr>
          <w:rFonts w:ascii="Times New Roman" w:hAnsi="Times New Roman"/>
          <w:b/>
          <w:sz w:val="20"/>
          <w:lang w:val="es-AR"/>
        </w:rPr>
        <w:t>Moneda de Denominación y Pago</w:t>
      </w:r>
      <w:r w:rsidR="004E53A9">
        <w:rPr>
          <w:rFonts w:ascii="Times New Roman" w:hAnsi="Times New Roman"/>
          <w:sz w:val="20"/>
          <w:lang w:val="es-AR"/>
        </w:rPr>
        <w:t xml:space="preserve">: </w:t>
      </w:r>
    </w:p>
    <w:p w14:paraId="08D9C45D" w14:textId="77777777" w:rsidR="00B8353E" w:rsidRPr="00B8353E" w:rsidRDefault="00B8353E" w:rsidP="00B8353E">
      <w:pPr>
        <w:numPr>
          <w:ilvl w:val="0"/>
          <w:numId w:val="2"/>
        </w:numPr>
        <w:autoSpaceDE w:val="0"/>
        <w:autoSpaceDN w:val="0"/>
        <w:adjustRightInd w:val="0"/>
        <w:jc w:val="both"/>
        <w:rPr>
          <w:rFonts w:ascii="Times New Roman" w:hAnsi="Times New Roman"/>
          <w:b/>
          <w:sz w:val="20"/>
          <w:lang w:val="es-AR"/>
        </w:rPr>
      </w:pPr>
      <w:r>
        <w:rPr>
          <w:rFonts w:ascii="Times New Roman" w:hAnsi="Times New Roman"/>
          <w:b/>
          <w:sz w:val="20"/>
          <w:lang w:val="es-AR"/>
        </w:rPr>
        <w:t>ON Clase A</w:t>
      </w:r>
      <w:r w:rsidRPr="00B8353E">
        <w:rPr>
          <w:rFonts w:ascii="Times New Roman" w:hAnsi="Times New Roman"/>
          <w:b/>
          <w:sz w:val="20"/>
          <w:lang w:val="es-AR"/>
        </w:rPr>
        <w:t>:</w:t>
      </w:r>
      <w:r w:rsidRPr="00B8353E">
        <w:rPr>
          <w:rFonts w:ascii="Times New Roman" w:hAnsi="Times New Roman"/>
          <w:sz w:val="20"/>
          <w:lang w:val="es-AR"/>
        </w:rPr>
        <w:t xml:space="preserve"> Las </w:t>
      </w:r>
      <w:r>
        <w:rPr>
          <w:rFonts w:ascii="Times New Roman" w:hAnsi="Times New Roman"/>
          <w:sz w:val="20"/>
          <w:lang w:val="es-AR"/>
        </w:rPr>
        <w:t>ON Clase A</w:t>
      </w:r>
      <w:r w:rsidRPr="00B8353E">
        <w:rPr>
          <w:rFonts w:ascii="Times New Roman" w:hAnsi="Times New Roman"/>
          <w:sz w:val="20"/>
          <w:lang w:val="es-AR"/>
        </w:rPr>
        <w:t xml:space="preserve"> estarán denominadas en Dólares Estadounidenses y serán pagaderas en Pesos al Tipo de Cambio Aplicable.</w:t>
      </w:r>
    </w:p>
    <w:p w14:paraId="254EC774" w14:textId="77777777" w:rsidR="004E53A9" w:rsidRDefault="00B8353E" w:rsidP="00B8353E">
      <w:pPr>
        <w:numPr>
          <w:ilvl w:val="0"/>
          <w:numId w:val="2"/>
        </w:numPr>
        <w:autoSpaceDE w:val="0"/>
        <w:autoSpaceDN w:val="0"/>
        <w:adjustRightInd w:val="0"/>
        <w:jc w:val="both"/>
        <w:rPr>
          <w:rFonts w:ascii="Times New Roman" w:hAnsi="Times New Roman"/>
          <w:sz w:val="20"/>
          <w:lang w:val="es-AR"/>
        </w:rPr>
      </w:pPr>
      <w:r>
        <w:rPr>
          <w:rFonts w:ascii="Times New Roman" w:hAnsi="Times New Roman"/>
          <w:b/>
          <w:sz w:val="20"/>
          <w:lang w:val="es-AR"/>
        </w:rPr>
        <w:t>ON Clase B</w:t>
      </w:r>
      <w:r w:rsidRPr="00B8353E">
        <w:rPr>
          <w:rFonts w:ascii="Times New Roman" w:hAnsi="Times New Roman"/>
          <w:b/>
          <w:sz w:val="20"/>
          <w:lang w:val="es-AR"/>
        </w:rPr>
        <w:t xml:space="preserve">: </w:t>
      </w:r>
      <w:r>
        <w:rPr>
          <w:rFonts w:ascii="Times New Roman" w:hAnsi="Times New Roman"/>
          <w:sz w:val="20"/>
          <w:lang w:val="es-AR"/>
        </w:rPr>
        <w:t>Las ON Clase B</w:t>
      </w:r>
      <w:r w:rsidRPr="00B8353E">
        <w:rPr>
          <w:rFonts w:ascii="Times New Roman" w:hAnsi="Times New Roman"/>
          <w:sz w:val="20"/>
          <w:lang w:val="es-AR"/>
        </w:rPr>
        <w:t xml:space="preserve"> estarán denominadas </w:t>
      </w:r>
      <w:r>
        <w:rPr>
          <w:rFonts w:ascii="Times New Roman" w:hAnsi="Times New Roman"/>
          <w:sz w:val="20"/>
          <w:lang w:val="es-AR"/>
        </w:rPr>
        <w:t xml:space="preserve">y todos los pagos que se efectúen bajos las mismas se realizarán </w:t>
      </w:r>
      <w:r w:rsidRPr="00B8353E">
        <w:rPr>
          <w:rFonts w:ascii="Times New Roman" w:hAnsi="Times New Roman"/>
          <w:sz w:val="20"/>
          <w:lang w:val="es-AR"/>
        </w:rPr>
        <w:t>en Dólares</w:t>
      </w:r>
      <w:r>
        <w:rPr>
          <w:rFonts w:ascii="Times New Roman" w:hAnsi="Times New Roman"/>
          <w:sz w:val="20"/>
          <w:lang w:val="es-AR"/>
        </w:rPr>
        <w:t xml:space="preserve"> Estadounidenses</w:t>
      </w:r>
      <w:r w:rsidRPr="00B8353E">
        <w:rPr>
          <w:rFonts w:ascii="Times New Roman" w:hAnsi="Times New Roman"/>
          <w:sz w:val="20"/>
          <w:lang w:val="es-AR"/>
        </w:rPr>
        <w:t>.</w:t>
      </w:r>
    </w:p>
    <w:p w14:paraId="5A46724C" w14:textId="77777777" w:rsidR="006246DB" w:rsidRDefault="006246DB" w:rsidP="004E53A9">
      <w:pPr>
        <w:autoSpaceDE w:val="0"/>
        <w:autoSpaceDN w:val="0"/>
        <w:adjustRightInd w:val="0"/>
        <w:jc w:val="both"/>
        <w:rPr>
          <w:rFonts w:ascii="Times New Roman" w:hAnsi="Times New Roman"/>
          <w:sz w:val="20"/>
          <w:lang w:val="es-AR"/>
        </w:rPr>
      </w:pPr>
    </w:p>
    <w:p w14:paraId="5B9BC08C" w14:textId="183B1220" w:rsidR="00966BDD" w:rsidRDefault="00E07F95" w:rsidP="006246DB">
      <w:pPr>
        <w:autoSpaceDE w:val="0"/>
        <w:autoSpaceDN w:val="0"/>
        <w:adjustRightInd w:val="0"/>
        <w:jc w:val="both"/>
        <w:rPr>
          <w:rFonts w:ascii="Times New Roman" w:hAnsi="Times New Roman"/>
          <w:sz w:val="20"/>
          <w:lang w:val="es-AR"/>
        </w:rPr>
      </w:pPr>
      <w:r>
        <w:rPr>
          <w:rFonts w:ascii="Times New Roman" w:hAnsi="Times New Roman"/>
          <w:sz w:val="20"/>
          <w:lang w:val="es-AR"/>
        </w:rPr>
        <w:t>5</w:t>
      </w:r>
      <w:r w:rsidR="006246DB">
        <w:rPr>
          <w:rFonts w:ascii="Times New Roman" w:hAnsi="Times New Roman"/>
          <w:sz w:val="20"/>
          <w:lang w:val="es-AR"/>
        </w:rPr>
        <w:t xml:space="preserve">) </w:t>
      </w:r>
      <w:r w:rsidR="00470026" w:rsidRPr="008413ED">
        <w:rPr>
          <w:rFonts w:ascii="Times New Roman" w:hAnsi="Times New Roman"/>
          <w:b/>
          <w:sz w:val="20"/>
          <w:lang w:val="es-AR"/>
        </w:rPr>
        <w:t>Moneda de</w:t>
      </w:r>
      <w:r w:rsidR="00470026">
        <w:rPr>
          <w:rFonts w:ascii="Times New Roman" w:hAnsi="Times New Roman"/>
          <w:sz w:val="20"/>
          <w:lang w:val="es-AR"/>
        </w:rPr>
        <w:t xml:space="preserve"> </w:t>
      </w:r>
      <w:r w:rsidR="006246DB" w:rsidRPr="006246DB">
        <w:rPr>
          <w:rFonts w:ascii="Times New Roman" w:hAnsi="Times New Roman"/>
          <w:b/>
          <w:sz w:val="20"/>
          <w:lang w:val="es-AR"/>
        </w:rPr>
        <w:t>Integración:</w:t>
      </w:r>
      <w:r w:rsidR="006246DB">
        <w:rPr>
          <w:rFonts w:ascii="Times New Roman" w:hAnsi="Times New Roman"/>
          <w:sz w:val="20"/>
          <w:lang w:val="es-AR"/>
        </w:rPr>
        <w:t xml:space="preserve"> </w:t>
      </w:r>
    </w:p>
    <w:p w14:paraId="0136AD21" w14:textId="77777777" w:rsidR="006246DB" w:rsidRPr="00966BDD" w:rsidRDefault="00966BDD" w:rsidP="00966BDD">
      <w:pPr>
        <w:numPr>
          <w:ilvl w:val="0"/>
          <w:numId w:val="2"/>
        </w:numPr>
        <w:autoSpaceDE w:val="0"/>
        <w:autoSpaceDN w:val="0"/>
        <w:adjustRightInd w:val="0"/>
        <w:jc w:val="both"/>
        <w:rPr>
          <w:rFonts w:ascii="Times New Roman" w:hAnsi="Times New Roman"/>
          <w:sz w:val="20"/>
          <w:lang w:val="es-AR"/>
        </w:rPr>
      </w:pPr>
      <w:r>
        <w:rPr>
          <w:rFonts w:ascii="Times New Roman" w:hAnsi="Times New Roman"/>
          <w:b/>
          <w:sz w:val="20"/>
          <w:lang w:val="es-AR"/>
        </w:rPr>
        <w:t>ON Clase A</w:t>
      </w:r>
      <w:r w:rsidRPr="00B8353E">
        <w:rPr>
          <w:rFonts w:ascii="Times New Roman" w:hAnsi="Times New Roman"/>
          <w:b/>
          <w:sz w:val="20"/>
          <w:lang w:val="es-AR"/>
        </w:rPr>
        <w:t>:</w:t>
      </w:r>
      <w:r w:rsidRPr="00B8353E">
        <w:rPr>
          <w:rFonts w:ascii="Times New Roman" w:hAnsi="Times New Roman"/>
          <w:sz w:val="20"/>
          <w:lang w:val="es-AR"/>
        </w:rPr>
        <w:t xml:space="preserve"> </w:t>
      </w:r>
      <w:r w:rsidRPr="00966BDD">
        <w:rPr>
          <w:rFonts w:ascii="Times New Roman" w:hAnsi="Times New Roman"/>
          <w:sz w:val="20"/>
          <w:lang w:val="es-AR"/>
        </w:rPr>
        <w:t>Las ON Clase A serán suscriptas e integradas en la Fecha de Emisión y Liquidación en Pesos al Tipo de Cambio Inicial</w:t>
      </w:r>
      <w:r w:rsidR="00F21762">
        <w:rPr>
          <w:rFonts w:ascii="Times New Roman" w:hAnsi="Times New Roman"/>
          <w:sz w:val="20"/>
          <w:lang w:val="es-AR"/>
        </w:rPr>
        <w:t xml:space="preserve"> de conformidad con lo dispuesto en el capítulo “</w:t>
      </w:r>
      <w:r w:rsidR="00F21762" w:rsidRPr="00F21762">
        <w:rPr>
          <w:rFonts w:ascii="Times New Roman" w:hAnsi="Times New Roman"/>
          <w:i/>
          <w:sz w:val="20"/>
          <w:lang w:val="es-AR"/>
        </w:rPr>
        <w:t>Plan de Distribución</w:t>
      </w:r>
      <w:r w:rsidR="00F21762">
        <w:rPr>
          <w:rFonts w:ascii="Times New Roman" w:hAnsi="Times New Roman"/>
          <w:sz w:val="20"/>
          <w:lang w:val="es-AR"/>
        </w:rPr>
        <w:t>” del Suplemento</w:t>
      </w:r>
      <w:r>
        <w:rPr>
          <w:rFonts w:ascii="Times New Roman" w:hAnsi="Times New Roman"/>
          <w:sz w:val="20"/>
          <w:lang w:val="es-AR"/>
        </w:rPr>
        <w:t xml:space="preserve">. </w:t>
      </w:r>
    </w:p>
    <w:p w14:paraId="299C7E8A" w14:textId="77777777" w:rsidR="006246DB" w:rsidRPr="00F21762" w:rsidRDefault="00F21762" w:rsidP="00F21762">
      <w:pPr>
        <w:pStyle w:val="Prrafodelista"/>
        <w:numPr>
          <w:ilvl w:val="0"/>
          <w:numId w:val="2"/>
        </w:numPr>
        <w:autoSpaceDE w:val="0"/>
        <w:autoSpaceDN w:val="0"/>
        <w:adjustRightInd w:val="0"/>
        <w:jc w:val="both"/>
        <w:rPr>
          <w:rFonts w:ascii="Times New Roman" w:hAnsi="Times New Roman"/>
          <w:sz w:val="20"/>
          <w:lang w:val="es-AR"/>
        </w:rPr>
      </w:pPr>
      <w:r w:rsidRPr="00F21762">
        <w:rPr>
          <w:rFonts w:ascii="Times New Roman" w:hAnsi="Times New Roman"/>
          <w:b/>
          <w:sz w:val="20"/>
          <w:lang w:val="es-AR"/>
        </w:rPr>
        <w:t>ON Clase B:</w:t>
      </w:r>
      <w:r>
        <w:rPr>
          <w:rFonts w:ascii="Times New Roman" w:hAnsi="Times New Roman"/>
          <w:b/>
          <w:sz w:val="20"/>
          <w:lang w:val="es-AR"/>
        </w:rPr>
        <w:t xml:space="preserve"> </w:t>
      </w:r>
      <w:r w:rsidRPr="00F21762">
        <w:rPr>
          <w:rFonts w:ascii="Times New Roman" w:hAnsi="Times New Roman"/>
          <w:sz w:val="20"/>
          <w:lang w:val="es-AR"/>
        </w:rPr>
        <w:t>Las ON Clase B serán suscriptas e integradas en la Fecha de Emisión y Liquidación en Dólares Estadounidenses de conformidad con lo dispuesto en el capítulo “</w:t>
      </w:r>
      <w:r w:rsidRPr="00F21762">
        <w:rPr>
          <w:rFonts w:ascii="Times New Roman" w:hAnsi="Times New Roman"/>
          <w:i/>
          <w:sz w:val="20"/>
          <w:lang w:val="es-AR"/>
        </w:rPr>
        <w:t>Plan de Distribución</w:t>
      </w:r>
      <w:r w:rsidRPr="00F21762">
        <w:rPr>
          <w:rFonts w:ascii="Times New Roman" w:hAnsi="Times New Roman"/>
          <w:sz w:val="20"/>
          <w:lang w:val="es-AR"/>
        </w:rPr>
        <w:t>” del Suplemento.</w:t>
      </w:r>
    </w:p>
    <w:p w14:paraId="73AF4CC5" w14:textId="77777777" w:rsidR="001A0523" w:rsidRPr="003A0D00" w:rsidRDefault="001A0523" w:rsidP="001A0523">
      <w:pPr>
        <w:autoSpaceDE w:val="0"/>
        <w:autoSpaceDN w:val="0"/>
        <w:adjustRightInd w:val="0"/>
        <w:jc w:val="both"/>
        <w:rPr>
          <w:rFonts w:ascii="Times New Roman" w:hAnsi="Times New Roman"/>
          <w:sz w:val="20"/>
          <w:lang w:val="es-ES"/>
        </w:rPr>
      </w:pPr>
    </w:p>
    <w:p w14:paraId="028C8FD3" w14:textId="738AC277" w:rsidR="00477202" w:rsidRDefault="00E07F95" w:rsidP="001A0523">
      <w:pPr>
        <w:jc w:val="both"/>
        <w:rPr>
          <w:rFonts w:ascii="Times New Roman" w:hAnsi="Times New Roman"/>
          <w:sz w:val="20"/>
          <w:lang w:val="es-AR"/>
        </w:rPr>
      </w:pPr>
      <w:r>
        <w:rPr>
          <w:rFonts w:ascii="Times New Roman" w:hAnsi="Times New Roman"/>
          <w:sz w:val="20"/>
          <w:lang w:val="es-ES"/>
        </w:rPr>
        <w:t>6</w:t>
      </w:r>
      <w:r w:rsidR="006246DB">
        <w:rPr>
          <w:rFonts w:ascii="Times New Roman" w:hAnsi="Times New Roman"/>
          <w:sz w:val="20"/>
          <w:lang w:val="es-ES"/>
        </w:rPr>
        <w:t xml:space="preserve">) </w:t>
      </w:r>
      <w:r w:rsidR="00477202" w:rsidRPr="008413ED">
        <w:rPr>
          <w:rFonts w:ascii="Times New Roman" w:hAnsi="Times New Roman"/>
          <w:b/>
          <w:sz w:val="20"/>
          <w:lang w:val="es-ES"/>
        </w:rPr>
        <w:t>Tipo de Cambio Inicial:</w:t>
      </w:r>
      <w:r w:rsidR="00477202">
        <w:rPr>
          <w:rFonts w:ascii="Times New Roman" w:hAnsi="Times New Roman"/>
          <w:sz w:val="20"/>
          <w:lang w:val="es-ES"/>
        </w:rPr>
        <w:t xml:space="preserve"> </w:t>
      </w:r>
      <w:r w:rsidR="00477202" w:rsidRPr="00477202">
        <w:rPr>
          <w:rFonts w:ascii="Times New Roman" w:hAnsi="Times New Roman"/>
          <w:sz w:val="20"/>
          <w:lang w:val="es-AR"/>
        </w:rPr>
        <w:t>Será el tipo de cambio determinado y publicado por el Banco Central de la República Argentina (el “</w:t>
      </w:r>
      <w:r w:rsidR="00477202" w:rsidRPr="00477202">
        <w:rPr>
          <w:rFonts w:ascii="Times New Roman" w:hAnsi="Times New Roman"/>
          <w:sz w:val="20"/>
          <w:u w:val="single"/>
          <w:lang w:val="es-AR"/>
        </w:rPr>
        <w:t>BCRA</w:t>
      </w:r>
      <w:r w:rsidR="00477202" w:rsidRPr="00477202">
        <w:rPr>
          <w:rFonts w:ascii="Times New Roman" w:hAnsi="Times New Roman"/>
          <w:sz w:val="20"/>
          <w:lang w:val="es-AR"/>
        </w:rPr>
        <w:t>”) mediante la Comunicación “A” 3500 del Día Hábil anterior al Período de Licitación, el cual será informado en el Aviso de Resultado.</w:t>
      </w:r>
    </w:p>
    <w:p w14:paraId="2D5346BE" w14:textId="6ECDB612" w:rsidR="00477202" w:rsidRDefault="00477202" w:rsidP="001A0523">
      <w:pPr>
        <w:jc w:val="both"/>
        <w:rPr>
          <w:rFonts w:ascii="Times New Roman" w:hAnsi="Times New Roman"/>
          <w:sz w:val="20"/>
          <w:lang w:val="es-AR"/>
        </w:rPr>
      </w:pPr>
    </w:p>
    <w:p w14:paraId="64CEC294" w14:textId="3695947C" w:rsidR="00477202" w:rsidRDefault="00477202" w:rsidP="001A0523">
      <w:pPr>
        <w:jc w:val="both"/>
        <w:rPr>
          <w:rFonts w:ascii="Times New Roman" w:hAnsi="Times New Roman"/>
          <w:sz w:val="20"/>
          <w:lang w:val="es-AR"/>
        </w:rPr>
      </w:pPr>
      <w:r>
        <w:rPr>
          <w:rFonts w:ascii="Times New Roman" w:hAnsi="Times New Roman"/>
          <w:sz w:val="20"/>
          <w:lang w:val="es-AR"/>
        </w:rPr>
        <w:t xml:space="preserve">7) </w:t>
      </w:r>
      <w:r w:rsidRPr="008413ED">
        <w:rPr>
          <w:rFonts w:ascii="Times New Roman" w:hAnsi="Times New Roman"/>
          <w:b/>
          <w:sz w:val="20"/>
          <w:lang w:val="es-AR"/>
        </w:rPr>
        <w:t>Tipo de Cambio Aplicable</w:t>
      </w:r>
      <w:r>
        <w:rPr>
          <w:rFonts w:ascii="Times New Roman" w:hAnsi="Times New Roman"/>
          <w:sz w:val="20"/>
          <w:lang w:val="es-AR"/>
        </w:rPr>
        <w:t xml:space="preserve">: </w:t>
      </w:r>
      <w:r w:rsidRPr="00477202">
        <w:rPr>
          <w:rFonts w:ascii="Times New Roman" w:hAnsi="Times New Roman"/>
          <w:sz w:val="20"/>
          <w:lang w:val="es-AR"/>
        </w:rPr>
        <w:t>Significa el tipo de cambio del Día Hábil anterior a cada Fecha de Cálculo correspondiente al tipo de cambio determinado y publicado por el BCRA mediante la Comunicación “A” 3500 (o la regulación que la sucediere o modificare en el tiempo) en base al procedimiento de encuesta de cambio establecido en la misma, siempre y cuando dicho tipo de cambio reflejare el tipo de cambio para la liquidación de divisas proveniente de la exportación del Producto de Referencia.</w:t>
      </w:r>
    </w:p>
    <w:p w14:paraId="14742A57" w14:textId="47890A05" w:rsidR="00477202" w:rsidRDefault="00477202" w:rsidP="001A0523">
      <w:pPr>
        <w:jc w:val="both"/>
        <w:rPr>
          <w:rFonts w:ascii="Times New Roman" w:hAnsi="Times New Roman"/>
          <w:sz w:val="20"/>
          <w:lang w:val="es-AR"/>
        </w:rPr>
      </w:pPr>
    </w:p>
    <w:p w14:paraId="6F52476B" w14:textId="010CACC0" w:rsidR="00477202" w:rsidRDefault="00477202" w:rsidP="001A0523">
      <w:pPr>
        <w:jc w:val="both"/>
        <w:rPr>
          <w:rFonts w:ascii="Times New Roman" w:hAnsi="Times New Roman"/>
          <w:sz w:val="20"/>
          <w:lang w:val="es-AR"/>
        </w:rPr>
      </w:pPr>
      <w:r>
        <w:rPr>
          <w:rFonts w:ascii="Times New Roman" w:hAnsi="Times New Roman"/>
          <w:sz w:val="20"/>
          <w:lang w:val="es-AR"/>
        </w:rPr>
        <w:t xml:space="preserve">8) </w:t>
      </w:r>
      <w:r w:rsidRPr="008413ED">
        <w:rPr>
          <w:rFonts w:ascii="Times New Roman" w:hAnsi="Times New Roman"/>
          <w:b/>
          <w:sz w:val="20"/>
          <w:lang w:val="es-AR"/>
        </w:rPr>
        <w:t>Productos de Referencia:</w:t>
      </w:r>
      <w:r>
        <w:rPr>
          <w:rFonts w:ascii="Times New Roman" w:hAnsi="Times New Roman"/>
          <w:sz w:val="20"/>
          <w:lang w:val="es-AR"/>
        </w:rPr>
        <w:t xml:space="preserve"> </w:t>
      </w:r>
      <w:r w:rsidRPr="00477202">
        <w:rPr>
          <w:rFonts w:ascii="Times New Roman" w:hAnsi="Times New Roman"/>
          <w:sz w:val="20"/>
          <w:lang w:val="es-AR"/>
        </w:rPr>
        <w:t>Aquellos bienes que se encuentran descriptos en los Capítulos 10 (</w:t>
      </w:r>
      <w:r w:rsidRPr="00477202">
        <w:rPr>
          <w:rFonts w:ascii="Times New Roman" w:hAnsi="Times New Roman"/>
          <w:i/>
          <w:sz w:val="20"/>
          <w:lang w:val="es-AR"/>
        </w:rPr>
        <w:t>Cereales</w:t>
      </w:r>
      <w:r w:rsidRPr="00477202">
        <w:rPr>
          <w:rFonts w:ascii="Times New Roman" w:hAnsi="Times New Roman"/>
          <w:sz w:val="20"/>
          <w:lang w:val="es-AR"/>
        </w:rPr>
        <w:t>) y 12 (</w:t>
      </w:r>
      <w:r w:rsidRPr="00477202">
        <w:rPr>
          <w:rFonts w:ascii="Times New Roman" w:hAnsi="Times New Roman"/>
          <w:i/>
          <w:sz w:val="20"/>
          <w:lang w:val="es-AR"/>
        </w:rPr>
        <w:t>Semillas y frutos oleaginosos; semillas y frutos diversos; plantas industriales o medicinales; paja y forraje</w:t>
      </w:r>
      <w:r w:rsidRPr="00477202">
        <w:rPr>
          <w:rFonts w:ascii="Times New Roman" w:hAnsi="Times New Roman"/>
          <w:sz w:val="20"/>
          <w:lang w:val="es-AR"/>
        </w:rPr>
        <w:t xml:space="preserve">) del nomenclador común del Mercosur, disponible en </w:t>
      </w:r>
      <w:hyperlink r:id="rId10" w:history="1">
        <w:r w:rsidR="004A65A0" w:rsidRPr="00870A1C">
          <w:rPr>
            <w:rStyle w:val="Hipervnculo"/>
            <w:rFonts w:ascii="Times New Roman" w:hAnsi="Times New Roman"/>
            <w:sz w:val="20"/>
            <w:lang w:val="es-AR"/>
          </w:rPr>
          <w:t>http://www.afip.gov.ar/aduana/arancelintegrado</w:t>
        </w:r>
      </w:hyperlink>
      <w:r w:rsidRPr="00477202">
        <w:rPr>
          <w:rFonts w:ascii="Times New Roman" w:hAnsi="Times New Roman"/>
          <w:sz w:val="20"/>
          <w:lang w:val="es-AR"/>
        </w:rPr>
        <w:t>.</w:t>
      </w:r>
    </w:p>
    <w:p w14:paraId="78BAE514" w14:textId="5E4BF766" w:rsidR="004A65A0" w:rsidRDefault="004A65A0" w:rsidP="001A0523">
      <w:pPr>
        <w:jc w:val="both"/>
        <w:rPr>
          <w:rFonts w:ascii="Times New Roman" w:hAnsi="Times New Roman"/>
          <w:sz w:val="20"/>
          <w:lang w:val="es-AR"/>
        </w:rPr>
      </w:pPr>
    </w:p>
    <w:p w14:paraId="235EEB7E" w14:textId="11FB7E83" w:rsidR="004A65A0" w:rsidRPr="008413ED" w:rsidRDefault="004A65A0" w:rsidP="001A0523">
      <w:pPr>
        <w:jc w:val="both"/>
        <w:rPr>
          <w:rFonts w:ascii="Times New Roman" w:hAnsi="Times New Roman"/>
          <w:sz w:val="20"/>
          <w:lang w:val="es-AR"/>
        </w:rPr>
      </w:pPr>
      <w:r>
        <w:rPr>
          <w:rFonts w:ascii="Times New Roman" w:hAnsi="Times New Roman"/>
          <w:sz w:val="20"/>
          <w:lang w:val="es-AR"/>
        </w:rPr>
        <w:t xml:space="preserve">9) </w:t>
      </w:r>
      <w:r w:rsidRPr="008413ED">
        <w:rPr>
          <w:rFonts w:ascii="Times New Roman" w:hAnsi="Times New Roman"/>
          <w:b/>
          <w:sz w:val="20"/>
          <w:lang w:val="es-AR"/>
        </w:rPr>
        <w:t>Fecha de Calculo</w:t>
      </w:r>
      <w:r>
        <w:rPr>
          <w:rFonts w:ascii="Times New Roman" w:hAnsi="Times New Roman"/>
          <w:sz w:val="20"/>
          <w:lang w:val="es-AR"/>
        </w:rPr>
        <w:t xml:space="preserve">: </w:t>
      </w:r>
      <w:r w:rsidRPr="004A65A0">
        <w:rPr>
          <w:rFonts w:ascii="Times New Roman" w:hAnsi="Times New Roman"/>
          <w:sz w:val="20"/>
          <w:lang w:val="es-AR"/>
        </w:rPr>
        <w:t>La fecha que opere el sexto Día Hábil antes de la fecha de pago aplicable</w:t>
      </w:r>
      <w:r>
        <w:rPr>
          <w:rFonts w:ascii="Times New Roman" w:hAnsi="Times New Roman"/>
          <w:sz w:val="20"/>
          <w:lang w:val="es-AR"/>
        </w:rPr>
        <w:t>.</w:t>
      </w:r>
    </w:p>
    <w:p w14:paraId="4EF824A0" w14:textId="77777777" w:rsidR="00477202" w:rsidRDefault="00477202" w:rsidP="001A0523">
      <w:pPr>
        <w:jc w:val="both"/>
        <w:rPr>
          <w:rFonts w:ascii="Times New Roman" w:hAnsi="Times New Roman"/>
          <w:sz w:val="20"/>
          <w:lang w:val="es-ES"/>
        </w:rPr>
      </w:pPr>
    </w:p>
    <w:p w14:paraId="272128B4" w14:textId="236E2CBE" w:rsidR="00242B99" w:rsidRDefault="004A65A0" w:rsidP="001A0523">
      <w:pPr>
        <w:jc w:val="both"/>
        <w:rPr>
          <w:rFonts w:ascii="Times New Roman" w:hAnsi="Times New Roman"/>
          <w:sz w:val="20"/>
          <w:lang w:val="es-ES"/>
        </w:rPr>
      </w:pPr>
      <w:r>
        <w:rPr>
          <w:rFonts w:ascii="Times New Roman" w:hAnsi="Times New Roman"/>
          <w:sz w:val="20"/>
          <w:lang w:val="es-ES"/>
        </w:rPr>
        <w:t>10</w:t>
      </w:r>
      <w:r w:rsidR="00477202" w:rsidRPr="008413ED">
        <w:rPr>
          <w:rFonts w:ascii="Times New Roman" w:hAnsi="Times New Roman"/>
          <w:sz w:val="20"/>
          <w:lang w:val="es-ES"/>
        </w:rPr>
        <w:t>)</w:t>
      </w:r>
      <w:r w:rsidR="00477202">
        <w:rPr>
          <w:rFonts w:ascii="Times New Roman" w:hAnsi="Times New Roman"/>
          <w:b/>
          <w:sz w:val="20"/>
          <w:lang w:val="es-ES"/>
        </w:rPr>
        <w:t xml:space="preserve"> </w:t>
      </w:r>
      <w:r w:rsidR="006246DB" w:rsidRPr="006246DB">
        <w:rPr>
          <w:rFonts w:ascii="Times New Roman" w:hAnsi="Times New Roman"/>
          <w:b/>
          <w:sz w:val="20"/>
          <w:lang w:val="es-ES"/>
        </w:rPr>
        <w:t>Monto Mínimo de Suscripción:</w:t>
      </w:r>
      <w:r w:rsidR="006246DB">
        <w:rPr>
          <w:rFonts w:ascii="Times New Roman" w:hAnsi="Times New Roman"/>
          <w:sz w:val="20"/>
          <w:lang w:val="es-ES"/>
        </w:rPr>
        <w:t xml:space="preserve"> </w:t>
      </w:r>
    </w:p>
    <w:p w14:paraId="3E233850" w14:textId="77777777" w:rsidR="00242B99" w:rsidRPr="00B8353E" w:rsidRDefault="00242B99" w:rsidP="00242B99">
      <w:pPr>
        <w:numPr>
          <w:ilvl w:val="0"/>
          <w:numId w:val="2"/>
        </w:numPr>
        <w:autoSpaceDE w:val="0"/>
        <w:autoSpaceDN w:val="0"/>
        <w:adjustRightInd w:val="0"/>
        <w:jc w:val="both"/>
        <w:rPr>
          <w:rFonts w:ascii="Times New Roman" w:hAnsi="Times New Roman"/>
          <w:b/>
          <w:sz w:val="20"/>
          <w:lang w:val="es-AR"/>
        </w:rPr>
      </w:pPr>
      <w:r>
        <w:rPr>
          <w:rFonts w:ascii="Times New Roman" w:hAnsi="Times New Roman"/>
          <w:b/>
          <w:sz w:val="20"/>
          <w:lang w:val="es-AR"/>
        </w:rPr>
        <w:t>ON Clase A</w:t>
      </w:r>
      <w:r w:rsidRPr="00B8353E">
        <w:rPr>
          <w:rFonts w:ascii="Times New Roman" w:hAnsi="Times New Roman"/>
          <w:b/>
          <w:sz w:val="20"/>
          <w:lang w:val="es-AR"/>
        </w:rPr>
        <w:t>:</w:t>
      </w:r>
      <w:r w:rsidRPr="00B8353E">
        <w:rPr>
          <w:rFonts w:ascii="Times New Roman" w:hAnsi="Times New Roman"/>
          <w:sz w:val="20"/>
          <w:lang w:val="es-AR"/>
        </w:rPr>
        <w:t xml:space="preserve"> </w:t>
      </w:r>
      <w:r w:rsidRPr="006246DB">
        <w:rPr>
          <w:rFonts w:ascii="Times New Roman" w:hAnsi="Times New Roman"/>
          <w:sz w:val="20"/>
          <w:lang w:val="es-AR"/>
        </w:rPr>
        <w:t xml:space="preserve">El monto mínimo de suscripción de las </w:t>
      </w:r>
      <w:r>
        <w:rPr>
          <w:rFonts w:ascii="Times New Roman" w:hAnsi="Times New Roman"/>
          <w:sz w:val="20"/>
          <w:lang w:val="es-AR"/>
        </w:rPr>
        <w:t>ON Clase A</w:t>
      </w:r>
      <w:r w:rsidRPr="006246DB">
        <w:rPr>
          <w:rFonts w:ascii="Times New Roman" w:hAnsi="Times New Roman"/>
          <w:sz w:val="20"/>
          <w:lang w:val="es-AR"/>
        </w:rPr>
        <w:t xml:space="preserve"> será de U$S 300 (Dólares </w:t>
      </w:r>
      <w:r w:rsidR="00B32D62">
        <w:rPr>
          <w:rFonts w:ascii="Times New Roman" w:hAnsi="Times New Roman"/>
          <w:sz w:val="20"/>
          <w:lang w:val="es-AR"/>
        </w:rPr>
        <w:t xml:space="preserve">Estadounidenses </w:t>
      </w:r>
      <w:r w:rsidRPr="006246DB">
        <w:rPr>
          <w:rFonts w:ascii="Times New Roman" w:hAnsi="Times New Roman"/>
          <w:sz w:val="20"/>
          <w:lang w:val="es-AR"/>
        </w:rPr>
        <w:t>trescientos</w:t>
      </w:r>
      <w:r>
        <w:rPr>
          <w:rFonts w:ascii="Times New Roman" w:hAnsi="Times New Roman"/>
          <w:sz w:val="20"/>
          <w:lang w:val="es-AR"/>
        </w:rPr>
        <w:t>)</w:t>
      </w:r>
      <w:r w:rsidRPr="006246DB">
        <w:rPr>
          <w:rFonts w:ascii="Times New Roman" w:hAnsi="Times New Roman"/>
          <w:sz w:val="20"/>
          <w:lang w:val="es-AR"/>
        </w:rPr>
        <w:t xml:space="preserve"> y múltiplos de U$S1 (Dólares </w:t>
      </w:r>
      <w:r w:rsidR="00B32D62">
        <w:rPr>
          <w:rFonts w:ascii="Times New Roman" w:hAnsi="Times New Roman"/>
          <w:sz w:val="20"/>
          <w:lang w:val="es-AR"/>
        </w:rPr>
        <w:t xml:space="preserve">Estadounidenses </w:t>
      </w:r>
      <w:r w:rsidRPr="006246DB">
        <w:rPr>
          <w:rFonts w:ascii="Times New Roman" w:hAnsi="Times New Roman"/>
          <w:sz w:val="20"/>
          <w:lang w:val="es-AR"/>
        </w:rPr>
        <w:t>uno) por encima de dicho monto</w:t>
      </w:r>
      <w:r>
        <w:rPr>
          <w:rFonts w:ascii="Times New Roman" w:hAnsi="Times New Roman"/>
          <w:sz w:val="20"/>
          <w:lang w:val="es-AR"/>
        </w:rPr>
        <w:t>.</w:t>
      </w:r>
    </w:p>
    <w:p w14:paraId="6834345F" w14:textId="77777777" w:rsidR="00242B99" w:rsidRDefault="00242B99" w:rsidP="00242B99">
      <w:pPr>
        <w:numPr>
          <w:ilvl w:val="0"/>
          <w:numId w:val="2"/>
        </w:numPr>
        <w:autoSpaceDE w:val="0"/>
        <w:autoSpaceDN w:val="0"/>
        <w:adjustRightInd w:val="0"/>
        <w:jc w:val="both"/>
        <w:rPr>
          <w:rFonts w:ascii="Times New Roman" w:hAnsi="Times New Roman"/>
          <w:sz w:val="20"/>
          <w:lang w:val="es-AR"/>
        </w:rPr>
      </w:pPr>
      <w:r>
        <w:rPr>
          <w:rFonts w:ascii="Times New Roman" w:hAnsi="Times New Roman"/>
          <w:b/>
          <w:sz w:val="20"/>
          <w:lang w:val="es-AR"/>
        </w:rPr>
        <w:t>ON Clase B</w:t>
      </w:r>
      <w:r w:rsidRPr="00B8353E">
        <w:rPr>
          <w:rFonts w:ascii="Times New Roman" w:hAnsi="Times New Roman"/>
          <w:b/>
          <w:sz w:val="20"/>
          <w:lang w:val="es-AR"/>
        </w:rPr>
        <w:t xml:space="preserve">: </w:t>
      </w:r>
      <w:r w:rsidRPr="006246DB">
        <w:rPr>
          <w:rFonts w:ascii="Times New Roman" w:hAnsi="Times New Roman"/>
          <w:sz w:val="20"/>
          <w:lang w:val="es-AR"/>
        </w:rPr>
        <w:t xml:space="preserve">El monto mínimo de suscripción de las </w:t>
      </w:r>
      <w:r>
        <w:rPr>
          <w:rFonts w:ascii="Times New Roman" w:hAnsi="Times New Roman"/>
          <w:sz w:val="20"/>
          <w:lang w:val="es-AR"/>
        </w:rPr>
        <w:t>ON Clase B</w:t>
      </w:r>
      <w:r w:rsidRPr="006246DB">
        <w:rPr>
          <w:rFonts w:ascii="Times New Roman" w:hAnsi="Times New Roman"/>
          <w:sz w:val="20"/>
          <w:lang w:val="es-AR"/>
        </w:rPr>
        <w:t xml:space="preserve"> será de U$S 300 (Dólares </w:t>
      </w:r>
      <w:r w:rsidR="00B32D62">
        <w:rPr>
          <w:rFonts w:ascii="Times New Roman" w:hAnsi="Times New Roman"/>
          <w:sz w:val="20"/>
          <w:lang w:val="es-AR"/>
        </w:rPr>
        <w:t xml:space="preserve">Estadounidenses </w:t>
      </w:r>
      <w:r w:rsidRPr="006246DB">
        <w:rPr>
          <w:rFonts w:ascii="Times New Roman" w:hAnsi="Times New Roman"/>
          <w:sz w:val="20"/>
          <w:lang w:val="es-AR"/>
        </w:rPr>
        <w:t>trescientos</w:t>
      </w:r>
      <w:r>
        <w:rPr>
          <w:rFonts w:ascii="Times New Roman" w:hAnsi="Times New Roman"/>
          <w:sz w:val="20"/>
          <w:lang w:val="es-AR"/>
        </w:rPr>
        <w:t>)</w:t>
      </w:r>
      <w:r w:rsidRPr="006246DB">
        <w:rPr>
          <w:rFonts w:ascii="Times New Roman" w:hAnsi="Times New Roman"/>
          <w:sz w:val="20"/>
          <w:lang w:val="es-AR"/>
        </w:rPr>
        <w:t xml:space="preserve"> y múltiplos de U$S1 (Dólares </w:t>
      </w:r>
      <w:r w:rsidR="00B32D62">
        <w:rPr>
          <w:rFonts w:ascii="Times New Roman" w:hAnsi="Times New Roman"/>
          <w:sz w:val="20"/>
          <w:lang w:val="es-AR"/>
        </w:rPr>
        <w:t xml:space="preserve">Estadounidenses </w:t>
      </w:r>
      <w:r w:rsidRPr="006246DB">
        <w:rPr>
          <w:rFonts w:ascii="Times New Roman" w:hAnsi="Times New Roman"/>
          <w:sz w:val="20"/>
          <w:lang w:val="es-AR"/>
        </w:rPr>
        <w:t>uno) por encima de dicho monto</w:t>
      </w:r>
      <w:r>
        <w:rPr>
          <w:rFonts w:ascii="Times New Roman" w:hAnsi="Times New Roman"/>
          <w:sz w:val="20"/>
          <w:lang w:val="es-AR"/>
        </w:rPr>
        <w:t>.</w:t>
      </w:r>
    </w:p>
    <w:p w14:paraId="35C9FC26" w14:textId="77777777" w:rsidR="006246DB" w:rsidRDefault="006246DB" w:rsidP="001A0523">
      <w:pPr>
        <w:jc w:val="both"/>
        <w:rPr>
          <w:rFonts w:ascii="Times New Roman" w:hAnsi="Times New Roman"/>
          <w:sz w:val="20"/>
          <w:lang w:val="es-AR"/>
        </w:rPr>
      </w:pPr>
    </w:p>
    <w:p w14:paraId="20DB1D44" w14:textId="16BB2D13" w:rsidR="00B32D62" w:rsidRDefault="00477202" w:rsidP="001A0523">
      <w:pPr>
        <w:jc w:val="both"/>
        <w:rPr>
          <w:rFonts w:ascii="Times New Roman" w:hAnsi="Times New Roman"/>
          <w:sz w:val="20"/>
          <w:lang w:val="es-AR"/>
        </w:rPr>
      </w:pPr>
      <w:r>
        <w:rPr>
          <w:rFonts w:ascii="Times New Roman" w:hAnsi="Times New Roman"/>
          <w:sz w:val="20"/>
          <w:lang w:val="es-AR"/>
        </w:rPr>
        <w:t>1</w:t>
      </w:r>
      <w:r w:rsidR="004A65A0">
        <w:rPr>
          <w:rFonts w:ascii="Times New Roman" w:hAnsi="Times New Roman"/>
          <w:sz w:val="20"/>
          <w:lang w:val="es-AR"/>
        </w:rPr>
        <w:t>1</w:t>
      </w:r>
      <w:r w:rsidR="006246DB">
        <w:rPr>
          <w:rFonts w:ascii="Times New Roman" w:hAnsi="Times New Roman"/>
          <w:sz w:val="20"/>
          <w:lang w:val="es-AR"/>
        </w:rPr>
        <w:t xml:space="preserve">) </w:t>
      </w:r>
      <w:r w:rsidR="006246DB" w:rsidRPr="006246DB">
        <w:rPr>
          <w:rFonts w:ascii="Times New Roman" w:hAnsi="Times New Roman"/>
          <w:b/>
          <w:sz w:val="20"/>
          <w:lang w:val="es-AR"/>
        </w:rPr>
        <w:t>Unidad Mínima de Negociación:</w:t>
      </w:r>
      <w:r w:rsidR="006246DB">
        <w:rPr>
          <w:rFonts w:ascii="Times New Roman" w:hAnsi="Times New Roman"/>
          <w:sz w:val="20"/>
          <w:lang w:val="es-AR"/>
        </w:rPr>
        <w:t xml:space="preserve"> </w:t>
      </w:r>
    </w:p>
    <w:p w14:paraId="10FE7CEB" w14:textId="77777777" w:rsidR="006246DB" w:rsidRDefault="00B32D62" w:rsidP="00B32D62">
      <w:pPr>
        <w:numPr>
          <w:ilvl w:val="0"/>
          <w:numId w:val="2"/>
        </w:numPr>
        <w:autoSpaceDE w:val="0"/>
        <w:autoSpaceDN w:val="0"/>
        <w:adjustRightInd w:val="0"/>
        <w:jc w:val="both"/>
        <w:rPr>
          <w:rFonts w:ascii="Times New Roman" w:hAnsi="Times New Roman"/>
          <w:sz w:val="20"/>
          <w:lang w:val="es-AR"/>
        </w:rPr>
      </w:pPr>
      <w:r>
        <w:rPr>
          <w:rFonts w:ascii="Times New Roman" w:hAnsi="Times New Roman"/>
          <w:b/>
          <w:sz w:val="20"/>
          <w:lang w:val="es-AR"/>
        </w:rPr>
        <w:t>ON Clase A</w:t>
      </w:r>
      <w:r w:rsidRPr="00B8353E">
        <w:rPr>
          <w:rFonts w:ascii="Times New Roman" w:hAnsi="Times New Roman"/>
          <w:b/>
          <w:sz w:val="20"/>
          <w:lang w:val="es-AR"/>
        </w:rPr>
        <w:t>:</w:t>
      </w:r>
      <w:r w:rsidRPr="00B8353E">
        <w:rPr>
          <w:rFonts w:ascii="Times New Roman" w:hAnsi="Times New Roman"/>
          <w:sz w:val="20"/>
          <w:lang w:val="es-AR"/>
        </w:rPr>
        <w:t xml:space="preserve"> </w:t>
      </w:r>
      <w:r w:rsidR="006246DB" w:rsidRPr="006246DB">
        <w:rPr>
          <w:rFonts w:ascii="Times New Roman" w:hAnsi="Times New Roman"/>
          <w:sz w:val="20"/>
          <w:lang w:val="es-AR"/>
        </w:rPr>
        <w:t xml:space="preserve">La unidad mínima de negociación de las </w:t>
      </w:r>
      <w:r>
        <w:rPr>
          <w:rFonts w:ascii="Times New Roman" w:hAnsi="Times New Roman"/>
          <w:sz w:val="20"/>
          <w:lang w:val="es-AR"/>
        </w:rPr>
        <w:t>ON Clase A</w:t>
      </w:r>
      <w:r w:rsidR="006246DB" w:rsidRPr="006246DB">
        <w:rPr>
          <w:rFonts w:ascii="Times New Roman" w:hAnsi="Times New Roman"/>
          <w:sz w:val="20"/>
          <w:lang w:val="es-AR"/>
        </w:rPr>
        <w:t xml:space="preserve"> será de U$S 1 (Dólares </w:t>
      </w:r>
      <w:r>
        <w:rPr>
          <w:rFonts w:ascii="Times New Roman" w:hAnsi="Times New Roman"/>
          <w:sz w:val="20"/>
          <w:lang w:val="es-AR"/>
        </w:rPr>
        <w:t xml:space="preserve">Estadounidenses </w:t>
      </w:r>
      <w:r w:rsidR="006246DB" w:rsidRPr="006246DB">
        <w:rPr>
          <w:rFonts w:ascii="Times New Roman" w:hAnsi="Times New Roman"/>
          <w:sz w:val="20"/>
          <w:lang w:val="es-AR"/>
        </w:rPr>
        <w:t>uno)</w:t>
      </w:r>
      <w:r w:rsidR="006246DB">
        <w:rPr>
          <w:rFonts w:ascii="Times New Roman" w:hAnsi="Times New Roman"/>
          <w:sz w:val="20"/>
          <w:lang w:val="es-AR"/>
        </w:rPr>
        <w:t>.</w:t>
      </w:r>
    </w:p>
    <w:p w14:paraId="0E0AF43A" w14:textId="77777777" w:rsidR="00B32D62" w:rsidRDefault="00B32D62" w:rsidP="00B32D62">
      <w:pPr>
        <w:numPr>
          <w:ilvl w:val="0"/>
          <w:numId w:val="2"/>
        </w:numPr>
        <w:autoSpaceDE w:val="0"/>
        <w:autoSpaceDN w:val="0"/>
        <w:adjustRightInd w:val="0"/>
        <w:jc w:val="both"/>
        <w:rPr>
          <w:rFonts w:ascii="Times New Roman" w:hAnsi="Times New Roman"/>
          <w:sz w:val="20"/>
          <w:lang w:val="es-AR"/>
        </w:rPr>
      </w:pPr>
      <w:r>
        <w:rPr>
          <w:rFonts w:ascii="Times New Roman" w:hAnsi="Times New Roman"/>
          <w:b/>
          <w:sz w:val="20"/>
          <w:lang w:val="es-AR"/>
        </w:rPr>
        <w:t>ON Clase B</w:t>
      </w:r>
      <w:r w:rsidRPr="00B8353E">
        <w:rPr>
          <w:rFonts w:ascii="Times New Roman" w:hAnsi="Times New Roman"/>
          <w:b/>
          <w:sz w:val="20"/>
          <w:lang w:val="es-AR"/>
        </w:rPr>
        <w:t>:</w:t>
      </w:r>
      <w:r w:rsidRPr="00B8353E">
        <w:rPr>
          <w:rFonts w:ascii="Times New Roman" w:hAnsi="Times New Roman"/>
          <w:sz w:val="20"/>
          <w:lang w:val="es-AR"/>
        </w:rPr>
        <w:t xml:space="preserve"> </w:t>
      </w:r>
      <w:r w:rsidRPr="006246DB">
        <w:rPr>
          <w:rFonts w:ascii="Times New Roman" w:hAnsi="Times New Roman"/>
          <w:sz w:val="20"/>
          <w:lang w:val="es-AR"/>
        </w:rPr>
        <w:t xml:space="preserve">La unidad mínima de negociación de las </w:t>
      </w:r>
      <w:r>
        <w:rPr>
          <w:rFonts w:ascii="Times New Roman" w:hAnsi="Times New Roman"/>
          <w:sz w:val="20"/>
          <w:lang w:val="es-AR"/>
        </w:rPr>
        <w:t>ON Clase B</w:t>
      </w:r>
      <w:r w:rsidRPr="006246DB">
        <w:rPr>
          <w:rFonts w:ascii="Times New Roman" w:hAnsi="Times New Roman"/>
          <w:sz w:val="20"/>
          <w:lang w:val="es-AR"/>
        </w:rPr>
        <w:t xml:space="preserve"> será de U$S 1 (Dólares </w:t>
      </w:r>
      <w:r>
        <w:rPr>
          <w:rFonts w:ascii="Times New Roman" w:hAnsi="Times New Roman"/>
          <w:sz w:val="20"/>
          <w:lang w:val="es-AR"/>
        </w:rPr>
        <w:t xml:space="preserve">Estadounidenses </w:t>
      </w:r>
      <w:r w:rsidRPr="006246DB">
        <w:rPr>
          <w:rFonts w:ascii="Times New Roman" w:hAnsi="Times New Roman"/>
          <w:sz w:val="20"/>
          <w:lang w:val="es-AR"/>
        </w:rPr>
        <w:t>uno)</w:t>
      </w:r>
      <w:r>
        <w:rPr>
          <w:rFonts w:ascii="Times New Roman" w:hAnsi="Times New Roman"/>
          <w:sz w:val="20"/>
          <w:lang w:val="es-AR"/>
        </w:rPr>
        <w:t>.</w:t>
      </w:r>
    </w:p>
    <w:p w14:paraId="55481908" w14:textId="77777777" w:rsidR="006246DB" w:rsidRDefault="006246DB" w:rsidP="001A0523">
      <w:pPr>
        <w:jc w:val="both"/>
        <w:rPr>
          <w:rFonts w:ascii="Times New Roman" w:hAnsi="Times New Roman"/>
          <w:sz w:val="20"/>
          <w:lang w:val="es-AR"/>
        </w:rPr>
      </w:pPr>
    </w:p>
    <w:p w14:paraId="49F51814" w14:textId="5A2032C3" w:rsidR="00B32D62" w:rsidRDefault="00477202" w:rsidP="001A0523">
      <w:pPr>
        <w:jc w:val="both"/>
        <w:rPr>
          <w:rFonts w:ascii="Times New Roman" w:hAnsi="Times New Roman"/>
          <w:sz w:val="20"/>
          <w:lang w:val="es-AR"/>
        </w:rPr>
      </w:pPr>
      <w:r>
        <w:rPr>
          <w:rFonts w:ascii="Times New Roman" w:hAnsi="Times New Roman"/>
          <w:sz w:val="20"/>
          <w:lang w:val="es-AR"/>
        </w:rPr>
        <w:t>1</w:t>
      </w:r>
      <w:r w:rsidR="004A65A0">
        <w:rPr>
          <w:rFonts w:ascii="Times New Roman" w:hAnsi="Times New Roman"/>
          <w:sz w:val="20"/>
          <w:lang w:val="es-AR"/>
        </w:rPr>
        <w:t>2</w:t>
      </w:r>
      <w:r w:rsidR="006246DB">
        <w:rPr>
          <w:rFonts w:ascii="Times New Roman" w:hAnsi="Times New Roman"/>
          <w:sz w:val="20"/>
          <w:lang w:val="es-AR"/>
        </w:rPr>
        <w:t xml:space="preserve">) </w:t>
      </w:r>
      <w:r w:rsidR="006246DB" w:rsidRPr="006246DB">
        <w:rPr>
          <w:rFonts w:ascii="Times New Roman" w:hAnsi="Times New Roman"/>
          <w:b/>
          <w:sz w:val="20"/>
          <w:lang w:val="es-AR"/>
        </w:rPr>
        <w:t>Denominación Mínima:</w:t>
      </w:r>
      <w:r w:rsidR="006246DB">
        <w:rPr>
          <w:rFonts w:ascii="Times New Roman" w:hAnsi="Times New Roman"/>
          <w:sz w:val="20"/>
          <w:lang w:val="es-AR"/>
        </w:rPr>
        <w:t xml:space="preserve"> </w:t>
      </w:r>
    </w:p>
    <w:p w14:paraId="5AA99EBE" w14:textId="77777777" w:rsidR="006246DB" w:rsidRDefault="00B32D62" w:rsidP="00B32D62">
      <w:pPr>
        <w:numPr>
          <w:ilvl w:val="0"/>
          <w:numId w:val="2"/>
        </w:numPr>
        <w:autoSpaceDE w:val="0"/>
        <w:autoSpaceDN w:val="0"/>
        <w:adjustRightInd w:val="0"/>
        <w:jc w:val="both"/>
        <w:rPr>
          <w:rFonts w:ascii="Times New Roman" w:hAnsi="Times New Roman"/>
          <w:sz w:val="20"/>
          <w:lang w:val="es-AR"/>
        </w:rPr>
      </w:pPr>
      <w:r>
        <w:rPr>
          <w:rFonts w:ascii="Times New Roman" w:hAnsi="Times New Roman"/>
          <w:b/>
          <w:sz w:val="20"/>
          <w:lang w:val="es-AR"/>
        </w:rPr>
        <w:t>ON Clase A</w:t>
      </w:r>
      <w:r w:rsidRPr="00B8353E">
        <w:rPr>
          <w:rFonts w:ascii="Times New Roman" w:hAnsi="Times New Roman"/>
          <w:b/>
          <w:sz w:val="20"/>
          <w:lang w:val="es-AR"/>
        </w:rPr>
        <w:t>:</w:t>
      </w:r>
      <w:r w:rsidRPr="00B8353E">
        <w:rPr>
          <w:rFonts w:ascii="Times New Roman" w:hAnsi="Times New Roman"/>
          <w:sz w:val="20"/>
          <w:lang w:val="es-AR"/>
        </w:rPr>
        <w:t xml:space="preserve"> </w:t>
      </w:r>
      <w:r w:rsidR="006246DB" w:rsidRPr="006246DB">
        <w:rPr>
          <w:rFonts w:ascii="Times New Roman" w:hAnsi="Times New Roman"/>
          <w:sz w:val="20"/>
          <w:lang w:val="es-AR"/>
        </w:rPr>
        <w:t xml:space="preserve">Las </w:t>
      </w:r>
      <w:r>
        <w:rPr>
          <w:rFonts w:ascii="Times New Roman" w:hAnsi="Times New Roman"/>
          <w:sz w:val="20"/>
          <w:lang w:val="es-AR"/>
        </w:rPr>
        <w:t>ON Clase A</w:t>
      </w:r>
      <w:r w:rsidR="006246DB" w:rsidRPr="006246DB">
        <w:rPr>
          <w:rFonts w:ascii="Times New Roman" w:hAnsi="Times New Roman"/>
          <w:sz w:val="20"/>
          <w:lang w:val="es-AR"/>
        </w:rPr>
        <w:t xml:space="preserve"> tendrán una denominación mínima de U$S1 (Dólares </w:t>
      </w:r>
      <w:r>
        <w:rPr>
          <w:rFonts w:ascii="Times New Roman" w:hAnsi="Times New Roman"/>
          <w:sz w:val="20"/>
          <w:lang w:val="es-AR"/>
        </w:rPr>
        <w:t xml:space="preserve">Estadounidenses </w:t>
      </w:r>
      <w:r w:rsidR="006246DB" w:rsidRPr="006246DB">
        <w:rPr>
          <w:rFonts w:ascii="Times New Roman" w:hAnsi="Times New Roman"/>
          <w:sz w:val="20"/>
          <w:lang w:val="es-AR"/>
        </w:rPr>
        <w:t>uno) y múltiplos de U$S1 (Dólares</w:t>
      </w:r>
      <w:r>
        <w:rPr>
          <w:rFonts w:ascii="Times New Roman" w:hAnsi="Times New Roman"/>
          <w:sz w:val="20"/>
          <w:lang w:val="es-AR"/>
        </w:rPr>
        <w:t xml:space="preserve"> Estadounidenses</w:t>
      </w:r>
      <w:r w:rsidR="006246DB" w:rsidRPr="006246DB">
        <w:rPr>
          <w:rFonts w:ascii="Times New Roman" w:hAnsi="Times New Roman"/>
          <w:sz w:val="20"/>
          <w:lang w:val="es-AR"/>
        </w:rPr>
        <w:t xml:space="preserve"> uno) superiores a dicho monto</w:t>
      </w:r>
      <w:r w:rsidR="006246DB">
        <w:rPr>
          <w:rFonts w:ascii="Times New Roman" w:hAnsi="Times New Roman"/>
          <w:sz w:val="20"/>
          <w:lang w:val="es-AR"/>
        </w:rPr>
        <w:t>.</w:t>
      </w:r>
    </w:p>
    <w:p w14:paraId="383BB2F2" w14:textId="77777777" w:rsidR="00B32D62" w:rsidRDefault="00B32D62" w:rsidP="00B32D62">
      <w:pPr>
        <w:numPr>
          <w:ilvl w:val="0"/>
          <w:numId w:val="2"/>
        </w:numPr>
        <w:autoSpaceDE w:val="0"/>
        <w:autoSpaceDN w:val="0"/>
        <w:adjustRightInd w:val="0"/>
        <w:jc w:val="both"/>
        <w:rPr>
          <w:rFonts w:ascii="Times New Roman" w:hAnsi="Times New Roman"/>
          <w:sz w:val="20"/>
          <w:lang w:val="es-AR"/>
        </w:rPr>
      </w:pPr>
      <w:r>
        <w:rPr>
          <w:rFonts w:ascii="Times New Roman" w:hAnsi="Times New Roman"/>
          <w:b/>
          <w:sz w:val="20"/>
          <w:lang w:val="es-AR"/>
        </w:rPr>
        <w:t>ON Clase B</w:t>
      </w:r>
      <w:r w:rsidRPr="00B8353E">
        <w:rPr>
          <w:rFonts w:ascii="Times New Roman" w:hAnsi="Times New Roman"/>
          <w:b/>
          <w:sz w:val="20"/>
          <w:lang w:val="es-AR"/>
        </w:rPr>
        <w:t>:</w:t>
      </w:r>
      <w:r w:rsidRPr="00B8353E">
        <w:rPr>
          <w:rFonts w:ascii="Times New Roman" w:hAnsi="Times New Roman"/>
          <w:sz w:val="20"/>
          <w:lang w:val="es-AR"/>
        </w:rPr>
        <w:t xml:space="preserve"> </w:t>
      </w:r>
      <w:r w:rsidRPr="006246DB">
        <w:rPr>
          <w:rFonts w:ascii="Times New Roman" w:hAnsi="Times New Roman"/>
          <w:sz w:val="20"/>
          <w:lang w:val="es-AR"/>
        </w:rPr>
        <w:t xml:space="preserve">Las </w:t>
      </w:r>
      <w:r>
        <w:rPr>
          <w:rFonts w:ascii="Times New Roman" w:hAnsi="Times New Roman"/>
          <w:sz w:val="20"/>
          <w:lang w:val="es-AR"/>
        </w:rPr>
        <w:t>ON Clase B</w:t>
      </w:r>
      <w:r w:rsidRPr="006246DB">
        <w:rPr>
          <w:rFonts w:ascii="Times New Roman" w:hAnsi="Times New Roman"/>
          <w:sz w:val="20"/>
          <w:lang w:val="es-AR"/>
        </w:rPr>
        <w:t xml:space="preserve"> tendrán una denominación mínima de U$S1 (Dólares </w:t>
      </w:r>
      <w:r>
        <w:rPr>
          <w:rFonts w:ascii="Times New Roman" w:hAnsi="Times New Roman"/>
          <w:sz w:val="20"/>
          <w:lang w:val="es-AR"/>
        </w:rPr>
        <w:t xml:space="preserve">Estadounidenses </w:t>
      </w:r>
      <w:r w:rsidRPr="006246DB">
        <w:rPr>
          <w:rFonts w:ascii="Times New Roman" w:hAnsi="Times New Roman"/>
          <w:sz w:val="20"/>
          <w:lang w:val="es-AR"/>
        </w:rPr>
        <w:t>uno) y múltiplos de U$S1 (Dólares</w:t>
      </w:r>
      <w:r>
        <w:rPr>
          <w:rFonts w:ascii="Times New Roman" w:hAnsi="Times New Roman"/>
          <w:sz w:val="20"/>
          <w:lang w:val="es-AR"/>
        </w:rPr>
        <w:t xml:space="preserve"> Estadounidenses</w:t>
      </w:r>
      <w:r w:rsidRPr="006246DB">
        <w:rPr>
          <w:rFonts w:ascii="Times New Roman" w:hAnsi="Times New Roman"/>
          <w:sz w:val="20"/>
          <w:lang w:val="es-AR"/>
        </w:rPr>
        <w:t xml:space="preserve"> uno) superiores a dicho monto</w:t>
      </w:r>
      <w:r>
        <w:rPr>
          <w:rFonts w:ascii="Times New Roman" w:hAnsi="Times New Roman"/>
          <w:sz w:val="20"/>
          <w:lang w:val="es-AR"/>
        </w:rPr>
        <w:t>.</w:t>
      </w:r>
    </w:p>
    <w:p w14:paraId="654CB22C" w14:textId="77777777" w:rsidR="00C564D8" w:rsidRDefault="00C564D8" w:rsidP="001A0523">
      <w:pPr>
        <w:jc w:val="both"/>
        <w:rPr>
          <w:rFonts w:ascii="Times New Roman" w:hAnsi="Times New Roman"/>
          <w:sz w:val="20"/>
          <w:lang w:val="es-AR"/>
        </w:rPr>
      </w:pPr>
    </w:p>
    <w:p w14:paraId="4A5C2E08" w14:textId="1237E3C0" w:rsidR="00C564D8" w:rsidRDefault="00477202" w:rsidP="001A0523">
      <w:pPr>
        <w:jc w:val="both"/>
        <w:rPr>
          <w:rFonts w:ascii="Times New Roman" w:hAnsi="Times New Roman"/>
          <w:sz w:val="20"/>
          <w:lang w:val="es-AR"/>
        </w:rPr>
      </w:pPr>
      <w:r>
        <w:rPr>
          <w:rFonts w:ascii="Times New Roman" w:hAnsi="Times New Roman"/>
          <w:sz w:val="20"/>
          <w:lang w:val="es-AR"/>
        </w:rPr>
        <w:t>1</w:t>
      </w:r>
      <w:r w:rsidR="004A65A0">
        <w:rPr>
          <w:rFonts w:ascii="Times New Roman" w:hAnsi="Times New Roman"/>
          <w:sz w:val="20"/>
          <w:lang w:val="es-AR"/>
        </w:rPr>
        <w:t>3</w:t>
      </w:r>
      <w:r w:rsidR="00C564D8">
        <w:rPr>
          <w:rFonts w:ascii="Times New Roman" w:hAnsi="Times New Roman"/>
          <w:sz w:val="20"/>
          <w:lang w:val="es-AR"/>
        </w:rPr>
        <w:t xml:space="preserve">) </w:t>
      </w:r>
      <w:r w:rsidR="00C564D8" w:rsidRPr="00C564D8">
        <w:rPr>
          <w:rFonts w:ascii="Times New Roman" w:hAnsi="Times New Roman"/>
          <w:b/>
          <w:sz w:val="20"/>
          <w:lang w:val="es-AR"/>
        </w:rPr>
        <w:t>Precio de Emisión</w:t>
      </w:r>
      <w:r w:rsidR="00C564D8">
        <w:rPr>
          <w:rFonts w:ascii="Times New Roman" w:hAnsi="Times New Roman"/>
          <w:sz w:val="20"/>
          <w:lang w:val="es-AR"/>
        </w:rPr>
        <w:t xml:space="preserve">: </w:t>
      </w:r>
      <w:r w:rsidR="00C564D8" w:rsidRPr="00C564D8">
        <w:rPr>
          <w:rFonts w:ascii="Times New Roman" w:hAnsi="Times New Roman"/>
          <w:sz w:val="20"/>
          <w:lang w:val="es-AR"/>
        </w:rPr>
        <w:t>100% del valor nominal de las Obligaciones Negociables.</w:t>
      </w:r>
    </w:p>
    <w:p w14:paraId="4D5EBFE6" w14:textId="77777777" w:rsidR="00C564D8" w:rsidRDefault="00C564D8" w:rsidP="001A0523">
      <w:pPr>
        <w:jc w:val="both"/>
        <w:rPr>
          <w:rFonts w:ascii="Times New Roman" w:hAnsi="Times New Roman"/>
          <w:sz w:val="20"/>
          <w:lang w:val="es-AR"/>
        </w:rPr>
      </w:pPr>
    </w:p>
    <w:p w14:paraId="46F4AFF9" w14:textId="1171B1C4" w:rsidR="00B14547" w:rsidRDefault="00E07F95" w:rsidP="001A0523">
      <w:pPr>
        <w:jc w:val="both"/>
        <w:rPr>
          <w:rFonts w:ascii="Times New Roman" w:hAnsi="Times New Roman"/>
          <w:sz w:val="20"/>
          <w:lang w:val="es-AR"/>
        </w:rPr>
      </w:pPr>
      <w:r>
        <w:rPr>
          <w:rFonts w:ascii="Times New Roman" w:hAnsi="Times New Roman"/>
          <w:sz w:val="20"/>
          <w:lang w:val="es-AR"/>
        </w:rPr>
        <w:t>1</w:t>
      </w:r>
      <w:r w:rsidR="004A65A0">
        <w:rPr>
          <w:rFonts w:ascii="Times New Roman" w:hAnsi="Times New Roman"/>
          <w:sz w:val="20"/>
          <w:lang w:val="es-AR"/>
        </w:rPr>
        <w:t>4</w:t>
      </w:r>
      <w:r w:rsidR="00C564D8">
        <w:rPr>
          <w:rFonts w:ascii="Times New Roman" w:hAnsi="Times New Roman"/>
          <w:sz w:val="20"/>
          <w:lang w:val="es-AR"/>
        </w:rPr>
        <w:t xml:space="preserve">) </w:t>
      </w:r>
      <w:r w:rsidR="00C564D8" w:rsidRPr="00C564D8">
        <w:rPr>
          <w:rFonts w:ascii="Times New Roman" w:hAnsi="Times New Roman"/>
          <w:b/>
          <w:sz w:val="20"/>
          <w:lang w:val="es-AR"/>
        </w:rPr>
        <w:t>Tasa de Interés:</w:t>
      </w:r>
      <w:r w:rsidR="00C564D8">
        <w:rPr>
          <w:rFonts w:ascii="Times New Roman" w:hAnsi="Times New Roman"/>
          <w:sz w:val="20"/>
          <w:lang w:val="es-AR"/>
        </w:rPr>
        <w:t xml:space="preserve"> </w:t>
      </w:r>
    </w:p>
    <w:p w14:paraId="340FBFFF" w14:textId="77777777" w:rsidR="00B14547" w:rsidRDefault="00B14547" w:rsidP="00B14547">
      <w:pPr>
        <w:numPr>
          <w:ilvl w:val="0"/>
          <w:numId w:val="2"/>
        </w:numPr>
        <w:autoSpaceDE w:val="0"/>
        <w:autoSpaceDN w:val="0"/>
        <w:adjustRightInd w:val="0"/>
        <w:jc w:val="both"/>
        <w:rPr>
          <w:rFonts w:ascii="Times New Roman" w:hAnsi="Times New Roman"/>
          <w:sz w:val="20"/>
          <w:lang w:val="es-AR"/>
        </w:rPr>
      </w:pPr>
      <w:r>
        <w:rPr>
          <w:rFonts w:ascii="Times New Roman" w:hAnsi="Times New Roman"/>
          <w:b/>
          <w:sz w:val="20"/>
          <w:lang w:val="es-AR"/>
        </w:rPr>
        <w:t>ON Clase A</w:t>
      </w:r>
      <w:r w:rsidRPr="00B8353E">
        <w:rPr>
          <w:rFonts w:ascii="Times New Roman" w:hAnsi="Times New Roman"/>
          <w:b/>
          <w:sz w:val="20"/>
          <w:lang w:val="es-AR"/>
        </w:rPr>
        <w:t>:</w:t>
      </w:r>
      <w:r w:rsidRPr="00B8353E">
        <w:rPr>
          <w:rFonts w:ascii="Times New Roman" w:hAnsi="Times New Roman"/>
          <w:sz w:val="20"/>
          <w:lang w:val="es-AR"/>
        </w:rPr>
        <w:t xml:space="preserve"> </w:t>
      </w:r>
      <w:r w:rsidRPr="00C564D8">
        <w:rPr>
          <w:rFonts w:ascii="Times New Roman" w:hAnsi="Times New Roman"/>
          <w:sz w:val="20"/>
          <w:lang w:val="es-AR"/>
        </w:rPr>
        <w:t xml:space="preserve">Las </w:t>
      </w:r>
      <w:r>
        <w:rPr>
          <w:rFonts w:ascii="Times New Roman" w:hAnsi="Times New Roman"/>
          <w:sz w:val="20"/>
          <w:lang w:val="es-AR"/>
        </w:rPr>
        <w:t>ON Clase A</w:t>
      </w:r>
      <w:r w:rsidRPr="00C564D8">
        <w:rPr>
          <w:rFonts w:ascii="Times New Roman" w:hAnsi="Times New Roman"/>
          <w:sz w:val="20"/>
          <w:lang w:val="es-AR"/>
        </w:rPr>
        <w:t xml:space="preserve"> devengarán intereses a la tasa de interés fija nominal anual que surja del proceso de determinación de la misma detallado en el Capítulo “</w:t>
      </w:r>
      <w:r w:rsidRPr="00C564D8">
        <w:rPr>
          <w:rFonts w:ascii="Times New Roman" w:hAnsi="Times New Roman"/>
          <w:i/>
          <w:sz w:val="20"/>
          <w:lang w:val="es-AR"/>
        </w:rPr>
        <w:t>Plan de Distribución</w:t>
      </w:r>
      <w:r w:rsidRPr="00C564D8">
        <w:rPr>
          <w:rFonts w:ascii="Times New Roman" w:hAnsi="Times New Roman"/>
          <w:sz w:val="20"/>
          <w:lang w:val="es-AR"/>
        </w:rPr>
        <w:t xml:space="preserve">” del </w:t>
      </w:r>
      <w:r>
        <w:rPr>
          <w:rFonts w:ascii="Times New Roman" w:hAnsi="Times New Roman"/>
          <w:sz w:val="20"/>
          <w:lang w:val="es-AR"/>
        </w:rPr>
        <w:t>Suplemento de Prospecto,</w:t>
      </w:r>
      <w:r w:rsidRPr="00C564D8">
        <w:rPr>
          <w:rFonts w:ascii="Times New Roman" w:hAnsi="Times New Roman"/>
          <w:sz w:val="20"/>
          <w:lang w:val="es-AR"/>
        </w:rPr>
        <w:t xml:space="preserve"> y será informada mediante el </w:t>
      </w:r>
      <w:r>
        <w:rPr>
          <w:rFonts w:ascii="Times New Roman" w:hAnsi="Times New Roman"/>
          <w:sz w:val="20"/>
          <w:lang w:val="es-AR"/>
        </w:rPr>
        <w:t>Aviso de Resultado</w:t>
      </w:r>
      <w:r w:rsidRPr="00C564D8">
        <w:rPr>
          <w:rFonts w:ascii="Times New Roman" w:hAnsi="Times New Roman"/>
          <w:sz w:val="20"/>
          <w:lang w:val="es-AR"/>
        </w:rPr>
        <w:t>.</w:t>
      </w:r>
    </w:p>
    <w:p w14:paraId="5B4559A0" w14:textId="77777777" w:rsidR="00B14547" w:rsidRPr="00B14547" w:rsidRDefault="00B14547" w:rsidP="00B14547">
      <w:pPr>
        <w:numPr>
          <w:ilvl w:val="0"/>
          <w:numId w:val="2"/>
        </w:numPr>
        <w:autoSpaceDE w:val="0"/>
        <w:autoSpaceDN w:val="0"/>
        <w:adjustRightInd w:val="0"/>
        <w:jc w:val="both"/>
        <w:rPr>
          <w:rFonts w:ascii="Times New Roman" w:hAnsi="Times New Roman"/>
          <w:sz w:val="20"/>
          <w:lang w:val="es-AR"/>
        </w:rPr>
      </w:pPr>
      <w:r>
        <w:rPr>
          <w:rFonts w:ascii="Times New Roman" w:hAnsi="Times New Roman"/>
          <w:b/>
          <w:sz w:val="20"/>
          <w:lang w:val="es-AR"/>
        </w:rPr>
        <w:t>ON Clase B</w:t>
      </w:r>
      <w:r w:rsidRPr="00B8353E">
        <w:rPr>
          <w:rFonts w:ascii="Times New Roman" w:hAnsi="Times New Roman"/>
          <w:b/>
          <w:sz w:val="20"/>
          <w:lang w:val="es-AR"/>
        </w:rPr>
        <w:t>:</w:t>
      </w:r>
      <w:r w:rsidRPr="00B8353E">
        <w:rPr>
          <w:rFonts w:ascii="Times New Roman" w:hAnsi="Times New Roman"/>
          <w:sz w:val="20"/>
          <w:lang w:val="es-AR"/>
        </w:rPr>
        <w:t xml:space="preserve"> </w:t>
      </w:r>
      <w:r w:rsidRPr="00C564D8">
        <w:rPr>
          <w:rFonts w:ascii="Times New Roman" w:hAnsi="Times New Roman"/>
          <w:sz w:val="20"/>
          <w:lang w:val="es-AR"/>
        </w:rPr>
        <w:t xml:space="preserve">Las </w:t>
      </w:r>
      <w:r>
        <w:rPr>
          <w:rFonts w:ascii="Times New Roman" w:hAnsi="Times New Roman"/>
          <w:sz w:val="20"/>
          <w:lang w:val="es-AR"/>
        </w:rPr>
        <w:t>ON Clase B</w:t>
      </w:r>
      <w:r w:rsidRPr="00C564D8">
        <w:rPr>
          <w:rFonts w:ascii="Times New Roman" w:hAnsi="Times New Roman"/>
          <w:sz w:val="20"/>
          <w:lang w:val="es-AR"/>
        </w:rPr>
        <w:t xml:space="preserve"> devengarán intereses a la tasa de interés fija nominal anual que surja del proceso de determinación de la misma detallado en el Capítulo “</w:t>
      </w:r>
      <w:r w:rsidRPr="00C564D8">
        <w:rPr>
          <w:rFonts w:ascii="Times New Roman" w:hAnsi="Times New Roman"/>
          <w:i/>
          <w:sz w:val="20"/>
          <w:lang w:val="es-AR"/>
        </w:rPr>
        <w:t>Plan de Distribución</w:t>
      </w:r>
      <w:r w:rsidRPr="00C564D8">
        <w:rPr>
          <w:rFonts w:ascii="Times New Roman" w:hAnsi="Times New Roman"/>
          <w:sz w:val="20"/>
          <w:lang w:val="es-AR"/>
        </w:rPr>
        <w:t xml:space="preserve">” del </w:t>
      </w:r>
      <w:r>
        <w:rPr>
          <w:rFonts w:ascii="Times New Roman" w:hAnsi="Times New Roman"/>
          <w:sz w:val="20"/>
          <w:lang w:val="es-AR"/>
        </w:rPr>
        <w:t>Suplemento de Prospecto,</w:t>
      </w:r>
      <w:r w:rsidRPr="00C564D8">
        <w:rPr>
          <w:rFonts w:ascii="Times New Roman" w:hAnsi="Times New Roman"/>
          <w:sz w:val="20"/>
          <w:lang w:val="es-AR"/>
        </w:rPr>
        <w:t xml:space="preserve"> y será informada mediante el </w:t>
      </w:r>
      <w:r>
        <w:rPr>
          <w:rFonts w:ascii="Times New Roman" w:hAnsi="Times New Roman"/>
          <w:sz w:val="20"/>
          <w:lang w:val="es-AR"/>
        </w:rPr>
        <w:t>Aviso de Resultado</w:t>
      </w:r>
      <w:r w:rsidRPr="00C564D8">
        <w:rPr>
          <w:rFonts w:ascii="Times New Roman" w:hAnsi="Times New Roman"/>
          <w:sz w:val="20"/>
          <w:lang w:val="es-AR"/>
        </w:rPr>
        <w:t>.</w:t>
      </w:r>
    </w:p>
    <w:p w14:paraId="0E8C2D9D" w14:textId="77777777" w:rsidR="00B223EA" w:rsidRDefault="00B223EA" w:rsidP="001A0523">
      <w:pPr>
        <w:jc w:val="both"/>
        <w:rPr>
          <w:rFonts w:ascii="Times New Roman" w:hAnsi="Times New Roman"/>
          <w:sz w:val="20"/>
          <w:lang w:val="es-AR"/>
        </w:rPr>
      </w:pPr>
    </w:p>
    <w:p w14:paraId="32BE9563" w14:textId="6C792070" w:rsidR="00B223EA" w:rsidRDefault="00E07F95" w:rsidP="001A0523">
      <w:pPr>
        <w:jc w:val="both"/>
        <w:rPr>
          <w:rFonts w:ascii="Times New Roman" w:hAnsi="Times New Roman"/>
          <w:sz w:val="20"/>
          <w:lang w:val="es-AR"/>
        </w:rPr>
      </w:pPr>
      <w:r>
        <w:rPr>
          <w:rFonts w:ascii="Times New Roman" w:hAnsi="Times New Roman"/>
          <w:sz w:val="20"/>
          <w:lang w:val="es-AR"/>
        </w:rPr>
        <w:t>1</w:t>
      </w:r>
      <w:r w:rsidR="004A65A0">
        <w:rPr>
          <w:rFonts w:ascii="Times New Roman" w:hAnsi="Times New Roman"/>
          <w:sz w:val="20"/>
          <w:lang w:val="es-AR"/>
        </w:rPr>
        <w:t>5</w:t>
      </w:r>
      <w:r w:rsidR="00B223EA">
        <w:rPr>
          <w:rFonts w:ascii="Times New Roman" w:hAnsi="Times New Roman"/>
          <w:sz w:val="20"/>
          <w:lang w:val="es-AR"/>
        </w:rPr>
        <w:t xml:space="preserve">) </w:t>
      </w:r>
      <w:r w:rsidR="00B223EA" w:rsidRPr="00B223EA">
        <w:rPr>
          <w:rFonts w:ascii="Times New Roman" w:hAnsi="Times New Roman"/>
          <w:b/>
          <w:sz w:val="20"/>
          <w:lang w:val="es-AR"/>
        </w:rPr>
        <w:t>Fecha</w:t>
      </w:r>
      <w:r w:rsidR="004A65A0">
        <w:rPr>
          <w:rFonts w:ascii="Times New Roman" w:hAnsi="Times New Roman"/>
          <w:b/>
          <w:sz w:val="20"/>
          <w:lang w:val="es-AR"/>
        </w:rPr>
        <w:t>s</w:t>
      </w:r>
      <w:r w:rsidR="00B223EA" w:rsidRPr="00B223EA">
        <w:rPr>
          <w:rFonts w:ascii="Times New Roman" w:hAnsi="Times New Roman"/>
          <w:b/>
          <w:sz w:val="20"/>
          <w:lang w:val="es-AR"/>
        </w:rPr>
        <w:t xml:space="preserve"> de Pago de Intereses:</w:t>
      </w:r>
      <w:r w:rsidR="00B223EA">
        <w:rPr>
          <w:rFonts w:ascii="Times New Roman" w:hAnsi="Times New Roman"/>
          <w:sz w:val="20"/>
          <w:lang w:val="es-AR"/>
        </w:rPr>
        <w:t xml:space="preserve"> </w:t>
      </w:r>
      <w:r w:rsidR="00B223EA" w:rsidRPr="00B223EA">
        <w:rPr>
          <w:rFonts w:ascii="Times New Roman" w:hAnsi="Times New Roman"/>
          <w:sz w:val="20"/>
          <w:lang w:val="es-AR"/>
        </w:rPr>
        <w:t xml:space="preserve">Los intereses de las Obligaciones Negociables se pagarán en forma vencida. </w:t>
      </w:r>
      <w:r w:rsidR="00B14547" w:rsidRPr="00B14547">
        <w:rPr>
          <w:rFonts w:ascii="Times New Roman" w:hAnsi="Times New Roman"/>
          <w:sz w:val="20"/>
          <w:lang w:val="es-AR"/>
        </w:rPr>
        <w:t>Los pagos de intereses serán realizados en forma trimestral excepto la última Fecha de Pago de Intereses de las Obligaciones Negociables que coincidirá con la Fecha de Vencimiento de las Obligaciones Negociables, en las fechas que se informarán en el Aviso de Resultado</w:t>
      </w:r>
      <w:r w:rsidR="00B223EA" w:rsidRPr="00B223EA">
        <w:rPr>
          <w:rFonts w:ascii="Times New Roman" w:hAnsi="Times New Roman"/>
          <w:sz w:val="20"/>
          <w:lang w:val="es-AR"/>
        </w:rPr>
        <w:t>.</w:t>
      </w:r>
    </w:p>
    <w:p w14:paraId="18F5428D" w14:textId="1406D405" w:rsidR="004A65A0" w:rsidRDefault="004A65A0" w:rsidP="001A0523">
      <w:pPr>
        <w:jc w:val="both"/>
        <w:rPr>
          <w:rFonts w:ascii="Times New Roman" w:hAnsi="Times New Roman"/>
          <w:sz w:val="20"/>
          <w:lang w:val="es-AR"/>
        </w:rPr>
      </w:pPr>
    </w:p>
    <w:p w14:paraId="65009184" w14:textId="68242AC8" w:rsidR="004A65A0" w:rsidRPr="00B223EA" w:rsidRDefault="004A65A0" w:rsidP="004A65A0">
      <w:pPr>
        <w:jc w:val="both"/>
        <w:rPr>
          <w:rFonts w:ascii="Times New Roman" w:hAnsi="Times New Roman"/>
          <w:sz w:val="20"/>
          <w:lang w:val="es-AR"/>
        </w:rPr>
      </w:pPr>
      <w:r>
        <w:rPr>
          <w:rFonts w:ascii="Times New Roman" w:hAnsi="Times New Roman"/>
          <w:sz w:val="20"/>
          <w:lang w:val="es-AR"/>
        </w:rPr>
        <w:t xml:space="preserve">16) </w:t>
      </w:r>
      <w:r w:rsidRPr="008413ED">
        <w:rPr>
          <w:rFonts w:ascii="Times New Roman" w:hAnsi="Times New Roman"/>
          <w:b/>
          <w:sz w:val="20"/>
          <w:lang w:val="es-AR"/>
        </w:rPr>
        <w:t>Base de Cálculo de Intereses:</w:t>
      </w:r>
      <w:r>
        <w:rPr>
          <w:rFonts w:ascii="Times New Roman" w:hAnsi="Times New Roman"/>
          <w:sz w:val="20"/>
          <w:lang w:val="es-AR"/>
        </w:rPr>
        <w:t xml:space="preserve"> </w:t>
      </w:r>
      <w:r w:rsidRPr="004A65A0">
        <w:rPr>
          <w:rFonts w:ascii="Times New Roman" w:hAnsi="Times New Roman"/>
          <w:sz w:val="20"/>
          <w:lang w:val="es-AR"/>
        </w:rPr>
        <w:t>Para el cálculo de los intereses, se consi</w:t>
      </w:r>
      <w:r>
        <w:rPr>
          <w:rFonts w:ascii="Times New Roman" w:hAnsi="Times New Roman"/>
          <w:sz w:val="20"/>
          <w:lang w:val="es-AR"/>
        </w:rPr>
        <w:t xml:space="preserve">derará la cantidad real de días </w:t>
      </w:r>
      <w:r w:rsidRPr="004A65A0">
        <w:rPr>
          <w:rFonts w:ascii="Times New Roman" w:hAnsi="Times New Roman"/>
          <w:sz w:val="20"/>
          <w:lang w:val="es-AR"/>
        </w:rPr>
        <w:t>transcurridos y un año de 365 (trescientos sesenta y cinco) días (cantidad real de días transcurridos/365).</w:t>
      </w:r>
    </w:p>
    <w:p w14:paraId="5475B707" w14:textId="77777777" w:rsidR="00C564D8" w:rsidRDefault="00C564D8" w:rsidP="001A0523">
      <w:pPr>
        <w:jc w:val="both"/>
        <w:rPr>
          <w:rFonts w:ascii="Times New Roman" w:hAnsi="Times New Roman"/>
          <w:sz w:val="20"/>
          <w:lang w:val="es-AR"/>
        </w:rPr>
      </w:pPr>
    </w:p>
    <w:p w14:paraId="42FB6CFF" w14:textId="53F597FE" w:rsidR="00C564D8" w:rsidRDefault="00E07F95" w:rsidP="00F45135">
      <w:pPr>
        <w:jc w:val="both"/>
        <w:rPr>
          <w:rFonts w:ascii="Times New Roman" w:hAnsi="Times New Roman"/>
          <w:sz w:val="20"/>
          <w:lang w:val="es-AR"/>
        </w:rPr>
      </w:pPr>
      <w:r>
        <w:rPr>
          <w:rFonts w:ascii="Times New Roman" w:hAnsi="Times New Roman"/>
          <w:sz w:val="20"/>
          <w:lang w:val="es-AR"/>
        </w:rPr>
        <w:t>1</w:t>
      </w:r>
      <w:r w:rsidR="004A65A0">
        <w:rPr>
          <w:rFonts w:ascii="Times New Roman" w:hAnsi="Times New Roman"/>
          <w:sz w:val="20"/>
          <w:lang w:val="es-AR"/>
        </w:rPr>
        <w:t>7</w:t>
      </w:r>
      <w:r w:rsidR="00C564D8">
        <w:rPr>
          <w:rFonts w:ascii="Times New Roman" w:hAnsi="Times New Roman"/>
          <w:sz w:val="20"/>
          <w:lang w:val="es-AR"/>
        </w:rPr>
        <w:t xml:space="preserve">) </w:t>
      </w:r>
      <w:r w:rsidR="00F45135" w:rsidRPr="00F45135">
        <w:rPr>
          <w:rFonts w:ascii="Times New Roman" w:hAnsi="Times New Roman"/>
          <w:b/>
          <w:sz w:val="20"/>
          <w:lang w:val="es-AR"/>
        </w:rPr>
        <w:t>Fecha de Vencimiento</w:t>
      </w:r>
      <w:r w:rsidR="004A65A0">
        <w:rPr>
          <w:rFonts w:ascii="Times New Roman" w:hAnsi="Times New Roman"/>
          <w:b/>
          <w:sz w:val="20"/>
          <w:lang w:val="es-AR"/>
        </w:rPr>
        <w:t xml:space="preserve"> de las Obligaciones Negociables</w:t>
      </w:r>
      <w:r w:rsidR="00F45135" w:rsidRPr="00F45135">
        <w:rPr>
          <w:rFonts w:ascii="Times New Roman" w:hAnsi="Times New Roman"/>
          <w:b/>
          <w:sz w:val="20"/>
          <w:lang w:val="es-AR"/>
        </w:rPr>
        <w:t>:</w:t>
      </w:r>
      <w:r w:rsidR="00F45135">
        <w:rPr>
          <w:rFonts w:ascii="Times New Roman" w:hAnsi="Times New Roman"/>
          <w:sz w:val="20"/>
          <w:lang w:val="es-AR"/>
        </w:rPr>
        <w:t xml:space="preserve"> </w:t>
      </w:r>
      <w:r w:rsidR="00B14547">
        <w:rPr>
          <w:rFonts w:ascii="Times New Roman" w:hAnsi="Times New Roman"/>
          <w:sz w:val="20"/>
          <w:lang w:val="es-AR"/>
        </w:rPr>
        <w:t xml:space="preserve">Será el día </w:t>
      </w:r>
      <w:r w:rsidR="004A65A0">
        <w:rPr>
          <w:rFonts w:ascii="Times New Roman" w:hAnsi="Times New Roman"/>
          <w:sz w:val="20"/>
          <w:lang w:val="es-AR"/>
        </w:rPr>
        <w:t xml:space="preserve">en </w:t>
      </w:r>
      <w:r w:rsidR="00B14547">
        <w:rPr>
          <w:rFonts w:ascii="Times New Roman" w:hAnsi="Times New Roman"/>
          <w:sz w:val="20"/>
          <w:lang w:val="es-AR"/>
        </w:rPr>
        <w:t>que se cumplan 15</w:t>
      </w:r>
      <w:r w:rsidR="00F45135" w:rsidRPr="00F45135">
        <w:rPr>
          <w:rFonts w:ascii="Times New Roman" w:hAnsi="Times New Roman"/>
          <w:sz w:val="20"/>
          <w:lang w:val="es-AR"/>
        </w:rPr>
        <w:t xml:space="preserve"> meses contados desde la Fecha de Emisión y Liquidación. La Fecha de Vencimiento de las Obligaciones Negociables será la que se informe en el </w:t>
      </w:r>
      <w:r w:rsidR="00B14547">
        <w:rPr>
          <w:rFonts w:ascii="Times New Roman" w:hAnsi="Times New Roman"/>
          <w:sz w:val="20"/>
          <w:lang w:val="es-AR"/>
        </w:rPr>
        <w:t>Aviso de Resultado</w:t>
      </w:r>
      <w:r w:rsidR="00F45135" w:rsidRPr="00F45135">
        <w:rPr>
          <w:rFonts w:ascii="Times New Roman" w:hAnsi="Times New Roman"/>
          <w:sz w:val="20"/>
          <w:lang w:val="es-AR"/>
        </w:rPr>
        <w:t>.</w:t>
      </w:r>
    </w:p>
    <w:p w14:paraId="42914A3A" w14:textId="77777777" w:rsidR="00F45135" w:rsidRDefault="00F45135" w:rsidP="00F45135">
      <w:pPr>
        <w:jc w:val="both"/>
        <w:rPr>
          <w:rFonts w:ascii="Times New Roman" w:hAnsi="Times New Roman"/>
          <w:sz w:val="20"/>
          <w:lang w:val="es-AR"/>
        </w:rPr>
      </w:pPr>
    </w:p>
    <w:p w14:paraId="5AD979DF" w14:textId="709ABB34" w:rsidR="00F45135" w:rsidRDefault="00E07F95" w:rsidP="00F45135">
      <w:pPr>
        <w:jc w:val="both"/>
        <w:rPr>
          <w:rFonts w:ascii="Times New Roman" w:hAnsi="Times New Roman"/>
          <w:sz w:val="20"/>
          <w:lang w:val="es-AR"/>
        </w:rPr>
      </w:pPr>
      <w:r>
        <w:rPr>
          <w:rFonts w:ascii="Times New Roman" w:hAnsi="Times New Roman"/>
          <w:sz w:val="20"/>
          <w:lang w:val="es-AR"/>
        </w:rPr>
        <w:t>1</w:t>
      </w:r>
      <w:r w:rsidR="004A65A0">
        <w:rPr>
          <w:rFonts w:ascii="Times New Roman" w:hAnsi="Times New Roman"/>
          <w:sz w:val="20"/>
          <w:lang w:val="es-AR"/>
        </w:rPr>
        <w:t>8</w:t>
      </w:r>
      <w:r w:rsidR="00F45135">
        <w:rPr>
          <w:rFonts w:ascii="Times New Roman" w:hAnsi="Times New Roman"/>
          <w:sz w:val="20"/>
          <w:lang w:val="es-AR"/>
        </w:rPr>
        <w:t xml:space="preserve">) </w:t>
      </w:r>
      <w:r w:rsidR="00F45135" w:rsidRPr="00F45135">
        <w:rPr>
          <w:rFonts w:ascii="Times New Roman" w:hAnsi="Times New Roman"/>
          <w:b/>
          <w:sz w:val="20"/>
          <w:lang w:val="es-AR"/>
        </w:rPr>
        <w:t>Amortización:</w:t>
      </w:r>
      <w:r w:rsidR="00F45135">
        <w:rPr>
          <w:rFonts w:ascii="Times New Roman" w:hAnsi="Times New Roman"/>
          <w:sz w:val="20"/>
          <w:lang w:val="es-AR"/>
        </w:rPr>
        <w:t xml:space="preserve"> </w:t>
      </w:r>
      <w:r w:rsidR="00F45135" w:rsidRPr="00F45135">
        <w:rPr>
          <w:rFonts w:ascii="Times New Roman" w:hAnsi="Times New Roman"/>
          <w:sz w:val="20"/>
          <w:lang w:val="es-AR"/>
        </w:rPr>
        <w:t>Las Obligaciones Negociables serán amortizadas en un único pago a ser realizado en la Fecha de Vencimiento de las Obligaciones Negociables</w:t>
      </w:r>
      <w:r w:rsidR="00F45135">
        <w:rPr>
          <w:rFonts w:ascii="Times New Roman" w:hAnsi="Times New Roman"/>
          <w:sz w:val="20"/>
          <w:lang w:val="es-AR"/>
        </w:rPr>
        <w:t>.</w:t>
      </w:r>
    </w:p>
    <w:p w14:paraId="642541F1" w14:textId="77777777" w:rsidR="00F45135" w:rsidRDefault="00F45135" w:rsidP="00F45135">
      <w:pPr>
        <w:jc w:val="both"/>
        <w:rPr>
          <w:rFonts w:ascii="Times New Roman" w:hAnsi="Times New Roman"/>
          <w:sz w:val="20"/>
          <w:lang w:val="es-AR"/>
        </w:rPr>
      </w:pPr>
    </w:p>
    <w:p w14:paraId="045FA3E7" w14:textId="46612727" w:rsidR="00F45135" w:rsidRDefault="00E07F95" w:rsidP="00F45135">
      <w:pPr>
        <w:jc w:val="both"/>
        <w:rPr>
          <w:rFonts w:ascii="Times New Roman" w:hAnsi="Times New Roman"/>
          <w:sz w:val="20"/>
          <w:lang w:val="es-AR"/>
        </w:rPr>
      </w:pPr>
      <w:r>
        <w:rPr>
          <w:rFonts w:ascii="Times New Roman" w:hAnsi="Times New Roman"/>
          <w:sz w:val="20"/>
          <w:lang w:val="es-AR"/>
        </w:rPr>
        <w:t>1</w:t>
      </w:r>
      <w:r w:rsidR="004A65A0">
        <w:rPr>
          <w:rFonts w:ascii="Times New Roman" w:hAnsi="Times New Roman"/>
          <w:sz w:val="20"/>
          <w:lang w:val="es-AR"/>
        </w:rPr>
        <w:t>9</w:t>
      </w:r>
      <w:r w:rsidR="00F45135">
        <w:rPr>
          <w:rFonts w:ascii="Times New Roman" w:hAnsi="Times New Roman"/>
          <w:sz w:val="20"/>
          <w:lang w:val="es-AR"/>
        </w:rPr>
        <w:t xml:space="preserve">) </w:t>
      </w:r>
      <w:r w:rsidR="007B654E" w:rsidRPr="007B654E">
        <w:rPr>
          <w:rFonts w:ascii="Times New Roman" w:hAnsi="Times New Roman"/>
          <w:b/>
          <w:sz w:val="20"/>
          <w:lang w:val="es-AR"/>
        </w:rPr>
        <w:t>Listado y</w:t>
      </w:r>
      <w:r w:rsidR="007B654E">
        <w:rPr>
          <w:rFonts w:ascii="Times New Roman" w:hAnsi="Times New Roman"/>
          <w:sz w:val="20"/>
          <w:lang w:val="es-AR"/>
        </w:rPr>
        <w:t xml:space="preserve"> </w:t>
      </w:r>
      <w:r w:rsidR="00F45135" w:rsidRPr="00F45135">
        <w:rPr>
          <w:rFonts w:ascii="Times New Roman" w:hAnsi="Times New Roman"/>
          <w:b/>
          <w:sz w:val="20"/>
          <w:lang w:val="es-AR"/>
        </w:rPr>
        <w:t>Negociación:</w:t>
      </w:r>
      <w:r w:rsidR="00F45135">
        <w:rPr>
          <w:rFonts w:ascii="Times New Roman" w:hAnsi="Times New Roman"/>
          <w:sz w:val="20"/>
          <w:lang w:val="es-AR"/>
        </w:rPr>
        <w:t xml:space="preserve"> </w:t>
      </w:r>
      <w:r w:rsidR="00F45135" w:rsidRPr="00F45135">
        <w:rPr>
          <w:rFonts w:ascii="Times New Roman" w:hAnsi="Times New Roman"/>
          <w:sz w:val="20"/>
          <w:lang w:val="es-AR"/>
        </w:rPr>
        <w:t xml:space="preserve">Se ha solicitado autorización para el listado de las Obligaciones Negociables en BYMA y </w:t>
      </w:r>
      <w:r w:rsidR="00B14547">
        <w:rPr>
          <w:rFonts w:ascii="Times New Roman" w:hAnsi="Times New Roman"/>
          <w:sz w:val="20"/>
          <w:lang w:val="es-AR"/>
        </w:rPr>
        <w:t xml:space="preserve">para su negociación </w:t>
      </w:r>
      <w:r w:rsidR="00F45135" w:rsidRPr="00F45135">
        <w:rPr>
          <w:rFonts w:ascii="Times New Roman" w:hAnsi="Times New Roman"/>
          <w:sz w:val="20"/>
          <w:lang w:val="es-AR"/>
        </w:rPr>
        <w:t xml:space="preserve">en el MAE. La Sociedad podrá solicitar que las Obligaciones Negociables sean elegibles para su transferencia a través de </w:t>
      </w:r>
      <w:proofErr w:type="spellStart"/>
      <w:r w:rsidR="00F45135" w:rsidRPr="00F45135">
        <w:rPr>
          <w:rFonts w:ascii="Times New Roman" w:hAnsi="Times New Roman"/>
          <w:sz w:val="20"/>
          <w:lang w:val="es-AR"/>
        </w:rPr>
        <w:t>Euroclear</w:t>
      </w:r>
      <w:proofErr w:type="spellEnd"/>
      <w:r w:rsidR="00F96262">
        <w:rPr>
          <w:rFonts w:ascii="Times New Roman" w:hAnsi="Times New Roman"/>
          <w:sz w:val="20"/>
          <w:lang w:val="es-AR"/>
        </w:rPr>
        <w:t xml:space="preserve"> o </w:t>
      </w:r>
      <w:proofErr w:type="spellStart"/>
      <w:r w:rsidR="00F96262">
        <w:rPr>
          <w:rFonts w:ascii="Times New Roman" w:hAnsi="Times New Roman"/>
          <w:sz w:val="20"/>
          <w:lang w:val="es-AR"/>
        </w:rPr>
        <w:t>Clearstream</w:t>
      </w:r>
      <w:proofErr w:type="spellEnd"/>
      <w:r w:rsidR="00F45135" w:rsidRPr="00F45135">
        <w:rPr>
          <w:rFonts w:ascii="Times New Roman" w:hAnsi="Times New Roman"/>
          <w:sz w:val="20"/>
          <w:lang w:val="es-AR"/>
        </w:rPr>
        <w:t>.</w:t>
      </w:r>
    </w:p>
    <w:p w14:paraId="641F973A" w14:textId="77777777" w:rsidR="007B654E" w:rsidRDefault="007B654E" w:rsidP="00F45135">
      <w:pPr>
        <w:jc w:val="both"/>
        <w:rPr>
          <w:rFonts w:ascii="Times New Roman" w:hAnsi="Times New Roman"/>
          <w:sz w:val="20"/>
          <w:lang w:val="es-AR"/>
        </w:rPr>
      </w:pPr>
    </w:p>
    <w:p w14:paraId="2AF982C2" w14:textId="5C5F17CF" w:rsidR="001A0523" w:rsidRPr="003A0D00" w:rsidRDefault="004A65A0" w:rsidP="001A0523">
      <w:pPr>
        <w:jc w:val="both"/>
        <w:rPr>
          <w:rFonts w:ascii="Times New Roman" w:hAnsi="Times New Roman"/>
          <w:sz w:val="20"/>
          <w:lang w:val="es-ES"/>
        </w:rPr>
      </w:pPr>
      <w:r>
        <w:rPr>
          <w:rFonts w:ascii="Times New Roman" w:hAnsi="Times New Roman"/>
          <w:sz w:val="20"/>
          <w:lang w:val="es-AR"/>
        </w:rPr>
        <w:t>20</w:t>
      </w:r>
      <w:r w:rsidR="001A0523" w:rsidRPr="003A0D00">
        <w:rPr>
          <w:rFonts w:ascii="Times New Roman" w:hAnsi="Times New Roman"/>
          <w:sz w:val="20"/>
          <w:lang w:val="es-ES"/>
        </w:rPr>
        <w:t xml:space="preserve">) </w:t>
      </w:r>
      <w:bookmarkStart w:id="1" w:name="_DV_C54"/>
      <w:r w:rsidR="001A0523" w:rsidRPr="003A0D00">
        <w:rPr>
          <w:rFonts w:ascii="Times New Roman" w:hAnsi="Times New Roman"/>
          <w:b/>
          <w:sz w:val="20"/>
          <w:lang w:val="es-ES"/>
        </w:rPr>
        <w:t>Período de Difusión:</w:t>
      </w:r>
      <w:r w:rsidR="001A0523" w:rsidRPr="003A0D00">
        <w:rPr>
          <w:rFonts w:ascii="Times New Roman" w:hAnsi="Times New Roman"/>
          <w:sz w:val="20"/>
          <w:lang w:val="es-ES"/>
        </w:rPr>
        <w:t xml:space="preserve"> Comenzará el </w:t>
      </w:r>
      <w:r w:rsidR="00B14547" w:rsidRPr="008413ED">
        <w:rPr>
          <w:rFonts w:ascii="Times New Roman" w:hAnsi="Times New Roman"/>
          <w:sz w:val="20"/>
          <w:lang w:val="es-ES"/>
        </w:rPr>
        <w:t>2 de marzo de 2020</w:t>
      </w:r>
      <w:r w:rsidR="001A0523" w:rsidRPr="003A0D00">
        <w:rPr>
          <w:rFonts w:ascii="Times New Roman" w:hAnsi="Times New Roman"/>
          <w:sz w:val="20"/>
          <w:lang w:val="es-ES"/>
        </w:rPr>
        <w:t xml:space="preserve"> a las </w:t>
      </w:r>
      <w:r w:rsidR="00AE7CB6">
        <w:rPr>
          <w:rFonts w:ascii="Times New Roman" w:hAnsi="Times New Roman"/>
          <w:sz w:val="20"/>
          <w:lang w:val="es-ES"/>
        </w:rPr>
        <w:t>10</w:t>
      </w:r>
      <w:r w:rsidR="00305C97" w:rsidRPr="003A0D00">
        <w:rPr>
          <w:rFonts w:ascii="Times New Roman" w:hAnsi="Times New Roman"/>
          <w:sz w:val="20"/>
          <w:lang w:val="es-ES"/>
        </w:rPr>
        <w:t xml:space="preserve"> </w:t>
      </w:r>
      <w:proofErr w:type="spellStart"/>
      <w:r w:rsidR="001A0523" w:rsidRPr="003A0D00">
        <w:rPr>
          <w:rFonts w:ascii="Times New Roman" w:hAnsi="Times New Roman"/>
          <w:sz w:val="20"/>
          <w:lang w:val="es-ES"/>
        </w:rPr>
        <w:t>h</w:t>
      </w:r>
      <w:r w:rsidR="004A55C5">
        <w:rPr>
          <w:rFonts w:ascii="Times New Roman" w:hAnsi="Times New Roman"/>
          <w:sz w:val="20"/>
          <w:lang w:val="es-ES"/>
        </w:rPr>
        <w:t>s</w:t>
      </w:r>
      <w:proofErr w:type="spellEnd"/>
      <w:r w:rsidR="00305C97" w:rsidRPr="003A0D00">
        <w:rPr>
          <w:rFonts w:ascii="Times New Roman" w:hAnsi="Times New Roman"/>
          <w:sz w:val="20"/>
          <w:lang w:val="es-ES"/>
        </w:rPr>
        <w:t>.</w:t>
      </w:r>
      <w:r w:rsidR="001A0523" w:rsidRPr="003A0D00">
        <w:rPr>
          <w:rFonts w:ascii="Times New Roman" w:hAnsi="Times New Roman"/>
          <w:sz w:val="20"/>
          <w:lang w:val="es-ES"/>
        </w:rPr>
        <w:t xml:space="preserve"> y finalizará el </w:t>
      </w:r>
      <w:bookmarkStart w:id="2" w:name="_DV_C56"/>
      <w:bookmarkEnd w:id="1"/>
      <w:r w:rsidR="00B14547" w:rsidRPr="008413ED">
        <w:rPr>
          <w:rFonts w:ascii="Times New Roman" w:hAnsi="Times New Roman"/>
          <w:sz w:val="20"/>
          <w:lang w:val="es-ES"/>
        </w:rPr>
        <w:t>4 de marzo de 2020</w:t>
      </w:r>
      <w:r w:rsidR="00060527">
        <w:rPr>
          <w:rFonts w:ascii="Times New Roman" w:hAnsi="Times New Roman"/>
          <w:sz w:val="20"/>
          <w:lang w:val="es-ES"/>
        </w:rPr>
        <w:t xml:space="preserve"> </w:t>
      </w:r>
      <w:r w:rsidR="001A0523" w:rsidRPr="003A0D00">
        <w:rPr>
          <w:rFonts w:ascii="Times New Roman" w:hAnsi="Times New Roman"/>
          <w:sz w:val="20"/>
          <w:lang w:val="es-ES"/>
        </w:rPr>
        <w:t xml:space="preserve">a las </w:t>
      </w:r>
      <w:r w:rsidR="00AE7CB6">
        <w:rPr>
          <w:rFonts w:ascii="Times New Roman" w:hAnsi="Times New Roman"/>
          <w:sz w:val="20"/>
          <w:lang w:val="es-ES"/>
        </w:rPr>
        <w:t>16</w:t>
      </w:r>
      <w:r w:rsidR="00C552CC" w:rsidRPr="003A0D00">
        <w:rPr>
          <w:rFonts w:ascii="Times New Roman" w:hAnsi="Times New Roman"/>
          <w:sz w:val="20"/>
          <w:lang w:val="es-ES"/>
        </w:rPr>
        <w:t xml:space="preserve"> </w:t>
      </w:r>
      <w:proofErr w:type="spellStart"/>
      <w:r w:rsidR="001A0523" w:rsidRPr="003A0D00">
        <w:rPr>
          <w:rFonts w:ascii="Times New Roman" w:hAnsi="Times New Roman"/>
          <w:sz w:val="20"/>
          <w:lang w:val="es-ES"/>
        </w:rPr>
        <w:t>hs</w:t>
      </w:r>
      <w:proofErr w:type="spellEnd"/>
      <w:r w:rsidR="001A0523" w:rsidRPr="003A0D00">
        <w:rPr>
          <w:rFonts w:ascii="Times New Roman" w:hAnsi="Times New Roman"/>
          <w:sz w:val="20"/>
          <w:lang w:val="es-ES"/>
        </w:rPr>
        <w:t>.</w:t>
      </w:r>
      <w:bookmarkEnd w:id="2"/>
      <w:r w:rsidR="001A0523" w:rsidRPr="003A0D00">
        <w:rPr>
          <w:lang w:val="es-ES"/>
        </w:rPr>
        <w:t xml:space="preserve"> </w:t>
      </w:r>
      <w:r w:rsidR="004E532F" w:rsidRPr="004E532F">
        <w:rPr>
          <w:rFonts w:ascii="Times New Roman" w:hAnsi="Times New Roman"/>
          <w:sz w:val="20"/>
          <w:lang w:val="es-AR"/>
        </w:rPr>
        <w:t>Durante el Período de Difusión, ni los Agentes Organizadores y Colocadores ni ningún otro Agente Intermediario Habilitado podrán aceptar Órdenes de Compra</w:t>
      </w:r>
      <w:r w:rsidR="001A0523" w:rsidRPr="003A0D00">
        <w:rPr>
          <w:rFonts w:ascii="Times New Roman" w:hAnsi="Times New Roman"/>
          <w:sz w:val="20"/>
          <w:lang w:val="es-ES"/>
        </w:rPr>
        <w:t>.</w:t>
      </w:r>
    </w:p>
    <w:p w14:paraId="411A1B87" w14:textId="77777777" w:rsidR="001A0523" w:rsidRPr="003A0D00" w:rsidRDefault="001A0523" w:rsidP="001A0523">
      <w:pPr>
        <w:autoSpaceDE w:val="0"/>
        <w:autoSpaceDN w:val="0"/>
        <w:adjustRightInd w:val="0"/>
        <w:jc w:val="both"/>
        <w:rPr>
          <w:rFonts w:ascii="Times New Roman" w:hAnsi="Times New Roman"/>
          <w:sz w:val="20"/>
          <w:lang w:val="es-ES"/>
        </w:rPr>
      </w:pPr>
    </w:p>
    <w:p w14:paraId="219ED5B9" w14:textId="2F634FDF" w:rsidR="001A0523" w:rsidRPr="003A0D00" w:rsidRDefault="004A65A0" w:rsidP="001A0523">
      <w:pPr>
        <w:jc w:val="both"/>
        <w:rPr>
          <w:rFonts w:ascii="Times New Roman" w:hAnsi="Times New Roman"/>
          <w:sz w:val="20"/>
          <w:lang w:val="es-ES"/>
        </w:rPr>
      </w:pPr>
      <w:r>
        <w:rPr>
          <w:rFonts w:ascii="Times New Roman" w:hAnsi="Times New Roman"/>
          <w:bCs/>
          <w:sz w:val="20"/>
          <w:lang w:val="es-ES"/>
        </w:rPr>
        <w:t>21</w:t>
      </w:r>
      <w:r w:rsidR="001A0523" w:rsidRPr="003A0D00">
        <w:rPr>
          <w:rFonts w:ascii="Times New Roman" w:hAnsi="Times New Roman"/>
          <w:bCs/>
          <w:sz w:val="20"/>
          <w:lang w:val="es-ES"/>
        </w:rPr>
        <w:t>)</w:t>
      </w:r>
      <w:r w:rsidR="001A0523" w:rsidRPr="003A0D00">
        <w:rPr>
          <w:rFonts w:ascii="Times New Roman" w:hAnsi="Times New Roman"/>
          <w:b/>
          <w:bCs/>
          <w:sz w:val="20"/>
          <w:lang w:val="es-ES"/>
        </w:rPr>
        <w:t xml:space="preserve"> Período de Licitación:</w:t>
      </w:r>
      <w:r w:rsidR="001A0523" w:rsidRPr="003A0D00">
        <w:rPr>
          <w:rFonts w:ascii="Times New Roman" w:hAnsi="Times New Roman"/>
          <w:sz w:val="20"/>
          <w:lang w:val="es-ES"/>
        </w:rPr>
        <w:t xml:space="preserve"> Comenzará a las </w:t>
      </w:r>
      <w:r w:rsidR="009E467A">
        <w:rPr>
          <w:rFonts w:ascii="Times New Roman" w:hAnsi="Times New Roman"/>
          <w:sz w:val="20"/>
          <w:lang w:val="es-ES"/>
        </w:rPr>
        <w:t>10</w:t>
      </w:r>
      <w:r w:rsidR="001A0523" w:rsidRPr="003A0D00">
        <w:rPr>
          <w:rFonts w:ascii="Times New Roman" w:hAnsi="Times New Roman"/>
          <w:sz w:val="20"/>
          <w:lang w:val="es-ES"/>
        </w:rPr>
        <w:t xml:space="preserve"> </w:t>
      </w:r>
      <w:proofErr w:type="spellStart"/>
      <w:r w:rsidR="001A0523" w:rsidRPr="003A0D00">
        <w:rPr>
          <w:rFonts w:ascii="Times New Roman" w:hAnsi="Times New Roman"/>
          <w:sz w:val="20"/>
          <w:lang w:val="es-ES"/>
        </w:rPr>
        <w:t>h</w:t>
      </w:r>
      <w:r w:rsidR="004A55C5">
        <w:rPr>
          <w:rFonts w:ascii="Times New Roman" w:hAnsi="Times New Roman"/>
          <w:sz w:val="20"/>
          <w:lang w:val="es-ES"/>
        </w:rPr>
        <w:t>s</w:t>
      </w:r>
      <w:proofErr w:type="spellEnd"/>
      <w:r w:rsidR="001A0523" w:rsidRPr="003A0D00">
        <w:rPr>
          <w:rFonts w:ascii="Times New Roman" w:hAnsi="Times New Roman"/>
          <w:sz w:val="20"/>
          <w:lang w:val="es-ES"/>
        </w:rPr>
        <w:t xml:space="preserve">. y finalizará a las </w:t>
      </w:r>
      <w:r w:rsidR="009E467A">
        <w:rPr>
          <w:rFonts w:ascii="Times New Roman" w:hAnsi="Times New Roman"/>
          <w:sz w:val="20"/>
          <w:lang w:val="es-ES"/>
        </w:rPr>
        <w:t>16</w:t>
      </w:r>
      <w:r w:rsidR="001A0523" w:rsidRPr="003A0D00">
        <w:rPr>
          <w:rFonts w:ascii="Times New Roman" w:hAnsi="Times New Roman"/>
          <w:sz w:val="20"/>
          <w:lang w:val="es-ES"/>
        </w:rPr>
        <w:t xml:space="preserve"> </w:t>
      </w:r>
      <w:proofErr w:type="spellStart"/>
      <w:r w:rsidR="001A0523" w:rsidRPr="003A0D00">
        <w:rPr>
          <w:rFonts w:ascii="Times New Roman" w:hAnsi="Times New Roman"/>
          <w:sz w:val="20"/>
          <w:lang w:val="es-ES"/>
        </w:rPr>
        <w:t>h</w:t>
      </w:r>
      <w:r w:rsidR="004A55C5">
        <w:rPr>
          <w:rFonts w:ascii="Times New Roman" w:hAnsi="Times New Roman"/>
          <w:sz w:val="20"/>
          <w:lang w:val="es-ES"/>
        </w:rPr>
        <w:t>s</w:t>
      </w:r>
      <w:proofErr w:type="spellEnd"/>
      <w:r w:rsidR="001A0523" w:rsidRPr="003A0D00">
        <w:rPr>
          <w:rFonts w:ascii="Times New Roman" w:hAnsi="Times New Roman"/>
          <w:sz w:val="20"/>
          <w:lang w:val="es-ES"/>
        </w:rPr>
        <w:t xml:space="preserve">. del </w:t>
      </w:r>
      <w:r w:rsidR="00B14547" w:rsidRPr="008413ED">
        <w:rPr>
          <w:rFonts w:ascii="Times New Roman" w:hAnsi="Times New Roman"/>
          <w:sz w:val="20"/>
          <w:lang w:val="es-ES"/>
        </w:rPr>
        <w:t>5 de marzo</w:t>
      </w:r>
      <w:r w:rsidR="00B14547">
        <w:rPr>
          <w:rFonts w:ascii="Times New Roman" w:hAnsi="Times New Roman"/>
          <w:sz w:val="20"/>
          <w:lang w:val="es-ES"/>
        </w:rPr>
        <w:t xml:space="preserve"> de 2020</w:t>
      </w:r>
      <w:r w:rsidR="001A0523" w:rsidRPr="003A0D00">
        <w:rPr>
          <w:rFonts w:ascii="Times New Roman" w:hAnsi="Times New Roman"/>
          <w:sz w:val="20"/>
          <w:lang w:val="es-ES"/>
        </w:rPr>
        <w:t>.</w:t>
      </w:r>
    </w:p>
    <w:p w14:paraId="6579DF37" w14:textId="77777777" w:rsidR="001A0523" w:rsidRPr="003A0D00" w:rsidRDefault="001A0523" w:rsidP="001A0523">
      <w:pPr>
        <w:jc w:val="both"/>
        <w:rPr>
          <w:rFonts w:ascii="Times New Roman" w:hAnsi="Times New Roman"/>
          <w:sz w:val="20"/>
          <w:lang w:val="es-ES"/>
        </w:rPr>
      </w:pPr>
    </w:p>
    <w:p w14:paraId="0F7525FD" w14:textId="0FFBFB27" w:rsidR="007C76FC" w:rsidRDefault="004A65A0" w:rsidP="0001349A">
      <w:pPr>
        <w:jc w:val="both"/>
        <w:rPr>
          <w:rFonts w:ascii="Times New Roman" w:hAnsi="Times New Roman"/>
          <w:sz w:val="20"/>
          <w:lang w:val="es-AR"/>
        </w:rPr>
      </w:pPr>
      <w:r>
        <w:rPr>
          <w:rFonts w:ascii="Times New Roman" w:hAnsi="Times New Roman"/>
          <w:sz w:val="20"/>
          <w:lang w:val="es-ES"/>
        </w:rPr>
        <w:t>22</w:t>
      </w:r>
      <w:r w:rsidR="001A0523" w:rsidRPr="003A0D00">
        <w:rPr>
          <w:rFonts w:ascii="Times New Roman" w:hAnsi="Times New Roman"/>
          <w:sz w:val="20"/>
          <w:lang w:val="es-ES"/>
        </w:rPr>
        <w:t xml:space="preserve">) </w:t>
      </w:r>
      <w:r w:rsidR="001A0523" w:rsidRPr="003A0D00">
        <w:rPr>
          <w:rFonts w:ascii="Times New Roman" w:hAnsi="Times New Roman"/>
          <w:b/>
          <w:sz w:val="20"/>
          <w:lang w:val="es-ES"/>
        </w:rPr>
        <w:t xml:space="preserve">Terminación, </w:t>
      </w:r>
      <w:r w:rsidR="00837950">
        <w:rPr>
          <w:rFonts w:ascii="Times New Roman" w:hAnsi="Times New Roman"/>
          <w:b/>
          <w:sz w:val="20"/>
          <w:lang w:val="es-ES"/>
        </w:rPr>
        <w:t xml:space="preserve">modificación, </w:t>
      </w:r>
      <w:r w:rsidR="001A0523" w:rsidRPr="003A0D00">
        <w:rPr>
          <w:rFonts w:ascii="Times New Roman" w:hAnsi="Times New Roman"/>
          <w:b/>
          <w:sz w:val="20"/>
          <w:lang w:val="es-ES"/>
        </w:rPr>
        <w:t xml:space="preserve">suspensión y/o prórroga del Período de Difusión y del Período de </w:t>
      </w:r>
      <w:r w:rsidR="001A0523" w:rsidRPr="0001349A">
        <w:rPr>
          <w:rFonts w:ascii="Times New Roman" w:hAnsi="Times New Roman"/>
          <w:b/>
          <w:sz w:val="20"/>
          <w:lang w:val="es-ES"/>
        </w:rPr>
        <w:t>Licitación</w:t>
      </w:r>
      <w:r w:rsidR="001A0523" w:rsidRPr="0001349A">
        <w:rPr>
          <w:rFonts w:ascii="Times New Roman" w:hAnsi="Times New Roman"/>
          <w:sz w:val="20"/>
          <w:lang w:val="es-ES"/>
        </w:rPr>
        <w:t xml:space="preserve">: </w:t>
      </w:r>
      <w:r w:rsidR="00373BB7" w:rsidRPr="00373BB7">
        <w:rPr>
          <w:rFonts w:ascii="Times New Roman" w:hAnsi="Times New Roman"/>
          <w:sz w:val="20"/>
          <w:lang w:val="es-AR"/>
        </w:rPr>
        <w:t xml:space="preserve">La Emisora podrá suspender y/o prorrogar y/o terminar el Período de Difusión y/o el Período de Licitación en cualquier momento del mismo, comunicando por escrito dicha circunstancia (a más tardar el Día Hábil correspondiente al día de finalización del período de que se trate o en el mismo día antes del cierre de la rueda en el caso en que el Período de Licitación fuere de un Día Hábil), publicando un </w:t>
      </w:r>
      <w:r w:rsidR="00373BB7" w:rsidRPr="00373BB7">
        <w:rPr>
          <w:rFonts w:ascii="Times New Roman" w:hAnsi="Times New Roman"/>
          <w:i/>
          <w:sz w:val="20"/>
          <w:lang w:val="es-AR"/>
        </w:rPr>
        <w:t>“Hecho Relevante”</w:t>
      </w:r>
      <w:r w:rsidR="00373BB7" w:rsidRPr="00373BB7">
        <w:rPr>
          <w:rFonts w:ascii="Times New Roman" w:hAnsi="Times New Roman"/>
          <w:sz w:val="20"/>
          <w:lang w:val="es-AR"/>
        </w:rPr>
        <w:t xml:space="preserve"> en la AIF, con anterioridad al vencimiento del Período de Difusión y/o del Período de Licitación, en el cual se indicará, en su caso, la nueva fecha de vencimiento del Período de Difusión y/o del Período de Licitación o la fecha en que se reanudará el curso del mismo o la forma en que se hará pública la reanudación del curso del mismo</w:t>
      </w:r>
      <w:r w:rsidR="0001349A" w:rsidRPr="0001349A">
        <w:rPr>
          <w:rFonts w:ascii="Times New Roman" w:hAnsi="Times New Roman"/>
          <w:sz w:val="20"/>
          <w:lang w:val="es-AR"/>
        </w:rPr>
        <w:t>.</w:t>
      </w:r>
      <w:r w:rsidR="00373BB7">
        <w:rPr>
          <w:rFonts w:ascii="Times New Roman" w:hAnsi="Times New Roman"/>
          <w:sz w:val="20"/>
          <w:lang w:val="es-AR"/>
        </w:rPr>
        <w:t xml:space="preserve"> </w:t>
      </w:r>
      <w:r w:rsidR="00373BB7" w:rsidRPr="00373BB7">
        <w:rPr>
          <w:rFonts w:ascii="Times New Roman" w:hAnsi="Times New Roman"/>
          <w:sz w:val="20"/>
          <w:lang w:val="es-AR"/>
        </w:rPr>
        <w:t>. En caso de terminación del Período de Licitación, todas las Órdenes de Compra que en su caso se hayan presentado hasta ese momento quedarán automáticamente sin efecto. En caso de suspensión y/o prórroga del Período de Licitación, las Órdenes de Compra presentadas con anterioridad a tal suspensión y/o prórroga podrán ser retiradas en cualquier momento anterior a la finalización del Período de Licitación, sin penalidad alguna</w:t>
      </w:r>
    </w:p>
    <w:p w14:paraId="1C3F08B2" w14:textId="77777777" w:rsidR="007C76FC" w:rsidRDefault="007C76FC" w:rsidP="0001349A">
      <w:pPr>
        <w:jc w:val="both"/>
        <w:rPr>
          <w:rFonts w:ascii="Times New Roman" w:hAnsi="Times New Roman"/>
          <w:sz w:val="20"/>
          <w:lang w:val="es-AR"/>
        </w:rPr>
      </w:pPr>
    </w:p>
    <w:p w14:paraId="393D4777" w14:textId="11EB57C1" w:rsidR="001A0523" w:rsidRDefault="004A65A0" w:rsidP="0001349A">
      <w:pPr>
        <w:jc w:val="both"/>
        <w:rPr>
          <w:rFonts w:ascii="Times New Roman" w:hAnsi="Times New Roman"/>
          <w:sz w:val="20"/>
          <w:lang w:val="es-ES"/>
        </w:rPr>
      </w:pPr>
      <w:r>
        <w:rPr>
          <w:rFonts w:ascii="Times New Roman" w:hAnsi="Times New Roman"/>
          <w:sz w:val="20"/>
          <w:lang w:val="es-AR"/>
        </w:rPr>
        <w:t>23</w:t>
      </w:r>
      <w:r w:rsidR="007C76FC">
        <w:rPr>
          <w:rFonts w:ascii="Times New Roman" w:hAnsi="Times New Roman"/>
          <w:sz w:val="20"/>
          <w:lang w:val="es-AR"/>
        </w:rPr>
        <w:t xml:space="preserve">) </w:t>
      </w:r>
      <w:r w:rsidR="007C76FC" w:rsidRPr="007C76FC">
        <w:rPr>
          <w:rFonts w:ascii="Times New Roman" w:hAnsi="Times New Roman"/>
          <w:b/>
          <w:sz w:val="20"/>
          <w:lang w:val="es-AR"/>
        </w:rPr>
        <w:t>Fecha de Emisión y Liquidación:</w:t>
      </w:r>
      <w:r w:rsidR="007C76FC">
        <w:rPr>
          <w:rFonts w:ascii="Times New Roman" w:hAnsi="Times New Roman"/>
          <w:sz w:val="20"/>
          <w:lang w:val="es-AR"/>
        </w:rPr>
        <w:t xml:space="preserve"> Ser</w:t>
      </w:r>
      <w:r w:rsidR="00541AAB">
        <w:rPr>
          <w:rFonts w:ascii="Times New Roman" w:hAnsi="Times New Roman"/>
          <w:sz w:val="20"/>
          <w:lang w:val="es-AR"/>
        </w:rPr>
        <w:t>á</w:t>
      </w:r>
      <w:r w:rsidR="007C76FC">
        <w:rPr>
          <w:rFonts w:ascii="Times New Roman" w:hAnsi="Times New Roman"/>
          <w:sz w:val="20"/>
          <w:lang w:val="es-AR"/>
        </w:rPr>
        <w:t xml:space="preserve"> el </w:t>
      </w:r>
      <w:r w:rsidR="00453A77">
        <w:rPr>
          <w:rFonts w:ascii="Times New Roman" w:hAnsi="Times New Roman"/>
          <w:sz w:val="20"/>
          <w:lang w:val="es-AR"/>
        </w:rPr>
        <w:t>10 de marzo</w:t>
      </w:r>
      <w:r w:rsidR="00373BB7">
        <w:rPr>
          <w:rFonts w:ascii="Times New Roman" w:hAnsi="Times New Roman"/>
          <w:sz w:val="20"/>
          <w:lang w:val="es-AR"/>
        </w:rPr>
        <w:t xml:space="preserve"> de 2020</w:t>
      </w:r>
      <w:r w:rsidR="007C76FC">
        <w:rPr>
          <w:rFonts w:ascii="Times New Roman" w:hAnsi="Times New Roman"/>
          <w:sz w:val="20"/>
          <w:lang w:val="es-AR"/>
        </w:rPr>
        <w:t>.</w:t>
      </w:r>
      <w:r w:rsidR="009E467A" w:rsidRPr="009E467A">
        <w:rPr>
          <w:rFonts w:ascii="Times New Roman" w:hAnsi="Times New Roman"/>
          <w:sz w:val="20"/>
          <w:lang w:val="es-ES"/>
        </w:rPr>
        <w:t xml:space="preserve"> </w:t>
      </w:r>
    </w:p>
    <w:p w14:paraId="7EEB7FE9" w14:textId="77777777" w:rsidR="00D50507" w:rsidRDefault="00D50507" w:rsidP="0001349A">
      <w:pPr>
        <w:jc w:val="both"/>
        <w:rPr>
          <w:rFonts w:ascii="Times New Roman" w:hAnsi="Times New Roman"/>
          <w:sz w:val="20"/>
          <w:lang w:val="es-ES"/>
        </w:rPr>
      </w:pPr>
    </w:p>
    <w:p w14:paraId="2B970C20" w14:textId="0A664C3B" w:rsidR="002B6C44" w:rsidRDefault="004A65A0" w:rsidP="0001349A">
      <w:pPr>
        <w:jc w:val="both"/>
        <w:rPr>
          <w:rFonts w:ascii="Times New Roman" w:hAnsi="Times New Roman"/>
          <w:sz w:val="20"/>
          <w:lang w:val="es-AR"/>
        </w:rPr>
      </w:pPr>
      <w:r>
        <w:rPr>
          <w:rFonts w:ascii="Times New Roman" w:hAnsi="Times New Roman"/>
          <w:sz w:val="20"/>
          <w:lang w:val="es-ES"/>
        </w:rPr>
        <w:t>24</w:t>
      </w:r>
      <w:r w:rsidR="002B6C44">
        <w:rPr>
          <w:rFonts w:ascii="Times New Roman" w:hAnsi="Times New Roman"/>
          <w:sz w:val="20"/>
          <w:lang w:val="es-ES"/>
        </w:rPr>
        <w:t xml:space="preserve">) </w:t>
      </w:r>
      <w:r w:rsidR="002B6C44" w:rsidRPr="002B6C44">
        <w:rPr>
          <w:rFonts w:ascii="Times New Roman" w:hAnsi="Times New Roman"/>
          <w:b/>
          <w:sz w:val="20"/>
          <w:lang w:val="es-ES"/>
        </w:rPr>
        <w:t>Modalidad de la Licitación:</w:t>
      </w:r>
      <w:r w:rsidR="002B6C44">
        <w:rPr>
          <w:rFonts w:ascii="Times New Roman" w:hAnsi="Times New Roman"/>
          <w:sz w:val="20"/>
          <w:lang w:val="es-ES"/>
        </w:rPr>
        <w:t xml:space="preserve"> </w:t>
      </w:r>
      <w:r w:rsidR="002B6C44" w:rsidRPr="002B6C44">
        <w:rPr>
          <w:rFonts w:ascii="Times New Roman" w:hAnsi="Times New Roman"/>
          <w:sz w:val="20"/>
          <w:lang w:val="es-AR"/>
        </w:rPr>
        <w:t xml:space="preserve">Las Obligaciones Negociables serán colocadas a través del sistema SIOPEL del MAE conforme los parámetros y condiciones que se detallan </w:t>
      </w:r>
      <w:r w:rsidR="002B6C44">
        <w:rPr>
          <w:rFonts w:ascii="Times New Roman" w:hAnsi="Times New Roman"/>
          <w:sz w:val="20"/>
          <w:lang w:val="es-AR"/>
        </w:rPr>
        <w:t>en el capítulo “</w:t>
      </w:r>
      <w:r w:rsidR="002B6C44" w:rsidRPr="002B6C44">
        <w:rPr>
          <w:rFonts w:ascii="Times New Roman" w:hAnsi="Times New Roman"/>
          <w:i/>
          <w:sz w:val="20"/>
          <w:lang w:val="es-AR"/>
        </w:rPr>
        <w:t>Plan de Distribución</w:t>
      </w:r>
      <w:r w:rsidR="002B6C44">
        <w:rPr>
          <w:rFonts w:ascii="Times New Roman" w:hAnsi="Times New Roman"/>
          <w:sz w:val="20"/>
          <w:lang w:val="es-AR"/>
        </w:rPr>
        <w:t>” del Suplemento de Prospecto</w:t>
      </w:r>
      <w:r w:rsidR="002B6C44" w:rsidRPr="002B6C44">
        <w:rPr>
          <w:rFonts w:ascii="Times New Roman" w:hAnsi="Times New Roman"/>
          <w:sz w:val="20"/>
          <w:lang w:val="es-AR"/>
        </w:rPr>
        <w:t>. La licitación pública será desarroll</w:t>
      </w:r>
      <w:r w:rsidR="002B6C44">
        <w:rPr>
          <w:rFonts w:ascii="Times New Roman" w:hAnsi="Times New Roman"/>
          <w:sz w:val="20"/>
          <w:lang w:val="es-AR"/>
        </w:rPr>
        <w:t>ada bajo la modalidad “abierta”.</w:t>
      </w:r>
    </w:p>
    <w:p w14:paraId="5CB8F27A" w14:textId="77777777" w:rsidR="002B6C44" w:rsidRDefault="002B6C44" w:rsidP="0001349A">
      <w:pPr>
        <w:jc w:val="both"/>
        <w:rPr>
          <w:rFonts w:ascii="Times New Roman" w:hAnsi="Times New Roman"/>
          <w:sz w:val="20"/>
          <w:lang w:val="es-AR"/>
        </w:rPr>
      </w:pPr>
    </w:p>
    <w:p w14:paraId="3E3B1DC5" w14:textId="11872BC8" w:rsidR="002B6C44" w:rsidRDefault="00E07F95" w:rsidP="0001349A">
      <w:pPr>
        <w:jc w:val="both"/>
        <w:rPr>
          <w:rFonts w:ascii="Times New Roman" w:hAnsi="Times New Roman"/>
          <w:sz w:val="20"/>
          <w:lang w:val="es-AR" w:bidi="es-ES"/>
        </w:rPr>
      </w:pPr>
      <w:r>
        <w:rPr>
          <w:rFonts w:ascii="Times New Roman" w:hAnsi="Times New Roman"/>
          <w:sz w:val="20"/>
          <w:lang w:val="es-AR"/>
        </w:rPr>
        <w:t>2</w:t>
      </w:r>
      <w:r w:rsidR="004A65A0">
        <w:rPr>
          <w:rFonts w:ascii="Times New Roman" w:hAnsi="Times New Roman"/>
          <w:sz w:val="20"/>
          <w:lang w:val="es-AR"/>
        </w:rPr>
        <w:t>5</w:t>
      </w:r>
      <w:r w:rsidR="002B6C44">
        <w:rPr>
          <w:rFonts w:ascii="Times New Roman" w:hAnsi="Times New Roman"/>
          <w:sz w:val="20"/>
          <w:lang w:val="es-AR"/>
        </w:rPr>
        <w:t xml:space="preserve">) </w:t>
      </w:r>
      <w:r w:rsidR="00D42228" w:rsidRPr="00D42228">
        <w:rPr>
          <w:rFonts w:ascii="Times New Roman" w:hAnsi="Times New Roman"/>
          <w:b/>
          <w:sz w:val="20"/>
          <w:lang w:val="es-AR"/>
        </w:rPr>
        <w:t>Adjudicación y Prorrateo</w:t>
      </w:r>
      <w:r w:rsidR="00D42228">
        <w:rPr>
          <w:rFonts w:ascii="Times New Roman" w:hAnsi="Times New Roman"/>
          <w:sz w:val="20"/>
          <w:lang w:val="es-AR"/>
        </w:rPr>
        <w:t xml:space="preserve">: </w:t>
      </w:r>
      <w:r w:rsidR="00D42228" w:rsidRPr="00D42228">
        <w:rPr>
          <w:rFonts w:ascii="Times New Roman" w:hAnsi="Times New Roman"/>
          <w:sz w:val="20"/>
          <w:lang w:val="es-AR" w:bidi="es-ES"/>
        </w:rPr>
        <w:t>La adjudicación y prorrateo se efectuará de conformidad con lo dispuesto en</w:t>
      </w:r>
      <w:r w:rsidR="00D42228">
        <w:rPr>
          <w:rFonts w:ascii="Times New Roman" w:hAnsi="Times New Roman"/>
          <w:sz w:val="20"/>
          <w:lang w:val="es-AR" w:bidi="es-ES"/>
        </w:rPr>
        <w:t xml:space="preserve"> el capítulo</w:t>
      </w:r>
      <w:r w:rsidR="00D42228" w:rsidRPr="00D42228">
        <w:rPr>
          <w:rFonts w:ascii="Times New Roman" w:hAnsi="Times New Roman"/>
          <w:sz w:val="20"/>
          <w:lang w:val="es-AR" w:bidi="es-ES"/>
        </w:rPr>
        <w:t xml:space="preserve"> “</w:t>
      </w:r>
      <w:r w:rsidR="00D42228">
        <w:rPr>
          <w:rFonts w:ascii="Times New Roman" w:hAnsi="Times New Roman"/>
          <w:i/>
          <w:sz w:val="20"/>
          <w:lang w:val="es-AR" w:bidi="es-ES"/>
        </w:rPr>
        <w:t>Plan de Distribución</w:t>
      </w:r>
      <w:r w:rsidR="00D42228" w:rsidRPr="00D42228">
        <w:rPr>
          <w:rFonts w:ascii="Times New Roman" w:hAnsi="Times New Roman"/>
          <w:i/>
          <w:sz w:val="20"/>
          <w:lang w:val="es-AR" w:bidi="es-ES"/>
        </w:rPr>
        <w:t>”</w:t>
      </w:r>
      <w:r w:rsidR="00D42228" w:rsidRPr="00D42228">
        <w:rPr>
          <w:rFonts w:ascii="Times New Roman" w:hAnsi="Times New Roman"/>
          <w:sz w:val="20"/>
          <w:lang w:val="es-AR" w:bidi="es-ES"/>
        </w:rPr>
        <w:t xml:space="preserve"> del Suplemento de Prospecto</w:t>
      </w:r>
      <w:r w:rsidR="004C10C7">
        <w:rPr>
          <w:rFonts w:ascii="Times New Roman" w:hAnsi="Times New Roman"/>
          <w:sz w:val="20"/>
          <w:lang w:val="es-AR" w:bidi="es-ES"/>
        </w:rPr>
        <w:t>.</w:t>
      </w:r>
    </w:p>
    <w:p w14:paraId="7CF1D42C" w14:textId="77777777" w:rsidR="00D50507" w:rsidRDefault="00D50507" w:rsidP="0001349A">
      <w:pPr>
        <w:jc w:val="both"/>
        <w:rPr>
          <w:rFonts w:ascii="Times New Roman" w:hAnsi="Times New Roman"/>
          <w:sz w:val="20"/>
          <w:lang w:val="es-AR" w:bidi="es-ES"/>
        </w:rPr>
      </w:pPr>
    </w:p>
    <w:p w14:paraId="6465925F" w14:textId="1B2EDA42" w:rsidR="00D50507" w:rsidRPr="00D42228" w:rsidRDefault="00E07F95">
      <w:pPr>
        <w:jc w:val="both"/>
        <w:rPr>
          <w:rFonts w:ascii="Times New Roman" w:hAnsi="Times New Roman"/>
          <w:sz w:val="20"/>
          <w:lang w:val="es-AR" w:bidi="es-ES"/>
        </w:rPr>
      </w:pPr>
      <w:r>
        <w:rPr>
          <w:rFonts w:ascii="Times New Roman" w:hAnsi="Times New Roman"/>
          <w:sz w:val="20"/>
          <w:lang w:val="es-AR" w:bidi="es-ES"/>
        </w:rPr>
        <w:t>2</w:t>
      </w:r>
      <w:r w:rsidR="004A65A0">
        <w:rPr>
          <w:rFonts w:ascii="Times New Roman" w:hAnsi="Times New Roman"/>
          <w:sz w:val="20"/>
          <w:lang w:val="es-AR" w:bidi="es-ES"/>
        </w:rPr>
        <w:t>6</w:t>
      </w:r>
      <w:r w:rsidR="00D50507">
        <w:rPr>
          <w:rFonts w:ascii="Times New Roman" w:hAnsi="Times New Roman"/>
          <w:sz w:val="20"/>
          <w:lang w:val="es-AR" w:bidi="es-ES"/>
        </w:rPr>
        <w:t xml:space="preserve">) </w:t>
      </w:r>
      <w:r w:rsidR="00D50507" w:rsidRPr="00D50507">
        <w:rPr>
          <w:rFonts w:ascii="Times New Roman" w:hAnsi="Times New Roman"/>
          <w:b/>
          <w:sz w:val="20"/>
          <w:lang w:val="es-AR" w:bidi="es-ES"/>
        </w:rPr>
        <w:t xml:space="preserve">Tramo Competitivo y Tramo </w:t>
      </w:r>
      <w:r w:rsidR="004A65A0">
        <w:rPr>
          <w:rFonts w:ascii="Times New Roman" w:hAnsi="Times New Roman"/>
          <w:b/>
          <w:sz w:val="20"/>
          <w:lang w:val="es-AR" w:bidi="es-ES"/>
        </w:rPr>
        <w:t>N</w:t>
      </w:r>
      <w:r w:rsidR="00D50507" w:rsidRPr="00D50507">
        <w:rPr>
          <w:rFonts w:ascii="Times New Roman" w:hAnsi="Times New Roman"/>
          <w:b/>
          <w:sz w:val="20"/>
          <w:lang w:val="es-AR" w:bidi="es-ES"/>
        </w:rPr>
        <w:t>o Competitivo:</w:t>
      </w:r>
      <w:r w:rsidR="00D50507">
        <w:rPr>
          <w:rFonts w:ascii="Times New Roman" w:hAnsi="Times New Roman"/>
          <w:b/>
          <w:sz w:val="20"/>
          <w:lang w:val="es-AR" w:bidi="es-ES"/>
        </w:rPr>
        <w:t xml:space="preserve"> </w:t>
      </w:r>
      <w:r w:rsidR="002E35BC" w:rsidRPr="008413ED">
        <w:rPr>
          <w:rFonts w:ascii="Times New Roman" w:hAnsi="Times New Roman"/>
          <w:sz w:val="20"/>
          <w:lang w:val="es-AR" w:bidi="es-ES"/>
        </w:rPr>
        <w:t xml:space="preserve">La oferta de cada una de las clases de las Obligaciones Negociables constará de un </w:t>
      </w:r>
      <w:r w:rsidR="002E35BC" w:rsidRPr="00514DC0">
        <w:rPr>
          <w:rFonts w:ascii="Times New Roman" w:hAnsi="Times New Roman"/>
          <w:sz w:val="20"/>
          <w:lang w:val="es-AR" w:bidi="es-ES"/>
        </w:rPr>
        <w:t>Tramo Competitivo</w:t>
      </w:r>
      <w:r w:rsidR="002E35BC" w:rsidRPr="008413ED">
        <w:rPr>
          <w:rFonts w:ascii="Times New Roman" w:hAnsi="Times New Roman"/>
          <w:sz w:val="20"/>
          <w:lang w:val="es-AR" w:bidi="es-ES"/>
        </w:rPr>
        <w:t xml:space="preserve"> y de un </w:t>
      </w:r>
      <w:r w:rsidR="002E35BC" w:rsidRPr="00514DC0">
        <w:rPr>
          <w:rFonts w:ascii="Times New Roman" w:hAnsi="Times New Roman"/>
          <w:sz w:val="20"/>
          <w:lang w:val="es-AR" w:bidi="es-ES"/>
        </w:rPr>
        <w:t>Tramo No Competitivo</w:t>
      </w:r>
      <w:r w:rsidR="00D50507" w:rsidRPr="00D50507">
        <w:rPr>
          <w:rFonts w:ascii="Times New Roman" w:hAnsi="Times New Roman"/>
          <w:sz w:val="20"/>
          <w:lang w:val="es-AR" w:bidi="es-ES"/>
        </w:rPr>
        <w:t>. Constituirán Órdenes de Compra que c</w:t>
      </w:r>
      <w:r w:rsidR="00D50507">
        <w:rPr>
          <w:rFonts w:ascii="Times New Roman" w:hAnsi="Times New Roman"/>
          <w:sz w:val="20"/>
          <w:lang w:val="es-AR" w:bidi="es-ES"/>
        </w:rPr>
        <w:t>onformarán el tramo competitivo</w:t>
      </w:r>
      <w:r w:rsidR="00D50507" w:rsidRPr="00D50507">
        <w:rPr>
          <w:rFonts w:ascii="Times New Roman" w:hAnsi="Times New Roman"/>
          <w:sz w:val="20"/>
          <w:lang w:val="es-AR" w:bidi="es-ES"/>
        </w:rPr>
        <w:t xml:space="preserve"> de </w:t>
      </w:r>
      <w:r w:rsidR="002E35BC">
        <w:rPr>
          <w:rFonts w:ascii="Times New Roman" w:hAnsi="Times New Roman"/>
          <w:sz w:val="20"/>
          <w:lang w:val="es-AR" w:bidi="es-ES"/>
        </w:rPr>
        <w:t>cada clase</w:t>
      </w:r>
      <w:r w:rsidR="00D50507" w:rsidRPr="00D50507">
        <w:rPr>
          <w:rFonts w:ascii="Times New Roman" w:hAnsi="Times New Roman"/>
          <w:sz w:val="20"/>
          <w:lang w:val="es-AR" w:bidi="es-ES"/>
        </w:rPr>
        <w:t xml:space="preserve">, aquéllas que </w:t>
      </w:r>
      <w:r w:rsidR="002E35BC">
        <w:rPr>
          <w:rFonts w:ascii="Times New Roman" w:hAnsi="Times New Roman"/>
          <w:sz w:val="20"/>
          <w:lang w:val="es-AR" w:bidi="es-ES"/>
        </w:rPr>
        <w:t xml:space="preserve">indiquen indefectiblemente el monto solicitado </w:t>
      </w:r>
      <w:r w:rsidR="00514DC0">
        <w:rPr>
          <w:rFonts w:ascii="Times New Roman" w:hAnsi="Times New Roman"/>
          <w:sz w:val="20"/>
          <w:lang w:val="es-AR" w:bidi="es-ES"/>
        </w:rPr>
        <w:t>y la</w:t>
      </w:r>
      <w:r w:rsidR="00D50507" w:rsidRPr="00D50507">
        <w:rPr>
          <w:rFonts w:ascii="Times New Roman" w:hAnsi="Times New Roman"/>
          <w:sz w:val="20"/>
          <w:lang w:val="es-AR" w:bidi="es-ES"/>
        </w:rPr>
        <w:t xml:space="preserve"> Tasa Solicitada </w:t>
      </w:r>
      <w:r w:rsidR="001020D1">
        <w:rPr>
          <w:rFonts w:ascii="Times New Roman" w:hAnsi="Times New Roman"/>
          <w:sz w:val="20"/>
          <w:lang w:val="es-AR" w:bidi="es-ES"/>
        </w:rPr>
        <w:t xml:space="preserve">de las ON Clase A o </w:t>
      </w:r>
      <w:r w:rsidR="00514DC0">
        <w:rPr>
          <w:rFonts w:ascii="Times New Roman" w:hAnsi="Times New Roman"/>
          <w:sz w:val="20"/>
          <w:lang w:val="es-AR" w:bidi="es-ES"/>
        </w:rPr>
        <w:t xml:space="preserve">la </w:t>
      </w:r>
      <w:r w:rsidR="001020D1">
        <w:rPr>
          <w:rFonts w:ascii="Times New Roman" w:hAnsi="Times New Roman"/>
          <w:sz w:val="20"/>
          <w:lang w:val="es-AR" w:bidi="es-ES"/>
        </w:rPr>
        <w:t>Tasa Solicitada de las ON Clase B, según corresponda</w:t>
      </w:r>
      <w:r w:rsidR="00D50507" w:rsidRPr="00D50507">
        <w:rPr>
          <w:rFonts w:ascii="Times New Roman" w:hAnsi="Times New Roman"/>
          <w:sz w:val="20"/>
          <w:lang w:val="es-AR" w:bidi="es-ES"/>
        </w:rPr>
        <w:t>. Solo las Órdenes de Compra que conformen el Tramo Competitivo se tomarán en cuenta para la determinación de la Tasa de Corte</w:t>
      </w:r>
      <w:r w:rsidR="001020D1">
        <w:rPr>
          <w:rFonts w:ascii="Times New Roman" w:hAnsi="Times New Roman"/>
          <w:sz w:val="20"/>
          <w:lang w:val="es-AR" w:bidi="es-ES"/>
        </w:rPr>
        <w:t xml:space="preserve"> de las ON Clase A o Tasa de Corte de las ON Clase B, según corresponda</w:t>
      </w:r>
      <w:r w:rsidR="00D50507" w:rsidRPr="00D50507">
        <w:rPr>
          <w:rFonts w:ascii="Times New Roman" w:hAnsi="Times New Roman"/>
          <w:sz w:val="20"/>
          <w:lang w:val="es-AR" w:bidi="es-ES"/>
        </w:rPr>
        <w:t xml:space="preserve">. Constituirán Órdenes de Compra que conformarán el tramo no competitivo de </w:t>
      </w:r>
      <w:r w:rsidR="001020D1">
        <w:rPr>
          <w:rFonts w:ascii="Times New Roman" w:hAnsi="Times New Roman"/>
          <w:sz w:val="20"/>
          <w:lang w:val="es-AR" w:bidi="es-ES"/>
        </w:rPr>
        <w:t>cada clase</w:t>
      </w:r>
      <w:r w:rsidR="00D50507" w:rsidRPr="00D50507">
        <w:rPr>
          <w:rFonts w:ascii="Times New Roman" w:hAnsi="Times New Roman"/>
          <w:sz w:val="20"/>
          <w:lang w:val="es-AR" w:bidi="es-ES"/>
        </w:rPr>
        <w:t xml:space="preserve">, aquéllas que sean por un valor nominal igual o inferior a U$S </w:t>
      </w:r>
      <w:r w:rsidR="00514DC0">
        <w:rPr>
          <w:rFonts w:ascii="Times New Roman" w:hAnsi="Times New Roman"/>
          <w:sz w:val="20"/>
          <w:lang w:val="es-AR" w:bidi="es-ES"/>
        </w:rPr>
        <w:t>50</w:t>
      </w:r>
      <w:r w:rsidR="00D50507" w:rsidRPr="00D50507">
        <w:rPr>
          <w:rFonts w:ascii="Times New Roman" w:hAnsi="Times New Roman"/>
          <w:sz w:val="20"/>
          <w:lang w:val="es-AR" w:bidi="es-ES"/>
        </w:rPr>
        <w:t xml:space="preserve">.000 (Dólares </w:t>
      </w:r>
      <w:r w:rsidR="00514DC0">
        <w:rPr>
          <w:rFonts w:ascii="Times New Roman" w:hAnsi="Times New Roman"/>
          <w:sz w:val="20"/>
          <w:lang w:val="es-AR" w:bidi="es-ES"/>
        </w:rPr>
        <w:t xml:space="preserve">Estadounidenses cincuenta </w:t>
      </w:r>
      <w:r w:rsidR="00D50507" w:rsidRPr="00D50507">
        <w:rPr>
          <w:rFonts w:ascii="Times New Roman" w:hAnsi="Times New Roman"/>
          <w:sz w:val="20"/>
          <w:lang w:val="es-AR" w:bidi="es-ES"/>
        </w:rPr>
        <w:t>mil) y no indiquen una Tasa Solicitada</w:t>
      </w:r>
      <w:r w:rsidR="001020D1">
        <w:rPr>
          <w:rFonts w:ascii="Times New Roman" w:hAnsi="Times New Roman"/>
          <w:sz w:val="20"/>
          <w:lang w:val="es-AR" w:bidi="es-ES"/>
        </w:rPr>
        <w:t xml:space="preserve"> de las ON Clase A o Tasa Solicitada de las ON Clase B, según corresponda</w:t>
      </w:r>
      <w:r w:rsidR="00514DC0">
        <w:rPr>
          <w:rFonts w:ascii="Times New Roman" w:hAnsi="Times New Roman"/>
          <w:sz w:val="20"/>
          <w:lang w:val="es-AR" w:bidi="es-ES"/>
        </w:rPr>
        <w:t>; a</w:t>
      </w:r>
      <w:r w:rsidR="00514DC0" w:rsidRPr="00514DC0">
        <w:rPr>
          <w:rFonts w:ascii="Times New Roman" w:hAnsi="Times New Roman"/>
          <w:sz w:val="20"/>
          <w:lang w:val="es-AR" w:bidi="es-ES"/>
        </w:rPr>
        <w:t>quellas Órdenes de Compra remitidas bajo esta modalidad serán consideradas, a todos los efectos, como ofertas irrevocables y en firme</w:t>
      </w:r>
      <w:r w:rsidR="00D50507" w:rsidRPr="00D50507">
        <w:rPr>
          <w:rFonts w:ascii="Times New Roman" w:hAnsi="Times New Roman"/>
          <w:sz w:val="20"/>
          <w:lang w:val="es-AR" w:bidi="es-ES"/>
        </w:rPr>
        <w:t>. Las Órdenes de Compra que conformen el Tramo No Competitivo no se tomarán en cuenta para la determinación de la Tasa de Corte</w:t>
      </w:r>
      <w:r w:rsidR="001020D1">
        <w:rPr>
          <w:rFonts w:ascii="Times New Roman" w:hAnsi="Times New Roman"/>
          <w:sz w:val="20"/>
          <w:lang w:val="es-AR" w:bidi="es-ES"/>
        </w:rPr>
        <w:t xml:space="preserve"> de las ON Clase A o la Tasa de Corte de las ON Clase B, según sea el caso</w:t>
      </w:r>
      <w:r w:rsidR="00D50507" w:rsidRPr="00D50507">
        <w:rPr>
          <w:rFonts w:ascii="Times New Roman" w:hAnsi="Times New Roman"/>
          <w:sz w:val="20"/>
          <w:lang w:val="es-AR" w:bidi="es-ES"/>
        </w:rPr>
        <w:t>. A las Órdenes de Compra que conformen el Tramo No Competitivo</w:t>
      </w:r>
      <w:r w:rsidR="001020D1">
        <w:rPr>
          <w:rFonts w:ascii="Times New Roman" w:hAnsi="Times New Roman"/>
          <w:sz w:val="20"/>
          <w:lang w:val="es-AR" w:bidi="es-ES"/>
        </w:rPr>
        <w:t xml:space="preserve"> de cada clase</w:t>
      </w:r>
      <w:r w:rsidR="00D50507" w:rsidRPr="00D50507">
        <w:rPr>
          <w:rFonts w:ascii="Times New Roman" w:hAnsi="Times New Roman"/>
          <w:sz w:val="20"/>
          <w:lang w:val="es-AR" w:bidi="es-ES"/>
        </w:rPr>
        <w:t xml:space="preserve">, se les aplicara la Tasa de Corte </w:t>
      </w:r>
      <w:r w:rsidR="001020D1">
        <w:rPr>
          <w:rFonts w:ascii="Times New Roman" w:hAnsi="Times New Roman"/>
          <w:sz w:val="20"/>
          <w:lang w:val="es-AR" w:bidi="es-ES"/>
        </w:rPr>
        <w:t xml:space="preserve">de las ON Clase A o la Tasa de Corte de las ON Clase B, según corresponda, </w:t>
      </w:r>
      <w:r w:rsidR="00D50507" w:rsidRPr="00D50507">
        <w:rPr>
          <w:rFonts w:ascii="Times New Roman" w:hAnsi="Times New Roman"/>
          <w:sz w:val="20"/>
          <w:lang w:val="es-AR" w:bidi="es-ES"/>
        </w:rPr>
        <w:t xml:space="preserve">que finalmente se determine en el Tramo Competitivo </w:t>
      </w:r>
      <w:r w:rsidR="001020D1">
        <w:rPr>
          <w:rFonts w:ascii="Times New Roman" w:hAnsi="Times New Roman"/>
          <w:sz w:val="20"/>
          <w:lang w:val="es-AR" w:bidi="es-ES"/>
        </w:rPr>
        <w:t>de dicha clase</w:t>
      </w:r>
      <w:r w:rsidR="00D50507" w:rsidRPr="00D50507">
        <w:rPr>
          <w:rFonts w:ascii="Times New Roman" w:hAnsi="Times New Roman"/>
          <w:sz w:val="20"/>
          <w:lang w:val="es-AR" w:bidi="es-ES"/>
        </w:rPr>
        <w:t>.</w:t>
      </w:r>
      <w:r w:rsidR="00514DC0">
        <w:rPr>
          <w:rFonts w:ascii="Times New Roman" w:hAnsi="Times New Roman"/>
          <w:sz w:val="20"/>
          <w:lang w:val="es-AR" w:bidi="es-ES"/>
        </w:rPr>
        <w:t xml:space="preserve"> </w:t>
      </w:r>
      <w:r w:rsidR="00514DC0" w:rsidRPr="008413ED">
        <w:rPr>
          <w:rFonts w:ascii="Times New Roman" w:hAnsi="Times New Roman"/>
          <w:sz w:val="20"/>
          <w:lang w:val="es-AR" w:bidi="es-ES"/>
        </w:rPr>
        <w:t xml:space="preserve">Bajo el Tramo Competitivo, los oferentes podrán presentar sin limitación alguna más de una Orden de Compra que contengan distintos montos y/o distinta Tasa Solicitada </w:t>
      </w:r>
      <w:r w:rsidR="00514DC0">
        <w:rPr>
          <w:rFonts w:ascii="Times New Roman" w:hAnsi="Times New Roman"/>
          <w:sz w:val="20"/>
          <w:lang w:val="es-AR" w:bidi="es-ES"/>
        </w:rPr>
        <w:t>de</w:t>
      </w:r>
      <w:r w:rsidR="00514DC0" w:rsidRPr="008413ED">
        <w:rPr>
          <w:rFonts w:ascii="Times New Roman" w:hAnsi="Times New Roman"/>
          <w:sz w:val="20"/>
          <w:lang w:val="es-AR" w:bidi="es-ES"/>
        </w:rPr>
        <w:t xml:space="preserve"> la</w:t>
      </w:r>
      <w:r w:rsidR="00514DC0">
        <w:rPr>
          <w:rFonts w:ascii="Times New Roman" w:hAnsi="Times New Roman"/>
          <w:sz w:val="20"/>
          <w:lang w:val="es-AR" w:bidi="es-ES"/>
        </w:rPr>
        <w:t>s ON</w:t>
      </w:r>
      <w:r w:rsidR="00514DC0" w:rsidRPr="008413ED">
        <w:rPr>
          <w:rFonts w:ascii="Times New Roman" w:hAnsi="Times New Roman"/>
          <w:sz w:val="20"/>
          <w:lang w:val="es-AR" w:bidi="es-ES"/>
        </w:rPr>
        <w:t xml:space="preserve"> Clase A y/o Tasa Solicitada </w:t>
      </w:r>
      <w:r w:rsidR="00514DC0">
        <w:rPr>
          <w:rFonts w:ascii="Times New Roman" w:hAnsi="Times New Roman"/>
          <w:sz w:val="20"/>
          <w:lang w:val="es-AR" w:bidi="es-ES"/>
        </w:rPr>
        <w:t>de</w:t>
      </w:r>
      <w:r w:rsidR="00514DC0" w:rsidRPr="008413ED">
        <w:rPr>
          <w:rFonts w:ascii="Times New Roman" w:hAnsi="Times New Roman"/>
          <w:sz w:val="20"/>
          <w:lang w:val="es-AR" w:bidi="es-ES"/>
        </w:rPr>
        <w:t xml:space="preserve"> la</w:t>
      </w:r>
      <w:r w:rsidR="00514DC0">
        <w:rPr>
          <w:rFonts w:ascii="Times New Roman" w:hAnsi="Times New Roman"/>
          <w:sz w:val="20"/>
          <w:lang w:val="es-AR" w:bidi="es-ES"/>
        </w:rPr>
        <w:t>s</w:t>
      </w:r>
      <w:r w:rsidR="00514DC0" w:rsidRPr="008413ED">
        <w:rPr>
          <w:rFonts w:ascii="Times New Roman" w:hAnsi="Times New Roman"/>
          <w:sz w:val="20"/>
          <w:lang w:val="es-AR" w:bidi="es-ES"/>
        </w:rPr>
        <w:t xml:space="preserve"> </w:t>
      </w:r>
      <w:r w:rsidR="00514DC0">
        <w:rPr>
          <w:rFonts w:ascii="Times New Roman" w:hAnsi="Times New Roman"/>
          <w:sz w:val="20"/>
          <w:lang w:val="es-AR" w:bidi="es-ES"/>
        </w:rPr>
        <w:t xml:space="preserve">ON </w:t>
      </w:r>
      <w:r w:rsidR="00514DC0" w:rsidRPr="008413ED">
        <w:rPr>
          <w:rFonts w:ascii="Times New Roman" w:hAnsi="Times New Roman"/>
          <w:sz w:val="20"/>
          <w:lang w:val="es-AR" w:bidi="es-ES"/>
        </w:rPr>
        <w:t xml:space="preserve">Clase B, según sea el caso, pudiendo quedar adjudicadas una, todas o ninguna de las Órdenes de Compra remitidas, de conformidad con el procedimiento que se describe en </w:t>
      </w:r>
      <w:r w:rsidR="00514DC0">
        <w:rPr>
          <w:rFonts w:ascii="Times New Roman" w:hAnsi="Times New Roman"/>
          <w:sz w:val="20"/>
          <w:lang w:val="es-AR" w:bidi="es-ES"/>
        </w:rPr>
        <w:t>el capítulo “</w:t>
      </w:r>
      <w:r w:rsidR="00514DC0" w:rsidRPr="008413ED">
        <w:rPr>
          <w:rFonts w:ascii="Times New Roman" w:hAnsi="Times New Roman"/>
          <w:i/>
          <w:sz w:val="20"/>
          <w:lang w:val="es-AR" w:bidi="es-ES"/>
        </w:rPr>
        <w:t>Plan de Distribución</w:t>
      </w:r>
      <w:r w:rsidR="00514DC0">
        <w:rPr>
          <w:rFonts w:ascii="Times New Roman" w:hAnsi="Times New Roman"/>
          <w:sz w:val="20"/>
          <w:lang w:val="es-AR" w:bidi="es-ES"/>
        </w:rPr>
        <w:t>” del Suplemento de Prospecto</w:t>
      </w:r>
      <w:r w:rsidR="00514DC0" w:rsidRPr="008413ED">
        <w:rPr>
          <w:rFonts w:ascii="Times New Roman" w:hAnsi="Times New Roman"/>
          <w:sz w:val="20"/>
          <w:lang w:val="es-AR" w:bidi="es-ES"/>
        </w:rPr>
        <w:t>.</w:t>
      </w:r>
      <w:r w:rsidR="00514DC0">
        <w:rPr>
          <w:rFonts w:ascii="Times New Roman" w:hAnsi="Times New Roman"/>
          <w:sz w:val="20"/>
          <w:lang w:val="es-AR" w:bidi="es-ES"/>
        </w:rPr>
        <w:t xml:space="preserve"> </w:t>
      </w:r>
      <w:r w:rsidR="00514DC0" w:rsidRPr="00514DC0">
        <w:rPr>
          <w:rFonts w:ascii="Times New Roman" w:hAnsi="Times New Roman"/>
          <w:sz w:val="20"/>
          <w:lang w:val="es-AR" w:bidi="es-ES"/>
        </w:rPr>
        <w:t>Asimismo, cada inversor podrá presentar una o más órdenes de compra que constituirán el Tramo No Competitivo y una o más órdenes de compra que constituirán el Tramo Competitivo con distintas Tasas Solicitadas y diferentes valores nominales que se pretenda suscribir en relación a las Obligaciones Negociables pudiendo resultar adjudicadas una, todas, o ninguna de las órdenes de compra remitidas.</w:t>
      </w:r>
    </w:p>
    <w:p w14:paraId="27AD200E" w14:textId="77777777" w:rsidR="00D705D5" w:rsidRDefault="00D705D5" w:rsidP="0001349A">
      <w:pPr>
        <w:jc w:val="both"/>
        <w:rPr>
          <w:rFonts w:ascii="Times New Roman" w:hAnsi="Times New Roman"/>
          <w:sz w:val="20"/>
          <w:lang w:val="es-AR"/>
        </w:rPr>
      </w:pPr>
    </w:p>
    <w:p w14:paraId="37B36EE3" w14:textId="6F77C4F4" w:rsidR="00D705D5" w:rsidRDefault="00E07F95" w:rsidP="0001349A">
      <w:pPr>
        <w:jc w:val="both"/>
        <w:rPr>
          <w:rFonts w:ascii="Times New Roman" w:hAnsi="Times New Roman"/>
          <w:sz w:val="20"/>
          <w:lang w:val="es-AR"/>
        </w:rPr>
      </w:pPr>
      <w:r>
        <w:rPr>
          <w:rFonts w:ascii="Times New Roman" w:hAnsi="Times New Roman"/>
          <w:sz w:val="20"/>
          <w:lang w:val="es-AR"/>
        </w:rPr>
        <w:t>2</w:t>
      </w:r>
      <w:r w:rsidR="004A65A0">
        <w:rPr>
          <w:rFonts w:ascii="Times New Roman" w:hAnsi="Times New Roman"/>
          <w:sz w:val="20"/>
          <w:lang w:val="es-AR"/>
        </w:rPr>
        <w:t>7</w:t>
      </w:r>
      <w:r w:rsidR="00D705D5">
        <w:rPr>
          <w:rFonts w:ascii="Times New Roman" w:hAnsi="Times New Roman"/>
          <w:sz w:val="20"/>
          <w:lang w:val="es-AR"/>
        </w:rPr>
        <w:t xml:space="preserve">) </w:t>
      </w:r>
      <w:r w:rsidR="00D42228" w:rsidRPr="002B6C44">
        <w:rPr>
          <w:rFonts w:ascii="Times New Roman" w:hAnsi="Times New Roman"/>
          <w:b/>
          <w:sz w:val="20"/>
          <w:lang w:val="es-AR"/>
        </w:rPr>
        <w:t>Agente de Liquidación:</w:t>
      </w:r>
      <w:r w:rsidR="00D42228">
        <w:rPr>
          <w:rFonts w:ascii="Times New Roman" w:hAnsi="Times New Roman"/>
          <w:sz w:val="20"/>
          <w:lang w:val="es-AR"/>
        </w:rPr>
        <w:t xml:space="preserve"> Banco de Galicia y Buenos Aires S.A.U.</w:t>
      </w:r>
      <w:r w:rsidR="00696FF2">
        <w:rPr>
          <w:rFonts w:ascii="Times New Roman" w:hAnsi="Times New Roman"/>
          <w:sz w:val="20"/>
          <w:lang w:val="es-AR"/>
        </w:rPr>
        <w:t>, a través de MAE Clear.</w:t>
      </w:r>
    </w:p>
    <w:p w14:paraId="79B1BDF9" w14:textId="77777777" w:rsidR="00D50507" w:rsidRDefault="00D50507" w:rsidP="0001349A">
      <w:pPr>
        <w:jc w:val="both"/>
        <w:rPr>
          <w:rFonts w:ascii="Times New Roman" w:hAnsi="Times New Roman"/>
          <w:sz w:val="20"/>
          <w:lang w:val="es-AR"/>
        </w:rPr>
      </w:pPr>
    </w:p>
    <w:p w14:paraId="32D1EC8C" w14:textId="35BF63E4" w:rsidR="00D50507" w:rsidRDefault="00E07F95" w:rsidP="0001349A">
      <w:pPr>
        <w:jc w:val="both"/>
        <w:rPr>
          <w:rFonts w:ascii="Times New Roman" w:hAnsi="Times New Roman"/>
          <w:sz w:val="20"/>
          <w:lang w:val="es-AR"/>
        </w:rPr>
      </w:pPr>
      <w:r>
        <w:rPr>
          <w:rFonts w:ascii="Times New Roman" w:hAnsi="Times New Roman"/>
          <w:sz w:val="20"/>
          <w:lang w:val="es-AR"/>
        </w:rPr>
        <w:t>2</w:t>
      </w:r>
      <w:r w:rsidR="004A65A0">
        <w:rPr>
          <w:rFonts w:ascii="Times New Roman" w:hAnsi="Times New Roman"/>
          <w:sz w:val="20"/>
          <w:lang w:val="es-AR"/>
        </w:rPr>
        <w:t>8</w:t>
      </w:r>
      <w:r w:rsidR="00D50507">
        <w:rPr>
          <w:rFonts w:ascii="Times New Roman" w:hAnsi="Times New Roman"/>
          <w:sz w:val="20"/>
          <w:lang w:val="es-AR"/>
        </w:rPr>
        <w:t xml:space="preserve">) </w:t>
      </w:r>
      <w:r w:rsidR="00D50507" w:rsidRPr="00D50507">
        <w:rPr>
          <w:rFonts w:ascii="Times New Roman" w:hAnsi="Times New Roman"/>
          <w:b/>
          <w:sz w:val="20"/>
          <w:lang w:val="es-AR"/>
        </w:rPr>
        <w:t>Calificación de Riesgo</w:t>
      </w:r>
      <w:r w:rsidR="00D50507">
        <w:rPr>
          <w:rFonts w:ascii="Times New Roman" w:hAnsi="Times New Roman"/>
          <w:sz w:val="20"/>
          <w:lang w:val="es-AR"/>
        </w:rPr>
        <w:t xml:space="preserve">: </w:t>
      </w:r>
      <w:r w:rsidR="00D50507" w:rsidRPr="00D50507">
        <w:rPr>
          <w:rFonts w:ascii="Times New Roman" w:hAnsi="Times New Roman"/>
          <w:sz w:val="20"/>
          <w:lang w:val="es-MX"/>
        </w:rPr>
        <w:t xml:space="preserve">Las Obligaciones Negociables han sido calificadas por FIX SCR S.A. (afiliada de Fitch Ratings) AGENTE DE CALIFICACION DE RIESGO con la nota </w:t>
      </w:r>
      <w:r w:rsidR="008413ED">
        <w:rPr>
          <w:rFonts w:ascii="Times New Roman" w:hAnsi="Times New Roman"/>
          <w:sz w:val="20"/>
          <w:lang w:val="es-MX"/>
        </w:rPr>
        <w:t>A-</w:t>
      </w:r>
      <w:r w:rsidR="00D50507" w:rsidRPr="00D50507">
        <w:rPr>
          <w:rFonts w:ascii="Times New Roman" w:hAnsi="Times New Roman"/>
          <w:sz w:val="20"/>
          <w:lang w:val="es-MX"/>
        </w:rPr>
        <w:t>(</w:t>
      </w:r>
      <w:proofErr w:type="spellStart"/>
      <w:r w:rsidR="00D50507" w:rsidRPr="00D50507">
        <w:rPr>
          <w:rFonts w:ascii="Times New Roman" w:hAnsi="Times New Roman"/>
          <w:sz w:val="20"/>
          <w:lang w:val="es-MX"/>
        </w:rPr>
        <w:t>arg</w:t>
      </w:r>
      <w:proofErr w:type="spellEnd"/>
      <w:r w:rsidR="00D50507" w:rsidRPr="00D50507">
        <w:rPr>
          <w:rFonts w:ascii="Times New Roman" w:hAnsi="Times New Roman"/>
          <w:sz w:val="20"/>
          <w:lang w:val="es-MX"/>
        </w:rPr>
        <w:t xml:space="preserve">) Perspectiva: </w:t>
      </w:r>
      <w:r w:rsidR="00D50507" w:rsidRPr="008413ED">
        <w:rPr>
          <w:rFonts w:ascii="Times New Roman" w:hAnsi="Times New Roman"/>
          <w:sz w:val="20"/>
          <w:lang w:val="es-MX"/>
        </w:rPr>
        <w:t>Estable</w:t>
      </w:r>
      <w:r w:rsidR="00D50507" w:rsidRPr="00D50507">
        <w:rPr>
          <w:rFonts w:ascii="Times New Roman" w:hAnsi="Times New Roman"/>
          <w:sz w:val="20"/>
          <w:lang w:val="es-MX"/>
        </w:rPr>
        <w:t xml:space="preserve">, </w:t>
      </w:r>
      <w:r w:rsidR="00D50507" w:rsidRPr="00D50507">
        <w:rPr>
          <w:rFonts w:ascii="Times New Roman" w:hAnsi="Times New Roman"/>
          <w:sz w:val="20"/>
          <w:lang w:val="es-AR"/>
        </w:rPr>
        <w:t xml:space="preserve">conforme dictamen </w:t>
      </w:r>
      <w:r w:rsidR="008413ED">
        <w:rPr>
          <w:rFonts w:ascii="Times New Roman" w:hAnsi="Times New Roman"/>
          <w:sz w:val="20"/>
          <w:lang w:val="es-AR"/>
        </w:rPr>
        <w:t xml:space="preserve">de fecha 28 de febrero de 2020 </w:t>
      </w:r>
      <w:r w:rsidR="00D50507" w:rsidRPr="00D50507">
        <w:rPr>
          <w:rFonts w:ascii="Times New Roman" w:hAnsi="Times New Roman"/>
          <w:sz w:val="20"/>
          <w:lang w:val="es-AR"/>
        </w:rPr>
        <w:t xml:space="preserve">disponible en </w:t>
      </w:r>
      <w:r w:rsidR="00D50507">
        <w:rPr>
          <w:rFonts w:ascii="Times New Roman" w:hAnsi="Times New Roman"/>
          <w:sz w:val="20"/>
          <w:lang w:val="es-AR"/>
        </w:rPr>
        <w:t>el sitio web de la CNV.</w:t>
      </w:r>
    </w:p>
    <w:p w14:paraId="3A6C90B3" w14:textId="77777777" w:rsidR="000657D6" w:rsidRDefault="000657D6" w:rsidP="0001349A">
      <w:pPr>
        <w:jc w:val="both"/>
        <w:rPr>
          <w:rFonts w:ascii="Times New Roman" w:hAnsi="Times New Roman"/>
          <w:sz w:val="20"/>
          <w:lang w:val="es-AR"/>
        </w:rPr>
      </w:pPr>
    </w:p>
    <w:p w14:paraId="72E0E72B" w14:textId="3D0E7E6C" w:rsidR="000657D6" w:rsidRPr="00D50507" w:rsidRDefault="00A17863" w:rsidP="0001349A">
      <w:pPr>
        <w:jc w:val="both"/>
        <w:rPr>
          <w:rFonts w:ascii="Times New Roman" w:hAnsi="Times New Roman"/>
          <w:sz w:val="20"/>
          <w:lang w:val="es-AR"/>
        </w:rPr>
      </w:pPr>
      <w:r w:rsidRPr="00A17863">
        <w:rPr>
          <w:rFonts w:ascii="Times New Roman" w:hAnsi="Times New Roman"/>
          <w:sz w:val="20"/>
          <w:lang w:val="es-AR"/>
        </w:rPr>
        <w:t>2</w:t>
      </w:r>
      <w:r w:rsidR="004A65A0">
        <w:rPr>
          <w:rFonts w:ascii="Times New Roman" w:hAnsi="Times New Roman"/>
          <w:sz w:val="20"/>
          <w:lang w:val="es-AR"/>
        </w:rPr>
        <w:t>9</w:t>
      </w:r>
      <w:r w:rsidRPr="00A17863">
        <w:rPr>
          <w:rFonts w:ascii="Times New Roman" w:hAnsi="Times New Roman"/>
          <w:sz w:val="20"/>
          <w:lang w:val="es-AR"/>
        </w:rPr>
        <w:t>)</w:t>
      </w:r>
      <w:r>
        <w:rPr>
          <w:rFonts w:ascii="Times New Roman" w:hAnsi="Times New Roman"/>
          <w:b/>
          <w:sz w:val="20"/>
          <w:lang w:val="es-AR"/>
        </w:rPr>
        <w:t xml:space="preserve"> </w:t>
      </w:r>
      <w:r w:rsidRPr="00A17863">
        <w:rPr>
          <w:rFonts w:ascii="Times New Roman" w:hAnsi="Times New Roman"/>
          <w:b/>
          <w:sz w:val="20"/>
          <w:lang w:val="es-AR"/>
        </w:rPr>
        <w:t>Inexistencia de Mercado para las Obligaciones Negociables</w:t>
      </w:r>
      <w:r w:rsidRPr="00A17863">
        <w:rPr>
          <w:rFonts w:ascii="Times New Roman" w:hAnsi="Times New Roman"/>
          <w:sz w:val="20"/>
          <w:lang w:val="es-AR"/>
        </w:rPr>
        <w:t>-</w:t>
      </w:r>
      <w:r w:rsidRPr="00A17863">
        <w:rPr>
          <w:rFonts w:ascii="Times New Roman" w:hAnsi="Times New Roman"/>
          <w:b/>
          <w:sz w:val="20"/>
          <w:lang w:val="es-AR"/>
        </w:rPr>
        <w:t>Estabilización</w:t>
      </w:r>
      <w:r w:rsidRPr="00A17863">
        <w:rPr>
          <w:rFonts w:ascii="Times New Roman" w:hAnsi="Times New Roman"/>
          <w:sz w:val="20"/>
          <w:lang w:val="es-AR"/>
        </w:rPr>
        <w:t>: Las Obligaciones Negociables no cuentan con un mercado de negociación establecido. Una vez que las Obligaciones Negociables ingresan en la negociación secundaria, los Colocadores podrán (pero no estarán obligados a) realizar operaciones destinadas a estabilizar el precio de mercado de dichas obligaciones negociables conforme con el artículo 12, Sección III del Capítulo IV, Título VI de las Normas de la CNV. Para mayor información ver “</w:t>
      </w:r>
      <w:r w:rsidRPr="00A17863">
        <w:rPr>
          <w:rFonts w:ascii="Times New Roman" w:hAnsi="Times New Roman"/>
          <w:i/>
          <w:sz w:val="20"/>
          <w:lang w:val="es-AR"/>
        </w:rPr>
        <w:t>Plan de Distribución - Inexistencia de Mercado para las Obligaciones Negociables-Estabilización</w:t>
      </w:r>
      <w:r w:rsidRPr="00A17863">
        <w:rPr>
          <w:rFonts w:ascii="Times New Roman" w:hAnsi="Times New Roman"/>
          <w:sz w:val="20"/>
          <w:lang w:val="es-AR"/>
        </w:rPr>
        <w:t>” del Suplemento de Prospecto.</w:t>
      </w:r>
      <w:r w:rsidR="000657D6">
        <w:rPr>
          <w:rFonts w:ascii="Times New Roman" w:hAnsi="Times New Roman"/>
          <w:sz w:val="20"/>
          <w:lang w:val="es-AR"/>
        </w:rPr>
        <w:t xml:space="preserve"> </w:t>
      </w:r>
    </w:p>
    <w:p w14:paraId="391155B5" w14:textId="77777777" w:rsidR="00B223EA" w:rsidRDefault="00B223EA" w:rsidP="0001349A">
      <w:pPr>
        <w:jc w:val="both"/>
        <w:rPr>
          <w:rFonts w:ascii="Times New Roman" w:hAnsi="Times New Roman"/>
          <w:sz w:val="20"/>
          <w:lang w:val="es-AR"/>
        </w:rPr>
      </w:pPr>
    </w:p>
    <w:p w14:paraId="6911C89C" w14:textId="0BCEBCA6" w:rsidR="001A0523" w:rsidRDefault="001A0523" w:rsidP="001A0523">
      <w:pPr>
        <w:jc w:val="both"/>
        <w:rPr>
          <w:rFonts w:ascii="Times New Roman" w:hAnsi="Times New Roman"/>
          <w:b/>
          <w:sz w:val="20"/>
          <w:lang w:val="es-ES" w:eastAsia="zh-CN"/>
        </w:rPr>
      </w:pPr>
      <w:r w:rsidRPr="00E07F95">
        <w:rPr>
          <w:rFonts w:ascii="Times New Roman" w:hAnsi="Times New Roman"/>
          <w:b/>
          <w:sz w:val="20"/>
          <w:lang w:val="es-AR"/>
        </w:rPr>
        <w:t>El Prospecto y el Suplemento de Pr</w:t>
      </w:r>
      <w:r w:rsidR="00541AAB">
        <w:rPr>
          <w:rFonts w:ascii="Times New Roman" w:hAnsi="Times New Roman"/>
          <w:b/>
          <w:sz w:val="20"/>
          <w:lang w:val="es-AR"/>
        </w:rPr>
        <w:t>ospect</w:t>
      </w:r>
      <w:r w:rsidRPr="00E07F95">
        <w:rPr>
          <w:rFonts w:ascii="Times New Roman" w:hAnsi="Times New Roman"/>
          <w:b/>
          <w:sz w:val="20"/>
          <w:lang w:val="es-AR"/>
        </w:rPr>
        <w:t xml:space="preserve">o y demás documentos relevantes para la emisión de las Obligaciones Negociables se encuentran a disposición de los interesados en las oficinas del Emisor y de los </w:t>
      </w:r>
      <w:r w:rsidR="00985B06" w:rsidRPr="00E07F95">
        <w:rPr>
          <w:rFonts w:ascii="Times New Roman" w:hAnsi="Times New Roman"/>
          <w:b/>
          <w:sz w:val="20"/>
          <w:lang w:val="es-AR"/>
        </w:rPr>
        <w:t>Organizadores y Colocadores</w:t>
      </w:r>
      <w:r w:rsidR="006A3209" w:rsidRPr="00E07F95">
        <w:rPr>
          <w:rFonts w:ascii="Times New Roman" w:hAnsi="Times New Roman"/>
          <w:b/>
          <w:sz w:val="20"/>
          <w:lang w:val="es-AR"/>
        </w:rPr>
        <w:t>,</w:t>
      </w:r>
      <w:r w:rsidRPr="00E07F95">
        <w:rPr>
          <w:rFonts w:ascii="Times New Roman" w:hAnsi="Times New Roman"/>
          <w:b/>
          <w:sz w:val="20"/>
          <w:lang w:val="es-AR"/>
        </w:rPr>
        <w:t xml:space="preserve"> </w:t>
      </w:r>
      <w:r w:rsidR="006A3209" w:rsidRPr="00E07F95">
        <w:rPr>
          <w:rFonts w:ascii="Times New Roman" w:hAnsi="Times New Roman"/>
          <w:b/>
          <w:sz w:val="20"/>
          <w:lang w:val="es-AR"/>
        </w:rPr>
        <w:t>en la AIF de la CNV</w:t>
      </w:r>
      <w:r w:rsidRPr="00E07F95">
        <w:rPr>
          <w:rFonts w:ascii="Times New Roman" w:hAnsi="Times New Roman"/>
          <w:b/>
          <w:sz w:val="20"/>
          <w:lang w:val="es-AR"/>
        </w:rPr>
        <w:t xml:space="preserve">, en el micrositio </w:t>
      </w:r>
      <w:r w:rsidRPr="00E07F95">
        <w:rPr>
          <w:rFonts w:ascii="Times New Roman" w:hAnsi="Times New Roman"/>
          <w:b/>
          <w:i/>
          <w:sz w:val="20"/>
          <w:lang w:val="es-AR"/>
        </w:rPr>
        <w:t>web</w:t>
      </w:r>
      <w:r w:rsidRPr="00E07F95">
        <w:rPr>
          <w:rFonts w:ascii="Times New Roman" w:hAnsi="Times New Roman"/>
          <w:b/>
          <w:sz w:val="20"/>
          <w:lang w:val="es-AR"/>
        </w:rPr>
        <w:t xml:space="preserve"> del MAE y en la página web institucional del Emisor </w:t>
      </w:r>
      <w:hyperlink r:id="rId11" w:history="1">
        <w:r w:rsidR="007864B0" w:rsidRPr="00E07F95">
          <w:rPr>
            <w:rStyle w:val="Hipervnculo"/>
            <w:rFonts w:ascii="Times New Roman" w:hAnsi="Times New Roman"/>
            <w:b/>
            <w:sz w:val="20"/>
            <w:lang w:val="es-AR"/>
          </w:rPr>
          <w:t>www.msu.com.ar</w:t>
        </w:r>
      </w:hyperlink>
      <w:r w:rsidRPr="00E07F95">
        <w:rPr>
          <w:rFonts w:ascii="Times New Roman" w:hAnsi="Times New Roman"/>
          <w:b/>
          <w:sz w:val="20"/>
          <w:lang w:val="es-AR"/>
        </w:rPr>
        <w:t xml:space="preserve">. </w:t>
      </w:r>
      <w:r w:rsidRPr="00E07F95">
        <w:rPr>
          <w:rFonts w:ascii="Times New Roman" w:hAnsi="Times New Roman"/>
          <w:b/>
          <w:sz w:val="20"/>
          <w:lang w:val="es-ES"/>
        </w:rPr>
        <w:t xml:space="preserve">La información incluida en el presente es información parcial que deberá ser completada con la información contenida en el Prospecto y en el Suplemento de </w:t>
      </w:r>
      <w:r w:rsidR="006A3209" w:rsidRPr="00E07F95">
        <w:rPr>
          <w:rFonts w:ascii="Times New Roman" w:hAnsi="Times New Roman"/>
          <w:b/>
          <w:sz w:val="20"/>
          <w:lang w:val="es-ES"/>
        </w:rPr>
        <w:t>Prospecto.</w:t>
      </w:r>
      <w:r w:rsidRPr="00E07F95">
        <w:rPr>
          <w:rFonts w:ascii="Times New Roman" w:hAnsi="Times New Roman"/>
          <w:b/>
          <w:sz w:val="20"/>
          <w:lang w:val="es-ES"/>
        </w:rPr>
        <w:t xml:space="preserve"> Los interesados deben considerar cuidadosamente la información contenida en dichos documentos antes de tomar una decisión de invertir en las Obligaciones Negociables. El Emisor recomienda </w:t>
      </w:r>
      <w:r w:rsidRPr="00E07F95">
        <w:rPr>
          <w:rFonts w:ascii="Times New Roman" w:hAnsi="Times New Roman"/>
          <w:b/>
          <w:sz w:val="20"/>
          <w:lang w:val="es-ES" w:eastAsia="zh-CN"/>
        </w:rPr>
        <w:t xml:space="preserve">la lectura y examen del Prospecto y del Suplemento de </w:t>
      </w:r>
      <w:r w:rsidR="006A3209" w:rsidRPr="00E07F95">
        <w:rPr>
          <w:rFonts w:ascii="Times New Roman" w:hAnsi="Times New Roman"/>
          <w:b/>
          <w:sz w:val="20"/>
          <w:lang w:val="es-ES" w:eastAsia="zh-CN"/>
        </w:rPr>
        <w:t>Prospecto</w:t>
      </w:r>
      <w:r w:rsidRPr="00E07F95">
        <w:rPr>
          <w:rFonts w:ascii="Times New Roman" w:hAnsi="Times New Roman"/>
          <w:b/>
          <w:sz w:val="20"/>
          <w:lang w:val="es-ES" w:eastAsia="zh-CN"/>
        </w:rPr>
        <w:t xml:space="preserve"> en su totalidad y de sus estados contables de y sus notas correspondientes </w:t>
      </w:r>
      <w:r w:rsidR="007F08CE" w:rsidRPr="00E07F95">
        <w:rPr>
          <w:rFonts w:ascii="Times New Roman" w:hAnsi="Times New Roman"/>
          <w:b/>
          <w:sz w:val="20"/>
          <w:lang w:val="es-ES" w:eastAsia="zh-CN"/>
        </w:rPr>
        <w:t>a los</w:t>
      </w:r>
      <w:r w:rsidRPr="00E07F95">
        <w:rPr>
          <w:rFonts w:ascii="Times New Roman" w:hAnsi="Times New Roman"/>
          <w:b/>
          <w:sz w:val="20"/>
          <w:lang w:val="es-ES" w:eastAsia="zh-CN"/>
        </w:rPr>
        <w:t xml:space="preserve"> ejercicio</w:t>
      </w:r>
      <w:r w:rsidR="007F08CE" w:rsidRPr="00E07F95">
        <w:rPr>
          <w:rFonts w:ascii="Times New Roman" w:hAnsi="Times New Roman"/>
          <w:b/>
          <w:sz w:val="20"/>
          <w:lang w:val="es-ES" w:eastAsia="zh-CN"/>
        </w:rPr>
        <w:t>s</w:t>
      </w:r>
      <w:r w:rsidRPr="00E07F95">
        <w:rPr>
          <w:rFonts w:ascii="Times New Roman" w:hAnsi="Times New Roman"/>
          <w:b/>
          <w:sz w:val="20"/>
          <w:lang w:val="es-ES" w:eastAsia="zh-CN"/>
        </w:rPr>
        <w:t xml:space="preserve"> anual</w:t>
      </w:r>
      <w:r w:rsidR="007F08CE" w:rsidRPr="00E07F95">
        <w:rPr>
          <w:rFonts w:ascii="Times New Roman" w:hAnsi="Times New Roman"/>
          <w:b/>
          <w:sz w:val="20"/>
          <w:lang w:val="es-ES" w:eastAsia="zh-CN"/>
        </w:rPr>
        <w:t>es</w:t>
      </w:r>
      <w:r w:rsidRPr="00E07F95">
        <w:rPr>
          <w:rFonts w:ascii="Times New Roman" w:hAnsi="Times New Roman"/>
          <w:b/>
          <w:sz w:val="20"/>
          <w:lang w:val="es-ES" w:eastAsia="zh-CN"/>
        </w:rPr>
        <w:t xml:space="preserve"> finalizado</w:t>
      </w:r>
      <w:r w:rsidR="007F08CE" w:rsidRPr="00E07F95">
        <w:rPr>
          <w:rFonts w:ascii="Times New Roman" w:hAnsi="Times New Roman"/>
          <w:b/>
          <w:sz w:val="20"/>
          <w:lang w:val="es-ES" w:eastAsia="zh-CN"/>
        </w:rPr>
        <w:t>s</w:t>
      </w:r>
      <w:r w:rsidRPr="00E07F95">
        <w:rPr>
          <w:rFonts w:ascii="Times New Roman" w:hAnsi="Times New Roman"/>
          <w:b/>
          <w:sz w:val="20"/>
          <w:lang w:val="es-ES" w:eastAsia="zh-CN"/>
        </w:rPr>
        <w:t xml:space="preserve"> el </w:t>
      </w:r>
      <w:r w:rsidR="00AE726A" w:rsidRPr="00E07F95">
        <w:rPr>
          <w:rFonts w:ascii="Times New Roman" w:hAnsi="Times New Roman"/>
          <w:b/>
          <w:sz w:val="20"/>
          <w:lang w:val="es-ES" w:eastAsia="zh-CN"/>
        </w:rPr>
        <w:t>30</w:t>
      </w:r>
      <w:r w:rsidRPr="00E07F95">
        <w:rPr>
          <w:rFonts w:ascii="Times New Roman" w:hAnsi="Times New Roman"/>
          <w:b/>
          <w:sz w:val="20"/>
          <w:lang w:val="es-ES" w:eastAsia="zh-CN"/>
        </w:rPr>
        <w:t xml:space="preserve"> de </w:t>
      </w:r>
      <w:r w:rsidR="00AE726A" w:rsidRPr="00E07F95">
        <w:rPr>
          <w:rFonts w:ascii="Times New Roman" w:hAnsi="Times New Roman"/>
          <w:b/>
          <w:sz w:val="20"/>
          <w:lang w:val="es-ES" w:eastAsia="zh-CN"/>
        </w:rPr>
        <w:t>junio</w:t>
      </w:r>
      <w:r w:rsidRPr="00E07F95">
        <w:rPr>
          <w:rFonts w:ascii="Times New Roman" w:hAnsi="Times New Roman"/>
          <w:b/>
          <w:sz w:val="20"/>
          <w:lang w:val="es-ES" w:eastAsia="zh-CN"/>
        </w:rPr>
        <w:t xml:space="preserve"> de 201</w:t>
      </w:r>
      <w:r w:rsidR="00A17863">
        <w:rPr>
          <w:rFonts w:ascii="Times New Roman" w:hAnsi="Times New Roman"/>
          <w:b/>
          <w:sz w:val="20"/>
          <w:lang w:val="es-ES" w:eastAsia="zh-CN"/>
        </w:rPr>
        <w:t>9</w:t>
      </w:r>
      <w:r w:rsidR="007F08CE" w:rsidRPr="00E07F95">
        <w:rPr>
          <w:rFonts w:ascii="Times New Roman" w:hAnsi="Times New Roman"/>
          <w:b/>
          <w:sz w:val="20"/>
          <w:lang w:val="es-ES" w:eastAsia="zh-CN"/>
        </w:rPr>
        <w:t xml:space="preserve">, </w:t>
      </w:r>
      <w:r w:rsidR="00A17863">
        <w:rPr>
          <w:rFonts w:ascii="Times New Roman" w:hAnsi="Times New Roman"/>
          <w:b/>
          <w:sz w:val="20"/>
          <w:lang w:val="es-ES" w:eastAsia="zh-CN"/>
        </w:rPr>
        <w:t>2018</w:t>
      </w:r>
      <w:r w:rsidR="00D028EE" w:rsidRPr="00E07F95">
        <w:rPr>
          <w:rFonts w:ascii="Times New Roman" w:hAnsi="Times New Roman"/>
          <w:b/>
          <w:sz w:val="20"/>
          <w:lang w:val="es-ES" w:eastAsia="zh-CN"/>
        </w:rPr>
        <w:t xml:space="preserve"> </w:t>
      </w:r>
      <w:r w:rsidR="007F08CE" w:rsidRPr="00E07F95">
        <w:rPr>
          <w:rFonts w:ascii="Times New Roman" w:hAnsi="Times New Roman"/>
          <w:b/>
          <w:sz w:val="20"/>
          <w:lang w:val="es-ES" w:eastAsia="zh-CN"/>
        </w:rPr>
        <w:t xml:space="preserve">y </w:t>
      </w:r>
      <w:r w:rsidR="00A17863">
        <w:rPr>
          <w:rFonts w:ascii="Times New Roman" w:hAnsi="Times New Roman"/>
          <w:b/>
          <w:sz w:val="20"/>
          <w:lang w:val="es-ES" w:eastAsia="zh-CN"/>
        </w:rPr>
        <w:t>2017</w:t>
      </w:r>
      <w:r w:rsidR="00F96262">
        <w:rPr>
          <w:rFonts w:ascii="Times New Roman" w:hAnsi="Times New Roman"/>
          <w:b/>
          <w:sz w:val="20"/>
          <w:lang w:val="es-ES" w:eastAsia="zh-CN"/>
        </w:rPr>
        <w:t xml:space="preserve"> </w:t>
      </w:r>
      <w:r w:rsidR="00F96262" w:rsidRPr="00F96262">
        <w:rPr>
          <w:rFonts w:ascii="Times New Roman" w:hAnsi="Times New Roman"/>
          <w:b/>
          <w:sz w:val="20"/>
          <w:lang w:val="es-ES" w:eastAsia="zh-CN"/>
        </w:rPr>
        <w:t xml:space="preserve">y </w:t>
      </w:r>
      <w:r w:rsidR="00F96262">
        <w:rPr>
          <w:rFonts w:ascii="Times New Roman" w:hAnsi="Times New Roman"/>
          <w:b/>
          <w:sz w:val="20"/>
          <w:lang w:val="es-ES" w:eastAsia="zh-CN"/>
        </w:rPr>
        <w:t xml:space="preserve">de sus </w:t>
      </w:r>
      <w:r w:rsidR="00F96262" w:rsidRPr="00F96262">
        <w:rPr>
          <w:rFonts w:ascii="Times New Roman" w:hAnsi="Times New Roman"/>
          <w:b/>
          <w:sz w:val="20"/>
          <w:lang w:val="es-ES" w:eastAsia="zh-CN"/>
        </w:rPr>
        <w:t xml:space="preserve">estados comparativos </w:t>
      </w:r>
      <w:r w:rsidR="00F96262">
        <w:rPr>
          <w:rFonts w:ascii="Times New Roman" w:hAnsi="Times New Roman"/>
          <w:b/>
          <w:sz w:val="20"/>
          <w:lang w:val="es-ES" w:eastAsia="zh-CN"/>
        </w:rPr>
        <w:t xml:space="preserve">correspondientes a los periodos </w:t>
      </w:r>
      <w:r w:rsidR="00F96262" w:rsidRPr="00F96262">
        <w:rPr>
          <w:rFonts w:ascii="Times New Roman" w:hAnsi="Times New Roman"/>
          <w:b/>
          <w:sz w:val="20"/>
          <w:lang w:val="es-ES" w:eastAsia="zh-CN"/>
        </w:rPr>
        <w:t xml:space="preserve">de seis meses </w:t>
      </w:r>
      <w:r w:rsidR="00F96262">
        <w:rPr>
          <w:rFonts w:ascii="Times New Roman" w:hAnsi="Times New Roman"/>
          <w:b/>
          <w:sz w:val="20"/>
          <w:lang w:val="es-ES" w:eastAsia="zh-CN"/>
        </w:rPr>
        <w:t>finalizados el</w:t>
      </w:r>
      <w:r w:rsidR="00F96262" w:rsidRPr="00F96262">
        <w:rPr>
          <w:rFonts w:ascii="Times New Roman" w:hAnsi="Times New Roman"/>
          <w:b/>
          <w:sz w:val="20"/>
          <w:lang w:val="es-ES" w:eastAsia="zh-CN"/>
        </w:rPr>
        <w:t xml:space="preserve"> 31 de diciembre del 2019 y 2018 incluido en el Suplemento</w:t>
      </w:r>
      <w:r w:rsidRPr="00E07F95">
        <w:rPr>
          <w:rFonts w:ascii="Times New Roman" w:hAnsi="Times New Roman"/>
          <w:b/>
          <w:sz w:val="20"/>
          <w:lang w:val="es-ES" w:eastAsia="zh-CN"/>
        </w:rPr>
        <w:t>.</w:t>
      </w:r>
    </w:p>
    <w:p w14:paraId="6A49E9ED" w14:textId="77777777" w:rsidR="006169C2" w:rsidRDefault="006169C2" w:rsidP="001A0523">
      <w:pPr>
        <w:jc w:val="both"/>
        <w:rPr>
          <w:rFonts w:ascii="Times New Roman" w:hAnsi="Times New Roman"/>
          <w:b/>
          <w:sz w:val="20"/>
          <w:lang w:val="es-ES" w:eastAsia="zh-CN"/>
        </w:rPr>
      </w:pPr>
    </w:p>
    <w:p w14:paraId="30A02076" w14:textId="77777777" w:rsidR="006169C2" w:rsidRPr="00E07F95" w:rsidRDefault="006169C2" w:rsidP="001A0523">
      <w:pPr>
        <w:jc w:val="both"/>
        <w:rPr>
          <w:rFonts w:ascii="Times New Roman" w:hAnsi="Times New Roman"/>
          <w:b/>
          <w:sz w:val="20"/>
          <w:lang w:val="es-AR"/>
        </w:rPr>
      </w:pPr>
      <w:r w:rsidRPr="006169C2">
        <w:rPr>
          <w:rFonts w:ascii="Times New Roman" w:hAnsi="Times New Roman"/>
          <w:b/>
          <w:sz w:val="20"/>
          <w:lang w:val="es-MX"/>
        </w:rPr>
        <w:t>La información contenida en el Suplemento de Prospecto y en el Prospecto no ha sido objeto de revisión por parte del Mercado Abierto Electrónico S.A.</w:t>
      </w:r>
    </w:p>
    <w:p w14:paraId="0A0A0FE9" w14:textId="77777777" w:rsidR="001A0523" w:rsidRPr="003A0D00" w:rsidRDefault="001A0523" w:rsidP="001A0523">
      <w:pPr>
        <w:pStyle w:val="Ttulo7"/>
        <w:rPr>
          <w:sz w:val="20"/>
          <w:szCs w:val="20"/>
        </w:rPr>
      </w:pPr>
      <w:r w:rsidRPr="003A0D00">
        <w:rPr>
          <w:sz w:val="20"/>
          <w:szCs w:val="20"/>
        </w:rPr>
        <w:tab/>
      </w:r>
      <w:r w:rsidRPr="003A0D00">
        <w:rPr>
          <w:sz w:val="20"/>
          <w:szCs w:val="20"/>
        </w:rPr>
        <w:tab/>
      </w:r>
      <w:r w:rsidRPr="003A0D00">
        <w:rPr>
          <w:sz w:val="20"/>
          <w:szCs w:val="20"/>
        </w:rPr>
        <w:tab/>
      </w:r>
    </w:p>
    <w:p w14:paraId="3F11043C" w14:textId="6B166987" w:rsidR="001A0523" w:rsidRPr="00DF21FB" w:rsidRDefault="00DF21FB" w:rsidP="00DF21FB">
      <w:pPr>
        <w:jc w:val="right"/>
        <w:rPr>
          <w:rFonts w:ascii="Times New Roman" w:hAnsi="Times New Roman"/>
          <w:sz w:val="20"/>
          <w:lang w:val="es-AR"/>
        </w:rPr>
      </w:pPr>
      <w:r w:rsidRPr="00DF21FB">
        <w:rPr>
          <w:rFonts w:ascii="Times New Roman" w:hAnsi="Times New Roman"/>
          <w:sz w:val="20"/>
          <w:lang w:val="es-AR"/>
        </w:rPr>
        <w:t xml:space="preserve">Ciudad de Buenos Aires, </w:t>
      </w:r>
      <w:r w:rsidR="00AC4034">
        <w:rPr>
          <w:rFonts w:ascii="Times New Roman" w:hAnsi="Times New Roman"/>
          <w:sz w:val="20"/>
          <w:lang w:val="es-AR"/>
        </w:rPr>
        <w:t xml:space="preserve">28 de febrero </w:t>
      </w:r>
      <w:r w:rsidR="000A387E">
        <w:rPr>
          <w:rFonts w:ascii="Times New Roman" w:hAnsi="Times New Roman"/>
          <w:sz w:val="20"/>
          <w:lang w:val="es-AR"/>
        </w:rPr>
        <w:t>de 2020</w:t>
      </w:r>
      <w:r w:rsidRPr="00DF21FB">
        <w:rPr>
          <w:rFonts w:ascii="Times New Roman" w:hAnsi="Times New Roman"/>
          <w:sz w:val="20"/>
          <w:lang w:val="es-AR"/>
        </w:rPr>
        <w:t>.</w:t>
      </w:r>
    </w:p>
    <w:p w14:paraId="0ADC3A2E" w14:textId="77777777" w:rsidR="001A0523" w:rsidRPr="003A0D00" w:rsidRDefault="001A0523" w:rsidP="001A0523">
      <w:pPr>
        <w:rPr>
          <w:lang w:val="es-AR"/>
        </w:rPr>
      </w:pPr>
    </w:p>
    <w:p w14:paraId="3DB0BC05" w14:textId="77777777" w:rsidR="00DF21FB" w:rsidRDefault="00DF21FB" w:rsidP="001A0523">
      <w:pPr>
        <w:jc w:val="center"/>
        <w:rPr>
          <w:rFonts w:ascii="Times New Roman" w:hAnsi="Times New Roman"/>
          <w:b/>
          <w:bCs/>
          <w:sz w:val="20"/>
          <w:lang w:val="es-AR"/>
        </w:rPr>
      </w:pPr>
      <w:r>
        <w:rPr>
          <w:rFonts w:ascii="Times New Roman" w:hAnsi="Times New Roman"/>
          <w:b/>
          <w:bCs/>
          <w:sz w:val="20"/>
          <w:lang w:val="es-AR"/>
        </w:rPr>
        <w:lastRenderedPageBreak/>
        <w:t>______________________</w:t>
      </w:r>
    </w:p>
    <w:p w14:paraId="4029E655" w14:textId="583C8E58" w:rsidR="001A0523" w:rsidRPr="003A0D00" w:rsidRDefault="00AC4034" w:rsidP="001A0523">
      <w:pPr>
        <w:jc w:val="center"/>
        <w:rPr>
          <w:rFonts w:ascii="Times New Roman" w:hAnsi="Times New Roman"/>
          <w:b/>
          <w:bCs/>
          <w:sz w:val="20"/>
          <w:lang w:val="es-AR"/>
        </w:rPr>
      </w:pPr>
      <w:r>
        <w:rPr>
          <w:rFonts w:ascii="Times New Roman" w:hAnsi="Times New Roman"/>
          <w:b/>
          <w:bCs/>
          <w:sz w:val="20"/>
          <w:lang w:val="es-AR"/>
        </w:rPr>
        <w:t>Gonzalo Rivas Orozco</w:t>
      </w:r>
      <w:r w:rsidRPr="003A0D00">
        <w:rPr>
          <w:rFonts w:ascii="Times New Roman" w:hAnsi="Times New Roman"/>
          <w:b/>
          <w:bCs/>
          <w:sz w:val="20"/>
          <w:lang w:val="es-AR"/>
        </w:rPr>
        <w:t xml:space="preserve"> </w:t>
      </w:r>
    </w:p>
    <w:p w14:paraId="22760E8B" w14:textId="77777777" w:rsidR="001A0523" w:rsidRPr="003A0D00" w:rsidRDefault="00DF21FB" w:rsidP="001A0523">
      <w:pPr>
        <w:jc w:val="center"/>
        <w:rPr>
          <w:rFonts w:ascii="Times New Roman" w:hAnsi="Times New Roman"/>
          <w:b/>
          <w:bCs/>
          <w:sz w:val="20"/>
          <w:lang w:val="es-AR"/>
        </w:rPr>
      </w:pPr>
      <w:r>
        <w:rPr>
          <w:rFonts w:ascii="Times New Roman" w:hAnsi="Times New Roman"/>
          <w:b/>
          <w:bCs/>
          <w:sz w:val="20"/>
          <w:lang w:val="es-AR"/>
        </w:rPr>
        <w:t>Autorizado</w:t>
      </w:r>
      <w:r w:rsidR="001A0523" w:rsidRPr="003A0D00">
        <w:rPr>
          <w:rFonts w:ascii="Times New Roman" w:hAnsi="Times New Roman"/>
          <w:b/>
          <w:bCs/>
          <w:sz w:val="20"/>
          <w:lang w:val="es-AR"/>
        </w:rPr>
        <w:t xml:space="preserve"> </w:t>
      </w:r>
    </w:p>
    <w:p w14:paraId="26189ECC" w14:textId="77777777" w:rsidR="001A0523" w:rsidRPr="003A0D00" w:rsidRDefault="001A0523" w:rsidP="001A0523">
      <w:pPr>
        <w:jc w:val="center"/>
        <w:rPr>
          <w:rFonts w:ascii="Times New Roman" w:hAnsi="Times New Roman"/>
          <w:sz w:val="20"/>
          <w:lang w:val="es-AR"/>
        </w:rPr>
      </w:pPr>
    </w:p>
    <w:p w14:paraId="1990C9B5" w14:textId="77777777" w:rsidR="00C4078A" w:rsidRDefault="00DF21FB" w:rsidP="00DF21FB">
      <w:pPr>
        <w:jc w:val="center"/>
        <w:rPr>
          <w:rFonts w:ascii="Times New Roman" w:hAnsi="Times New Roman"/>
          <w:b/>
          <w:bCs/>
          <w:sz w:val="20"/>
          <w:lang w:val="es-AR"/>
        </w:rPr>
      </w:pPr>
      <w:r>
        <w:rPr>
          <w:rFonts w:ascii="Times New Roman" w:hAnsi="Times New Roman"/>
          <w:b/>
          <w:bCs/>
          <w:sz w:val="20"/>
          <w:lang w:val="es-AR"/>
        </w:rPr>
        <w:t>Organizadores y Colocadores</w:t>
      </w:r>
    </w:p>
    <w:tbl>
      <w:tblPr>
        <w:tblW w:w="0" w:type="auto"/>
        <w:jc w:val="center"/>
        <w:tblLook w:val="01E0" w:firstRow="1" w:lastRow="1" w:firstColumn="1" w:lastColumn="1" w:noHBand="0" w:noVBand="0"/>
      </w:tblPr>
      <w:tblGrid>
        <w:gridCol w:w="2902"/>
        <w:gridCol w:w="2974"/>
        <w:gridCol w:w="2962"/>
      </w:tblGrid>
      <w:tr w:rsidR="008D361E" w:rsidRPr="00AC0419" w14:paraId="6ACBF07E" w14:textId="77777777" w:rsidTr="008413ED">
        <w:trPr>
          <w:trHeight w:val="801"/>
          <w:jc w:val="center"/>
        </w:trPr>
        <w:tc>
          <w:tcPr>
            <w:tcW w:w="0" w:type="auto"/>
            <w:shd w:val="clear" w:color="auto" w:fill="auto"/>
            <w:vAlign w:val="center"/>
          </w:tcPr>
          <w:p w14:paraId="6296F72C" w14:textId="262DB22B" w:rsidR="00DF21FB" w:rsidRPr="00AC0419" w:rsidRDefault="007602DC" w:rsidP="00320A8B">
            <w:pPr>
              <w:spacing w:line="216" w:lineRule="auto"/>
              <w:jc w:val="center"/>
              <w:rPr>
                <w:rFonts w:ascii="Times New Roman" w:hAnsi="Times New Roman"/>
                <w:b/>
                <w:sz w:val="20"/>
              </w:rPr>
            </w:pPr>
            <w:r w:rsidRPr="001A4976">
              <w:rPr>
                <w:rFonts w:ascii="Times New Roman" w:hAnsi="Times New Roman"/>
                <w:b/>
                <w:noProof/>
                <w:sz w:val="20"/>
                <w:lang w:val="es-AR" w:eastAsia="es-AR"/>
              </w:rPr>
              <w:drawing>
                <wp:inline distT="0" distB="0" distL="0" distR="0" wp14:anchorId="06DC48DA" wp14:editId="4BE37D14">
                  <wp:extent cx="1143000" cy="285750"/>
                  <wp:effectExtent l="0" t="0" r="0" b="0"/>
                  <wp:docPr id="5" name="Imagen 1" descr="Banco Gal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 Galic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tc>
        <w:tc>
          <w:tcPr>
            <w:tcW w:w="0" w:type="auto"/>
            <w:vAlign w:val="center"/>
          </w:tcPr>
          <w:p w14:paraId="54954BB1" w14:textId="6071DA13" w:rsidR="00DF21FB" w:rsidRPr="00AC0419" w:rsidRDefault="00F72B97">
            <w:pPr>
              <w:spacing w:line="216" w:lineRule="auto"/>
              <w:jc w:val="center"/>
              <w:rPr>
                <w:rFonts w:ascii="Times New Roman" w:hAnsi="Times New Roman"/>
                <w:b/>
                <w:noProof/>
                <w:sz w:val="20"/>
                <w:lang w:val="es-ES"/>
              </w:rPr>
            </w:pPr>
            <w:r>
              <w:rPr>
                <w:rFonts w:ascii="Times New Roman" w:hAnsi="Times New Roman"/>
                <w:b/>
                <w:noProof/>
                <w:sz w:val="20"/>
                <w:lang w:val="es-AR" w:eastAsia="es-AR"/>
              </w:rPr>
              <w:drawing>
                <wp:inline distT="0" distB="0" distL="0" distR="0" wp14:anchorId="1B84C55B" wp14:editId="5131E9A7">
                  <wp:extent cx="1085215" cy="26797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267970"/>
                          </a:xfrm>
                          <a:prstGeom prst="rect">
                            <a:avLst/>
                          </a:prstGeom>
                          <a:noFill/>
                        </pic:spPr>
                      </pic:pic>
                    </a:graphicData>
                  </a:graphic>
                </wp:inline>
              </w:drawing>
            </w:r>
          </w:p>
        </w:tc>
        <w:tc>
          <w:tcPr>
            <w:tcW w:w="0" w:type="auto"/>
            <w:vAlign w:val="center"/>
          </w:tcPr>
          <w:p w14:paraId="7E85B70A" w14:textId="3417823F" w:rsidR="00DF21FB" w:rsidRPr="00AC0419" w:rsidRDefault="00F72B97" w:rsidP="00320A8B">
            <w:pPr>
              <w:spacing w:line="216" w:lineRule="auto"/>
              <w:jc w:val="center"/>
              <w:rPr>
                <w:rFonts w:ascii="Times New Roman" w:hAnsi="Times New Roman"/>
                <w:b/>
                <w:bCs/>
                <w:sz w:val="20"/>
                <w:u w:val="single"/>
              </w:rPr>
            </w:pPr>
            <w:r w:rsidRPr="001A4976">
              <w:rPr>
                <w:rFonts w:ascii="Times New Roman" w:hAnsi="Times New Roman"/>
                <w:b/>
                <w:noProof/>
                <w:sz w:val="20"/>
                <w:lang w:val="es-AR" w:eastAsia="es-AR"/>
              </w:rPr>
              <w:drawing>
                <wp:inline distT="0" distB="0" distL="0" distR="0" wp14:anchorId="1FA6D440" wp14:editId="5E2964AE">
                  <wp:extent cx="1190625" cy="5238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23875"/>
                          </a:xfrm>
                          <a:prstGeom prst="rect">
                            <a:avLst/>
                          </a:prstGeom>
                          <a:noFill/>
                          <a:ln>
                            <a:noFill/>
                          </a:ln>
                        </pic:spPr>
                      </pic:pic>
                    </a:graphicData>
                  </a:graphic>
                </wp:inline>
              </w:drawing>
            </w:r>
          </w:p>
        </w:tc>
      </w:tr>
      <w:tr w:rsidR="008D361E" w:rsidRPr="00453A77" w14:paraId="194EEC39" w14:textId="77777777" w:rsidTr="008D361E">
        <w:trPr>
          <w:trHeight w:val="1385"/>
          <w:jc w:val="center"/>
        </w:trPr>
        <w:tc>
          <w:tcPr>
            <w:tcW w:w="0" w:type="auto"/>
            <w:shd w:val="clear" w:color="auto" w:fill="auto"/>
          </w:tcPr>
          <w:p w14:paraId="1CEF8F0D" w14:textId="77777777" w:rsidR="007602DC" w:rsidRPr="007602DC" w:rsidRDefault="007602DC" w:rsidP="007602DC">
            <w:pPr>
              <w:spacing w:line="216" w:lineRule="auto"/>
              <w:ind w:right="-107"/>
              <w:jc w:val="center"/>
              <w:rPr>
                <w:rFonts w:ascii="Times New Roman" w:hAnsi="Times New Roman"/>
                <w:b/>
                <w:bCs/>
                <w:sz w:val="20"/>
                <w:lang w:val="es-AR"/>
              </w:rPr>
            </w:pPr>
            <w:r w:rsidRPr="007602DC">
              <w:rPr>
                <w:rFonts w:ascii="Times New Roman" w:hAnsi="Times New Roman"/>
                <w:b/>
                <w:bCs/>
                <w:sz w:val="20"/>
                <w:lang w:val="es-AR"/>
              </w:rPr>
              <w:t>Banco de Galicia y Buenos Aires S.A.U.</w:t>
            </w:r>
          </w:p>
          <w:p w14:paraId="2D4F9E38" w14:textId="77777777" w:rsidR="007602DC" w:rsidRPr="007602DC" w:rsidRDefault="007602DC" w:rsidP="007602DC">
            <w:pPr>
              <w:spacing w:line="216" w:lineRule="auto"/>
              <w:ind w:right="-222"/>
              <w:jc w:val="center"/>
              <w:rPr>
                <w:rFonts w:ascii="Times New Roman" w:hAnsi="Times New Roman"/>
                <w:bCs/>
                <w:sz w:val="20"/>
                <w:lang w:val="es-AR"/>
              </w:rPr>
            </w:pPr>
            <w:r w:rsidRPr="007602DC">
              <w:rPr>
                <w:rFonts w:ascii="Times New Roman" w:hAnsi="Times New Roman"/>
                <w:bCs/>
                <w:sz w:val="20"/>
                <w:lang w:val="es-AR"/>
              </w:rPr>
              <w:t>Agente de Liquidación y Compensación y Agente de Negociación Integral</w:t>
            </w:r>
          </w:p>
          <w:p w14:paraId="1766D295" w14:textId="28AB97F8" w:rsidR="00DF21FB" w:rsidRPr="00AC0419" w:rsidRDefault="007602DC" w:rsidP="00320A8B">
            <w:pPr>
              <w:spacing w:line="216" w:lineRule="auto"/>
              <w:ind w:right="-107"/>
              <w:jc w:val="center"/>
              <w:rPr>
                <w:rFonts w:ascii="Times New Roman" w:hAnsi="Times New Roman"/>
                <w:b/>
                <w:sz w:val="20"/>
                <w:lang w:val="es-AR"/>
              </w:rPr>
            </w:pPr>
            <w:r w:rsidRPr="007602DC">
              <w:rPr>
                <w:rFonts w:ascii="Times New Roman" w:hAnsi="Times New Roman"/>
                <w:bCs/>
                <w:sz w:val="20"/>
                <w:lang w:val="es-AR"/>
              </w:rPr>
              <w:t>Número de Matrícula N° 22 de la CNV</w:t>
            </w:r>
          </w:p>
        </w:tc>
        <w:tc>
          <w:tcPr>
            <w:tcW w:w="0" w:type="auto"/>
          </w:tcPr>
          <w:p w14:paraId="48A01CFD" w14:textId="77777777" w:rsidR="00F72B97" w:rsidRPr="00AC0419" w:rsidRDefault="00F72B97" w:rsidP="00F72B97">
            <w:pPr>
              <w:spacing w:line="216" w:lineRule="auto"/>
              <w:ind w:right="-107"/>
              <w:jc w:val="center"/>
              <w:rPr>
                <w:rFonts w:ascii="Times New Roman" w:hAnsi="Times New Roman"/>
                <w:b/>
                <w:bCs/>
                <w:sz w:val="20"/>
                <w:lang w:val="es-AR"/>
              </w:rPr>
            </w:pPr>
            <w:r w:rsidRPr="00AC0419">
              <w:rPr>
                <w:rFonts w:ascii="Times New Roman" w:hAnsi="Times New Roman"/>
                <w:b/>
                <w:bCs/>
                <w:sz w:val="20"/>
                <w:lang w:val="es-AR"/>
              </w:rPr>
              <w:t>Balanz Capital Valores S.A.U.</w:t>
            </w:r>
          </w:p>
          <w:p w14:paraId="4184E5B6" w14:textId="77777777" w:rsidR="00F72B97" w:rsidRPr="00AC0419" w:rsidRDefault="00F72B97" w:rsidP="00F72B97">
            <w:pPr>
              <w:spacing w:line="216" w:lineRule="auto"/>
              <w:ind w:right="-107"/>
              <w:jc w:val="center"/>
              <w:rPr>
                <w:rFonts w:ascii="Times New Roman" w:hAnsi="Times New Roman"/>
                <w:bCs/>
                <w:sz w:val="20"/>
                <w:lang w:val="es-AR"/>
              </w:rPr>
            </w:pPr>
          </w:p>
          <w:p w14:paraId="226D3BC1" w14:textId="77777777" w:rsidR="00F72B97" w:rsidRPr="00AC0419" w:rsidRDefault="00F72B97" w:rsidP="00F72B97">
            <w:pPr>
              <w:spacing w:line="216" w:lineRule="auto"/>
              <w:ind w:right="-107"/>
              <w:jc w:val="center"/>
              <w:rPr>
                <w:rFonts w:ascii="Times New Roman" w:hAnsi="Times New Roman"/>
                <w:bCs/>
                <w:sz w:val="20"/>
                <w:lang w:val="es-AR"/>
              </w:rPr>
            </w:pPr>
            <w:r w:rsidRPr="00AC0419">
              <w:rPr>
                <w:rFonts w:ascii="Times New Roman" w:hAnsi="Times New Roman"/>
                <w:bCs/>
                <w:sz w:val="20"/>
                <w:lang w:val="es-AR"/>
              </w:rPr>
              <w:t>Agente de Liquidación y Compensación y Agente de Negociación Integral</w:t>
            </w:r>
          </w:p>
          <w:p w14:paraId="766EA1FC" w14:textId="434BC355" w:rsidR="00DF21FB" w:rsidRPr="00AC0419" w:rsidRDefault="00F72B97" w:rsidP="00320A8B">
            <w:pPr>
              <w:spacing w:line="216" w:lineRule="auto"/>
              <w:jc w:val="center"/>
              <w:rPr>
                <w:rFonts w:ascii="Times New Roman" w:hAnsi="Times New Roman"/>
                <w:b/>
                <w:bCs/>
                <w:sz w:val="20"/>
                <w:lang w:val="es-AR"/>
              </w:rPr>
            </w:pPr>
            <w:r w:rsidRPr="00AC0419">
              <w:rPr>
                <w:rFonts w:ascii="Times New Roman" w:hAnsi="Times New Roman"/>
                <w:bCs/>
                <w:sz w:val="20"/>
                <w:lang w:val="es-AR"/>
              </w:rPr>
              <w:t>Número de Matrícula N° 210 de la CNV</w:t>
            </w:r>
          </w:p>
        </w:tc>
        <w:tc>
          <w:tcPr>
            <w:tcW w:w="0" w:type="auto"/>
          </w:tcPr>
          <w:p w14:paraId="5045E44A" w14:textId="77777777" w:rsidR="00F72B97" w:rsidRPr="00AC0419" w:rsidRDefault="00F72B97" w:rsidP="00F72B97">
            <w:pPr>
              <w:spacing w:line="216" w:lineRule="auto"/>
              <w:jc w:val="center"/>
              <w:rPr>
                <w:rFonts w:ascii="Times New Roman" w:hAnsi="Times New Roman"/>
                <w:b/>
                <w:bCs/>
                <w:sz w:val="20"/>
                <w:lang w:val="es-AR"/>
              </w:rPr>
            </w:pPr>
            <w:r w:rsidRPr="00AC0419">
              <w:rPr>
                <w:rFonts w:ascii="Times New Roman" w:hAnsi="Times New Roman"/>
                <w:b/>
                <w:bCs/>
                <w:sz w:val="20"/>
                <w:lang w:val="es-AR"/>
              </w:rPr>
              <w:t>INTL CIBSA S.A.</w:t>
            </w:r>
          </w:p>
          <w:p w14:paraId="2453C04E" w14:textId="77777777" w:rsidR="00F72B97" w:rsidRPr="00AC0419" w:rsidRDefault="00F72B97" w:rsidP="00F72B97">
            <w:pPr>
              <w:spacing w:line="216" w:lineRule="auto"/>
              <w:ind w:right="-222"/>
              <w:jc w:val="center"/>
              <w:rPr>
                <w:rFonts w:ascii="Times New Roman" w:hAnsi="Times New Roman"/>
                <w:b/>
                <w:bCs/>
                <w:sz w:val="20"/>
                <w:lang w:val="es-AR"/>
              </w:rPr>
            </w:pPr>
          </w:p>
          <w:p w14:paraId="3C052682" w14:textId="77777777" w:rsidR="00F72B97" w:rsidRPr="00AC0419" w:rsidRDefault="00F72B97" w:rsidP="00F72B97">
            <w:pPr>
              <w:spacing w:line="216" w:lineRule="auto"/>
              <w:ind w:right="-222"/>
              <w:jc w:val="center"/>
              <w:rPr>
                <w:rFonts w:ascii="Times New Roman" w:hAnsi="Times New Roman"/>
                <w:bCs/>
                <w:sz w:val="20"/>
                <w:lang w:val="es-AR"/>
              </w:rPr>
            </w:pPr>
            <w:r w:rsidRPr="00AC0419">
              <w:rPr>
                <w:rFonts w:ascii="Times New Roman" w:hAnsi="Times New Roman"/>
                <w:bCs/>
                <w:sz w:val="20"/>
                <w:lang w:val="es-AR"/>
              </w:rPr>
              <w:t>Agente de Liquidación y Compensación y Agente de Negociación Integral</w:t>
            </w:r>
          </w:p>
          <w:p w14:paraId="3B5725B9" w14:textId="769DE6B9" w:rsidR="00DF21FB" w:rsidRPr="00AC0419" w:rsidRDefault="00F72B97" w:rsidP="00320A8B">
            <w:pPr>
              <w:spacing w:line="216" w:lineRule="auto"/>
              <w:jc w:val="center"/>
              <w:rPr>
                <w:rFonts w:ascii="Times New Roman" w:hAnsi="Times New Roman"/>
                <w:b/>
                <w:bCs/>
                <w:sz w:val="20"/>
                <w:lang w:val="es-AR"/>
              </w:rPr>
            </w:pPr>
            <w:r w:rsidRPr="00AC0419">
              <w:rPr>
                <w:rFonts w:ascii="Times New Roman" w:hAnsi="Times New Roman"/>
                <w:bCs/>
                <w:sz w:val="20"/>
                <w:lang w:val="es-AR"/>
              </w:rPr>
              <w:t>Número de Matrícula N° 47 de la CNV</w:t>
            </w:r>
            <w:r w:rsidRPr="007602DC" w:rsidDel="00F72B97">
              <w:rPr>
                <w:rFonts w:ascii="Times New Roman" w:hAnsi="Times New Roman"/>
                <w:b/>
                <w:bCs/>
                <w:sz w:val="20"/>
                <w:lang w:val="es-AR"/>
              </w:rPr>
              <w:t xml:space="preserve"> </w:t>
            </w:r>
          </w:p>
        </w:tc>
      </w:tr>
      <w:tr w:rsidR="008D361E" w:rsidRPr="00AC0419" w14:paraId="002BE929" w14:textId="77777777" w:rsidTr="008D361E">
        <w:trPr>
          <w:trHeight w:val="801"/>
          <w:jc w:val="center"/>
        </w:trPr>
        <w:tc>
          <w:tcPr>
            <w:tcW w:w="0" w:type="auto"/>
            <w:shd w:val="clear" w:color="auto" w:fill="auto"/>
            <w:vAlign w:val="center"/>
          </w:tcPr>
          <w:p w14:paraId="03C8FB29" w14:textId="77777777" w:rsidR="008D361E" w:rsidRPr="004C62B9" w:rsidRDefault="008D361E" w:rsidP="00D9363C">
            <w:pPr>
              <w:spacing w:line="216" w:lineRule="auto"/>
              <w:jc w:val="center"/>
              <w:rPr>
                <w:rFonts w:ascii="Times New Roman" w:hAnsi="Times New Roman"/>
                <w:b/>
                <w:sz w:val="20"/>
                <w:lang w:val="es-AR"/>
              </w:rPr>
            </w:pPr>
          </w:p>
        </w:tc>
        <w:tc>
          <w:tcPr>
            <w:tcW w:w="0" w:type="auto"/>
          </w:tcPr>
          <w:p w14:paraId="50580D10" w14:textId="77777777" w:rsidR="008D361E" w:rsidRPr="00AC0419" w:rsidRDefault="008D361E" w:rsidP="00D9363C">
            <w:pPr>
              <w:spacing w:line="216" w:lineRule="auto"/>
              <w:jc w:val="center"/>
              <w:rPr>
                <w:rFonts w:ascii="Times New Roman" w:hAnsi="Times New Roman"/>
                <w:b/>
                <w:noProof/>
                <w:sz w:val="20"/>
                <w:lang w:val="es-ES"/>
              </w:rPr>
            </w:pPr>
            <w:r w:rsidRPr="008D361E">
              <w:rPr>
                <w:rFonts w:ascii="Times New Roman" w:hAnsi="Times New Roman"/>
                <w:b/>
                <w:noProof/>
                <w:sz w:val="20"/>
                <w:lang w:val="es-AR" w:eastAsia="es-AR"/>
              </w:rPr>
              <w:drawing>
                <wp:inline distT="0" distB="0" distL="0" distR="0" wp14:anchorId="5AE563C9" wp14:editId="2D31FA6D">
                  <wp:extent cx="1200150" cy="475422"/>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7798" cy="514104"/>
                          </a:xfrm>
                          <a:prstGeom prst="rect">
                            <a:avLst/>
                          </a:prstGeom>
                          <a:noFill/>
                          <a:ln>
                            <a:noFill/>
                          </a:ln>
                        </pic:spPr>
                      </pic:pic>
                    </a:graphicData>
                  </a:graphic>
                </wp:inline>
              </w:drawing>
            </w:r>
          </w:p>
        </w:tc>
        <w:tc>
          <w:tcPr>
            <w:tcW w:w="0" w:type="auto"/>
            <w:vAlign w:val="center"/>
          </w:tcPr>
          <w:p w14:paraId="5CFA0F5A" w14:textId="77777777" w:rsidR="008D361E" w:rsidRPr="00AC0419" w:rsidRDefault="008D361E" w:rsidP="00D9363C">
            <w:pPr>
              <w:spacing w:line="216" w:lineRule="auto"/>
              <w:jc w:val="center"/>
              <w:rPr>
                <w:rFonts w:ascii="Times New Roman" w:hAnsi="Times New Roman"/>
                <w:b/>
                <w:bCs/>
                <w:sz w:val="20"/>
                <w:u w:val="single"/>
              </w:rPr>
            </w:pPr>
          </w:p>
        </w:tc>
      </w:tr>
      <w:tr w:rsidR="008D361E" w:rsidRPr="00DC35DA" w14:paraId="06A88546" w14:textId="77777777" w:rsidTr="008D361E">
        <w:trPr>
          <w:trHeight w:val="1385"/>
          <w:jc w:val="center"/>
        </w:trPr>
        <w:tc>
          <w:tcPr>
            <w:tcW w:w="0" w:type="auto"/>
            <w:shd w:val="clear" w:color="auto" w:fill="auto"/>
          </w:tcPr>
          <w:p w14:paraId="2F9C67DE" w14:textId="77777777" w:rsidR="008D361E" w:rsidRPr="00AC0419" w:rsidRDefault="008D361E" w:rsidP="00D9363C">
            <w:pPr>
              <w:spacing w:line="216" w:lineRule="auto"/>
              <w:ind w:right="-107"/>
              <w:jc w:val="center"/>
              <w:rPr>
                <w:rFonts w:ascii="Times New Roman" w:hAnsi="Times New Roman"/>
                <w:b/>
                <w:sz w:val="20"/>
                <w:lang w:val="es-AR"/>
              </w:rPr>
            </w:pPr>
          </w:p>
        </w:tc>
        <w:tc>
          <w:tcPr>
            <w:tcW w:w="0" w:type="auto"/>
          </w:tcPr>
          <w:p w14:paraId="1E497C4E" w14:textId="77777777" w:rsidR="008D361E" w:rsidRPr="00AC0419" w:rsidRDefault="008D361E" w:rsidP="00D9363C">
            <w:pPr>
              <w:spacing w:line="216" w:lineRule="auto"/>
              <w:jc w:val="center"/>
              <w:rPr>
                <w:rFonts w:ascii="Times New Roman" w:hAnsi="Times New Roman"/>
                <w:b/>
                <w:bCs/>
                <w:sz w:val="20"/>
                <w:lang w:val="es-AR"/>
              </w:rPr>
            </w:pPr>
            <w:r>
              <w:rPr>
                <w:rFonts w:ascii="Times New Roman" w:hAnsi="Times New Roman"/>
                <w:b/>
                <w:bCs/>
                <w:sz w:val="20"/>
                <w:lang w:val="es-AR"/>
              </w:rPr>
              <w:t>Banco de la Provincia de Buenos Aires</w:t>
            </w:r>
          </w:p>
          <w:p w14:paraId="0432773C" w14:textId="77777777" w:rsidR="008D361E" w:rsidRPr="00AC0419" w:rsidRDefault="008D361E" w:rsidP="00D9363C">
            <w:pPr>
              <w:spacing w:line="216" w:lineRule="auto"/>
              <w:ind w:right="-222"/>
              <w:jc w:val="center"/>
              <w:rPr>
                <w:rFonts w:ascii="Times New Roman" w:hAnsi="Times New Roman"/>
                <w:b/>
                <w:bCs/>
                <w:sz w:val="20"/>
                <w:lang w:val="es-AR"/>
              </w:rPr>
            </w:pPr>
          </w:p>
          <w:p w14:paraId="1F14E36F" w14:textId="77777777" w:rsidR="008D361E" w:rsidRPr="008D361E" w:rsidRDefault="008D361E" w:rsidP="008D361E">
            <w:pPr>
              <w:spacing w:line="216" w:lineRule="auto"/>
              <w:ind w:right="-222"/>
              <w:jc w:val="center"/>
              <w:rPr>
                <w:rFonts w:ascii="Times New Roman" w:hAnsi="Times New Roman"/>
                <w:bCs/>
                <w:sz w:val="20"/>
                <w:lang w:val="es-AR"/>
              </w:rPr>
            </w:pPr>
            <w:r w:rsidRPr="008D361E">
              <w:rPr>
                <w:rFonts w:ascii="Times New Roman" w:hAnsi="Times New Roman"/>
                <w:bCs/>
                <w:sz w:val="20"/>
                <w:lang w:val="es-AR"/>
              </w:rPr>
              <w:t xml:space="preserve">Agente de Liquidación y </w:t>
            </w:r>
          </w:p>
          <w:p w14:paraId="7F65DA5C" w14:textId="77777777" w:rsidR="008D361E" w:rsidRPr="008D361E" w:rsidRDefault="008D361E" w:rsidP="008D361E">
            <w:pPr>
              <w:spacing w:line="216" w:lineRule="auto"/>
              <w:ind w:right="-222"/>
              <w:jc w:val="center"/>
              <w:rPr>
                <w:rFonts w:ascii="Times New Roman" w:hAnsi="Times New Roman"/>
                <w:bCs/>
                <w:sz w:val="20"/>
                <w:lang w:val="es-AR"/>
              </w:rPr>
            </w:pPr>
            <w:r w:rsidRPr="008D361E">
              <w:rPr>
                <w:rFonts w:ascii="Times New Roman" w:hAnsi="Times New Roman"/>
                <w:bCs/>
                <w:sz w:val="20"/>
                <w:lang w:val="es-AR"/>
              </w:rPr>
              <w:t xml:space="preserve">Compensación y Agente de </w:t>
            </w:r>
          </w:p>
          <w:p w14:paraId="0176EEBE" w14:textId="77777777" w:rsidR="008D361E" w:rsidRPr="008D361E" w:rsidRDefault="008D361E" w:rsidP="008D361E">
            <w:pPr>
              <w:spacing w:line="216" w:lineRule="auto"/>
              <w:ind w:right="-222"/>
              <w:jc w:val="center"/>
              <w:rPr>
                <w:rFonts w:ascii="Times New Roman" w:hAnsi="Times New Roman"/>
                <w:bCs/>
                <w:sz w:val="20"/>
                <w:lang w:val="es-AR"/>
              </w:rPr>
            </w:pPr>
            <w:r w:rsidRPr="008D361E">
              <w:rPr>
                <w:rFonts w:ascii="Times New Roman" w:hAnsi="Times New Roman"/>
                <w:bCs/>
                <w:sz w:val="20"/>
                <w:lang w:val="es-AR"/>
              </w:rPr>
              <w:t>Negociación Integral</w:t>
            </w:r>
          </w:p>
          <w:p w14:paraId="4AB1911E" w14:textId="77777777" w:rsidR="008D361E" w:rsidRPr="008D361E" w:rsidRDefault="008D361E" w:rsidP="008D361E">
            <w:pPr>
              <w:spacing w:line="216" w:lineRule="auto"/>
              <w:ind w:right="-222"/>
              <w:jc w:val="center"/>
              <w:rPr>
                <w:rFonts w:ascii="Times New Roman" w:hAnsi="Times New Roman"/>
                <w:bCs/>
                <w:sz w:val="20"/>
                <w:lang w:val="es-AR"/>
              </w:rPr>
            </w:pPr>
            <w:r w:rsidRPr="008D361E">
              <w:rPr>
                <w:rFonts w:ascii="Times New Roman" w:hAnsi="Times New Roman"/>
                <w:bCs/>
                <w:sz w:val="20"/>
                <w:lang w:val="es-AR"/>
              </w:rPr>
              <w:t xml:space="preserve">Número de Matrícula N° 43 de </w:t>
            </w:r>
          </w:p>
          <w:p w14:paraId="1918F82E" w14:textId="77777777" w:rsidR="008D361E" w:rsidRPr="00AC0419" w:rsidRDefault="008D361E" w:rsidP="008D361E">
            <w:pPr>
              <w:spacing w:line="216" w:lineRule="auto"/>
              <w:jc w:val="center"/>
              <w:rPr>
                <w:rFonts w:ascii="Times New Roman" w:hAnsi="Times New Roman"/>
                <w:b/>
                <w:bCs/>
                <w:sz w:val="20"/>
                <w:lang w:val="es-AR"/>
              </w:rPr>
            </w:pPr>
            <w:r w:rsidRPr="008D361E">
              <w:rPr>
                <w:rFonts w:ascii="Times New Roman" w:hAnsi="Times New Roman"/>
                <w:bCs/>
                <w:sz w:val="20"/>
                <w:lang w:val="es-AR"/>
              </w:rPr>
              <w:t>la CNV</w:t>
            </w:r>
          </w:p>
        </w:tc>
        <w:tc>
          <w:tcPr>
            <w:tcW w:w="0" w:type="auto"/>
          </w:tcPr>
          <w:p w14:paraId="6DF5B834" w14:textId="77777777" w:rsidR="008D361E" w:rsidRPr="00AC0419" w:rsidRDefault="008D361E" w:rsidP="00D9363C">
            <w:pPr>
              <w:spacing w:line="216" w:lineRule="auto"/>
              <w:jc w:val="center"/>
              <w:rPr>
                <w:rFonts w:ascii="Times New Roman" w:hAnsi="Times New Roman"/>
                <w:b/>
                <w:bCs/>
                <w:sz w:val="20"/>
                <w:lang w:val="es-AR"/>
              </w:rPr>
            </w:pPr>
          </w:p>
        </w:tc>
      </w:tr>
    </w:tbl>
    <w:p w14:paraId="0A0D94F1" w14:textId="77777777" w:rsidR="00DF21FB" w:rsidRPr="00C4078A" w:rsidRDefault="00DF21FB" w:rsidP="008D361E">
      <w:pPr>
        <w:rPr>
          <w:rFonts w:ascii="Times New Roman" w:hAnsi="Times New Roman"/>
          <w:sz w:val="20"/>
          <w:lang w:val="es-AR"/>
        </w:rPr>
      </w:pPr>
    </w:p>
    <w:sectPr w:rsidR="00DF21FB" w:rsidRPr="00C4078A">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1AB5A" w14:textId="77777777" w:rsidR="007D70B0" w:rsidRDefault="007D70B0" w:rsidP="00BE7D0E">
      <w:r>
        <w:separator/>
      </w:r>
    </w:p>
  </w:endnote>
  <w:endnote w:type="continuationSeparator" w:id="0">
    <w:p w14:paraId="4D4FFEA7" w14:textId="77777777" w:rsidR="007D70B0" w:rsidRDefault="007D70B0" w:rsidP="00BE7D0E">
      <w:r>
        <w:continuationSeparator/>
      </w:r>
    </w:p>
  </w:endnote>
  <w:endnote w:type="continuationNotice" w:id="1">
    <w:p w14:paraId="5BD8E4E3" w14:textId="77777777" w:rsidR="007D70B0" w:rsidRDefault="007D7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7D07" w14:textId="77777777" w:rsidR="001E560D" w:rsidRDefault="001E560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0EA5B" w14:textId="77777777" w:rsidR="007D70B0" w:rsidRDefault="007D70B0" w:rsidP="00BE7D0E">
      <w:r>
        <w:separator/>
      </w:r>
    </w:p>
  </w:footnote>
  <w:footnote w:type="continuationSeparator" w:id="0">
    <w:p w14:paraId="0EE6F7A4" w14:textId="77777777" w:rsidR="007D70B0" w:rsidRDefault="007D70B0" w:rsidP="00BE7D0E">
      <w:r>
        <w:continuationSeparator/>
      </w:r>
    </w:p>
  </w:footnote>
  <w:footnote w:type="continuationNotice" w:id="1">
    <w:p w14:paraId="01244145" w14:textId="77777777" w:rsidR="007D70B0" w:rsidRDefault="007D70B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9E0A" w14:textId="77777777" w:rsidR="001E560D" w:rsidRDefault="001E560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3177"/>
    <w:multiLevelType w:val="hybridMultilevel"/>
    <w:tmpl w:val="626638C8"/>
    <w:lvl w:ilvl="0" w:tplc="CCF67B5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24277C8"/>
    <w:multiLevelType w:val="hybridMultilevel"/>
    <w:tmpl w:val="217CD7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F0C77AE"/>
    <w:multiLevelType w:val="hybridMultilevel"/>
    <w:tmpl w:val="CBF4D1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23"/>
    <w:rsid w:val="0000075E"/>
    <w:rsid w:val="000124CB"/>
    <w:rsid w:val="0001349A"/>
    <w:rsid w:val="00024058"/>
    <w:rsid w:val="00040C01"/>
    <w:rsid w:val="000459B3"/>
    <w:rsid w:val="00060527"/>
    <w:rsid w:val="00061CA8"/>
    <w:rsid w:val="000657D6"/>
    <w:rsid w:val="0007118F"/>
    <w:rsid w:val="000944DC"/>
    <w:rsid w:val="000A387E"/>
    <w:rsid w:val="000D141B"/>
    <w:rsid w:val="000D4DFB"/>
    <w:rsid w:val="000E73F1"/>
    <w:rsid w:val="001020D1"/>
    <w:rsid w:val="001027C8"/>
    <w:rsid w:val="00124F88"/>
    <w:rsid w:val="001347FB"/>
    <w:rsid w:val="001516A5"/>
    <w:rsid w:val="00152B13"/>
    <w:rsid w:val="001542C5"/>
    <w:rsid w:val="00167C47"/>
    <w:rsid w:val="00167D67"/>
    <w:rsid w:val="00171194"/>
    <w:rsid w:val="00173069"/>
    <w:rsid w:val="001813CA"/>
    <w:rsid w:val="001908CD"/>
    <w:rsid w:val="001937BB"/>
    <w:rsid w:val="001A0523"/>
    <w:rsid w:val="001A4976"/>
    <w:rsid w:val="001B0DEE"/>
    <w:rsid w:val="001C1DB0"/>
    <w:rsid w:val="001D1B85"/>
    <w:rsid w:val="001D43F0"/>
    <w:rsid w:val="001D57A7"/>
    <w:rsid w:val="001D5876"/>
    <w:rsid w:val="001E51A9"/>
    <w:rsid w:val="001E560D"/>
    <w:rsid w:val="001F3232"/>
    <w:rsid w:val="001F5639"/>
    <w:rsid w:val="001F7F1A"/>
    <w:rsid w:val="00206970"/>
    <w:rsid w:val="00242B99"/>
    <w:rsid w:val="00254CD6"/>
    <w:rsid w:val="00280714"/>
    <w:rsid w:val="00284787"/>
    <w:rsid w:val="00284CE8"/>
    <w:rsid w:val="002A27D0"/>
    <w:rsid w:val="002B6C44"/>
    <w:rsid w:val="002C5066"/>
    <w:rsid w:val="002D14B6"/>
    <w:rsid w:val="002E35BC"/>
    <w:rsid w:val="002F2FFF"/>
    <w:rsid w:val="002F51EA"/>
    <w:rsid w:val="002F570B"/>
    <w:rsid w:val="00305C97"/>
    <w:rsid w:val="00322F70"/>
    <w:rsid w:val="003604FF"/>
    <w:rsid w:val="00366A0A"/>
    <w:rsid w:val="00373BB7"/>
    <w:rsid w:val="00375554"/>
    <w:rsid w:val="0038349D"/>
    <w:rsid w:val="0038546C"/>
    <w:rsid w:val="0039357B"/>
    <w:rsid w:val="003961E2"/>
    <w:rsid w:val="003A036E"/>
    <w:rsid w:val="003A0D00"/>
    <w:rsid w:val="003B6A56"/>
    <w:rsid w:val="003C00EE"/>
    <w:rsid w:val="003C1832"/>
    <w:rsid w:val="003D68D8"/>
    <w:rsid w:val="003E2529"/>
    <w:rsid w:val="0041322B"/>
    <w:rsid w:val="00422269"/>
    <w:rsid w:val="00427A82"/>
    <w:rsid w:val="00450A67"/>
    <w:rsid w:val="00453A77"/>
    <w:rsid w:val="00462829"/>
    <w:rsid w:val="00470026"/>
    <w:rsid w:val="00470E94"/>
    <w:rsid w:val="004762B0"/>
    <w:rsid w:val="00477202"/>
    <w:rsid w:val="00493ED4"/>
    <w:rsid w:val="004A55C5"/>
    <w:rsid w:val="004A65A0"/>
    <w:rsid w:val="004C10C7"/>
    <w:rsid w:val="004C315B"/>
    <w:rsid w:val="004C62B9"/>
    <w:rsid w:val="004E3E1F"/>
    <w:rsid w:val="004E532F"/>
    <w:rsid w:val="004E53A9"/>
    <w:rsid w:val="00500687"/>
    <w:rsid w:val="00514DC0"/>
    <w:rsid w:val="00541AAB"/>
    <w:rsid w:val="00552F8A"/>
    <w:rsid w:val="005A7DDF"/>
    <w:rsid w:val="005D2011"/>
    <w:rsid w:val="005D590E"/>
    <w:rsid w:val="005E7EAF"/>
    <w:rsid w:val="00612A76"/>
    <w:rsid w:val="006169C2"/>
    <w:rsid w:val="006246DB"/>
    <w:rsid w:val="00647A15"/>
    <w:rsid w:val="00653629"/>
    <w:rsid w:val="00675E24"/>
    <w:rsid w:val="006761D7"/>
    <w:rsid w:val="006838EB"/>
    <w:rsid w:val="00691EDC"/>
    <w:rsid w:val="00696FF2"/>
    <w:rsid w:val="006A2BB0"/>
    <w:rsid w:val="006A3209"/>
    <w:rsid w:val="006C1892"/>
    <w:rsid w:val="006C573A"/>
    <w:rsid w:val="006E539E"/>
    <w:rsid w:val="00714C40"/>
    <w:rsid w:val="00744F67"/>
    <w:rsid w:val="007528EF"/>
    <w:rsid w:val="007576D4"/>
    <w:rsid w:val="007602DC"/>
    <w:rsid w:val="007864B0"/>
    <w:rsid w:val="007928F9"/>
    <w:rsid w:val="00794B67"/>
    <w:rsid w:val="00795740"/>
    <w:rsid w:val="007A4503"/>
    <w:rsid w:val="007B32AA"/>
    <w:rsid w:val="007B444B"/>
    <w:rsid w:val="007B654E"/>
    <w:rsid w:val="007B74DD"/>
    <w:rsid w:val="007C604E"/>
    <w:rsid w:val="007C76FC"/>
    <w:rsid w:val="007D70B0"/>
    <w:rsid w:val="007E5376"/>
    <w:rsid w:val="007F08CE"/>
    <w:rsid w:val="00805C0E"/>
    <w:rsid w:val="008133CC"/>
    <w:rsid w:val="00820975"/>
    <w:rsid w:val="00821F69"/>
    <w:rsid w:val="00837950"/>
    <w:rsid w:val="008413ED"/>
    <w:rsid w:val="00841FBB"/>
    <w:rsid w:val="00846F1D"/>
    <w:rsid w:val="008639EC"/>
    <w:rsid w:val="008B19EB"/>
    <w:rsid w:val="008B3F2C"/>
    <w:rsid w:val="008C6425"/>
    <w:rsid w:val="008D361E"/>
    <w:rsid w:val="008E0E07"/>
    <w:rsid w:val="008E0EAC"/>
    <w:rsid w:val="009132F3"/>
    <w:rsid w:val="009175A5"/>
    <w:rsid w:val="00924406"/>
    <w:rsid w:val="00930262"/>
    <w:rsid w:val="009355AB"/>
    <w:rsid w:val="00943196"/>
    <w:rsid w:val="009474AA"/>
    <w:rsid w:val="00966BDD"/>
    <w:rsid w:val="00985B06"/>
    <w:rsid w:val="009C4B6A"/>
    <w:rsid w:val="009D2513"/>
    <w:rsid w:val="009D28E1"/>
    <w:rsid w:val="009D60F5"/>
    <w:rsid w:val="009E08CF"/>
    <w:rsid w:val="009E467A"/>
    <w:rsid w:val="009F2DBE"/>
    <w:rsid w:val="00A10D9D"/>
    <w:rsid w:val="00A11ADA"/>
    <w:rsid w:val="00A17863"/>
    <w:rsid w:val="00A21A13"/>
    <w:rsid w:val="00A269F0"/>
    <w:rsid w:val="00A4693C"/>
    <w:rsid w:val="00A5075E"/>
    <w:rsid w:val="00A6449B"/>
    <w:rsid w:val="00A73DAD"/>
    <w:rsid w:val="00AA1CE5"/>
    <w:rsid w:val="00AA5279"/>
    <w:rsid w:val="00AC0419"/>
    <w:rsid w:val="00AC3BC6"/>
    <w:rsid w:val="00AC4034"/>
    <w:rsid w:val="00AD27A4"/>
    <w:rsid w:val="00AD2FB8"/>
    <w:rsid w:val="00AD40F3"/>
    <w:rsid w:val="00AE3DED"/>
    <w:rsid w:val="00AE726A"/>
    <w:rsid w:val="00AE7CB6"/>
    <w:rsid w:val="00AF1C6B"/>
    <w:rsid w:val="00B04A82"/>
    <w:rsid w:val="00B109EE"/>
    <w:rsid w:val="00B10A8E"/>
    <w:rsid w:val="00B14547"/>
    <w:rsid w:val="00B223EA"/>
    <w:rsid w:val="00B2656E"/>
    <w:rsid w:val="00B32D62"/>
    <w:rsid w:val="00B43A7E"/>
    <w:rsid w:val="00B4775D"/>
    <w:rsid w:val="00B62F7A"/>
    <w:rsid w:val="00B64973"/>
    <w:rsid w:val="00B67FA1"/>
    <w:rsid w:val="00B8353E"/>
    <w:rsid w:val="00B854C1"/>
    <w:rsid w:val="00BA28E3"/>
    <w:rsid w:val="00BE624F"/>
    <w:rsid w:val="00BE7D0E"/>
    <w:rsid w:val="00C2101B"/>
    <w:rsid w:val="00C21737"/>
    <w:rsid w:val="00C27DD8"/>
    <w:rsid w:val="00C4078A"/>
    <w:rsid w:val="00C552CC"/>
    <w:rsid w:val="00C564D8"/>
    <w:rsid w:val="00C56ADD"/>
    <w:rsid w:val="00C56F50"/>
    <w:rsid w:val="00C61A00"/>
    <w:rsid w:val="00C74771"/>
    <w:rsid w:val="00C77BDB"/>
    <w:rsid w:val="00CA2CAB"/>
    <w:rsid w:val="00CD3170"/>
    <w:rsid w:val="00CE390C"/>
    <w:rsid w:val="00CE3FDD"/>
    <w:rsid w:val="00CE7298"/>
    <w:rsid w:val="00CF3092"/>
    <w:rsid w:val="00CF3F63"/>
    <w:rsid w:val="00D028EE"/>
    <w:rsid w:val="00D42228"/>
    <w:rsid w:val="00D50507"/>
    <w:rsid w:val="00D60761"/>
    <w:rsid w:val="00D67689"/>
    <w:rsid w:val="00D705D5"/>
    <w:rsid w:val="00D82CA7"/>
    <w:rsid w:val="00D86011"/>
    <w:rsid w:val="00D90863"/>
    <w:rsid w:val="00DB6AB7"/>
    <w:rsid w:val="00DC35DA"/>
    <w:rsid w:val="00DC37F9"/>
    <w:rsid w:val="00DF21FB"/>
    <w:rsid w:val="00E07F95"/>
    <w:rsid w:val="00E113B4"/>
    <w:rsid w:val="00E36408"/>
    <w:rsid w:val="00E8753C"/>
    <w:rsid w:val="00E9446D"/>
    <w:rsid w:val="00ED0573"/>
    <w:rsid w:val="00ED1272"/>
    <w:rsid w:val="00ED12ED"/>
    <w:rsid w:val="00EE2260"/>
    <w:rsid w:val="00F0626C"/>
    <w:rsid w:val="00F21762"/>
    <w:rsid w:val="00F30A7D"/>
    <w:rsid w:val="00F45135"/>
    <w:rsid w:val="00F46C81"/>
    <w:rsid w:val="00F72900"/>
    <w:rsid w:val="00F72B97"/>
    <w:rsid w:val="00F7524B"/>
    <w:rsid w:val="00F90C7F"/>
    <w:rsid w:val="00F96262"/>
    <w:rsid w:val="00FA5A4C"/>
    <w:rsid w:val="00FB7B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39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523"/>
    <w:pPr>
      <w:spacing w:after="0" w:line="240" w:lineRule="auto"/>
    </w:pPr>
    <w:rPr>
      <w:rFonts w:ascii="Garamond" w:eastAsia="Times New Roman" w:hAnsi="Garamond" w:cs="Times New Roman"/>
      <w:sz w:val="24"/>
      <w:szCs w:val="20"/>
      <w:lang w:val="en-GB"/>
    </w:rPr>
  </w:style>
  <w:style w:type="paragraph" w:styleId="Ttulo7">
    <w:name w:val="heading 7"/>
    <w:basedOn w:val="Normal"/>
    <w:next w:val="Normal"/>
    <w:link w:val="Ttulo7Car"/>
    <w:qFormat/>
    <w:rsid w:val="001A0523"/>
    <w:pPr>
      <w:keepNext/>
      <w:ind w:firstLine="720"/>
      <w:outlineLvl w:val="6"/>
    </w:pPr>
    <w:rPr>
      <w:rFonts w:ascii="Times New Roman" w:hAnsi="Times New Roman"/>
      <w:b/>
      <w:bCs/>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1A0523"/>
    <w:rPr>
      <w:rFonts w:ascii="Times New Roman" w:eastAsia="Times New Roman" w:hAnsi="Times New Roman" w:cs="Times New Roman"/>
      <w:b/>
      <w:bCs/>
    </w:rPr>
  </w:style>
  <w:style w:type="paragraph" w:styleId="Textoindependiente">
    <w:name w:val="Body Text"/>
    <w:aliases w:val="body text,bt"/>
    <w:basedOn w:val="Normal"/>
    <w:link w:val="TextoindependienteCar"/>
    <w:rsid w:val="001A0523"/>
    <w:pPr>
      <w:jc w:val="both"/>
    </w:pPr>
    <w:rPr>
      <w:rFonts w:ascii="Times New Roman" w:hAnsi="Times New Roman"/>
      <w:lang w:val="es-AR"/>
    </w:rPr>
  </w:style>
  <w:style w:type="character" w:customStyle="1" w:styleId="TextoindependienteCar">
    <w:name w:val="Texto independiente Car"/>
    <w:aliases w:val="body text Car,bt Car"/>
    <w:basedOn w:val="Fuentedeprrafopredeter"/>
    <w:link w:val="Textoindependiente"/>
    <w:rsid w:val="001A0523"/>
    <w:rPr>
      <w:rFonts w:ascii="Times New Roman" w:eastAsia="Times New Roman" w:hAnsi="Times New Roman" w:cs="Times New Roman"/>
      <w:sz w:val="24"/>
      <w:szCs w:val="20"/>
    </w:rPr>
  </w:style>
  <w:style w:type="paragraph" w:styleId="Ttulo">
    <w:name w:val="Title"/>
    <w:basedOn w:val="Normal"/>
    <w:link w:val="TtuloCar"/>
    <w:qFormat/>
    <w:rsid w:val="001A0523"/>
    <w:pPr>
      <w:jc w:val="center"/>
    </w:pPr>
    <w:rPr>
      <w:rFonts w:ascii="Times New Roman" w:hAnsi="Times New Roman"/>
      <w:b/>
      <w:bCs/>
      <w:lang w:val="es-AR"/>
    </w:rPr>
  </w:style>
  <w:style w:type="character" w:customStyle="1" w:styleId="TtuloCar">
    <w:name w:val="Título Car"/>
    <w:basedOn w:val="Fuentedeprrafopredeter"/>
    <w:link w:val="Ttulo"/>
    <w:rsid w:val="001A0523"/>
    <w:rPr>
      <w:rFonts w:ascii="Times New Roman" w:eastAsia="Times New Roman" w:hAnsi="Times New Roman" w:cs="Times New Roman"/>
      <w:b/>
      <w:bCs/>
      <w:sz w:val="24"/>
      <w:szCs w:val="20"/>
    </w:rPr>
  </w:style>
  <w:style w:type="character" w:styleId="Hipervnculo">
    <w:name w:val="Hyperlink"/>
    <w:rsid w:val="001A0523"/>
    <w:rPr>
      <w:color w:val="0000FF"/>
      <w:u w:val="single"/>
    </w:rPr>
  </w:style>
  <w:style w:type="paragraph" w:styleId="Textoindependiente3">
    <w:name w:val="Body Text 3"/>
    <w:basedOn w:val="Normal"/>
    <w:link w:val="Textoindependiente3Car"/>
    <w:rsid w:val="001A0523"/>
    <w:pPr>
      <w:ind w:right="-360"/>
      <w:jc w:val="both"/>
    </w:pPr>
    <w:rPr>
      <w:rFonts w:ascii="Times New Roman" w:hAnsi="Times New Roman"/>
      <w:sz w:val="16"/>
      <w:szCs w:val="24"/>
      <w:lang w:val="es-AR" w:eastAsia="es-AR"/>
    </w:rPr>
  </w:style>
  <w:style w:type="character" w:customStyle="1" w:styleId="Textoindependiente3Car">
    <w:name w:val="Texto independiente 3 Car"/>
    <w:basedOn w:val="Fuentedeprrafopredeter"/>
    <w:link w:val="Textoindependiente3"/>
    <w:rsid w:val="001A0523"/>
    <w:rPr>
      <w:rFonts w:ascii="Times New Roman" w:eastAsia="Times New Roman" w:hAnsi="Times New Roman" w:cs="Times New Roman"/>
      <w:sz w:val="16"/>
      <w:szCs w:val="24"/>
      <w:lang w:eastAsia="es-AR"/>
    </w:rPr>
  </w:style>
  <w:style w:type="character" w:customStyle="1" w:styleId="a1">
    <w:name w:val="a1"/>
    <w:rsid w:val="001A0523"/>
    <w:rPr>
      <w:rFonts w:ascii="Courier" w:hAnsi="Courier"/>
      <w:noProof w:val="0"/>
      <w:sz w:val="24"/>
      <w:lang w:val="en-US"/>
    </w:rPr>
  </w:style>
  <w:style w:type="paragraph" w:styleId="Textodeglobo">
    <w:name w:val="Balloon Text"/>
    <w:basedOn w:val="Normal"/>
    <w:link w:val="TextodegloboCar"/>
    <w:uiPriority w:val="99"/>
    <w:semiHidden/>
    <w:unhideWhenUsed/>
    <w:rsid w:val="001A0523"/>
    <w:rPr>
      <w:rFonts w:ascii="Tahoma" w:hAnsi="Tahoma" w:cs="Tahoma"/>
      <w:sz w:val="16"/>
      <w:szCs w:val="16"/>
    </w:rPr>
  </w:style>
  <w:style w:type="character" w:customStyle="1" w:styleId="TextodegloboCar">
    <w:name w:val="Texto de globo Car"/>
    <w:basedOn w:val="Fuentedeprrafopredeter"/>
    <w:link w:val="Textodeglobo"/>
    <w:uiPriority w:val="99"/>
    <w:semiHidden/>
    <w:rsid w:val="001A0523"/>
    <w:rPr>
      <w:rFonts w:ascii="Tahoma" w:eastAsia="Times New Roman" w:hAnsi="Tahoma" w:cs="Tahoma"/>
      <w:sz w:val="16"/>
      <w:szCs w:val="16"/>
      <w:lang w:val="en-GB"/>
    </w:rPr>
  </w:style>
  <w:style w:type="paragraph" w:styleId="Prrafodelista">
    <w:name w:val="List Paragraph"/>
    <w:basedOn w:val="Normal"/>
    <w:uiPriority w:val="34"/>
    <w:qFormat/>
    <w:rsid w:val="00A4693C"/>
    <w:pPr>
      <w:ind w:left="720"/>
      <w:contextualSpacing/>
    </w:pPr>
  </w:style>
  <w:style w:type="paragraph" w:styleId="Encabezado">
    <w:name w:val="header"/>
    <w:basedOn w:val="Normal"/>
    <w:link w:val="EncabezadoCar"/>
    <w:uiPriority w:val="99"/>
    <w:unhideWhenUsed/>
    <w:rsid w:val="00BE7D0E"/>
    <w:pPr>
      <w:tabs>
        <w:tab w:val="center" w:pos="4252"/>
        <w:tab w:val="right" w:pos="8504"/>
      </w:tabs>
    </w:pPr>
  </w:style>
  <w:style w:type="character" w:customStyle="1" w:styleId="EncabezadoCar">
    <w:name w:val="Encabezado Car"/>
    <w:basedOn w:val="Fuentedeprrafopredeter"/>
    <w:link w:val="Encabezado"/>
    <w:uiPriority w:val="99"/>
    <w:rsid w:val="00BE7D0E"/>
    <w:rPr>
      <w:rFonts w:ascii="Garamond" w:eastAsia="Times New Roman" w:hAnsi="Garamond" w:cs="Times New Roman"/>
      <w:sz w:val="24"/>
      <w:szCs w:val="20"/>
      <w:lang w:val="en-GB"/>
    </w:rPr>
  </w:style>
  <w:style w:type="paragraph" w:styleId="Piedepgina">
    <w:name w:val="footer"/>
    <w:basedOn w:val="Normal"/>
    <w:link w:val="PiedepginaCar"/>
    <w:uiPriority w:val="99"/>
    <w:unhideWhenUsed/>
    <w:rsid w:val="00BE7D0E"/>
    <w:pPr>
      <w:tabs>
        <w:tab w:val="center" w:pos="4252"/>
        <w:tab w:val="right" w:pos="8504"/>
      </w:tabs>
    </w:pPr>
  </w:style>
  <w:style w:type="character" w:customStyle="1" w:styleId="PiedepginaCar">
    <w:name w:val="Pie de página Car"/>
    <w:basedOn w:val="Fuentedeprrafopredeter"/>
    <w:link w:val="Piedepgina"/>
    <w:uiPriority w:val="99"/>
    <w:rsid w:val="00BE7D0E"/>
    <w:rPr>
      <w:rFonts w:ascii="Garamond" w:eastAsia="Times New Roman" w:hAnsi="Garamond" w:cs="Times New Roman"/>
      <w:sz w:val="24"/>
      <w:szCs w:val="20"/>
      <w:lang w:val="en-GB"/>
    </w:rPr>
  </w:style>
  <w:style w:type="character" w:customStyle="1" w:styleId="Mencinsinresolver1">
    <w:name w:val="Mención sin resolver1"/>
    <w:basedOn w:val="Fuentedeprrafopredeter"/>
    <w:uiPriority w:val="99"/>
    <w:semiHidden/>
    <w:unhideWhenUsed/>
    <w:rsid w:val="00C4078A"/>
    <w:rPr>
      <w:color w:val="808080"/>
      <w:shd w:val="clear" w:color="auto" w:fill="E6E6E6"/>
    </w:rPr>
  </w:style>
  <w:style w:type="table" w:customStyle="1" w:styleId="Cuadrculadetablaclara1">
    <w:name w:val="Cuadrícula de tabla clara1"/>
    <w:basedOn w:val="Tablanormal"/>
    <w:uiPriority w:val="40"/>
    <w:rsid w:val="00BA28E3"/>
    <w:pPr>
      <w:spacing w:after="0" w:line="240" w:lineRule="auto"/>
    </w:pPr>
    <w:rPr>
      <w:rFonts w:ascii="Calibri" w:eastAsia="Calibri" w:hAnsi="Calibri" w:cs="Times New Roman"/>
      <w:sz w:val="20"/>
      <w:szCs w:val="20"/>
      <w:lang w:eastAsia="es-A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u.com.ar"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u.com.ar" TargetMode="Externa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www.afip.gov.ar/aduana/arancelintegrad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e.com.ar/mpmae"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2533</Words>
  <Characters>13933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2020-02-28T15:22:00Z</dcterms:created>
  <dcterms:modified xsi:type="dcterms:W3CDTF">2020-02-28T19:03:00Z</dcterms:modified>
</cp:coreProperties>
</file>