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544BB" w14:textId="77777777" w:rsidR="00144CD5" w:rsidRPr="00BE69B5" w:rsidRDefault="00BE69B5" w:rsidP="00BE69B5">
      <w:pPr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MSU S.A.</w:t>
      </w:r>
      <w:r>
        <w:rPr>
          <w:rFonts w:ascii="Arial" w:eastAsia="Calibri" w:hAnsi="Arial" w:cs="Arial"/>
          <w:b/>
          <w:sz w:val="18"/>
          <w:szCs w:val="18"/>
        </w:rPr>
        <w:br/>
      </w:r>
      <w:r w:rsidR="00444125">
        <w:rPr>
          <w:rFonts w:ascii="Arial" w:eastAsia="Calibri" w:hAnsi="Arial" w:cs="Arial"/>
          <w:b/>
          <w:sz w:val="18"/>
          <w:szCs w:val="18"/>
        </w:rPr>
        <w:t>OBLIGACIONES NEGOCIABLES SERIE VII</w:t>
      </w:r>
      <w:r w:rsidR="00E40323">
        <w:rPr>
          <w:rFonts w:ascii="Arial" w:eastAsia="Calibri" w:hAnsi="Arial" w:cs="Arial"/>
          <w:b/>
          <w:sz w:val="18"/>
          <w:szCs w:val="18"/>
        </w:rPr>
        <w:t>I</w:t>
      </w:r>
    </w:p>
    <w:p w14:paraId="0B8A8A43" w14:textId="74DE8510" w:rsidR="00D7181D" w:rsidRPr="00144CD5" w:rsidRDefault="00444125" w:rsidP="00144CD5">
      <w:pPr>
        <w:jc w:val="both"/>
        <w:rPr>
          <w:rFonts w:ascii="Arial" w:eastAsia="Calibri" w:hAnsi="Arial" w:cs="Arial"/>
          <w:sz w:val="18"/>
          <w:szCs w:val="18"/>
        </w:rPr>
      </w:pPr>
      <w:r w:rsidRPr="00D7181D">
        <w:rPr>
          <w:rFonts w:ascii="Arial" w:eastAsia="Calibri" w:hAnsi="Arial" w:cs="Arial"/>
          <w:sz w:val="18"/>
          <w:szCs w:val="18"/>
        </w:rPr>
        <w:t xml:space="preserve">Conforme al artículo 10 de la Ley N° 23.576 se hace saber que </w:t>
      </w:r>
      <w:r>
        <w:rPr>
          <w:rFonts w:ascii="Arial" w:eastAsia="Calibri" w:hAnsi="Arial" w:cs="Arial"/>
          <w:sz w:val="18"/>
          <w:szCs w:val="18"/>
        </w:rPr>
        <w:t>por asamblea de fecha</w:t>
      </w:r>
      <w:r w:rsidRPr="00A133C9"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22/02/2013</w:t>
      </w:r>
      <w:r w:rsidRPr="00A133C9"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 xml:space="preserve">de MSU S.A. (la </w:t>
      </w:r>
      <w:r w:rsidRPr="00CB4AC9">
        <w:rPr>
          <w:rFonts w:ascii="Arial" w:eastAsia="Calibri" w:hAnsi="Arial" w:cs="Arial"/>
          <w:sz w:val="18"/>
          <w:szCs w:val="18"/>
          <w:u w:val="single"/>
        </w:rPr>
        <w:t>“Sociedad”</w:t>
      </w:r>
      <w:r>
        <w:rPr>
          <w:rFonts w:ascii="Arial" w:eastAsia="Calibri" w:hAnsi="Arial" w:cs="Arial"/>
          <w:sz w:val="18"/>
          <w:szCs w:val="18"/>
        </w:rPr>
        <w:t xml:space="preserve">) </w:t>
      </w:r>
      <w:r w:rsidRPr="00A133C9">
        <w:rPr>
          <w:rFonts w:ascii="Arial" w:eastAsia="Calibri" w:hAnsi="Arial" w:cs="Arial"/>
          <w:sz w:val="18"/>
          <w:szCs w:val="18"/>
        </w:rPr>
        <w:t>se aprobó un programa global de emisión de obligaciones negociables por un monto máximo de hasta US$ 50.000.000 (o su equivalente en otras monedas) (el “</w:t>
      </w:r>
      <w:r w:rsidRPr="00423ACF">
        <w:rPr>
          <w:rFonts w:ascii="Arial" w:eastAsia="Calibri" w:hAnsi="Arial" w:cs="Arial"/>
          <w:sz w:val="18"/>
          <w:szCs w:val="18"/>
          <w:u w:val="single"/>
        </w:rPr>
        <w:t>Programa</w:t>
      </w:r>
      <w:r w:rsidRPr="00A133C9">
        <w:rPr>
          <w:rFonts w:ascii="Arial" w:eastAsia="Calibri" w:hAnsi="Arial" w:cs="Arial"/>
          <w:sz w:val="18"/>
          <w:szCs w:val="18"/>
        </w:rPr>
        <w:t xml:space="preserve">”) y </w:t>
      </w:r>
      <w:r>
        <w:rPr>
          <w:rFonts w:ascii="Arial" w:eastAsia="Calibri" w:hAnsi="Arial" w:cs="Arial"/>
          <w:sz w:val="18"/>
          <w:szCs w:val="18"/>
        </w:rPr>
        <w:t xml:space="preserve">por asamblea del 19/02/2018 se aprobó </w:t>
      </w:r>
      <w:r w:rsidRPr="00A133C9">
        <w:rPr>
          <w:rFonts w:ascii="Arial" w:eastAsia="Calibri" w:hAnsi="Arial" w:cs="Arial"/>
          <w:sz w:val="18"/>
          <w:szCs w:val="18"/>
        </w:rPr>
        <w:t>la prórroga de su plazo</w:t>
      </w:r>
      <w:r>
        <w:rPr>
          <w:rFonts w:ascii="Arial" w:eastAsia="Calibri" w:hAnsi="Arial" w:cs="Arial"/>
          <w:sz w:val="18"/>
          <w:szCs w:val="18"/>
        </w:rPr>
        <w:t>. Mediante reunión del Direct</w:t>
      </w:r>
      <w:r w:rsidR="00E40323">
        <w:rPr>
          <w:rFonts w:ascii="Arial" w:eastAsia="Calibri" w:hAnsi="Arial" w:cs="Arial"/>
          <w:sz w:val="18"/>
          <w:szCs w:val="18"/>
        </w:rPr>
        <w:t>orio del día 14/07/2020</w:t>
      </w:r>
      <w:r>
        <w:rPr>
          <w:rFonts w:ascii="Arial" w:eastAsia="Calibri" w:hAnsi="Arial" w:cs="Arial"/>
          <w:sz w:val="18"/>
          <w:szCs w:val="18"/>
        </w:rPr>
        <w:t xml:space="preserve">, se resolvió aprobar la emisión de la </w:t>
      </w:r>
      <w:r w:rsidR="00E40323">
        <w:rPr>
          <w:rFonts w:ascii="Arial" w:eastAsia="Calibri" w:hAnsi="Arial" w:cs="Arial"/>
          <w:sz w:val="18"/>
          <w:szCs w:val="18"/>
        </w:rPr>
        <w:t>octava</w:t>
      </w:r>
      <w:r>
        <w:rPr>
          <w:rFonts w:ascii="Arial" w:eastAsia="Calibri" w:hAnsi="Arial" w:cs="Arial"/>
          <w:sz w:val="18"/>
          <w:szCs w:val="18"/>
        </w:rPr>
        <w:t xml:space="preserve"> serie de obligaciones negociables (las “</w:t>
      </w:r>
      <w:r w:rsidRPr="00947904">
        <w:rPr>
          <w:rFonts w:ascii="Arial" w:eastAsia="Calibri" w:hAnsi="Arial" w:cs="Arial"/>
          <w:sz w:val="18"/>
          <w:szCs w:val="18"/>
          <w:u w:val="single"/>
        </w:rPr>
        <w:t>Obligaciones Negociables</w:t>
      </w:r>
      <w:r>
        <w:rPr>
          <w:rFonts w:ascii="Arial" w:eastAsia="Calibri" w:hAnsi="Arial" w:cs="Arial"/>
          <w:sz w:val="18"/>
          <w:szCs w:val="18"/>
        </w:rPr>
        <w:t xml:space="preserve">”), conforme a los siguientes datos </w:t>
      </w:r>
      <w:r w:rsidRPr="00841770">
        <w:rPr>
          <w:rFonts w:ascii="Arial" w:eastAsia="Calibri" w:hAnsi="Arial" w:cs="Arial"/>
          <w:bCs/>
          <w:sz w:val="18"/>
          <w:szCs w:val="18"/>
        </w:rPr>
        <w:t xml:space="preserve">los que son </w:t>
      </w:r>
      <w:r w:rsidRPr="00841770">
        <w:rPr>
          <w:rFonts w:ascii="Arial" w:eastAsia="Calibri" w:hAnsi="Arial" w:cs="Arial"/>
          <w:sz w:val="18"/>
          <w:szCs w:val="18"/>
        </w:rPr>
        <w:t>complementados con las condiciones establecidas en el pr</w:t>
      </w:r>
      <w:r w:rsidR="00F02586">
        <w:rPr>
          <w:rFonts w:ascii="Arial" w:eastAsia="Calibri" w:hAnsi="Arial" w:cs="Arial"/>
          <w:sz w:val="18"/>
          <w:szCs w:val="18"/>
        </w:rPr>
        <w:t>ospecto del Programa y/o en el s</w:t>
      </w:r>
      <w:r w:rsidRPr="00841770">
        <w:rPr>
          <w:rFonts w:ascii="Arial" w:eastAsia="Calibri" w:hAnsi="Arial" w:cs="Arial"/>
          <w:sz w:val="18"/>
          <w:szCs w:val="18"/>
        </w:rPr>
        <w:t xml:space="preserve">uplemento de </w:t>
      </w:r>
      <w:r w:rsidR="00F02586">
        <w:rPr>
          <w:rFonts w:ascii="Arial" w:eastAsia="Calibri" w:hAnsi="Arial" w:cs="Arial"/>
          <w:sz w:val="18"/>
          <w:szCs w:val="18"/>
        </w:rPr>
        <w:t>p</w:t>
      </w:r>
      <w:r>
        <w:rPr>
          <w:rFonts w:ascii="Arial" w:eastAsia="Calibri" w:hAnsi="Arial" w:cs="Arial"/>
          <w:sz w:val="18"/>
          <w:szCs w:val="18"/>
        </w:rPr>
        <w:t>rospecto</w:t>
      </w:r>
      <w:r w:rsidRPr="00841770">
        <w:rPr>
          <w:rFonts w:ascii="Arial" w:eastAsia="Calibri" w:hAnsi="Arial" w:cs="Arial"/>
          <w:sz w:val="18"/>
          <w:szCs w:val="18"/>
        </w:rPr>
        <w:t xml:space="preserve"> publicados en </w:t>
      </w:r>
      <w:r w:rsidRPr="00841770">
        <w:rPr>
          <w:rFonts w:ascii="Arial" w:eastAsia="Calibri" w:hAnsi="Arial" w:cs="Arial"/>
          <w:sz w:val="18"/>
          <w:szCs w:val="18"/>
          <w:lang w:val="es-ES_tradnl"/>
        </w:rPr>
        <w:t>el boletín de la Bolsa de Comercio de Buenos Aires-</w:t>
      </w:r>
      <w:r w:rsidRPr="00841770">
        <w:rPr>
          <w:rFonts w:ascii="Arial" w:eastAsia="Calibri" w:hAnsi="Arial" w:cs="Arial"/>
          <w:sz w:val="18"/>
          <w:szCs w:val="18"/>
        </w:rPr>
        <w:t xml:space="preserve"> por cuenta y orden de Bolsas y Mercados Argentinos S.A.- y en la Autopista de la Información Financiera de la CNV (</w:t>
      </w:r>
      <w:hyperlink r:id="rId4" w:history="1">
        <w:r w:rsidRPr="006B369C">
          <w:rPr>
            <w:rStyle w:val="Hipervnculo"/>
            <w:rFonts w:ascii="Arial" w:eastAsia="Calibri" w:hAnsi="Arial" w:cs="Arial"/>
            <w:sz w:val="18"/>
            <w:szCs w:val="18"/>
          </w:rPr>
          <w:t>www.cnv.gov.ar</w:t>
        </w:r>
      </w:hyperlink>
      <w:r w:rsidRPr="00841770">
        <w:rPr>
          <w:rFonts w:ascii="Arial" w:eastAsia="Calibri" w:hAnsi="Arial" w:cs="Arial"/>
          <w:sz w:val="18"/>
          <w:szCs w:val="18"/>
        </w:rPr>
        <w:t xml:space="preserve">) con fechas </w:t>
      </w:r>
      <w:r>
        <w:rPr>
          <w:rFonts w:ascii="Arial" w:eastAsia="Calibri" w:hAnsi="Arial" w:cs="Arial"/>
          <w:sz w:val="18"/>
          <w:szCs w:val="18"/>
        </w:rPr>
        <w:t>2</w:t>
      </w:r>
      <w:r w:rsidR="00290F17">
        <w:rPr>
          <w:rFonts w:ascii="Arial" w:eastAsia="Calibri" w:hAnsi="Arial" w:cs="Arial"/>
          <w:sz w:val="18"/>
          <w:szCs w:val="18"/>
        </w:rPr>
        <w:t>7/11/2019</w:t>
      </w:r>
      <w:r w:rsidRPr="00841770">
        <w:rPr>
          <w:rFonts w:ascii="Arial" w:eastAsia="Calibri" w:hAnsi="Arial" w:cs="Arial"/>
          <w:sz w:val="18"/>
          <w:szCs w:val="18"/>
        </w:rPr>
        <w:t xml:space="preserve"> y </w:t>
      </w:r>
      <w:r w:rsidR="00E40323">
        <w:rPr>
          <w:rFonts w:ascii="Arial" w:eastAsia="Calibri" w:hAnsi="Arial" w:cs="Arial"/>
          <w:sz w:val="18"/>
          <w:szCs w:val="18"/>
        </w:rPr>
        <w:t>23/07</w:t>
      </w:r>
      <w:r>
        <w:rPr>
          <w:rFonts w:ascii="Arial" w:eastAsia="Calibri" w:hAnsi="Arial" w:cs="Arial"/>
          <w:sz w:val="18"/>
          <w:szCs w:val="18"/>
        </w:rPr>
        <w:t>/2020</w:t>
      </w:r>
      <w:r w:rsidRPr="00841770">
        <w:rPr>
          <w:rFonts w:ascii="Arial" w:eastAsia="Calibri" w:hAnsi="Arial" w:cs="Arial"/>
          <w:sz w:val="18"/>
          <w:szCs w:val="18"/>
        </w:rPr>
        <w:t>, respectivamente</w:t>
      </w:r>
      <w:r>
        <w:rPr>
          <w:rFonts w:ascii="Arial" w:eastAsia="Calibri" w:hAnsi="Arial" w:cs="Arial"/>
          <w:sz w:val="18"/>
          <w:szCs w:val="18"/>
        </w:rPr>
        <w:t xml:space="preserve">: </w:t>
      </w:r>
      <w:r>
        <w:rPr>
          <w:rFonts w:ascii="Arial" w:eastAsia="Calibri" w:hAnsi="Arial" w:cs="Arial"/>
          <w:b/>
          <w:sz w:val="18"/>
          <w:szCs w:val="18"/>
        </w:rPr>
        <w:t>I</w:t>
      </w:r>
      <w:r w:rsidRPr="008D2E42">
        <w:rPr>
          <w:rFonts w:ascii="Arial" w:eastAsia="Calibri" w:hAnsi="Arial" w:cs="Arial"/>
          <w:b/>
          <w:sz w:val="18"/>
          <w:szCs w:val="18"/>
        </w:rPr>
        <w:t xml:space="preserve">. </w:t>
      </w:r>
      <w:r>
        <w:rPr>
          <w:rFonts w:ascii="Arial" w:eastAsia="Calibri" w:hAnsi="Arial" w:cs="Arial"/>
          <w:b/>
          <w:sz w:val="18"/>
          <w:szCs w:val="18"/>
          <w:u w:val="single"/>
        </w:rPr>
        <w:t xml:space="preserve">Términos y condiciones comunes de las </w:t>
      </w:r>
      <w:r w:rsidR="00290F17">
        <w:rPr>
          <w:rFonts w:ascii="Arial" w:eastAsia="Calibri" w:hAnsi="Arial" w:cs="Arial"/>
          <w:b/>
          <w:sz w:val="18"/>
          <w:szCs w:val="18"/>
          <w:u w:val="single"/>
        </w:rPr>
        <w:t>Obligaciones Negociables</w:t>
      </w:r>
      <w:r w:rsidRPr="008D2E42">
        <w:rPr>
          <w:rFonts w:ascii="Arial" w:eastAsia="Calibri" w:hAnsi="Arial" w:cs="Arial"/>
          <w:b/>
          <w:sz w:val="18"/>
          <w:szCs w:val="18"/>
          <w:u w:val="single"/>
        </w:rPr>
        <w:t>:</w:t>
      </w:r>
      <w:r w:rsidR="00594169" w:rsidRPr="00594169">
        <w:rPr>
          <w:rFonts w:ascii="Arial" w:eastAsia="Calibri" w:hAnsi="Arial" w:cs="Arial"/>
          <w:b/>
          <w:sz w:val="18"/>
          <w:szCs w:val="18"/>
        </w:rPr>
        <w:t xml:space="preserve"> </w:t>
      </w:r>
      <w:r w:rsidR="00594169">
        <w:rPr>
          <w:rFonts w:ascii="Arial" w:eastAsia="Calibri" w:hAnsi="Arial" w:cs="Arial"/>
          <w:b/>
          <w:sz w:val="18"/>
          <w:szCs w:val="18"/>
        </w:rPr>
        <w:t xml:space="preserve">Monto. </w:t>
      </w:r>
      <w:r w:rsidR="00594169" w:rsidRPr="00947904">
        <w:rPr>
          <w:rFonts w:ascii="Arial" w:eastAsia="Calibri" w:hAnsi="Arial" w:cs="Arial"/>
          <w:sz w:val="18"/>
          <w:szCs w:val="18"/>
        </w:rPr>
        <w:t>Hasta valor nominal de</w:t>
      </w:r>
      <w:r w:rsidR="00594169">
        <w:rPr>
          <w:rFonts w:ascii="Arial" w:eastAsia="Calibri" w:hAnsi="Arial" w:cs="Arial"/>
          <w:sz w:val="18"/>
          <w:szCs w:val="18"/>
        </w:rPr>
        <w:t xml:space="preserve"> 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US$ </w:t>
      </w:r>
      <w:r w:rsidR="00423ACF">
        <w:rPr>
          <w:rFonts w:ascii="Arial" w:eastAsia="Calibri" w:hAnsi="Arial" w:cs="Arial"/>
          <w:sz w:val="18"/>
          <w:szCs w:val="18"/>
        </w:rPr>
        <w:t>10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.000.000 (Dólares Estadounidenses </w:t>
      </w:r>
      <w:r w:rsidR="00423ACF">
        <w:rPr>
          <w:rFonts w:ascii="Arial" w:eastAsia="Calibri" w:hAnsi="Arial" w:cs="Arial"/>
          <w:sz w:val="18"/>
          <w:szCs w:val="18"/>
        </w:rPr>
        <w:t>diez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 millones) ampliable por hasta valor nominal </w:t>
      </w:r>
      <w:r w:rsidR="00594169">
        <w:rPr>
          <w:rFonts w:ascii="Arial" w:eastAsia="Calibri" w:hAnsi="Arial" w:cs="Arial"/>
          <w:sz w:val="18"/>
          <w:szCs w:val="18"/>
        </w:rPr>
        <w:t>de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 US$ </w:t>
      </w:r>
      <w:r w:rsidR="00991684">
        <w:rPr>
          <w:rFonts w:ascii="Arial" w:eastAsia="Calibri" w:hAnsi="Arial" w:cs="Arial"/>
          <w:sz w:val="18"/>
          <w:szCs w:val="18"/>
        </w:rPr>
        <w:t>15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.000.000 (Dólares Estadounidenses </w:t>
      </w:r>
      <w:r w:rsidR="00991684">
        <w:rPr>
          <w:rFonts w:ascii="Arial" w:eastAsia="Calibri" w:hAnsi="Arial" w:cs="Arial"/>
          <w:sz w:val="18"/>
          <w:szCs w:val="18"/>
        </w:rPr>
        <w:t>quince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 millones)</w:t>
      </w:r>
      <w:r w:rsidR="00423ACF">
        <w:rPr>
          <w:rFonts w:ascii="Arial" w:eastAsia="Calibri" w:hAnsi="Arial" w:cs="Arial"/>
          <w:sz w:val="18"/>
          <w:szCs w:val="18"/>
        </w:rPr>
        <w:t>.</w:t>
      </w:r>
      <w:r w:rsidR="00A60550">
        <w:rPr>
          <w:rFonts w:ascii="Arial" w:eastAsia="Calibri" w:hAnsi="Arial" w:cs="Arial"/>
          <w:sz w:val="18"/>
          <w:szCs w:val="18"/>
        </w:rPr>
        <w:t xml:space="preserve"> </w:t>
      </w:r>
      <w:r w:rsidR="00423ACF" w:rsidRPr="00EE4EA1">
        <w:rPr>
          <w:rFonts w:ascii="Arial" w:eastAsia="Calibri" w:hAnsi="Arial" w:cs="Arial"/>
          <w:b/>
          <w:sz w:val="18"/>
          <w:szCs w:val="18"/>
        </w:rPr>
        <w:t>Moneda de denominación.</w:t>
      </w:r>
      <w:r w:rsidR="00423ACF">
        <w:rPr>
          <w:rFonts w:ascii="Arial" w:eastAsia="Calibri" w:hAnsi="Arial" w:cs="Arial"/>
          <w:sz w:val="18"/>
          <w:szCs w:val="18"/>
        </w:rPr>
        <w:t xml:space="preserve"> Las Obligaciones Negociables</w:t>
      </w:r>
      <w:r w:rsidR="00423ACF" w:rsidRPr="00EE4EA1">
        <w:rPr>
          <w:rFonts w:ascii="Arial" w:eastAsia="Calibri" w:hAnsi="Arial" w:cs="Arial"/>
          <w:sz w:val="18"/>
          <w:szCs w:val="18"/>
        </w:rPr>
        <w:t xml:space="preserve"> estarán denominadas en Dólares Estadounidenses</w:t>
      </w:r>
      <w:r w:rsidR="00423ACF">
        <w:rPr>
          <w:rFonts w:ascii="Arial" w:eastAsia="Calibri" w:hAnsi="Arial" w:cs="Arial"/>
          <w:sz w:val="18"/>
          <w:szCs w:val="18"/>
        </w:rPr>
        <w:t xml:space="preserve">. </w:t>
      </w:r>
      <w:r w:rsidR="00423ACF" w:rsidRPr="00423ACF">
        <w:rPr>
          <w:rFonts w:ascii="Arial" w:eastAsia="Calibri" w:hAnsi="Arial" w:cs="Arial"/>
          <w:b/>
          <w:sz w:val="18"/>
          <w:szCs w:val="18"/>
        </w:rPr>
        <w:t>Moneda de pago</w:t>
      </w:r>
      <w:r w:rsidR="00423ACF">
        <w:rPr>
          <w:rFonts w:ascii="Arial" w:eastAsia="Calibri" w:hAnsi="Arial" w:cs="Arial"/>
          <w:sz w:val="18"/>
          <w:szCs w:val="18"/>
        </w:rPr>
        <w:t>. T</w:t>
      </w:r>
      <w:r w:rsidR="00423ACF" w:rsidRPr="00EE4EA1">
        <w:rPr>
          <w:rFonts w:ascii="Arial" w:eastAsia="Calibri" w:hAnsi="Arial" w:cs="Arial"/>
          <w:sz w:val="18"/>
          <w:szCs w:val="18"/>
        </w:rPr>
        <w:t>odos los pagos que se efectúen bajo las mismas se realizarán en Pesos al Tipo de Cambio Aplicabl</w:t>
      </w:r>
      <w:r w:rsidR="00423ACF">
        <w:rPr>
          <w:rFonts w:ascii="Arial" w:eastAsia="Calibri" w:hAnsi="Arial" w:cs="Arial"/>
          <w:sz w:val="18"/>
          <w:szCs w:val="18"/>
        </w:rPr>
        <w:t xml:space="preserve">e. </w:t>
      </w:r>
      <w:r w:rsidR="00423ACF" w:rsidRPr="00EE4EA1">
        <w:rPr>
          <w:rFonts w:ascii="Arial" w:eastAsia="Calibri" w:hAnsi="Arial" w:cs="Arial"/>
          <w:b/>
          <w:sz w:val="18"/>
          <w:szCs w:val="18"/>
        </w:rPr>
        <w:t>Moneda de integración.</w:t>
      </w:r>
      <w:r w:rsidR="00423ACF">
        <w:rPr>
          <w:rFonts w:ascii="Arial" w:eastAsia="Calibri" w:hAnsi="Arial" w:cs="Arial"/>
          <w:sz w:val="18"/>
          <w:szCs w:val="18"/>
        </w:rPr>
        <w:t xml:space="preserve"> </w:t>
      </w:r>
      <w:r w:rsidR="00423ACF" w:rsidRPr="00EE4EA1">
        <w:rPr>
          <w:rFonts w:ascii="Arial" w:eastAsia="Calibri" w:hAnsi="Arial" w:cs="Arial"/>
          <w:sz w:val="18"/>
          <w:szCs w:val="18"/>
        </w:rPr>
        <w:t>La</w:t>
      </w:r>
      <w:r w:rsidR="00423ACF">
        <w:rPr>
          <w:rFonts w:ascii="Arial" w:eastAsia="Calibri" w:hAnsi="Arial" w:cs="Arial"/>
          <w:sz w:val="18"/>
          <w:szCs w:val="18"/>
        </w:rPr>
        <w:t>s Obligaciones Negociables</w:t>
      </w:r>
      <w:r w:rsidR="00423ACF" w:rsidRPr="00EE4EA1">
        <w:rPr>
          <w:rFonts w:ascii="Arial" w:eastAsia="Calibri" w:hAnsi="Arial" w:cs="Arial"/>
          <w:sz w:val="18"/>
          <w:szCs w:val="18"/>
        </w:rPr>
        <w:t xml:space="preserve"> serán integradas en la Fecha de Emisión y Liquidación en </w:t>
      </w:r>
      <w:r w:rsidR="00423ACF">
        <w:rPr>
          <w:rFonts w:ascii="Arial" w:eastAsia="Calibri" w:hAnsi="Arial" w:cs="Arial"/>
          <w:sz w:val="18"/>
          <w:szCs w:val="18"/>
        </w:rPr>
        <w:t xml:space="preserve">efectivo, en </w:t>
      </w:r>
      <w:r w:rsidR="00423ACF" w:rsidRPr="00EE4EA1">
        <w:rPr>
          <w:rFonts w:ascii="Arial" w:eastAsia="Calibri" w:hAnsi="Arial" w:cs="Arial"/>
          <w:sz w:val="18"/>
          <w:szCs w:val="18"/>
        </w:rPr>
        <w:t>Pesos al Tipo de Cambio Inicial</w:t>
      </w:r>
      <w:r w:rsidR="00423ACF">
        <w:rPr>
          <w:rFonts w:ascii="Arial" w:eastAsia="Calibri" w:hAnsi="Arial" w:cs="Arial"/>
          <w:sz w:val="18"/>
          <w:szCs w:val="18"/>
        </w:rPr>
        <w:t xml:space="preserve">. </w:t>
      </w:r>
      <w:r w:rsidR="00594169" w:rsidRPr="002E565A">
        <w:rPr>
          <w:rFonts w:ascii="Arial" w:eastAsia="Calibri" w:hAnsi="Arial" w:cs="Arial"/>
          <w:b/>
          <w:sz w:val="18"/>
          <w:szCs w:val="18"/>
        </w:rPr>
        <w:t>Amortización</w:t>
      </w:r>
      <w:r w:rsidR="00594169">
        <w:rPr>
          <w:rFonts w:ascii="Arial" w:eastAsia="Calibri" w:hAnsi="Arial" w:cs="Arial"/>
          <w:b/>
          <w:sz w:val="18"/>
          <w:szCs w:val="18"/>
        </w:rPr>
        <w:t xml:space="preserve">. </w:t>
      </w:r>
      <w:r w:rsidR="00594169" w:rsidRPr="00947904">
        <w:rPr>
          <w:rFonts w:ascii="Arial" w:eastAsia="Calibri" w:hAnsi="Arial" w:cs="Arial"/>
          <w:sz w:val="18"/>
          <w:szCs w:val="18"/>
        </w:rPr>
        <w:t>Las Obligaciones Negociables serán amortizadas en un único pago a ser realiza</w:t>
      </w:r>
      <w:r w:rsidR="00423ACF">
        <w:rPr>
          <w:rFonts w:ascii="Arial" w:eastAsia="Calibri" w:hAnsi="Arial" w:cs="Arial"/>
          <w:sz w:val="18"/>
          <w:szCs w:val="18"/>
        </w:rPr>
        <w:t>do en la Fecha de Vencimiento</w:t>
      </w:r>
      <w:r w:rsidR="00594169" w:rsidRPr="009E1D5E">
        <w:rPr>
          <w:rFonts w:ascii="Arial" w:eastAsia="Calibri" w:hAnsi="Arial" w:cs="Arial"/>
          <w:sz w:val="18"/>
          <w:szCs w:val="18"/>
          <w:lang w:val="es-ES"/>
        </w:rPr>
        <w:t>.</w:t>
      </w:r>
      <w:r w:rsidR="00594169">
        <w:rPr>
          <w:rFonts w:ascii="Arial" w:eastAsia="Calibri" w:hAnsi="Arial" w:cs="Arial"/>
          <w:sz w:val="18"/>
          <w:szCs w:val="18"/>
          <w:lang w:val="es-ES"/>
        </w:rPr>
        <w:t xml:space="preserve"> </w:t>
      </w:r>
      <w:r w:rsidR="00594169">
        <w:rPr>
          <w:rFonts w:ascii="Arial" w:eastAsia="Calibri" w:hAnsi="Arial" w:cs="Arial"/>
          <w:b/>
          <w:sz w:val="18"/>
          <w:szCs w:val="18"/>
          <w:lang w:val="es-ES"/>
        </w:rPr>
        <w:t>Fecha de v</w:t>
      </w:r>
      <w:r w:rsidR="00594169" w:rsidRPr="00947904">
        <w:rPr>
          <w:rFonts w:ascii="Arial" w:eastAsia="Calibri" w:hAnsi="Arial" w:cs="Arial"/>
          <w:b/>
          <w:sz w:val="18"/>
          <w:szCs w:val="18"/>
          <w:lang w:val="es-ES"/>
        </w:rPr>
        <w:t>encimiento</w:t>
      </w:r>
      <w:r w:rsidR="00594169">
        <w:rPr>
          <w:rFonts w:ascii="Arial" w:eastAsia="Calibri" w:hAnsi="Arial" w:cs="Arial"/>
          <w:sz w:val="18"/>
          <w:szCs w:val="18"/>
          <w:lang w:val="es-ES"/>
        </w:rPr>
        <w:t xml:space="preserve">. </w:t>
      </w:r>
      <w:r w:rsidR="00991684">
        <w:rPr>
          <w:rFonts w:ascii="Arial" w:eastAsia="Calibri" w:hAnsi="Arial" w:cs="Arial"/>
          <w:sz w:val="18"/>
          <w:szCs w:val="18"/>
        </w:rPr>
        <w:t xml:space="preserve">Será el día que se </w:t>
      </w:r>
      <w:r w:rsidR="00423ACF">
        <w:rPr>
          <w:rFonts w:ascii="Arial" w:eastAsia="Calibri" w:hAnsi="Arial" w:cs="Arial"/>
          <w:sz w:val="18"/>
          <w:szCs w:val="18"/>
        </w:rPr>
        <w:t>cumplan 24</w:t>
      </w:r>
      <w:r w:rsidR="00594169" w:rsidRPr="00947904">
        <w:rPr>
          <w:rFonts w:ascii="Arial" w:eastAsia="Calibri" w:hAnsi="Arial" w:cs="Arial"/>
          <w:sz w:val="18"/>
          <w:szCs w:val="18"/>
        </w:rPr>
        <w:t xml:space="preserve"> meses contados desde la Fecha de Emisión y Liquidación</w:t>
      </w:r>
      <w:r w:rsidR="00594169">
        <w:rPr>
          <w:rFonts w:ascii="Arial" w:eastAsia="Calibri" w:hAnsi="Arial" w:cs="Arial"/>
          <w:sz w:val="18"/>
          <w:szCs w:val="18"/>
        </w:rPr>
        <w:t>.</w:t>
      </w:r>
      <w:r w:rsidR="00594169" w:rsidRPr="00947904">
        <w:rPr>
          <w:rFonts w:ascii="Arial" w:eastAsia="Calibri" w:hAnsi="Arial" w:cs="Arial"/>
          <w:b/>
          <w:sz w:val="18"/>
          <w:szCs w:val="18"/>
          <w:lang w:val="es-ES"/>
        </w:rPr>
        <w:t xml:space="preserve"> </w:t>
      </w:r>
      <w:r w:rsidR="00423ACF" w:rsidRPr="00EE4EA1">
        <w:rPr>
          <w:rFonts w:ascii="Arial" w:eastAsia="Calibri" w:hAnsi="Arial" w:cs="Arial"/>
          <w:b/>
          <w:sz w:val="18"/>
          <w:szCs w:val="18"/>
        </w:rPr>
        <w:t>Tasa de interés</w:t>
      </w:r>
      <w:r w:rsidR="00423ACF">
        <w:rPr>
          <w:rFonts w:ascii="Arial" w:eastAsia="Calibri" w:hAnsi="Arial" w:cs="Arial"/>
          <w:sz w:val="18"/>
          <w:szCs w:val="18"/>
        </w:rPr>
        <w:t>. Las Obligaciones Negociables</w:t>
      </w:r>
      <w:r w:rsidR="00423ACF" w:rsidRPr="00EE4EA1">
        <w:rPr>
          <w:rFonts w:ascii="Arial" w:eastAsia="Calibri" w:hAnsi="Arial" w:cs="Arial"/>
          <w:sz w:val="18"/>
          <w:szCs w:val="18"/>
        </w:rPr>
        <w:t xml:space="preserve"> devengarán intereses a la tasa de interés fija nominal anual </w:t>
      </w:r>
      <w:r w:rsidR="00423ACF">
        <w:rPr>
          <w:rFonts w:ascii="Arial" w:eastAsia="Calibri" w:hAnsi="Arial" w:cs="Arial"/>
          <w:sz w:val="18"/>
          <w:szCs w:val="18"/>
        </w:rPr>
        <w:t>que</w:t>
      </w:r>
      <w:r w:rsidR="00423ACF" w:rsidRPr="00EE4EA1">
        <w:rPr>
          <w:rFonts w:ascii="Arial" w:eastAsia="Calibri" w:hAnsi="Arial" w:cs="Arial"/>
          <w:sz w:val="18"/>
          <w:szCs w:val="18"/>
        </w:rPr>
        <w:t xml:space="preserve"> será informada mediante el Aviso de Resultado</w:t>
      </w:r>
      <w:r w:rsidR="00423ACF">
        <w:rPr>
          <w:rFonts w:ascii="Arial" w:eastAsia="Calibri" w:hAnsi="Arial" w:cs="Arial"/>
          <w:sz w:val="18"/>
          <w:szCs w:val="18"/>
        </w:rPr>
        <w:t>.</w:t>
      </w:r>
      <w:r w:rsidR="00423ACF">
        <w:rPr>
          <w:rFonts w:ascii="Arial" w:eastAsia="Calibri" w:hAnsi="Arial" w:cs="Arial"/>
          <w:b/>
          <w:sz w:val="18"/>
          <w:szCs w:val="18"/>
          <w:lang w:val="es-ES"/>
        </w:rPr>
        <w:t xml:space="preserve"> </w:t>
      </w:r>
      <w:r w:rsidR="00594169">
        <w:rPr>
          <w:rFonts w:ascii="Arial" w:eastAsia="Calibri" w:hAnsi="Arial" w:cs="Arial"/>
          <w:b/>
          <w:sz w:val="18"/>
          <w:szCs w:val="18"/>
          <w:lang w:val="es-ES"/>
        </w:rPr>
        <w:t xml:space="preserve">Fecha de pago de intereses. </w:t>
      </w:r>
      <w:r w:rsidR="00594169" w:rsidRPr="00725747">
        <w:rPr>
          <w:rFonts w:ascii="Arial" w:eastAsia="Calibri" w:hAnsi="Arial" w:cs="Arial"/>
          <w:sz w:val="18"/>
          <w:szCs w:val="18"/>
        </w:rPr>
        <w:t xml:space="preserve">Los intereses de las Obligaciones Negociables se pagarán </w:t>
      </w:r>
      <w:r w:rsidR="00423ACF">
        <w:rPr>
          <w:rFonts w:ascii="Arial" w:eastAsia="Calibri" w:hAnsi="Arial" w:cs="Arial"/>
          <w:sz w:val="18"/>
          <w:szCs w:val="18"/>
        </w:rPr>
        <w:t>trimestralmente, en forma vencida,</w:t>
      </w:r>
      <w:r w:rsidR="00594169" w:rsidRPr="00725747">
        <w:rPr>
          <w:rFonts w:ascii="Arial" w:eastAsia="Calibri" w:hAnsi="Arial" w:cs="Arial"/>
          <w:sz w:val="18"/>
          <w:szCs w:val="18"/>
        </w:rPr>
        <w:t xml:space="preserve"> </w:t>
      </w:r>
      <w:r w:rsidR="00594169">
        <w:rPr>
          <w:rFonts w:ascii="Arial" w:eastAsia="Calibri" w:hAnsi="Arial" w:cs="Arial"/>
          <w:sz w:val="18"/>
          <w:szCs w:val="18"/>
        </w:rPr>
        <w:t xml:space="preserve">en las fechas que se </w:t>
      </w:r>
      <w:r w:rsidR="00320E4D">
        <w:rPr>
          <w:rFonts w:ascii="Arial" w:eastAsia="Calibri" w:hAnsi="Arial" w:cs="Arial"/>
          <w:sz w:val="18"/>
          <w:szCs w:val="18"/>
        </w:rPr>
        <w:t>informarán</w:t>
      </w:r>
      <w:r w:rsidR="00594169">
        <w:rPr>
          <w:rFonts w:ascii="Arial" w:eastAsia="Calibri" w:hAnsi="Arial" w:cs="Arial"/>
          <w:sz w:val="18"/>
          <w:szCs w:val="18"/>
        </w:rPr>
        <w:t xml:space="preserve"> en el Aviso de Resultados</w:t>
      </w:r>
      <w:r w:rsidR="00594169" w:rsidRPr="00725747">
        <w:rPr>
          <w:rFonts w:ascii="Arial" w:eastAsia="Calibri" w:hAnsi="Arial" w:cs="Arial"/>
          <w:sz w:val="18"/>
          <w:szCs w:val="18"/>
        </w:rPr>
        <w:t>.</w:t>
      </w:r>
      <w:r w:rsidR="00594169">
        <w:rPr>
          <w:rFonts w:ascii="Arial" w:eastAsia="Calibri" w:hAnsi="Arial" w:cs="Arial"/>
          <w:sz w:val="18"/>
          <w:szCs w:val="18"/>
        </w:rPr>
        <w:t xml:space="preserve"> </w:t>
      </w:r>
      <w:r w:rsidR="00320E4D" w:rsidRPr="00320E4D">
        <w:rPr>
          <w:rFonts w:ascii="Arial" w:eastAsia="Calibri" w:hAnsi="Arial" w:cs="Arial"/>
          <w:b/>
          <w:sz w:val="18"/>
          <w:szCs w:val="18"/>
        </w:rPr>
        <w:t>II</w:t>
      </w:r>
      <w:r w:rsidR="0037436A" w:rsidRPr="00320E4D">
        <w:rPr>
          <w:rFonts w:ascii="Arial" w:eastAsia="Calibri" w:hAnsi="Arial" w:cs="Arial"/>
          <w:b/>
          <w:iCs/>
          <w:sz w:val="18"/>
          <w:szCs w:val="18"/>
          <w:lang w:val="es-ES"/>
        </w:rPr>
        <w:t>.</w:t>
      </w:r>
      <w:r w:rsidR="0037436A" w:rsidRPr="0086684E">
        <w:rPr>
          <w:rFonts w:ascii="Arial" w:eastAsia="Calibri" w:hAnsi="Arial" w:cs="Arial"/>
          <w:b/>
          <w:iCs/>
          <w:sz w:val="18"/>
          <w:szCs w:val="18"/>
          <w:lang w:val="es-ES"/>
        </w:rPr>
        <w:t xml:space="preserve"> </w:t>
      </w:r>
      <w:r w:rsidR="0037436A" w:rsidRPr="0086684E">
        <w:rPr>
          <w:rFonts w:ascii="Arial" w:eastAsia="Calibri" w:hAnsi="Arial" w:cs="Arial"/>
          <w:b/>
          <w:iCs/>
          <w:sz w:val="18"/>
          <w:szCs w:val="18"/>
          <w:u w:val="single"/>
          <w:lang w:val="es-ES"/>
        </w:rPr>
        <w:t>Datos del Emisor:</w:t>
      </w:r>
      <w:r w:rsidR="0037436A" w:rsidRPr="0037436A">
        <w:rPr>
          <w:rFonts w:ascii="Arial" w:eastAsia="Calibri" w:hAnsi="Arial" w:cs="Arial"/>
          <w:iCs/>
          <w:sz w:val="18"/>
          <w:szCs w:val="18"/>
          <w:lang w:val="es-ES"/>
        </w:rPr>
        <w:t xml:space="preserve"> </w:t>
      </w:r>
      <w:r w:rsidR="0037436A" w:rsidRPr="00A20C22">
        <w:rPr>
          <w:rFonts w:ascii="Arial" w:eastAsia="Calibri" w:hAnsi="Arial" w:cs="Arial"/>
          <w:iCs/>
          <w:sz w:val="18"/>
          <w:szCs w:val="18"/>
          <w:lang w:val="es-ES"/>
        </w:rPr>
        <w:t>MSU S.A.</w:t>
      </w:r>
      <w:r w:rsidR="0037436A" w:rsidRPr="0037436A">
        <w:rPr>
          <w:rFonts w:ascii="Arial" w:eastAsia="Calibri" w:hAnsi="Arial" w:cs="Arial"/>
          <w:iCs/>
          <w:sz w:val="18"/>
          <w:szCs w:val="18"/>
          <w:lang w:val="es-ES"/>
        </w:rPr>
        <w:t xml:space="preserve"> </w:t>
      </w:r>
      <w:r w:rsidR="00D7181D" w:rsidRPr="00265DEF">
        <w:rPr>
          <w:rFonts w:ascii="Arial" w:eastAsia="Calibri" w:hAnsi="Arial" w:cs="Arial"/>
          <w:b/>
          <w:sz w:val="18"/>
          <w:szCs w:val="18"/>
        </w:rPr>
        <w:t>(a)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</w:t>
      </w:r>
      <w:r w:rsidR="00D7181D" w:rsidRPr="00265DEF">
        <w:rPr>
          <w:rFonts w:ascii="Arial" w:eastAsia="Calibri" w:hAnsi="Arial" w:cs="Arial"/>
          <w:b/>
          <w:sz w:val="18"/>
          <w:szCs w:val="18"/>
        </w:rPr>
        <w:t>Domicilio social: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Cerrito 1266, Piso 11° Oficina 46 de la Ciudad de Buenos Aires </w:t>
      </w:r>
      <w:r w:rsidR="00D7181D" w:rsidRPr="00133E7E">
        <w:rPr>
          <w:rFonts w:ascii="Arial" w:eastAsia="Calibri" w:hAnsi="Arial" w:cs="Arial"/>
          <w:b/>
          <w:sz w:val="18"/>
          <w:szCs w:val="18"/>
        </w:rPr>
        <w:t>(b)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</w:t>
      </w:r>
      <w:r w:rsidR="00D7181D" w:rsidRPr="00133E7E">
        <w:rPr>
          <w:rFonts w:ascii="Arial" w:eastAsia="Calibri" w:hAnsi="Arial" w:cs="Arial"/>
          <w:b/>
          <w:sz w:val="18"/>
          <w:szCs w:val="18"/>
        </w:rPr>
        <w:t>Datos de constitución: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Constituida en la Ciudad de Buenos Aires mediante escritura nro. 43, pasada al folio 101, de fecha 7 de febrero de 1986, bajo la denominación “Manuel Santos de Uribelarrea S.A.” e inscripta ante la Inspección General de Justicia el 18 de abril de 1986 bajo el número 2281, Libro 101, Tomo A de Sociedades Anónimas. Mediante escritura número 528, pasada al folio 2229 de fecha 17 de julio de 2003 la Sociedad modificó su denominación social, adoptando su actual denominación, MSU S.A. </w:t>
      </w:r>
      <w:r w:rsidR="00D7181D" w:rsidRPr="00133E7E">
        <w:rPr>
          <w:rFonts w:ascii="Arial" w:eastAsia="Calibri" w:hAnsi="Arial" w:cs="Arial"/>
          <w:b/>
          <w:sz w:val="18"/>
          <w:szCs w:val="18"/>
        </w:rPr>
        <w:t>(c) Plazo: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99 años desde la fecha de inscripción en la Inspección General de Justicia; </w:t>
      </w:r>
      <w:r w:rsidR="00D7181D" w:rsidRPr="00133E7E">
        <w:rPr>
          <w:rFonts w:ascii="Arial" w:eastAsia="Calibri" w:hAnsi="Arial" w:cs="Arial"/>
          <w:b/>
          <w:sz w:val="18"/>
          <w:szCs w:val="18"/>
        </w:rPr>
        <w:t>(d) Objeto social: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Tiene por objeto la realización por si, por terceros o asociada con terceros, en establecimientos propios o ajenos, en la República Argentina o en el exterior, de las siguientes actividades: explotación, administración, compra y arrendamiento de establecimiento rurales de todo tipo y/o inmuebles e instalaciones relacionas con la actividad agropecuaria, propios, en arrendamiento o por mandatos; como así también la producción, compra, venta, elaboración, transformación, comercialización, intermediación, consignación, representación, industrialización, acopio, importación y exportación de haciendas, cereales, semillas e insumos agropecuarios e industriales y transporte de productos, subproductos y derivados de la agricultura y ganadería, y cualquier otra clase de operación sobre estos bienes y productos. La actividad principal de la Sociedad a la fecha del presente comprende la producción y comercialización de productos agrícolas, incluyendo la gestión del desarrollo de los activos biológicos para convertirse en productos agrícolas para su posterior venta a terceros. </w:t>
      </w:r>
      <w:r w:rsidR="00E578D1" w:rsidRPr="00953690">
        <w:rPr>
          <w:rFonts w:ascii="Arial" w:eastAsia="Calibri" w:hAnsi="Arial" w:cs="Arial"/>
          <w:b/>
          <w:sz w:val="18"/>
          <w:szCs w:val="18"/>
        </w:rPr>
        <w:t>(e) Capital social al 31/</w:t>
      </w:r>
      <w:r w:rsidR="00320E4D">
        <w:rPr>
          <w:rFonts w:ascii="Arial" w:eastAsia="Calibri" w:hAnsi="Arial" w:cs="Arial"/>
          <w:b/>
          <w:sz w:val="18"/>
          <w:szCs w:val="18"/>
        </w:rPr>
        <w:t>03</w:t>
      </w:r>
      <w:r w:rsidR="00E578D1" w:rsidRPr="00953690">
        <w:rPr>
          <w:rFonts w:ascii="Arial" w:eastAsia="Calibri" w:hAnsi="Arial" w:cs="Arial"/>
          <w:b/>
          <w:sz w:val="18"/>
          <w:szCs w:val="18"/>
        </w:rPr>
        <w:t>/20</w:t>
      </w:r>
      <w:r w:rsidR="00320E4D">
        <w:rPr>
          <w:rFonts w:ascii="Arial" w:eastAsia="Calibri" w:hAnsi="Arial" w:cs="Arial"/>
          <w:b/>
          <w:sz w:val="18"/>
          <w:szCs w:val="18"/>
        </w:rPr>
        <w:t>20</w:t>
      </w:r>
      <w:r w:rsidR="00D7181D" w:rsidRPr="00953690">
        <w:rPr>
          <w:rFonts w:ascii="Arial" w:eastAsia="Calibri" w:hAnsi="Arial" w:cs="Arial"/>
          <w:b/>
          <w:sz w:val="18"/>
          <w:szCs w:val="18"/>
        </w:rPr>
        <w:t>:</w:t>
      </w:r>
      <w:r w:rsidR="00D7181D" w:rsidRPr="00953690">
        <w:rPr>
          <w:rFonts w:ascii="Arial" w:eastAsia="Calibri" w:hAnsi="Arial" w:cs="Arial"/>
          <w:sz w:val="18"/>
          <w:szCs w:val="18"/>
        </w:rPr>
        <w:t xml:space="preserve"> $ </w:t>
      </w:r>
      <w:r w:rsidR="00C15EC9">
        <w:rPr>
          <w:rFonts w:ascii="Arial" w:eastAsia="Calibri" w:hAnsi="Arial" w:cs="Arial"/>
          <w:sz w:val="18"/>
          <w:szCs w:val="18"/>
        </w:rPr>
        <w:t>59.287.000</w:t>
      </w:r>
      <w:r w:rsidR="00D7181D" w:rsidRPr="00953690">
        <w:rPr>
          <w:rFonts w:ascii="Arial" w:eastAsia="Calibri" w:hAnsi="Arial" w:cs="Arial"/>
          <w:sz w:val="18"/>
          <w:szCs w:val="18"/>
        </w:rPr>
        <w:t xml:space="preserve"> </w:t>
      </w:r>
      <w:r w:rsidR="00D7181D" w:rsidRPr="00953690">
        <w:rPr>
          <w:rFonts w:ascii="Arial" w:eastAsia="Calibri" w:hAnsi="Arial" w:cs="Arial"/>
          <w:b/>
          <w:sz w:val="18"/>
          <w:szCs w:val="18"/>
        </w:rPr>
        <w:t>(</w:t>
      </w:r>
      <w:r w:rsidR="00E578D1" w:rsidRPr="00953690">
        <w:rPr>
          <w:rFonts w:ascii="Arial" w:eastAsia="Calibri" w:hAnsi="Arial" w:cs="Arial"/>
          <w:b/>
          <w:sz w:val="18"/>
          <w:szCs w:val="18"/>
        </w:rPr>
        <w:t>f) Patrimonio neto al 31/</w:t>
      </w:r>
      <w:r w:rsidR="00320E4D">
        <w:rPr>
          <w:rFonts w:ascii="Arial" w:eastAsia="Calibri" w:hAnsi="Arial" w:cs="Arial"/>
          <w:b/>
          <w:sz w:val="18"/>
          <w:szCs w:val="18"/>
        </w:rPr>
        <w:t>0</w:t>
      </w:r>
      <w:r w:rsidR="004F5538">
        <w:rPr>
          <w:rFonts w:ascii="Arial" w:eastAsia="Calibri" w:hAnsi="Arial" w:cs="Arial"/>
          <w:b/>
          <w:sz w:val="18"/>
          <w:szCs w:val="18"/>
        </w:rPr>
        <w:t>3</w:t>
      </w:r>
      <w:r w:rsidR="00320E4D">
        <w:rPr>
          <w:rFonts w:ascii="Arial" w:eastAsia="Calibri" w:hAnsi="Arial" w:cs="Arial"/>
          <w:b/>
          <w:sz w:val="18"/>
          <w:szCs w:val="18"/>
        </w:rPr>
        <w:t>/2020</w:t>
      </w:r>
      <w:r w:rsidR="00D7181D" w:rsidRPr="00953690">
        <w:rPr>
          <w:rFonts w:ascii="Arial" w:eastAsia="Calibri" w:hAnsi="Arial" w:cs="Arial"/>
          <w:b/>
          <w:sz w:val="18"/>
          <w:szCs w:val="18"/>
        </w:rPr>
        <w:t>:</w:t>
      </w:r>
      <w:r w:rsidR="00D7181D" w:rsidRPr="00953690">
        <w:rPr>
          <w:rFonts w:ascii="Arial" w:eastAsia="Calibri" w:hAnsi="Arial" w:cs="Arial"/>
          <w:sz w:val="18"/>
          <w:szCs w:val="18"/>
        </w:rPr>
        <w:t xml:space="preserve"> $ </w:t>
      </w:r>
      <w:r w:rsidR="00C15EC9">
        <w:rPr>
          <w:rFonts w:ascii="Arial" w:eastAsia="Calibri" w:hAnsi="Arial" w:cs="Arial"/>
          <w:sz w:val="18"/>
          <w:szCs w:val="18"/>
        </w:rPr>
        <w:t>3.222.064.015</w:t>
      </w:r>
      <w:r w:rsidR="00D7181D" w:rsidRPr="00953690">
        <w:rPr>
          <w:rFonts w:ascii="Arial" w:eastAsia="Calibri" w:hAnsi="Arial" w:cs="Arial"/>
          <w:sz w:val="18"/>
          <w:szCs w:val="18"/>
          <w:lang w:val="es-ES_tradnl"/>
        </w:rPr>
        <w:t xml:space="preserve"> </w:t>
      </w:r>
      <w:r w:rsidR="00D7181D" w:rsidRPr="00953690">
        <w:rPr>
          <w:rFonts w:ascii="Arial" w:eastAsia="Calibri" w:hAnsi="Arial" w:cs="Arial"/>
          <w:b/>
          <w:sz w:val="18"/>
          <w:szCs w:val="18"/>
        </w:rPr>
        <w:t>(g)</w:t>
      </w:r>
      <w:r w:rsidR="00D7181D" w:rsidRPr="00953690">
        <w:rPr>
          <w:rFonts w:ascii="Arial" w:eastAsia="Calibri" w:hAnsi="Arial" w:cs="Arial"/>
          <w:sz w:val="18"/>
          <w:szCs w:val="18"/>
        </w:rPr>
        <w:t xml:space="preserve"> La </w:t>
      </w:r>
      <w:r w:rsidR="00320E4D">
        <w:rPr>
          <w:rFonts w:ascii="Arial" w:eastAsia="Calibri" w:hAnsi="Arial" w:cs="Arial"/>
          <w:sz w:val="18"/>
          <w:szCs w:val="18"/>
        </w:rPr>
        <w:t xml:space="preserve">Sociedad tiene obligaciones negociables en circulación por un monto de US$ 13.851.742 </w:t>
      </w:r>
      <w:r w:rsidR="00320E4D" w:rsidRPr="00320E4D">
        <w:rPr>
          <w:rFonts w:ascii="Arial" w:eastAsia="Calibri" w:hAnsi="Arial" w:cs="Arial"/>
          <w:b/>
          <w:sz w:val="18"/>
          <w:szCs w:val="18"/>
        </w:rPr>
        <w:t>(</w:t>
      </w:r>
      <w:r w:rsidR="00D7181D" w:rsidRPr="00953690">
        <w:rPr>
          <w:rFonts w:ascii="Arial" w:eastAsia="Calibri" w:hAnsi="Arial" w:cs="Arial"/>
          <w:b/>
          <w:sz w:val="18"/>
          <w:szCs w:val="18"/>
        </w:rPr>
        <w:t>h) Préstamos con garantía real:</w:t>
      </w:r>
      <w:r w:rsidR="00D7181D" w:rsidRPr="00953690">
        <w:rPr>
          <w:rFonts w:ascii="Arial" w:eastAsia="Calibri" w:hAnsi="Arial" w:cs="Arial"/>
          <w:sz w:val="18"/>
          <w:szCs w:val="18"/>
        </w:rPr>
        <w:t xml:space="preserve"> </w:t>
      </w:r>
      <w:r w:rsidR="00C15EC9">
        <w:rPr>
          <w:rFonts w:ascii="Arial" w:eastAsia="Calibri" w:hAnsi="Arial" w:cs="Arial"/>
          <w:sz w:val="18"/>
          <w:szCs w:val="18"/>
        </w:rPr>
        <w:t>USD 3.333.333</w:t>
      </w:r>
      <w:r w:rsidR="00D7181D" w:rsidRPr="00953690">
        <w:rPr>
          <w:rFonts w:ascii="Arial" w:eastAsia="Calibri" w:hAnsi="Arial" w:cs="Arial"/>
          <w:sz w:val="18"/>
          <w:szCs w:val="18"/>
        </w:rPr>
        <w:t>.</w:t>
      </w:r>
      <w:r w:rsidR="00D7181D" w:rsidRPr="00D7181D">
        <w:rPr>
          <w:rFonts w:ascii="Arial" w:eastAsia="Calibri" w:hAnsi="Arial" w:cs="Arial"/>
          <w:sz w:val="18"/>
          <w:szCs w:val="18"/>
        </w:rPr>
        <w:t xml:space="preserve"> </w:t>
      </w:r>
    </w:p>
    <w:p w14:paraId="5CE6D506" w14:textId="77777777" w:rsidR="00BC550F" w:rsidRDefault="00BC550F" w:rsidP="00144CD5">
      <w:pPr>
        <w:jc w:val="both"/>
      </w:pPr>
    </w:p>
    <w:sectPr w:rsidR="00BC55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81D"/>
    <w:rsid w:val="000D466A"/>
    <w:rsid w:val="00133E7E"/>
    <w:rsid w:val="00144CD5"/>
    <w:rsid w:val="001B12F7"/>
    <w:rsid w:val="00265DEF"/>
    <w:rsid w:val="00290F17"/>
    <w:rsid w:val="002B3E30"/>
    <w:rsid w:val="002E565A"/>
    <w:rsid w:val="002E6314"/>
    <w:rsid w:val="00320E4D"/>
    <w:rsid w:val="00334DF0"/>
    <w:rsid w:val="0037436A"/>
    <w:rsid w:val="00423ACF"/>
    <w:rsid w:val="00444125"/>
    <w:rsid w:val="00444EA8"/>
    <w:rsid w:val="00476E28"/>
    <w:rsid w:val="004F5538"/>
    <w:rsid w:val="005313DF"/>
    <w:rsid w:val="00594169"/>
    <w:rsid w:val="0062103E"/>
    <w:rsid w:val="00666EC3"/>
    <w:rsid w:val="0083282D"/>
    <w:rsid w:val="008564FD"/>
    <w:rsid w:val="0086684E"/>
    <w:rsid w:val="008D2E42"/>
    <w:rsid w:val="00953690"/>
    <w:rsid w:val="00991684"/>
    <w:rsid w:val="009E1D5E"/>
    <w:rsid w:val="009E25E5"/>
    <w:rsid w:val="00A20C22"/>
    <w:rsid w:val="00A60550"/>
    <w:rsid w:val="00B654DB"/>
    <w:rsid w:val="00BC550F"/>
    <w:rsid w:val="00BD144B"/>
    <w:rsid w:val="00BE69B5"/>
    <w:rsid w:val="00C15EC9"/>
    <w:rsid w:val="00CB4AC9"/>
    <w:rsid w:val="00CE3F31"/>
    <w:rsid w:val="00D01A64"/>
    <w:rsid w:val="00D322D9"/>
    <w:rsid w:val="00D7181D"/>
    <w:rsid w:val="00D95C4B"/>
    <w:rsid w:val="00E222A2"/>
    <w:rsid w:val="00E40323"/>
    <w:rsid w:val="00E578D1"/>
    <w:rsid w:val="00E76AE6"/>
    <w:rsid w:val="00E87784"/>
    <w:rsid w:val="00F02586"/>
    <w:rsid w:val="00F83158"/>
    <w:rsid w:val="00FC1674"/>
    <w:rsid w:val="00FC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04B7"/>
  <w15:docId w15:val="{2347F727-10C9-4959-816A-E32C2C29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4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nv.gov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Rivas Orozco</dc:creator>
  <cp:lastModifiedBy>Federico Walter</cp:lastModifiedBy>
  <cp:revision>3</cp:revision>
  <dcterms:created xsi:type="dcterms:W3CDTF">2020-07-24T15:16:00Z</dcterms:created>
  <dcterms:modified xsi:type="dcterms:W3CDTF">2021-02-03T18:01:00Z</dcterms:modified>
</cp:coreProperties>
</file>