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65372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                                         </w:t>
      </w:r>
    </w:p>
    <w:p w14:paraId="6CCC126E" w14:textId="77777777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AVISO DE PAGO DE INTERÉS</w:t>
      </w:r>
    </w:p>
    <w:p w14:paraId="6BEBF3E1" w14:textId="77777777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OBLIGACIONES NEGOCIABLES PYME CNV GARANTIZADA SERIE II CLASE I</w:t>
      </w:r>
    </w:p>
    <w:p w14:paraId="55F7EA8F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Promedon anuncia a los señores de las obligaciones negociables PYME CNV Garantizadas Serie II Clase I por un valor nominal de $2.272.205.378 (Pesos Dos mil doscientos setenta y dos millones doscientos cinco mil trescientos setenta y ocho) que el día 25 de octubre 2024, o el Día Hábil inmediato posterior si dicha fecha no fuese un Día Hábil, se efectuará el pago correspondiente al segundo servicio de intereses cuyas características principales se detallan a continuación</w:t>
      </w:r>
    </w:p>
    <w:p w14:paraId="22EE587A" w14:textId="77777777" w:rsidR="00BE40E2" w:rsidRDefault="00937877">
      <w:pPr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u w:val="single"/>
        </w:rPr>
        <w:t>Agente de pago: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Caja de Valores S.A. – 25 de mayo 362 – Capital Federal – Argentina.</w:t>
      </w:r>
    </w:p>
    <w:p w14:paraId="2CC502B5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Fecha de Pago</w:t>
      </w:r>
      <w:r>
        <w:rPr>
          <w:rFonts w:ascii="Calibri" w:eastAsia="Calibri" w:hAnsi="Calibri" w:cs="Calibri"/>
        </w:rPr>
        <w:t>: 25 de octubre 2024</w:t>
      </w:r>
    </w:p>
    <w:p w14:paraId="1D05B10C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Período al que corresponde el pago de intereses</w:t>
      </w:r>
      <w:r>
        <w:rPr>
          <w:rFonts w:ascii="Calibri" w:eastAsia="Calibri" w:hAnsi="Calibri" w:cs="Calibri"/>
        </w:rPr>
        <w:t xml:space="preserve">: Desde </w:t>
      </w:r>
      <w:proofErr w:type="gramStart"/>
      <w:r>
        <w:rPr>
          <w:rFonts w:ascii="Calibri" w:eastAsia="Calibri" w:hAnsi="Calibri" w:cs="Calibri"/>
        </w:rPr>
        <w:t>el  25</w:t>
      </w:r>
      <w:proofErr w:type="gramEnd"/>
      <w:r>
        <w:rPr>
          <w:rFonts w:ascii="Calibri" w:eastAsia="Calibri" w:hAnsi="Calibri" w:cs="Calibri"/>
        </w:rPr>
        <w:t xml:space="preserve"> de julio 2024 hasta el 25 de octubre 2024.</w:t>
      </w:r>
    </w:p>
    <w:p w14:paraId="7E65E449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Cantidad de días del período:</w:t>
      </w:r>
      <w:r>
        <w:rPr>
          <w:rFonts w:ascii="Calibri" w:eastAsia="Calibri" w:hAnsi="Calibri" w:cs="Calibri"/>
        </w:rPr>
        <w:t xml:space="preserve"> 92 días</w:t>
      </w:r>
    </w:p>
    <w:p w14:paraId="25F3B6F0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Interés que se abona en pesos</w:t>
      </w:r>
      <w:r>
        <w:rPr>
          <w:rFonts w:ascii="Calibri" w:eastAsia="Calibri" w:hAnsi="Calibri" w:cs="Calibri"/>
        </w:rPr>
        <w:t>: $222.909.597,70</w:t>
      </w:r>
    </w:p>
    <w:p w14:paraId="11BDD6C1" w14:textId="3F8769C0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Tasa de interés anual determinada para el período</w:t>
      </w:r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</w:rPr>
        <w:t>38,9212</w:t>
      </w:r>
      <w:r w:rsidR="00174411">
        <w:rPr>
          <w:rFonts w:ascii="Calibri" w:eastAsia="Calibri" w:hAnsi="Calibri" w:cs="Calibri"/>
        </w:rPr>
        <w:t>%</w:t>
      </w:r>
    </w:p>
    <w:p w14:paraId="3AE45B1E" w14:textId="578788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Porcentaje de intereses sobre valor nominal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</w:rPr>
        <w:t>9,81027</w:t>
      </w:r>
      <w:r w:rsidR="00B449DD">
        <w:rPr>
          <w:rFonts w:ascii="Calibri" w:eastAsia="Calibri" w:hAnsi="Calibri" w:cs="Calibri"/>
        </w:rPr>
        <w:t>507</w:t>
      </w:r>
      <w:r w:rsidR="00174411">
        <w:rPr>
          <w:rFonts w:ascii="Calibri" w:eastAsia="Calibri" w:hAnsi="Calibri" w:cs="Calibri"/>
        </w:rPr>
        <w:t>%</w:t>
      </w:r>
    </w:p>
    <w:p w14:paraId="65885FCB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3BCFDD0B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importante destacar que, Caja de Valores S.A. tomará los recaudos necesarios para la acreditación de los fondos correspondientes a los respectivos tenedores de Obligaciones Negociables PYME CNV Garantizadas Serie II Clase I</w:t>
      </w:r>
    </w:p>
    <w:p w14:paraId="305FB0DC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6210B4CC" w14:textId="47B65BBC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Córdoba, 1</w:t>
      </w:r>
      <w:r w:rsidR="00B449DD">
        <w:rPr>
          <w:rFonts w:ascii="Calibri" w:eastAsia="Calibri" w:hAnsi="Calibri" w:cs="Calibri"/>
          <w:i/>
        </w:rPr>
        <w:t>8</w:t>
      </w:r>
      <w:r>
        <w:rPr>
          <w:rFonts w:ascii="Calibri" w:eastAsia="Calibri" w:hAnsi="Calibri" w:cs="Calibri"/>
          <w:i/>
        </w:rPr>
        <w:t xml:space="preserve"> de </w:t>
      </w:r>
      <w:r w:rsidR="00B449DD">
        <w:rPr>
          <w:rFonts w:ascii="Calibri" w:eastAsia="Calibri" w:hAnsi="Calibri" w:cs="Calibri"/>
          <w:i/>
        </w:rPr>
        <w:t>octubre</w:t>
      </w:r>
      <w:r>
        <w:rPr>
          <w:rFonts w:ascii="Calibri" w:eastAsia="Calibri" w:hAnsi="Calibri" w:cs="Calibri"/>
          <w:i/>
        </w:rPr>
        <w:t xml:space="preserve"> de 2024</w:t>
      </w:r>
    </w:p>
    <w:p w14:paraId="35F4DDE3" w14:textId="77777777" w:rsidR="00BE40E2" w:rsidRDefault="00BE40E2">
      <w:pPr>
        <w:jc w:val="center"/>
        <w:rPr>
          <w:rFonts w:ascii="Calibri" w:eastAsia="Calibri" w:hAnsi="Calibri" w:cs="Calibri"/>
        </w:rPr>
      </w:pPr>
    </w:p>
    <w:p w14:paraId="0DF116E6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Lucas A. Olmedo</w:t>
      </w:r>
    </w:p>
    <w:p w14:paraId="75082954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Vicepresidente</w:t>
      </w:r>
    </w:p>
    <w:p w14:paraId="5526690F" w14:textId="77777777" w:rsidR="00BE40E2" w:rsidRDefault="00937877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</w:rPr>
        <w:t>Promedon S.A.</w:t>
      </w:r>
    </w:p>
    <w:p w14:paraId="3D9953DE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3E33494F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5090377C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47AD7D71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65B23961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                              </w:t>
      </w:r>
    </w:p>
    <w:p w14:paraId="01503C92" w14:textId="77777777" w:rsidR="00BE40E2" w:rsidRDefault="00BE40E2">
      <w:pPr>
        <w:jc w:val="center"/>
        <w:rPr>
          <w:rFonts w:ascii="Calibri" w:eastAsia="Calibri" w:hAnsi="Calibri" w:cs="Calibri"/>
          <w:b/>
          <w:i/>
        </w:rPr>
      </w:pPr>
    </w:p>
    <w:p w14:paraId="7E3069F4" w14:textId="77777777" w:rsidR="00BE40E2" w:rsidRDefault="00BE40E2">
      <w:pPr>
        <w:jc w:val="center"/>
        <w:rPr>
          <w:rFonts w:ascii="Calibri" w:eastAsia="Calibri" w:hAnsi="Calibri" w:cs="Calibri"/>
          <w:b/>
          <w:i/>
        </w:rPr>
      </w:pPr>
    </w:p>
    <w:p w14:paraId="225DA955" w14:textId="77777777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            AVISO DE PAGO DE INTERÉS</w:t>
      </w:r>
    </w:p>
    <w:p w14:paraId="7E35F246" w14:textId="77777777" w:rsidR="00BE40E2" w:rsidRDefault="00937877">
      <w:pPr>
        <w:spacing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OBLIGACIONES NEGOCIABLES PYME CNV GARANTIZADA SERIE II CLASE II</w:t>
      </w:r>
    </w:p>
    <w:p w14:paraId="769C63CF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Promedon anuncia a los señores inversores de las Obligaciones Negociables PYME CNV Garantizadas Serie II Clase II - por un valor nominal de </w:t>
      </w:r>
      <w:r>
        <w:rPr>
          <w:rFonts w:ascii="Calibri" w:eastAsia="Calibri" w:hAnsi="Calibri" w:cs="Calibri"/>
          <w:color w:val="000000"/>
        </w:rPr>
        <w:t xml:space="preserve">US$ 261.858 (dólares doscientos sesenta y un mil ochocientos cincuenta y ocho) </w:t>
      </w:r>
      <w:r>
        <w:rPr>
          <w:rFonts w:ascii="Calibri" w:eastAsia="Calibri" w:hAnsi="Calibri" w:cs="Calibri"/>
        </w:rPr>
        <w:t>que el día 25 de octubre 2024, o el Día Hábil inmediato posterior si dicha fecha no fuese un Día Hábil, se efectuará el pago correspondiente al segundo servicio de intereses cuyas características principales se detallan a continuación:</w:t>
      </w:r>
    </w:p>
    <w:p w14:paraId="68ADEA1E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Período al que corresponde el pago de intereses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</w:rPr>
        <w:t>Desde el 25 de julio 2024 hasta el 25 de octubre 2024.</w:t>
      </w:r>
    </w:p>
    <w:p w14:paraId="72FB6CB8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Cantidad de días del período:</w:t>
      </w:r>
      <w:r>
        <w:rPr>
          <w:rFonts w:ascii="Calibri" w:eastAsia="Calibri" w:hAnsi="Calibri" w:cs="Calibri"/>
        </w:rPr>
        <w:t xml:space="preserve"> 92 días</w:t>
      </w:r>
    </w:p>
    <w:p w14:paraId="3286B74C" w14:textId="77777777" w:rsidR="00BE40E2" w:rsidRDefault="00937877">
      <w:pPr>
        <w:spacing w:after="0" w:line="24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color w:val="000000"/>
          <w:u w:val="single"/>
        </w:rPr>
        <w:t>Tasa de interés anual para el período</w:t>
      </w:r>
      <w:r>
        <w:rPr>
          <w:rFonts w:ascii="Calibri" w:eastAsia="Calibri" w:hAnsi="Calibri" w:cs="Calibri"/>
          <w:b/>
          <w:color w:val="000000"/>
        </w:rPr>
        <w:t xml:space="preserve">: </w:t>
      </w:r>
      <w:r>
        <w:rPr>
          <w:rFonts w:ascii="Calibri" w:eastAsia="Calibri" w:hAnsi="Calibri" w:cs="Calibri"/>
        </w:rPr>
        <w:t xml:space="preserve">1,00% </w:t>
      </w:r>
    </w:p>
    <w:p w14:paraId="75329A2D" w14:textId="77777777" w:rsidR="00BE40E2" w:rsidRDefault="00BE40E2">
      <w:pPr>
        <w:spacing w:after="0" w:line="240" w:lineRule="auto"/>
        <w:rPr>
          <w:rFonts w:ascii="Calibri" w:eastAsia="Calibri" w:hAnsi="Calibri" w:cs="Calibri"/>
        </w:rPr>
      </w:pPr>
    </w:p>
    <w:p w14:paraId="315199B3" w14:textId="77777777" w:rsidR="00BE40E2" w:rsidRDefault="00937877">
      <w:pPr>
        <w:spacing w:after="0" w:line="24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color w:val="000000"/>
          <w:u w:val="single"/>
        </w:rPr>
        <w:t>Porcentaje de intereses sobre capital en circulación</w:t>
      </w:r>
      <w:r>
        <w:rPr>
          <w:rFonts w:ascii="Calibri" w:eastAsia="Calibri" w:hAnsi="Calibri" w:cs="Calibri"/>
          <w:color w:val="000000"/>
        </w:rPr>
        <w:t xml:space="preserve">: </w:t>
      </w:r>
      <w:r>
        <w:rPr>
          <w:rFonts w:ascii="Calibri" w:eastAsia="Calibri" w:hAnsi="Calibri" w:cs="Calibri"/>
        </w:rPr>
        <w:t>0,2520548%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2822A7E" w14:textId="77777777" w:rsidR="00BE40E2" w:rsidRDefault="00BE40E2">
      <w:pPr>
        <w:spacing w:after="0" w:line="240" w:lineRule="auto"/>
        <w:jc w:val="both"/>
        <w:rPr>
          <w:rFonts w:ascii="Calibri" w:eastAsia="Calibri" w:hAnsi="Calibri" w:cs="Calibri"/>
          <w:color w:val="FF0000"/>
        </w:rPr>
      </w:pPr>
    </w:p>
    <w:p w14:paraId="76A4DBAB" w14:textId="77777777" w:rsidR="00BE40E2" w:rsidRDefault="00937877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Tipo de Cambio aplicable:</w:t>
      </w:r>
      <w:r>
        <w:rPr>
          <w:rFonts w:ascii="Calibri" w:eastAsia="Calibri" w:hAnsi="Calibri" w:cs="Calibri"/>
          <w:color w:val="000000"/>
        </w:rPr>
        <w:t xml:space="preserve"> $</w:t>
      </w:r>
      <w:r>
        <w:rPr>
          <w:rFonts w:ascii="Calibri" w:eastAsia="Calibri" w:hAnsi="Calibri" w:cs="Calibri"/>
          <w:sz w:val="22"/>
          <w:szCs w:val="22"/>
        </w:rPr>
        <w:t>980,7777</w:t>
      </w:r>
      <w:r>
        <w:rPr>
          <w:rFonts w:ascii="Calibri" w:eastAsia="Calibri" w:hAnsi="Calibri" w:cs="Calibri"/>
          <w:color w:val="000000"/>
        </w:rPr>
        <w:t xml:space="preserve"> (correspondiente al promedio aritmético simple de los últimos tres (3) Días Hábiles previos a la Fecha de Cálculo del tipo de cambio de referencia dólar estadounidenses/ Pesos informado por el BCRA mediante la Comunicación "A" 3500). </w:t>
      </w:r>
    </w:p>
    <w:p w14:paraId="2D8C1C4B" w14:textId="77777777" w:rsidR="00BE40E2" w:rsidRDefault="00BE40E2">
      <w:pPr>
        <w:spacing w:after="0" w:line="240" w:lineRule="auto"/>
        <w:rPr>
          <w:rFonts w:ascii="Calibri" w:eastAsia="Calibri" w:hAnsi="Calibri" w:cs="Calibri"/>
        </w:rPr>
      </w:pPr>
    </w:p>
    <w:p w14:paraId="732635BF" w14:textId="639E785E" w:rsidR="00BE40E2" w:rsidRDefault="00937877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Interés que se abona en pesos</w:t>
      </w:r>
      <w:r>
        <w:rPr>
          <w:rFonts w:ascii="Calibri" w:eastAsia="Calibri" w:hAnsi="Calibri" w:cs="Calibri"/>
          <w:color w:val="000000"/>
        </w:rPr>
        <w:t>: $</w:t>
      </w:r>
      <w:r>
        <w:rPr>
          <w:rFonts w:ascii="Calibri" w:eastAsia="Calibri" w:hAnsi="Calibri" w:cs="Calibri"/>
          <w:sz w:val="22"/>
          <w:szCs w:val="22"/>
        </w:rPr>
        <w:t>647.338,4</w:t>
      </w:r>
      <w:r w:rsidR="00B449DD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equivalentes a US$ </w:t>
      </w:r>
      <w:r>
        <w:rPr>
          <w:rFonts w:ascii="Calibri" w:eastAsia="Calibri" w:hAnsi="Calibri" w:cs="Calibri"/>
          <w:sz w:val="22"/>
          <w:szCs w:val="22"/>
        </w:rPr>
        <w:t>660,0256</w:t>
      </w:r>
    </w:p>
    <w:p w14:paraId="1BE8CBB0" w14:textId="77777777" w:rsidR="00BE40E2" w:rsidRDefault="00BE40E2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CDAD69C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0267F6F1" w14:textId="77777777" w:rsidR="00BE40E2" w:rsidRDefault="0093787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importante destacar que, Caja de Valores S.A. tomará los recaudos necesarios para la acreditación de los fondos correspondientes a los respectivos tenedores de Obligaciones Negociables Clase 1</w:t>
      </w:r>
    </w:p>
    <w:p w14:paraId="69792DFA" w14:textId="77777777" w:rsidR="00BE40E2" w:rsidRDefault="00BE40E2">
      <w:pPr>
        <w:jc w:val="both"/>
        <w:rPr>
          <w:rFonts w:ascii="Calibri" w:eastAsia="Calibri" w:hAnsi="Calibri" w:cs="Calibri"/>
        </w:rPr>
      </w:pPr>
    </w:p>
    <w:p w14:paraId="68E5B307" w14:textId="77777777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Córdoba, 17 de octubre de 2024</w:t>
      </w:r>
    </w:p>
    <w:p w14:paraId="4F11F0E7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Lucas A. Olmedo</w:t>
      </w:r>
    </w:p>
    <w:p w14:paraId="7E53B431" w14:textId="77777777" w:rsidR="00BE40E2" w:rsidRDefault="00937877">
      <w:pPr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Vicepresidente</w:t>
      </w:r>
    </w:p>
    <w:p w14:paraId="6C34B9AE" w14:textId="77777777" w:rsidR="00BE40E2" w:rsidRDefault="0093787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Promedon S.A.</w:t>
      </w:r>
    </w:p>
    <w:sectPr w:rsidR="00BE40E2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619EB" w14:textId="77777777" w:rsidR="004C36EF" w:rsidRDefault="004C36EF">
      <w:pPr>
        <w:spacing w:after="0" w:line="240" w:lineRule="auto"/>
      </w:pPr>
      <w:r>
        <w:separator/>
      </w:r>
    </w:p>
  </w:endnote>
  <w:endnote w:type="continuationSeparator" w:id="0">
    <w:p w14:paraId="5C8DFBAF" w14:textId="77777777" w:rsidR="004C36EF" w:rsidRDefault="004C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1BCAADD-AC5A-430E-BCF1-C18CDDDEB834}"/>
    <w:embedBold r:id="rId2" w:fontKey="{E0063233-7A29-404F-BAEC-7069CCB2848A}"/>
    <w:embedItalic r:id="rId3" w:fontKey="{F7A1CF52-7B29-4F15-815B-333A378A3F5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6A5C5F0-9BBE-4494-A870-6D14A05115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EFCF03B-8172-4521-98D8-F50AE774C16D}"/>
    <w:embedBold r:id="rId6" w:fontKey="{3F27E4B3-BCC6-487E-BD1E-EC48F3FF36B4}"/>
    <w:embedItalic r:id="rId7" w:fontKey="{A2881653-A014-4C26-8E91-8CBDC85B6465}"/>
    <w:embedBoldItalic r:id="rId8" w:fontKey="{8463AA14-EFAD-4A04-8E11-87622FCCEC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9182A" w14:textId="77777777" w:rsidR="004C36EF" w:rsidRDefault="004C36EF">
      <w:pPr>
        <w:spacing w:after="0" w:line="240" w:lineRule="auto"/>
      </w:pPr>
      <w:r>
        <w:separator/>
      </w:r>
    </w:p>
  </w:footnote>
  <w:footnote w:type="continuationSeparator" w:id="0">
    <w:p w14:paraId="373DAB16" w14:textId="77777777" w:rsidR="004C36EF" w:rsidRDefault="004C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678DA" w14:textId="77777777" w:rsidR="00BE40E2" w:rsidRDefault="009378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930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b/>
        <w:color w:val="000000"/>
      </w:rPr>
      <w:t>PROMEDON S.A.</w:t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8841725" wp14:editId="4E788E9A">
          <wp:simplePos x="0" y="0"/>
          <wp:positionH relativeFrom="column">
            <wp:posOffset>4391025</wp:posOffset>
          </wp:positionH>
          <wp:positionV relativeFrom="paragraph">
            <wp:posOffset>7620</wp:posOffset>
          </wp:positionV>
          <wp:extent cx="1866265" cy="605790"/>
          <wp:effectExtent l="0" t="0" r="0" b="0"/>
          <wp:wrapSquare wrapText="bothSides" distT="0" distB="0" distL="114300" distR="114300"/>
          <wp:docPr id="778714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6265" cy="605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073623" w14:textId="77777777" w:rsidR="00BE40E2" w:rsidRDefault="009378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930"/>
      </w:tabs>
      <w:spacing w:after="0" w:line="240" w:lineRule="auto"/>
      <w:rPr>
        <w:i/>
        <w:color w:val="000000"/>
      </w:rPr>
    </w:pPr>
    <w:r>
      <w:rPr>
        <w:i/>
        <w:color w:val="000000"/>
      </w:rPr>
      <w:t xml:space="preserve">Teléfono: (+54) 351 450-2100 – </w:t>
    </w:r>
  </w:p>
  <w:p w14:paraId="40B4A8C4" w14:textId="77777777" w:rsidR="00BE40E2" w:rsidRDefault="009378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930"/>
      </w:tabs>
      <w:spacing w:after="0" w:line="240" w:lineRule="auto"/>
      <w:rPr>
        <w:color w:val="000000"/>
      </w:rPr>
    </w:pPr>
    <w:r>
      <w:rPr>
        <w:i/>
        <w:color w:val="000000"/>
      </w:rPr>
      <w:t>Correo electrónico: agustina.berducq@promedon.com</w:t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E2"/>
    <w:rsid w:val="000E6C52"/>
    <w:rsid w:val="00174411"/>
    <w:rsid w:val="004C36EF"/>
    <w:rsid w:val="00700FC8"/>
    <w:rsid w:val="00937877"/>
    <w:rsid w:val="00A96F60"/>
    <w:rsid w:val="00B449DD"/>
    <w:rsid w:val="00BE40E2"/>
    <w:rsid w:val="00F6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6FE5"/>
  <w15:docId w15:val="{E0843774-612A-480E-929D-DDFB010A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s-AR" w:eastAsia="es-A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588"/>
  </w:style>
  <w:style w:type="paragraph" w:styleId="Ttulo1">
    <w:name w:val="heading 1"/>
    <w:basedOn w:val="Normal"/>
    <w:next w:val="Normal"/>
    <w:link w:val="Ttulo1Car"/>
    <w:uiPriority w:val="9"/>
    <w:qFormat/>
    <w:rsid w:val="00AF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F0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F0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B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B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B51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AF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B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B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B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B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B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494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00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588"/>
  </w:style>
  <w:style w:type="paragraph" w:styleId="Piedepgina">
    <w:name w:val="footer"/>
    <w:basedOn w:val="Normal"/>
    <w:link w:val="PiedepginaCar"/>
    <w:uiPriority w:val="99"/>
    <w:unhideWhenUsed/>
    <w:rsid w:val="00A00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VhslhQtSIRFZv+3lDtN01qAMw==">CgMxLjA4AHIhMURsbkg0SVpKOU14b3dMeTBYaUFlUDZldHhTZ0l2RmxF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Ramos</dc:creator>
  <cp:lastModifiedBy>Lucas Olmedo - Promedon Group</cp:lastModifiedBy>
  <cp:revision>2</cp:revision>
  <dcterms:created xsi:type="dcterms:W3CDTF">2024-10-21T18:51:00Z</dcterms:created>
  <dcterms:modified xsi:type="dcterms:W3CDTF">2024-10-21T18:51:00Z</dcterms:modified>
</cp:coreProperties>
</file>