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DBC3E" w14:textId="1C858458" w:rsidR="00A232C4" w:rsidRPr="00192C06" w:rsidRDefault="00BB375F" w:rsidP="002F170C">
      <w:pPr>
        <w:tabs>
          <w:tab w:val="left" w:pos="426"/>
        </w:tabs>
        <w:spacing w:after="0" w:line="240" w:lineRule="auto"/>
        <w:jc w:val="center"/>
        <w:outlineLvl w:val="0"/>
        <w:rPr>
          <w:rFonts w:ascii="Verdana" w:eastAsia="Times New Roman" w:hAnsi="Verdana" w:cs="Arial"/>
          <w:b/>
          <w:u w:val="single"/>
        </w:rPr>
      </w:pPr>
      <w:r>
        <w:rPr>
          <w:rFonts w:ascii="Verdana" w:eastAsia="Times New Roman" w:hAnsi="Verdana" w:cs="Arial"/>
          <w:b/>
          <w:u w:val="single"/>
        </w:rPr>
        <w:t>A</w:t>
      </w:r>
      <w:r w:rsidR="00A232C4">
        <w:rPr>
          <w:rFonts w:ascii="Verdana" w:eastAsia="Times New Roman" w:hAnsi="Verdana" w:cs="Arial"/>
          <w:b/>
          <w:u w:val="single"/>
        </w:rPr>
        <w:t xml:space="preserve">CTA N° </w:t>
      </w:r>
      <w:r w:rsidR="001C024B">
        <w:rPr>
          <w:rFonts w:ascii="Verdana" w:eastAsia="Times New Roman" w:hAnsi="Verdana" w:cs="Arial"/>
          <w:b/>
          <w:u w:val="single"/>
        </w:rPr>
        <w:t>7</w:t>
      </w:r>
      <w:r w:rsidR="00EC1AC4">
        <w:rPr>
          <w:rFonts w:ascii="Verdana" w:eastAsia="Times New Roman" w:hAnsi="Verdana" w:cs="Arial"/>
          <w:b/>
          <w:u w:val="single"/>
        </w:rPr>
        <w:t>7</w:t>
      </w:r>
      <w:r w:rsidR="00A232C4">
        <w:rPr>
          <w:rFonts w:ascii="Verdana" w:eastAsia="Times New Roman" w:hAnsi="Verdana" w:cs="Arial"/>
          <w:b/>
          <w:u w:val="single"/>
        </w:rPr>
        <w:t xml:space="preserve"> </w:t>
      </w:r>
      <w:r w:rsidR="00A232C4" w:rsidRPr="00192C06">
        <w:rPr>
          <w:rFonts w:ascii="Verdana" w:eastAsia="Times New Roman" w:hAnsi="Verdana" w:cs="Arial"/>
          <w:b/>
          <w:u w:val="single"/>
        </w:rPr>
        <w:t>DE LA COMISION FISCALIZADORA</w:t>
      </w:r>
    </w:p>
    <w:p w14:paraId="568B81F8" w14:textId="77777777" w:rsidR="00A232C4" w:rsidRDefault="00A232C4" w:rsidP="00A232C4">
      <w:pPr>
        <w:spacing w:after="0" w:line="240" w:lineRule="auto"/>
        <w:jc w:val="both"/>
        <w:rPr>
          <w:rFonts w:ascii="Book Antiqua" w:eastAsia="Times New Roman" w:hAnsi="Book Antiqua" w:cs="Times New Roman"/>
          <w:szCs w:val="20"/>
        </w:rPr>
      </w:pPr>
    </w:p>
    <w:p w14:paraId="4105F337" w14:textId="649309F8" w:rsidR="00595570" w:rsidRDefault="00595570" w:rsidP="00595570">
      <w:pPr>
        <w:suppressAutoHyphens/>
        <w:spacing w:after="0" w:line="240" w:lineRule="auto"/>
        <w:jc w:val="both"/>
        <w:rPr>
          <w:rFonts w:ascii="Verdana" w:eastAsia="Times New Roman" w:hAnsi="Verdana" w:cs="Times New Roman"/>
        </w:rPr>
      </w:pPr>
      <w:r w:rsidRPr="00C16A21">
        <w:rPr>
          <w:rFonts w:ascii="Verdana" w:eastAsia="Times New Roman" w:hAnsi="Verdana" w:cs="Times New Roman"/>
        </w:rPr>
        <w:t xml:space="preserve">En la ciudad de Rosario, Provincia de Santa Fe, a los </w:t>
      </w:r>
      <w:r w:rsidR="00705E43">
        <w:rPr>
          <w:rFonts w:ascii="Verdana" w:eastAsia="Times New Roman" w:hAnsi="Verdana" w:cs="Times New Roman"/>
        </w:rPr>
        <w:t>15 días de mes de marzo</w:t>
      </w:r>
      <w:r w:rsidRPr="00C16A21">
        <w:rPr>
          <w:rFonts w:ascii="Verdana" w:eastAsia="Times New Roman" w:hAnsi="Verdana" w:cs="Times New Roman"/>
        </w:rPr>
        <w:t xml:space="preserve"> de 20</w:t>
      </w:r>
      <w:r w:rsidR="006D1D96" w:rsidRPr="00C16A21">
        <w:rPr>
          <w:rFonts w:ascii="Verdana" w:eastAsia="Times New Roman" w:hAnsi="Verdana" w:cs="Times New Roman"/>
        </w:rPr>
        <w:t>2</w:t>
      </w:r>
      <w:r w:rsidR="00C16A21">
        <w:rPr>
          <w:rFonts w:ascii="Verdana" w:eastAsia="Times New Roman" w:hAnsi="Verdana" w:cs="Times New Roman"/>
        </w:rPr>
        <w:t>1</w:t>
      </w:r>
      <w:r w:rsidRPr="00C16A21">
        <w:rPr>
          <w:rFonts w:ascii="Verdana" w:eastAsia="Times New Roman" w:hAnsi="Verdana" w:cs="Times New Roman"/>
        </w:rPr>
        <w:t xml:space="preserve"> siendo las 1</w:t>
      </w:r>
      <w:r w:rsidR="00705E43">
        <w:rPr>
          <w:rFonts w:ascii="Verdana" w:eastAsia="Times New Roman" w:hAnsi="Verdana" w:cs="Times New Roman"/>
        </w:rPr>
        <w:t>1</w:t>
      </w:r>
      <w:r w:rsidRPr="00C16A21">
        <w:rPr>
          <w:rFonts w:ascii="Verdana" w:eastAsia="Times New Roman" w:hAnsi="Verdana" w:cs="Times New Roman"/>
        </w:rPr>
        <w:t xml:space="preserve"> horas, se reúnen los señores Cont. Miguel Ángel Liali, Cont. Jorge Fernando Felcaro y Cont. Sergio Miguel Roldan, miembros titulares de la Comisión Fiscalizadora de MILICIC S.A., para tratar los puntos siguientes:</w:t>
      </w:r>
    </w:p>
    <w:p w14:paraId="1AB6FCB1" w14:textId="77777777" w:rsidR="002F170C" w:rsidRPr="00595570" w:rsidRDefault="002F170C" w:rsidP="00595570">
      <w:pPr>
        <w:suppressAutoHyphens/>
        <w:spacing w:after="0" w:line="240" w:lineRule="auto"/>
        <w:jc w:val="both"/>
        <w:rPr>
          <w:rFonts w:ascii="Verdana" w:eastAsia="Times New Roman" w:hAnsi="Verdana" w:cs="Times New Roman"/>
        </w:rPr>
      </w:pPr>
    </w:p>
    <w:p w14:paraId="1C5062F1" w14:textId="77777777" w:rsidR="00595570" w:rsidRPr="00595570" w:rsidRDefault="00595570" w:rsidP="00595570">
      <w:pPr>
        <w:suppressAutoHyphens/>
        <w:spacing w:after="0" w:line="240" w:lineRule="auto"/>
        <w:jc w:val="both"/>
        <w:rPr>
          <w:rFonts w:ascii="Verdana" w:eastAsia="Times New Roman" w:hAnsi="Verdana" w:cs="Times New Roman"/>
        </w:rPr>
      </w:pPr>
    </w:p>
    <w:p w14:paraId="1BA36CEE" w14:textId="712339D6" w:rsidR="00AF4278" w:rsidRDefault="00AF4278" w:rsidP="00AF4278">
      <w:pPr>
        <w:numPr>
          <w:ilvl w:val="0"/>
          <w:numId w:val="11"/>
        </w:numPr>
        <w:spacing w:after="0" w:line="240" w:lineRule="auto"/>
        <w:jc w:val="both"/>
        <w:rPr>
          <w:rFonts w:ascii="Verdana" w:eastAsia="Times New Roman" w:hAnsi="Verdana" w:cs="Times New Roman"/>
          <w:lang w:val="es-ES_tradnl"/>
        </w:rPr>
      </w:pPr>
      <w:r>
        <w:rPr>
          <w:rFonts w:ascii="Verdana" w:eastAsia="Times New Roman" w:hAnsi="Verdana" w:cs="Times New Roman"/>
          <w:b/>
          <w:lang w:val="es-ES_tradnl"/>
        </w:rPr>
        <w:t xml:space="preserve">AUTORIZACION AL CONT. MIGUEL ANGEL LIALI PARA FIRMAR LA DOCUMENTACION DE LOS ESTADOS CONTABLES AL  </w:t>
      </w:r>
      <w:r>
        <w:rPr>
          <w:rFonts w:ascii="Verdana" w:eastAsia="Times New Roman" w:hAnsi="Verdana" w:cs="Times New Roman"/>
          <w:b/>
          <w:bCs/>
          <w:iCs/>
          <w:lang w:val="es-ES_tradnl"/>
        </w:rPr>
        <w:t>31 DE ENERO DE 2021</w:t>
      </w:r>
      <w:r>
        <w:rPr>
          <w:rFonts w:ascii="Verdana" w:eastAsia="Times New Roman" w:hAnsi="Verdana" w:cs="Times New Roman"/>
          <w:bCs/>
          <w:i/>
          <w:iCs/>
          <w:lang w:val="es-ES_tradnl"/>
        </w:rPr>
        <w:t xml:space="preserve"> </w:t>
      </w:r>
      <w:r>
        <w:rPr>
          <w:rFonts w:ascii="Verdana" w:eastAsia="Times New Roman" w:hAnsi="Verdana" w:cs="Times New Roman"/>
          <w:lang w:val="es-ES_tradnl"/>
        </w:rPr>
        <w:t xml:space="preserve">Se puso a consideración de la Comisión Fiscalizadora la autorización que sus miembros otorgan al Cont. Miguel Liali para que firme, en representación de los demás miembros de </w:t>
      </w:r>
      <w:proofErr w:type="gramStart"/>
      <w:r>
        <w:rPr>
          <w:rFonts w:ascii="Verdana" w:eastAsia="Times New Roman" w:hAnsi="Verdana" w:cs="Times New Roman"/>
          <w:lang w:val="es-ES_tradnl"/>
        </w:rPr>
        <w:t>la misma</w:t>
      </w:r>
      <w:proofErr w:type="gramEnd"/>
      <w:r>
        <w:rPr>
          <w:rFonts w:ascii="Verdana" w:eastAsia="Times New Roman" w:hAnsi="Verdana" w:cs="Times New Roman"/>
          <w:lang w:val="es-ES_tradnl"/>
        </w:rPr>
        <w:t>, toda la documentación relativa a los estados contables de la Sociedad al 31 de enero de 202</w:t>
      </w:r>
      <w:r w:rsidR="00C56A05">
        <w:rPr>
          <w:rFonts w:ascii="Verdana" w:eastAsia="Times New Roman" w:hAnsi="Verdana" w:cs="Times New Roman"/>
          <w:lang w:val="es-ES_tradnl"/>
        </w:rPr>
        <w:t>1</w:t>
      </w:r>
      <w:r>
        <w:rPr>
          <w:rFonts w:ascii="Verdana" w:eastAsia="Times New Roman" w:hAnsi="Verdana" w:cs="Times New Roman"/>
          <w:lang w:val="es-ES_tradnl"/>
        </w:rPr>
        <w:t>. Dicha autorización se aprobó por unanimidad, a lo cual el Cont. Liali manifiesta su conformidad. Se informará de esta decisión al Directorio a efectos de que conste en el acta respectiva.</w:t>
      </w:r>
    </w:p>
    <w:p w14:paraId="06EE6B81" w14:textId="77777777" w:rsidR="00C56A05" w:rsidRDefault="00C56A05" w:rsidP="00C56A05">
      <w:pPr>
        <w:rPr>
          <w:rFonts w:ascii="Verdana" w:eastAsia="Times New Roman" w:hAnsi="Verdana" w:cs="Times New Roman"/>
          <w:b/>
          <w:lang w:val="es-ES_tradnl"/>
        </w:rPr>
      </w:pPr>
    </w:p>
    <w:p w14:paraId="74335A7C" w14:textId="6C36B6FE" w:rsidR="00C56A05" w:rsidRPr="00E52FEE" w:rsidRDefault="00C56A05" w:rsidP="00E52FEE">
      <w:pPr>
        <w:pStyle w:val="Prrafodelista"/>
        <w:numPr>
          <w:ilvl w:val="0"/>
          <w:numId w:val="11"/>
        </w:numPr>
        <w:jc w:val="both"/>
        <w:rPr>
          <w:rFonts w:ascii="Verdana" w:eastAsia="Times New Roman" w:hAnsi="Verdana" w:cs="Times New Roman"/>
          <w:lang w:val="es-ES_tradnl"/>
        </w:rPr>
      </w:pPr>
      <w:r w:rsidRPr="00C56A05">
        <w:rPr>
          <w:rFonts w:ascii="Verdana" w:eastAsia="Times New Roman" w:hAnsi="Verdana" w:cs="Times New Roman"/>
          <w:b/>
          <w:lang w:val="es-ES_tradnl"/>
        </w:rPr>
        <w:t>CONSIDERACION DEL INFORME SOBRE LOS ESTADOS FINANCIEROS INDIVIDUALES Y CONSOLIDADOS DE LA SOCIEDAD CORRESPONDIENTES AL EJERCICIO CERRADO EL 31 DE ENERO DE 202</w:t>
      </w:r>
      <w:r w:rsidR="00E52FEE">
        <w:rPr>
          <w:rFonts w:ascii="Verdana" w:eastAsia="Times New Roman" w:hAnsi="Verdana" w:cs="Times New Roman"/>
          <w:b/>
          <w:lang w:val="es-ES_tradnl"/>
        </w:rPr>
        <w:t>1</w:t>
      </w:r>
      <w:r w:rsidRPr="00C56A05">
        <w:rPr>
          <w:rFonts w:ascii="Verdana" w:eastAsia="Times New Roman" w:hAnsi="Verdana" w:cs="Times New Roman"/>
          <w:b/>
          <w:lang w:val="es-ES_tradnl"/>
        </w:rPr>
        <w:t xml:space="preserve">.  </w:t>
      </w:r>
      <w:r w:rsidRPr="00E52FEE">
        <w:rPr>
          <w:rFonts w:ascii="Verdana" w:eastAsia="Times New Roman" w:hAnsi="Verdana" w:cs="Times New Roman"/>
          <w:lang w:val="es-ES_tradnl"/>
        </w:rPr>
        <w:t>Se decide la emisión del siguiente:</w:t>
      </w:r>
    </w:p>
    <w:p w14:paraId="0593AA0A" w14:textId="77777777" w:rsidR="008F2B4F" w:rsidRDefault="008F2B4F" w:rsidP="00F90ADC">
      <w:pPr>
        <w:suppressAutoHyphens/>
        <w:jc w:val="center"/>
        <w:rPr>
          <w:rFonts w:ascii="Arial" w:hAnsi="Arial" w:cs="Arial"/>
          <w:b/>
          <w:snapToGrid w:val="0"/>
          <w:sz w:val="16"/>
          <w:szCs w:val="20"/>
          <w:highlight w:val="magenta"/>
        </w:rPr>
      </w:pPr>
    </w:p>
    <w:p w14:paraId="33261F49" w14:textId="77777777" w:rsidR="008F2B4F" w:rsidRPr="008F2B4F" w:rsidRDefault="008F2B4F" w:rsidP="008F2B4F">
      <w:pPr>
        <w:suppressAutoHyphens/>
        <w:spacing w:after="0" w:line="240" w:lineRule="auto"/>
        <w:jc w:val="center"/>
        <w:rPr>
          <w:rFonts w:ascii="Arial" w:eastAsia="Times New Roman" w:hAnsi="Arial" w:cs="Arial"/>
          <w:b/>
          <w:snapToGrid w:val="0"/>
          <w:sz w:val="18"/>
          <w:szCs w:val="18"/>
          <w:lang w:eastAsia="es-ES"/>
        </w:rPr>
      </w:pPr>
      <w:r w:rsidRPr="008F2B4F">
        <w:rPr>
          <w:rFonts w:ascii="Arial" w:eastAsia="Times New Roman" w:hAnsi="Arial" w:cs="Arial"/>
          <w:b/>
          <w:snapToGrid w:val="0"/>
          <w:sz w:val="18"/>
          <w:szCs w:val="18"/>
          <w:lang w:eastAsia="es-ES"/>
        </w:rPr>
        <w:t>INFORME DE LA COMISIÓN FISCALIZADORA</w:t>
      </w:r>
    </w:p>
    <w:p w14:paraId="588AF72E" w14:textId="77777777" w:rsidR="008F2B4F" w:rsidRPr="008F2B4F" w:rsidRDefault="008F2B4F" w:rsidP="008F2B4F">
      <w:pPr>
        <w:suppressAutoHyphens/>
        <w:spacing w:after="0" w:line="240" w:lineRule="auto"/>
        <w:jc w:val="both"/>
        <w:rPr>
          <w:rFonts w:ascii="Arial" w:eastAsia="Times New Roman" w:hAnsi="Arial" w:cs="Arial"/>
          <w:snapToGrid w:val="0"/>
          <w:sz w:val="18"/>
          <w:szCs w:val="18"/>
          <w:lang w:eastAsia="es-ES"/>
        </w:rPr>
      </w:pPr>
    </w:p>
    <w:p w14:paraId="66397A5F" w14:textId="77777777" w:rsidR="008F2B4F" w:rsidRPr="008F2B4F" w:rsidRDefault="008F2B4F" w:rsidP="008F2B4F">
      <w:pPr>
        <w:suppressAutoHyphens/>
        <w:spacing w:after="0" w:line="240" w:lineRule="auto"/>
        <w:jc w:val="both"/>
        <w:rPr>
          <w:rFonts w:ascii="Arial" w:eastAsia="Times New Roman" w:hAnsi="Arial" w:cs="Arial"/>
          <w:snapToGrid w:val="0"/>
          <w:sz w:val="18"/>
          <w:szCs w:val="18"/>
          <w:lang w:eastAsia="es-ES"/>
        </w:rPr>
      </w:pPr>
    </w:p>
    <w:p w14:paraId="46188679" w14:textId="77777777" w:rsidR="008F2B4F" w:rsidRPr="008F2B4F" w:rsidRDefault="008F2B4F" w:rsidP="008F2B4F">
      <w:pPr>
        <w:suppressAutoHyphens/>
        <w:spacing w:after="0" w:line="240" w:lineRule="auto"/>
        <w:jc w:val="both"/>
        <w:rPr>
          <w:rFonts w:ascii="Arial" w:eastAsia="Times New Roman" w:hAnsi="Arial" w:cs="Arial"/>
          <w:snapToGrid w:val="0"/>
          <w:sz w:val="18"/>
          <w:szCs w:val="18"/>
          <w:lang w:eastAsia="es-ES"/>
        </w:rPr>
      </w:pPr>
      <w:r w:rsidRPr="008F2B4F">
        <w:rPr>
          <w:rFonts w:ascii="Arial" w:eastAsia="Times New Roman" w:hAnsi="Arial" w:cs="Arial"/>
          <w:snapToGrid w:val="0"/>
          <w:sz w:val="18"/>
          <w:szCs w:val="18"/>
          <w:lang w:eastAsia="es-ES"/>
        </w:rPr>
        <w:t xml:space="preserve">Señores Accionistas de </w:t>
      </w:r>
    </w:p>
    <w:p w14:paraId="35EBA261" w14:textId="77777777" w:rsidR="008F2B4F" w:rsidRPr="008F2B4F" w:rsidRDefault="008F2B4F" w:rsidP="008F2B4F">
      <w:pPr>
        <w:suppressAutoHyphens/>
        <w:spacing w:after="0" w:line="240" w:lineRule="auto"/>
        <w:jc w:val="both"/>
        <w:rPr>
          <w:rFonts w:ascii="Arial" w:eastAsia="Times New Roman" w:hAnsi="Arial" w:cs="Arial"/>
          <w:snapToGrid w:val="0"/>
          <w:sz w:val="18"/>
          <w:szCs w:val="18"/>
          <w:lang w:eastAsia="es-ES"/>
        </w:rPr>
      </w:pPr>
      <w:r w:rsidRPr="008F2B4F">
        <w:rPr>
          <w:rFonts w:ascii="Arial" w:eastAsia="Times New Roman" w:hAnsi="Arial" w:cs="Arial"/>
          <w:snapToGrid w:val="0"/>
          <w:sz w:val="18"/>
          <w:szCs w:val="18"/>
          <w:lang w:eastAsia="es-ES"/>
        </w:rPr>
        <w:t xml:space="preserve">Milicic S.A. </w:t>
      </w:r>
    </w:p>
    <w:p w14:paraId="2BC13596" w14:textId="77777777" w:rsidR="008F2B4F" w:rsidRPr="008F2B4F" w:rsidRDefault="008F2B4F" w:rsidP="008F2B4F">
      <w:pPr>
        <w:suppressAutoHyphens/>
        <w:spacing w:after="0" w:line="240" w:lineRule="auto"/>
        <w:jc w:val="both"/>
        <w:rPr>
          <w:rFonts w:ascii="Arial" w:eastAsia="Times New Roman" w:hAnsi="Arial" w:cs="Arial"/>
          <w:snapToGrid w:val="0"/>
          <w:sz w:val="18"/>
          <w:szCs w:val="18"/>
          <w:highlight w:val="yellow"/>
          <w:lang w:eastAsia="es-ES"/>
        </w:rPr>
      </w:pPr>
    </w:p>
    <w:p w14:paraId="2E3186DF" w14:textId="77777777" w:rsidR="008F2B4F" w:rsidRPr="008F2B4F" w:rsidRDefault="008F2B4F" w:rsidP="008F2B4F">
      <w:pPr>
        <w:suppressAutoHyphens/>
        <w:spacing w:after="0" w:line="240" w:lineRule="auto"/>
        <w:jc w:val="both"/>
        <w:rPr>
          <w:rFonts w:ascii="Arial" w:eastAsia="Times New Roman" w:hAnsi="Arial" w:cs="Arial"/>
          <w:snapToGrid w:val="0"/>
          <w:sz w:val="18"/>
          <w:szCs w:val="18"/>
          <w:highlight w:val="yellow"/>
          <w:lang w:eastAsia="es-ES"/>
        </w:rPr>
      </w:pPr>
    </w:p>
    <w:p w14:paraId="3D0FE883" w14:textId="77777777" w:rsidR="008F2B4F" w:rsidRPr="008F2B4F" w:rsidRDefault="008F2B4F" w:rsidP="008F2B4F">
      <w:pPr>
        <w:suppressAutoHyphens/>
        <w:spacing w:after="0" w:line="240" w:lineRule="auto"/>
        <w:jc w:val="both"/>
        <w:rPr>
          <w:rFonts w:ascii="Arial" w:eastAsia="Times New Roman" w:hAnsi="Arial" w:cs="Arial"/>
          <w:bCs/>
          <w:spacing w:val="-2"/>
          <w:sz w:val="18"/>
          <w:szCs w:val="18"/>
          <w:lang w:eastAsia="es-ES"/>
        </w:rPr>
      </w:pPr>
      <w:r w:rsidRPr="008F2B4F">
        <w:rPr>
          <w:rFonts w:ascii="Arial" w:eastAsia="Times New Roman" w:hAnsi="Arial" w:cs="Arial"/>
          <w:iCs/>
          <w:spacing w:val="-2"/>
          <w:sz w:val="18"/>
          <w:szCs w:val="18"/>
          <w:lang w:eastAsia="es-ES"/>
        </w:rPr>
        <w:t>En nuestro carácter de miembros de la Comisión Fiscalizadora de Milicic S.A., hemos efectuado una revisión de los documentos detallados en el párrafo siguiente</w:t>
      </w:r>
      <w:r w:rsidRPr="008F2B4F">
        <w:rPr>
          <w:rFonts w:ascii="Arial" w:eastAsia="Times New Roman" w:hAnsi="Arial" w:cs="Arial"/>
          <w:bCs/>
          <w:spacing w:val="-2"/>
          <w:sz w:val="18"/>
          <w:szCs w:val="18"/>
          <w:lang w:eastAsia="es-ES"/>
        </w:rPr>
        <w:t>.</w:t>
      </w:r>
    </w:p>
    <w:p w14:paraId="2657B8B7" w14:textId="77777777" w:rsidR="008F2B4F" w:rsidRPr="008F2B4F" w:rsidRDefault="008F2B4F" w:rsidP="008F2B4F">
      <w:pPr>
        <w:suppressAutoHyphens/>
        <w:spacing w:after="0" w:line="240" w:lineRule="auto"/>
        <w:jc w:val="both"/>
        <w:rPr>
          <w:rFonts w:ascii="Arial" w:eastAsia="Times New Roman" w:hAnsi="Arial" w:cs="Arial"/>
          <w:bCs/>
          <w:spacing w:val="-2"/>
          <w:sz w:val="18"/>
          <w:szCs w:val="18"/>
          <w:lang w:eastAsia="es-ES"/>
        </w:rPr>
      </w:pPr>
    </w:p>
    <w:p w14:paraId="0E561721" w14:textId="77777777" w:rsidR="008F2B4F" w:rsidRPr="008F2B4F" w:rsidRDefault="008F2B4F" w:rsidP="008F2B4F">
      <w:pPr>
        <w:suppressAutoHyphens/>
        <w:spacing w:after="0" w:line="240" w:lineRule="auto"/>
        <w:jc w:val="both"/>
        <w:rPr>
          <w:rFonts w:ascii="Arial" w:eastAsia="Times New Roman" w:hAnsi="Arial" w:cs="Arial"/>
          <w:bCs/>
          <w:spacing w:val="-2"/>
          <w:sz w:val="18"/>
          <w:szCs w:val="18"/>
          <w:lang w:eastAsia="es-ES"/>
        </w:rPr>
      </w:pPr>
    </w:p>
    <w:p w14:paraId="17C20DE1" w14:textId="77777777" w:rsidR="008F2B4F" w:rsidRPr="008F2B4F" w:rsidRDefault="008F2B4F" w:rsidP="008F2B4F">
      <w:pPr>
        <w:suppressAutoHyphens/>
        <w:spacing w:after="0" w:line="240" w:lineRule="auto"/>
        <w:jc w:val="both"/>
        <w:rPr>
          <w:rFonts w:ascii="Arial" w:eastAsia="Times New Roman" w:hAnsi="Arial" w:cs="Arial"/>
          <w:b/>
          <w:iCs/>
          <w:spacing w:val="-2"/>
          <w:sz w:val="18"/>
          <w:szCs w:val="18"/>
          <w:highlight w:val="yellow"/>
          <w:lang w:eastAsia="es-ES"/>
        </w:rPr>
      </w:pPr>
      <w:r w:rsidRPr="008F2B4F">
        <w:rPr>
          <w:rFonts w:ascii="Arial" w:eastAsia="Times New Roman" w:hAnsi="Arial" w:cs="Arial"/>
          <w:b/>
          <w:iCs/>
          <w:spacing w:val="-2"/>
          <w:sz w:val="18"/>
          <w:szCs w:val="18"/>
          <w:lang w:eastAsia="es-ES"/>
        </w:rPr>
        <w:t>DOCUMENTOS EXAMINADOS</w:t>
      </w:r>
    </w:p>
    <w:p w14:paraId="0A9B2FC2" w14:textId="77777777" w:rsidR="008F2B4F" w:rsidRPr="008F2B4F" w:rsidRDefault="008F2B4F" w:rsidP="008F2B4F">
      <w:pPr>
        <w:suppressAutoHyphens/>
        <w:spacing w:after="0" w:line="240" w:lineRule="auto"/>
        <w:jc w:val="both"/>
        <w:rPr>
          <w:rFonts w:ascii="Arial" w:eastAsia="Times New Roman" w:hAnsi="Arial" w:cs="Arial"/>
          <w:iCs/>
          <w:spacing w:val="-2"/>
          <w:sz w:val="18"/>
          <w:szCs w:val="18"/>
          <w:highlight w:val="yellow"/>
          <w:lang w:eastAsia="es-ES"/>
        </w:rPr>
      </w:pPr>
    </w:p>
    <w:p w14:paraId="7E83CFBC" w14:textId="77777777" w:rsidR="008F2B4F" w:rsidRPr="008F2B4F" w:rsidRDefault="008F2B4F" w:rsidP="008F2B4F">
      <w:pPr>
        <w:suppressAutoHyphens/>
        <w:spacing w:after="0" w:line="240" w:lineRule="auto"/>
        <w:jc w:val="both"/>
        <w:rPr>
          <w:rFonts w:ascii="Arial" w:eastAsia="Times New Roman" w:hAnsi="Arial" w:cs="Arial"/>
          <w:iCs/>
          <w:spacing w:val="-2"/>
          <w:sz w:val="18"/>
          <w:szCs w:val="18"/>
          <w:lang w:eastAsia="es-ES"/>
        </w:rPr>
      </w:pPr>
      <w:r w:rsidRPr="008F2B4F">
        <w:rPr>
          <w:rFonts w:ascii="Arial" w:eastAsia="Times New Roman" w:hAnsi="Arial" w:cs="Arial"/>
          <w:iCs/>
          <w:spacing w:val="-2"/>
          <w:sz w:val="18"/>
          <w:szCs w:val="18"/>
          <w:lang w:eastAsia="es-ES"/>
        </w:rPr>
        <w:t>Estados financieros intermedios condensados adjuntos de Milicic S.A., consolidados e individuales, que comprenden:</w:t>
      </w:r>
    </w:p>
    <w:p w14:paraId="21C54A39" w14:textId="77777777" w:rsidR="008F2B4F" w:rsidRPr="008F2B4F" w:rsidRDefault="008F2B4F" w:rsidP="008F2B4F">
      <w:pPr>
        <w:suppressAutoHyphens/>
        <w:spacing w:after="0" w:line="240" w:lineRule="auto"/>
        <w:jc w:val="both"/>
        <w:rPr>
          <w:rFonts w:ascii="Arial" w:eastAsia="Times New Roman" w:hAnsi="Arial" w:cs="Arial"/>
          <w:iCs/>
          <w:spacing w:val="-2"/>
          <w:sz w:val="18"/>
          <w:szCs w:val="18"/>
          <w:lang w:eastAsia="es-ES"/>
        </w:rPr>
      </w:pPr>
    </w:p>
    <w:p w14:paraId="28BD27FA" w14:textId="77777777" w:rsidR="008F2B4F" w:rsidRPr="008F2B4F" w:rsidRDefault="008F2B4F" w:rsidP="008F2B4F">
      <w:pPr>
        <w:numPr>
          <w:ilvl w:val="0"/>
          <w:numId w:val="14"/>
        </w:numPr>
        <w:suppressAutoHyphens/>
        <w:spacing w:after="120" w:line="240" w:lineRule="auto"/>
        <w:ind w:left="284" w:hanging="284"/>
        <w:jc w:val="both"/>
        <w:rPr>
          <w:rFonts w:ascii="Arial" w:eastAsia="Times New Roman" w:hAnsi="Arial" w:cs="Arial"/>
          <w:iCs/>
          <w:spacing w:val="-2"/>
          <w:sz w:val="18"/>
          <w:szCs w:val="18"/>
          <w:lang w:eastAsia="es-ES"/>
        </w:rPr>
      </w:pPr>
      <w:r w:rsidRPr="008F2B4F">
        <w:rPr>
          <w:rFonts w:ascii="Arial" w:eastAsia="Times New Roman" w:hAnsi="Arial" w:cs="Arial"/>
          <w:iCs/>
          <w:spacing w:val="-2"/>
          <w:sz w:val="18"/>
          <w:szCs w:val="18"/>
          <w:lang w:eastAsia="es-ES"/>
        </w:rPr>
        <w:t>estado del resultado integral por el período de tres meses finalizado el 31 de enero de 2021,</w:t>
      </w:r>
    </w:p>
    <w:p w14:paraId="7BB36F4B" w14:textId="77777777" w:rsidR="008F2B4F" w:rsidRPr="008F2B4F" w:rsidRDefault="008F2B4F" w:rsidP="008F2B4F">
      <w:pPr>
        <w:numPr>
          <w:ilvl w:val="0"/>
          <w:numId w:val="14"/>
        </w:numPr>
        <w:suppressAutoHyphens/>
        <w:spacing w:after="120" w:line="240" w:lineRule="auto"/>
        <w:ind w:left="284" w:hanging="284"/>
        <w:jc w:val="both"/>
        <w:rPr>
          <w:rFonts w:ascii="Arial" w:eastAsia="Times New Roman" w:hAnsi="Arial" w:cs="Arial"/>
          <w:iCs/>
          <w:spacing w:val="-2"/>
          <w:sz w:val="18"/>
          <w:szCs w:val="18"/>
          <w:lang w:eastAsia="es-ES"/>
        </w:rPr>
      </w:pPr>
      <w:r w:rsidRPr="008F2B4F">
        <w:rPr>
          <w:rFonts w:ascii="Arial" w:eastAsia="Times New Roman" w:hAnsi="Arial" w:cs="Arial"/>
          <w:iCs/>
          <w:spacing w:val="-2"/>
          <w:sz w:val="18"/>
          <w:szCs w:val="18"/>
          <w:lang w:eastAsia="es-ES"/>
        </w:rPr>
        <w:t xml:space="preserve">estado de situación financiera al 31 de enero de 2021, </w:t>
      </w:r>
    </w:p>
    <w:p w14:paraId="2DC18968" w14:textId="77777777" w:rsidR="008F2B4F" w:rsidRPr="008F2B4F" w:rsidRDefault="008F2B4F" w:rsidP="008F2B4F">
      <w:pPr>
        <w:numPr>
          <w:ilvl w:val="0"/>
          <w:numId w:val="14"/>
        </w:numPr>
        <w:suppressAutoHyphens/>
        <w:spacing w:after="120" w:line="240" w:lineRule="auto"/>
        <w:ind w:left="284" w:hanging="284"/>
        <w:jc w:val="both"/>
        <w:rPr>
          <w:rFonts w:ascii="Arial" w:eastAsia="Times New Roman" w:hAnsi="Arial" w:cs="Arial"/>
          <w:iCs/>
          <w:spacing w:val="-2"/>
          <w:sz w:val="18"/>
          <w:szCs w:val="18"/>
          <w:lang w:eastAsia="es-ES"/>
        </w:rPr>
      </w:pPr>
      <w:r w:rsidRPr="008F2B4F">
        <w:rPr>
          <w:rFonts w:ascii="Arial" w:eastAsia="Times New Roman" w:hAnsi="Arial" w:cs="Arial"/>
          <w:iCs/>
          <w:spacing w:val="-2"/>
          <w:sz w:val="18"/>
          <w:szCs w:val="18"/>
          <w:lang w:eastAsia="es-ES"/>
        </w:rPr>
        <w:t>estado de cambios en el patrimonio neto por el período de tres meses finalizado el 31 de enero de 2021,</w:t>
      </w:r>
    </w:p>
    <w:p w14:paraId="74C129AE" w14:textId="77777777" w:rsidR="008F2B4F" w:rsidRPr="008F2B4F" w:rsidRDefault="008F2B4F" w:rsidP="008F2B4F">
      <w:pPr>
        <w:numPr>
          <w:ilvl w:val="0"/>
          <w:numId w:val="14"/>
        </w:numPr>
        <w:suppressAutoHyphens/>
        <w:spacing w:after="120" w:line="240" w:lineRule="auto"/>
        <w:ind w:left="284" w:hanging="284"/>
        <w:jc w:val="both"/>
        <w:rPr>
          <w:rFonts w:ascii="Arial" w:eastAsia="Times New Roman" w:hAnsi="Arial" w:cs="Arial"/>
          <w:iCs/>
          <w:spacing w:val="-2"/>
          <w:sz w:val="18"/>
          <w:szCs w:val="18"/>
          <w:lang w:eastAsia="es-ES"/>
        </w:rPr>
      </w:pPr>
      <w:r w:rsidRPr="008F2B4F">
        <w:rPr>
          <w:rFonts w:ascii="Arial" w:eastAsia="Times New Roman" w:hAnsi="Arial" w:cs="Arial"/>
          <w:iCs/>
          <w:spacing w:val="-2"/>
          <w:sz w:val="18"/>
          <w:szCs w:val="18"/>
          <w:lang w:eastAsia="es-ES"/>
        </w:rPr>
        <w:t>estado de flujos de efectivo por el período de tres meses finalizado el 31 de enero de 2021,</w:t>
      </w:r>
    </w:p>
    <w:p w14:paraId="3168DC51" w14:textId="77777777" w:rsidR="008F2B4F" w:rsidRPr="008F2B4F" w:rsidRDefault="008F2B4F" w:rsidP="008F2B4F">
      <w:pPr>
        <w:numPr>
          <w:ilvl w:val="0"/>
          <w:numId w:val="14"/>
        </w:numPr>
        <w:suppressAutoHyphens/>
        <w:spacing w:after="0" w:line="240" w:lineRule="auto"/>
        <w:ind w:left="284" w:hanging="284"/>
        <w:jc w:val="both"/>
        <w:rPr>
          <w:rFonts w:ascii="Arial" w:eastAsia="Times New Roman" w:hAnsi="Arial" w:cs="Arial"/>
          <w:iCs/>
          <w:spacing w:val="-2"/>
          <w:sz w:val="18"/>
          <w:szCs w:val="18"/>
          <w:lang w:eastAsia="es-ES"/>
        </w:rPr>
      </w:pPr>
      <w:r w:rsidRPr="008F2B4F">
        <w:rPr>
          <w:rFonts w:ascii="Arial" w:eastAsia="Times New Roman" w:hAnsi="Arial" w:cs="Arial"/>
          <w:iCs/>
          <w:spacing w:val="-2"/>
          <w:sz w:val="18"/>
          <w:szCs w:val="18"/>
          <w:lang w:eastAsia="es-ES"/>
        </w:rPr>
        <w:t>resumen de políticas contables significativas y otra información explicativa, contenidas en las notas 1 a 15.</w:t>
      </w:r>
    </w:p>
    <w:p w14:paraId="1ED8DCAE" w14:textId="77777777" w:rsidR="008F2B4F" w:rsidRPr="008F2B4F" w:rsidRDefault="008F2B4F" w:rsidP="008F2B4F">
      <w:pPr>
        <w:suppressAutoHyphens/>
        <w:spacing w:after="0" w:line="240" w:lineRule="auto"/>
        <w:jc w:val="both"/>
        <w:rPr>
          <w:rFonts w:ascii="Arial" w:eastAsia="Times New Roman" w:hAnsi="Arial" w:cs="Arial"/>
          <w:iCs/>
          <w:spacing w:val="-2"/>
          <w:sz w:val="18"/>
          <w:szCs w:val="18"/>
          <w:highlight w:val="yellow"/>
          <w:lang w:eastAsia="es-ES"/>
        </w:rPr>
      </w:pPr>
    </w:p>
    <w:p w14:paraId="0096BD1B" w14:textId="77777777" w:rsidR="008F2B4F" w:rsidRPr="008F2B4F" w:rsidRDefault="008F2B4F" w:rsidP="008F2B4F">
      <w:pPr>
        <w:suppressAutoHyphens/>
        <w:spacing w:after="0" w:line="240" w:lineRule="auto"/>
        <w:jc w:val="both"/>
        <w:rPr>
          <w:rFonts w:ascii="Arial" w:eastAsia="Times New Roman" w:hAnsi="Arial" w:cs="Arial"/>
          <w:bCs/>
          <w:spacing w:val="-2"/>
          <w:sz w:val="18"/>
          <w:szCs w:val="18"/>
          <w:lang w:eastAsia="es-ES"/>
        </w:rPr>
      </w:pPr>
      <w:r w:rsidRPr="008F2B4F">
        <w:rPr>
          <w:rFonts w:ascii="Arial" w:eastAsia="Times New Roman" w:hAnsi="Arial" w:cs="Arial"/>
          <w:iCs/>
          <w:spacing w:val="-2"/>
          <w:sz w:val="18"/>
          <w:szCs w:val="18"/>
          <w:lang w:eastAsia="es-ES"/>
        </w:rPr>
        <w:t>Las cifras y otra información correspondientes al ejercicio económico terminado el 31 de octubre de 2020 y al período de tres meses terminado el 31 de enero de 2020 son parte integrante de los estados financieros mencionados precedentemente y se las presenta con el propósito de que se interpreten exclusivamente en relación con las cifras y con la información del período intermedio actual.</w:t>
      </w:r>
    </w:p>
    <w:p w14:paraId="31E169A2" w14:textId="77777777" w:rsidR="008F2B4F" w:rsidRPr="008F2B4F" w:rsidRDefault="008F2B4F" w:rsidP="008F2B4F">
      <w:pPr>
        <w:suppressAutoHyphens/>
        <w:spacing w:after="0" w:line="240" w:lineRule="auto"/>
        <w:jc w:val="both"/>
        <w:rPr>
          <w:rFonts w:ascii="Arial" w:eastAsia="Times New Roman" w:hAnsi="Arial" w:cs="Arial"/>
          <w:bCs/>
          <w:spacing w:val="-2"/>
          <w:sz w:val="18"/>
          <w:szCs w:val="18"/>
          <w:lang w:eastAsia="es-ES"/>
        </w:rPr>
      </w:pPr>
    </w:p>
    <w:p w14:paraId="2F9E47DE" w14:textId="77777777" w:rsidR="008F2B4F" w:rsidRPr="008F2B4F" w:rsidRDefault="008F2B4F" w:rsidP="008F2B4F">
      <w:pPr>
        <w:suppressAutoHyphens/>
        <w:spacing w:after="0" w:line="240" w:lineRule="auto"/>
        <w:jc w:val="both"/>
        <w:rPr>
          <w:rFonts w:ascii="Arial" w:eastAsia="Times New Roman" w:hAnsi="Arial" w:cs="Arial"/>
          <w:bCs/>
          <w:spacing w:val="-2"/>
          <w:sz w:val="18"/>
          <w:szCs w:val="18"/>
          <w:lang w:eastAsia="es-ES"/>
        </w:rPr>
      </w:pPr>
    </w:p>
    <w:p w14:paraId="6637D0B9" w14:textId="77777777" w:rsidR="008F2B4F" w:rsidRPr="008F2B4F" w:rsidRDefault="008F2B4F" w:rsidP="008F2B4F">
      <w:pPr>
        <w:suppressAutoHyphens/>
        <w:spacing w:after="0" w:line="240" w:lineRule="auto"/>
        <w:jc w:val="both"/>
        <w:rPr>
          <w:rFonts w:ascii="Arial" w:eastAsia="Times New Roman" w:hAnsi="Arial" w:cs="Arial"/>
          <w:b/>
          <w:bCs/>
          <w:spacing w:val="-2"/>
          <w:sz w:val="18"/>
          <w:szCs w:val="18"/>
          <w:lang w:eastAsia="es-ES"/>
        </w:rPr>
      </w:pPr>
      <w:r w:rsidRPr="008F2B4F">
        <w:rPr>
          <w:rFonts w:ascii="Arial" w:eastAsia="Times New Roman" w:hAnsi="Arial" w:cs="Arial"/>
          <w:b/>
          <w:iCs/>
          <w:spacing w:val="-2"/>
          <w:sz w:val="18"/>
          <w:szCs w:val="18"/>
          <w:lang w:eastAsia="es-ES"/>
        </w:rPr>
        <w:t>RESPONSABILIDAD DEL DIRECTORIO EN RELACIÓN CON LOS ESTADOS FINANCIEROS</w:t>
      </w:r>
    </w:p>
    <w:p w14:paraId="064F2CD4" w14:textId="77777777" w:rsidR="008F2B4F" w:rsidRPr="008F2B4F" w:rsidRDefault="008F2B4F" w:rsidP="008F2B4F">
      <w:pPr>
        <w:suppressAutoHyphens/>
        <w:spacing w:after="0" w:line="240" w:lineRule="auto"/>
        <w:jc w:val="both"/>
        <w:rPr>
          <w:rFonts w:ascii="Arial" w:eastAsia="Times New Roman" w:hAnsi="Arial" w:cs="Arial"/>
          <w:iCs/>
          <w:spacing w:val="-2"/>
          <w:sz w:val="18"/>
          <w:szCs w:val="18"/>
          <w:lang w:eastAsia="es-ES"/>
        </w:rPr>
      </w:pPr>
    </w:p>
    <w:p w14:paraId="2677741E" w14:textId="77777777" w:rsidR="008F2B4F" w:rsidRPr="008F2B4F" w:rsidRDefault="008F2B4F" w:rsidP="008F2B4F">
      <w:pPr>
        <w:suppressAutoHyphens/>
        <w:spacing w:after="0" w:line="240" w:lineRule="auto"/>
        <w:jc w:val="both"/>
        <w:rPr>
          <w:rFonts w:ascii="Arial" w:eastAsia="Times New Roman" w:hAnsi="Arial" w:cs="Arial"/>
          <w:iCs/>
          <w:spacing w:val="-2"/>
          <w:sz w:val="18"/>
          <w:szCs w:val="18"/>
          <w:lang w:eastAsia="es-ES"/>
        </w:rPr>
      </w:pPr>
      <w:r w:rsidRPr="008F2B4F">
        <w:rPr>
          <w:rFonts w:ascii="Arial" w:eastAsia="Times New Roman" w:hAnsi="Arial" w:cs="Arial"/>
          <w:iCs/>
          <w:spacing w:val="-2"/>
          <w:sz w:val="18"/>
          <w:szCs w:val="18"/>
          <w:lang w:eastAsia="es-ES"/>
        </w:rPr>
        <w:t>El Directorio es responsable de la preparación y presentación razonable de los estados financieros adjuntos de conformidad con las Normas Internacionales de Información Financiera, adoptadas por la Federación Argentina de Consejos Profesionales de Ciencias Económicas como normas contables profesionales e incorporadas por la Comisión Nacional de Valores a su normativa, tal como fueron aprobadas por el Consejo de Normas Internacionales de Contabilidad.</w:t>
      </w:r>
    </w:p>
    <w:p w14:paraId="4FAE7817" w14:textId="77777777" w:rsidR="008F2B4F" w:rsidRPr="008F2B4F" w:rsidRDefault="008F2B4F" w:rsidP="008F2B4F">
      <w:pPr>
        <w:suppressAutoHyphens/>
        <w:spacing w:after="0" w:line="240" w:lineRule="auto"/>
        <w:jc w:val="both"/>
        <w:rPr>
          <w:rFonts w:ascii="Arial" w:eastAsia="Times New Roman" w:hAnsi="Arial" w:cs="Arial"/>
          <w:iCs/>
          <w:spacing w:val="-2"/>
          <w:sz w:val="18"/>
          <w:szCs w:val="18"/>
          <w:lang w:eastAsia="es-ES"/>
        </w:rPr>
      </w:pPr>
    </w:p>
    <w:p w14:paraId="7341F859" w14:textId="77777777" w:rsidR="008F2B4F" w:rsidRPr="008F2B4F" w:rsidRDefault="008F2B4F" w:rsidP="008F2B4F">
      <w:pPr>
        <w:suppressAutoHyphens/>
        <w:spacing w:after="0" w:line="240" w:lineRule="auto"/>
        <w:jc w:val="both"/>
        <w:rPr>
          <w:rFonts w:ascii="Arial" w:eastAsia="Times New Roman" w:hAnsi="Arial" w:cs="Arial"/>
          <w:iCs/>
          <w:spacing w:val="-2"/>
          <w:sz w:val="18"/>
          <w:szCs w:val="18"/>
          <w:lang w:eastAsia="es-ES"/>
        </w:rPr>
      </w:pPr>
      <w:r w:rsidRPr="008F2B4F">
        <w:rPr>
          <w:rFonts w:ascii="Arial" w:eastAsia="Times New Roman" w:hAnsi="Arial" w:cs="Arial"/>
          <w:iCs/>
          <w:spacing w:val="-2"/>
          <w:sz w:val="18"/>
          <w:szCs w:val="18"/>
          <w:lang w:eastAsia="es-ES"/>
        </w:rPr>
        <w:t>Asimismo, el Directorio es responsable del control interno que considere necesario para permitir la preparación de estados financieros libres de incorrecciones significativas.</w:t>
      </w:r>
    </w:p>
    <w:p w14:paraId="44E1610C" w14:textId="77777777" w:rsidR="008F2B4F" w:rsidRPr="008F2B4F" w:rsidRDefault="008F2B4F" w:rsidP="008F2B4F">
      <w:pPr>
        <w:suppressAutoHyphens/>
        <w:spacing w:after="0" w:line="240" w:lineRule="auto"/>
        <w:jc w:val="both"/>
        <w:rPr>
          <w:rFonts w:ascii="Arial" w:eastAsia="Times New Roman" w:hAnsi="Arial" w:cs="Arial"/>
          <w:iCs/>
          <w:spacing w:val="-2"/>
          <w:sz w:val="18"/>
          <w:szCs w:val="18"/>
          <w:lang w:eastAsia="es-ES"/>
        </w:rPr>
      </w:pPr>
    </w:p>
    <w:p w14:paraId="1554E6CC" w14:textId="77777777" w:rsidR="008F2B4F" w:rsidRPr="008F2B4F" w:rsidRDefault="008F2B4F" w:rsidP="008F2B4F">
      <w:pPr>
        <w:suppressAutoHyphens/>
        <w:spacing w:after="0" w:line="240" w:lineRule="auto"/>
        <w:jc w:val="both"/>
        <w:rPr>
          <w:rFonts w:ascii="Arial" w:eastAsia="Times New Roman" w:hAnsi="Arial" w:cs="Arial"/>
          <w:iCs/>
          <w:spacing w:val="-2"/>
          <w:sz w:val="18"/>
          <w:szCs w:val="18"/>
          <w:lang w:eastAsia="es-ES"/>
        </w:rPr>
      </w:pPr>
    </w:p>
    <w:p w14:paraId="7526E6FD" w14:textId="77777777" w:rsidR="008F2B4F" w:rsidRPr="008F2B4F" w:rsidRDefault="008F2B4F" w:rsidP="008F2B4F">
      <w:pPr>
        <w:suppressAutoHyphens/>
        <w:spacing w:after="0" w:line="240" w:lineRule="auto"/>
        <w:jc w:val="both"/>
        <w:rPr>
          <w:rFonts w:ascii="Arial" w:eastAsia="Times New Roman" w:hAnsi="Arial" w:cs="Arial"/>
          <w:b/>
          <w:iCs/>
          <w:spacing w:val="-2"/>
          <w:sz w:val="18"/>
          <w:szCs w:val="18"/>
          <w:lang w:eastAsia="es-ES"/>
        </w:rPr>
      </w:pPr>
      <w:r w:rsidRPr="008F2B4F">
        <w:rPr>
          <w:rFonts w:ascii="Arial" w:eastAsia="Times New Roman" w:hAnsi="Arial" w:cs="Arial"/>
          <w:b/>
          <w:iCs/>
          <w:spacing w:val="-2"/>
          <w:sz w:val="18"/>
          <w:szCs w:val="18"/>
          <w:lang w:eastAsia="es-ES"/>
        </w:rPr>
        <w:t>RESPONSABILIDAD DE LA COMISIÓN FISCALIZADORA</w:t>
      </w:r>
    </w:p>
    <w:p w14:paraId="707871AA" w14:textId="77777777" w:rsidR="008F2B4F" w:rsidRPr="008F2B4F" w:rsidRDefault="008F2B4F" w:rsidP="008F2B4F">
      <w:pPr>
        <w:suppressAutoHyphens/>
        <w:spacing w:after="0" w:line="240" w:lineRule="auto"/>
        <w:jc w:val="both"/>
        <w:rPr>
          <w:rFonts w:ascii="Arial" w:eastAsia="Times New Roman" w:hAnsi="Arial" w:cs="Arial"/>
          <w:iCs/>
          <w:spacing w:val="-2"/>
          <w:sz w:val="18"/>
          <w:szCs w:val="18"/>
          <w:highlight w:val="yellow"/>
          <w:lang w:eastAsia="es-ES"/>
        </w:rPr>
      </w:pPr>
    </w:p>
    <w:p w14:paraId="57AD8D67" w14:textId="77777777" w:rsidR="008F2B4F" w:rsidRPr="008F2B4F" w:rsidRDefault="008F2B4F" w:rsidP="008F2B4F">
      <w:pPr>
        <w:suppressAutoHyphens/>
        <w:spacing w:after="0" w:line="240" w:lineRule="auto"/>
        <w:jc w:val="both"/>
        <w:rPr>
          <w:rFonts w:ascii="Arial" w:eastAsia="Times New Roman" w:hAnsi="Arial" w:cs="Arial"/>
          <w:iCs/>
          <w:spacing w:val="-2"/>
          <w:sz w:val="18"/>
          <w:szCs w:val="18"/>
          <w:lang w:eastAsia="es-ES"/>
        </w:rPr>
      </w:pPr>
      <w:r w:rsidRPr="008F2B4F">
        <w:rPr>
          <w:rFonts w:ascii="Arial" w:eastAsia="Times New Roman" w:hAnsi="Arial" w:cs="Arial"/>
          <w:iCs/>
          <w:spacing w:val="-2"/>
          <w:sz w:val="18"/>
          <w:szCs w:val="18"/>
          <w:lang w:eastAsia="es-ES"/>
        </w:rPr>
        <w:lastRenderedPageBreak/>
        <w:t>Nuestro examen fue realizado de acuerdo con las normas de sindicatura vigentes establecidas en la Resolución Técnica N° 15 de la Federación Argentina de Consejos Profesionales de Ciencias Económicas. Dichas normas requieren que el examen de los estados financieros trimestrales se efectúe de acuerdo con las normas aplicables a encargos de revisión de estados financieros de períodos intermedios, e incluya la verificación de la congruencia de los documentos examinados con la información sobre las decisiones societarias expuestas en actas, y la adecuación de dichas decisiones a la ley y a los estatutos, en lo relativo a sus aspectos formales y documentales.</w:t>
      </w:r>
    </w:p>
    <w:p w14:paraId="381691FE" w14:textId="77777777" w:rsidR="008F2B4F" w:rsidRPr="008F2B4F" w:rsidRDefault="008F2B4F" w:rsidP="008F2B4F">
      <w:pPr>
        <w:suppressAutoHyphens/>
        <w:spacing w:after="0" w:line="240" w:lineRule="auto"/>
        <w:jc w:val="both"/>
        <w:rPr>
          <w:rFonts w:ascii="Arial" w:eastAsia="Times New Roman" w:hAnsi="Arial" w:cs="Arial"/>
          <w:iCs/>
          <w:spacing w:val="-2"/>
          <w:sz w:val="18"/>
          <w:szCs w:val="18"/>
          <w:lang w:eastAsia="es-ES"/>
        </w:rPr>
      </w:pPr>
    </w:p>
    <w:p w14:paraId="54EB947D" w14:textId="77777777" w:rsidR="008F2B4F" w:rsidRPr="008F2B4F" w:rsidRDefault="008F2B4F" w:rsidP="008F2B4F">
      <w:pPr>
        <w:suppressAutoHyphens/>
        <w:spacing w:after="0" w:line="240" w:lineRule="auto"/>
        <w:jc w:val="both"/>
        <w:rPr>
          <w:rFonts w:ascii="Arial" w:eastAsia="Times New Roman" w:hAnsi="Arial" w:cs="Arial"/>
          <w:iCs/>
          <w:spacing w:val="-2"/>
          <w:sz w:val="18"/>
          <w:szCs w:val="18"/>
          <w:lang w:eastAsia="es-ES"/>
        </w:rPr>
      </w:pPr>
      <w:r w:rsidRPr="008F2B4F">
        <w:rPr>
          <w:rFonts w:ascii="Arial" w:eastAsia="Times New Roman" w:hAnsi="Arial" w:cs="Arial"/>
          <w:iCs/>
          <w:spacing w:val="-2"/>
          <w:sz w:val="18"/>
          <w:szCs w:val="18"/>
          <w:lang w:eastAsia="es-ES"/>
        </w:rPr>
        <w:t>Para realizar nuestra tarea profesional sobre los documentos detallados precedentemente, hemos revisado la revisión efectuada por los auditores externos Felcaro, Roldán &amp; Asociados quienes emitieron su informe de fecha 15 de marzo de 2021 de acuerdo con las normas internacionales sobre encargos de revisión. Dicha revisión incluyó la verificación de la planificación del trabajo, de la naturaleza, alcance y oportunidad de los procedimientos aplicados y de los resultados de la auditoría efectuada por dichos profesionales. Los profesionales mencionados han llevado a cabo su examen sobre los estados financieros adjuntos de conformidad con las Normas Internacionales sobre Encargos de Revisión 2410, “Revisión de información financiera de períodos intermedios realizada por el auditor independiente de la Entidad”, adoptadas como normas de auditoría en Argentina mediante la Resolución Técnica Nº 33 de la Federación Argentina de Consejos Profesionales de Ciencias Económicas. Dichas normas exigen que cumplamos los requerimientos de ética.</w:t>
      </w:r>
    </w:p>
    <w:p w14:paraId="6CAC69BB" w14:textId="77777777" w:rsidR="008F2B4F" w:rsidRPr="008F2B4F" w:rsidRDefault="008F2B4F" w:rsidP="008F2B4F">
      <w:pPr>
        <w:suppressAutoHyphens/>
        <w:spacing w:after="0" w:line="240" w:lineRule="auto"/>
        <w:jc w:val="both"/>
        <w:rPr>
          <w:rFonts w:ascii="Arial" w:eastAsia="Times New Roman" w:hAnsi="Arial" w:cs="Arial"/>
          <w:iCs/>
          <w:spacing w:val="-2"/>
          <w:sz w:val="18"/>
          <w:szCs w:val="18"/>
          <w:lang w:eastAsia="es-ES"/>
        </w:rPr>
      </w:pPr>
    </w:p>
    <w:p w14:paraId="2D612179" w14:textId="77777777" w:rsidR="008F2B4F" w:rsidRPr="008F2B4F" w:rsidRDefault="008F2B4F" w:rsidP="008F2B4F">
      <w:pPr>
        <w:suppressAutoHyphens/>
        <w:spacing w:after="0" w:line="240" w:lineRule="auto"/>
        <w:jc w:val="both"/>
        <w:rPr>
          <w:rFonts w:ascii="Arial" w:eastAsia="Times New Roman" w:hAnsi="Arial" w:cs="Arial"/>
          <w:iCs/>
          <w:spacing w:val="-2"/>
          <w:sz w:val="18"/>
          <w:szCs w:val="18"/>
          <w:lang w:eastAsia="es-ES"/>
        </w:rPr>
      </w:pPr>
      <w:r w:rsidRPr="008F2B4F">
        <w:rPr>
          <w:rFonts w:ascii="Arial" w:eastAsia="Times New Roman" w:hAnsi="Arial" w:cs="Arial"/>
          <w:iCs/>
          <w:spacing w:val="-2"/>
          <w:sz w:val="18"/>
          <w:szCs w:val="18"/>
          <w:lang w:eastAsia="es-ES"/>
        </w:rPr>
        <w:t xml:space="preserve">Una revisión de los estados financieros de períodos intermedios consiste en realizar indagaciones, principalmente a las personas responsables de los temas financieros y contables, y aplicar procedimientos analíticos y otros procedimientos de revisión. Una revisión tiene un alcance significativamente menor que el de una auditoría y, por consiguiente, no nos permite obtener seguridad de que tomemos conocimiento de todos los temas significativos que podrían identificarse en una auditoría. En consecuencia, no expresamos opinión de auditoría. </w:t>
      </w:r>
    </w:p>
    <w:p w14:paraId="024DE039" w14:textId="77777777" w:rsidR="008F2B4F" w:rsidRPr="008F2B4F" w:rsidRDefault="008F2B4F" w:rsidP="008F2B4F">
      <w:pPr>
        <w:suppressAutoHyphens/>
        <w:spacing w:after="0" w:line="240" w:lineRule="auto"/>
        <w:jc w:val="both"/>
        <w:rPr>
          <w:rFonts w:ascii="Arial" w:eastAsia="Times New Roman" w:hAnsi="Arial" w:cs="Arial"/>
          <w:iCs/>
          <w:spacing w:val="-2"/>
          <w:sz w:val="18"/>
          <w:szCs w:val="18"/>
          <w:lang w:eastAsia="es-ES"/>
        </w:rPr>
      </w:pPr>
    </w:p>
    <w:p w14:paraId="009FA634" w14:textId="77777777" w:rsidR="008F2B4F" w:rsidRPr="008F2B4F" w:rsidRDefault="008F2B4F" w:rsidP="008F2B4F">
      <w:pPr>
        <w:suppressAutoHyphens/>
        <w:spacing w:after="0" w:line="240" w:lineRule="auto"/>
        <w:jc w:val="both"/>
        <w:rPr>
          <w:rFonts w:ascii="Arial" w:eastAsia="Times New Roman" w:hAnsi="Arial" w:cs="Arial"/>
          <w:iCs/>
          <w:spacing w:val="-2"/>
          <w:sz w:val="18"/>
          <w:szCs w:val="18"/>
          <w:lang w:eastAsia="es-ES"/>
        </w:rPr>
      </w:pPr>
      <w:r w:rsidRPr="008F2B4F">
        <w:rPr>
          <w:rFonts w:ascii="Arial" w:eastAsia="Times New Roman" w:hAnsi="Arial" w:cs="Arial"/>
          <w:iCs/>
          <w:spacing w:val="-2"/>
          <w:sz w:val="18"/>
          <w:szCs w:val="18"/>
          <w:lang w:eastAsia="es-ES"/>
        </w:rPr>
        <w:t>Dado que no es responsabilidad de la Comisión Fiscalizadora efectuar un control de gestión, el examen no se extendió a los criterios y decisiones empresarias de las diversas áreas de la Sociedad, cuestiones que son de responsabilidad exclusiva de la Dirección.</w:t>
      </w:r>
    </w:p>
    <w:p w14:paraId="07B7D4EA" w14:textId="77777777" w:rsidR="008F2B4F" w:rsidRPr="008F2B4F" w:rsidRDefault="008F2B4F" w:rsidP="008F2B4F">
      <w:pPr>
        <w:suppressAutoHyphens/>
        <w:spacing w:after="0" w:line="240" w:lineRule="auto"/>
        <w:jc w:val="both"/>
        <w:rPr>
          <w:rFonts w:ascii="Arial" w:eastAsia="Times New Roman" w:hAnsi="Arial" w:cs="Arial"/>
          <w:iCs/>
          <w:spacing w:val="-2"/>
          <w:sz w:val="18"/>
          <w:szCs w:val="18"/>
          <w:lang w:eastAsia="es-ES"/>
        </w:rPr>
      </w:pPr>
    </w:p>
    <w:p w14:paraId="326FCC13" w14:textId="77777777" w:rsidR="008F2B4F" w:rsidRPr="008F2B4F" w:rsidRDefault="008F2B4F" w:rsidP="008F2B4F">
      <w:pPr>
        <w:suppressAutoHyphens/>
        <w:spacing w:after="0" w:line="240" w:lineRule="auto"/>
        <w:jc w:val="both"/>
        <w:rPr>
          <w:rFonts w:ascii="Arial" w:eastAsia="Times New Roman" w:hAnsi="Arial" w:cs="Arial"/>
          <w:iCs/>
          <w:spacing w:val="-2"/>
          <w:sz w:val="18"/>
          <w:szCs w:val="18"/>
          <w:lang w:eastAsia="es-ES"/>
        </w:rPr>
      </w:pPr>
    </w:p>
    <w:p w14:paraId="05F4CF07" w14:textId="77777777" w:rsidR="008F2B4F" w:rsidRPr="008F2B4F" w:rsidRDefault="008F2B4F" w:rsidP="008F2B4F">
      <w:pPr>
        <w:suppressAutoHyphens/>
        <w:spacing w:after="0" w:line="240" w:lineRule="auto"/>
        <w:jc w:val="both"/>
        <w:rPr>
          <w:rFonts w:ascii="Arial" w:eastAsia="Times New Roman" w:hAnsi="Arial" w:cs="Arial"/>
          <w:b/>
          <w:iCs/>
          <w:spacing w:val="-2"/>
          <w:sz w:val="18"/>
          <w:szCs w:val="18"/>
          <w:lang w:eastAsia="es-ES"/>
        </w:rPr>
      </w:pPr>
      <w:r w:rsidRPr="008F2B4F">
        <w:rPr>
          <w:rFonts w:ascii="Arial" w:eastAsia="Times New Roman" w:hAnsi="Arial" w:cs="Arial"/>
          <w:b/>
          <w:iCs/>
          <w:spacing w:val="-2"/>
          <w:sz w:val="18"/>
          <w:szCs w:val="18"/>
          <w:lang w:eastAsia="es-ES"/>
        </w:rPr>
        <w:t>CONCLUSIÓN</w:t>
      </w:r>
    </w:p>
    <w:p w14:paraId="1BB6E83B" w14:textId="77777777" w:rsidR="008F2B4F" w:rsidRPr="008F2B4F" w:rsidRDefault="008F2B4F" w:rsidP="008F2B4F">
      <w:pPr>
        <w:suppressAutoHyphens/>
        <w:spacing w:after="0" w:line="240" w:lineRule="auto"/>
        <w:jc w:val="both"/>
        <w:rPr>
          <w:rFonts w:ascii="Arial" w:eastAsia="Times New Roman" w:hAnsi="Arial" w:cs="Arial"/>
          <w:iCs/>
          <w:spacing w:val="-2"/>
          <w:sz w:val="18"/>
          <w:szCs w:val="18"/>
          <w:lang w:eastAsia="es-ES"/>
        </w:rPr>
      </w:pPr>
    </w:p>
    <w:p w14:paraId="52F7EB1C" w14:textId="77777777" w:rsidR="008F2B4F" w:rsidRPr="008F2B4F" w:rsidRDefault="008F2B4F" w:rsidP="008F2B4F">
      <w:pPr>
        <w:suppressAutoHyphens/>
        <w:spacing w:after="0" w:line="240" w:lineRule="auto"/>
        <w:jc w:val="both"/>
        <w:rPr>
          <w:rFonts w:ascii="Arial" w:eastAsia="Times New Roman" w:hAnsi="Arial" w:cs="Arial"/>
          <w:iCs/>
          <w:spacing w:val="-2"/>
          <w:sz w:val="18"/>
          <w:szCs w:val="18"/>
          <w:lang w:eastAsia="es-ES"/>
        </w:rPr>
      </w:pPr>
      <w:r w:rsidRPr="008F2B4F">
        <w:rPr>
          <w:rFonts w:ascii="Arial" w:eastAsia="Times New Roman" w:hAnsi="Arial" w:cs="Arial"/>
          <w:iCs/>
          <w:spacing w:val="-2"/>
          <w:sz w:val="18"/>
          <w:szCs w:val="18"/>
          <w:lang w:eastAsia="es-ES"/>
        </w:rPr>
        <w:t>Sobre la base de nuestra revisión, con el alcance que expresamos en el párrafo anterior, nada llamó nuestra atención que nos hiciera pensar que los estados financieros adjuntos de Milicic S.A. correspondientes al período de tres meses terminado el 31 de enero de 2021 no están presentados en forma razonable, en todos sus aspectos significativos, de acuerdo con las Normas Internacionales de Información Financiera.</w:t>
      </w:r>
    </w:p>
    <w:p w14:paraId="0C037C8C" w14:textId="77777777" w:rsidR="008F2B4F" w:rsidRPr="008F2B4F" w:rsidRDefault="008F2B4F" w:rsidP="008F2B4F">
      <w:pPr>
        <w:suppressAutoHyphens/>
        <w:spacing w:after="0" w:line="240" w:lineRule="auto"/>
        <w:jc w:val="both"/>
        <w:rPr>
          <w:rFonts w:ascii="Arial" w:eastAsia="Times New Roman" w:hAnsi="Arial" w:cs="Arial"/>
          <w:iCs/>
          <w:spacing w:val="-2"/>
          <w:sz w:val="18"/>
          <w:szCs w:val="18"/>
          <w:lang w:eastAsia="es-ES"/>
        </w:rPr>
      </w:pPr>
    </w:p>
    <w:p w14:paraId="7CCDC57F" w14:textId="77777777" w:rsidR="008F2B4F" w:rsidRPr="008F2B4F" w:rsidRDefault="008F2B4F" w:rsidP="008F2B4F">
      <w:pPr>
        <w:suppressAutoHyphens/>
        <w:spacing w:after="0" w:line="240" w:lineRule="auto"/>
        <w:jc w:val="both"/>
        <w:rPr>
          <w:rFonts w:ascii="Arial" w:eastAsia="Times New Roman" w:hAnsi="Arial" w:cs="Arial"/>
          <w:iCs/>
          <w:spacing w:val="-2"/>
          <w:sz w:val="18"/>
          <w:szCs w:val="18"/>
          <w:lang w:eastAsia="es-ES"/>
        </w:rPr>
      </w:pPr>
    </w:p>
    <w:p w14:paraId="7D1E93A4" w14:textId="77777777" w:rsidR="008F2B4F" w:rsidRPr="008F2B4F" w:rsidRDefault="008F2B4F" w:rsidP="008F2B4F">
      <w:pPr>
        <w:suppressAutoHyphens/>
        <w:spacing w:after="0" w:line="240" w:lineRule="auto"/>
        <w:jc w:val="both"/>
        <w:rPr>
          <w:rFonts w:ascii="Arial" w:eastAsia="Times New Roman" w:hAnsi="Arial" w:cs="Arial"/>
          <w:b/>
          <w:iCs/>
          <w:spacing w:val="-2"/>
          <w:sz w:val="18"/>
          <w:szCs w:val="18"/>
          <w:lang w:eastAsia="es-ES"/>
        </w:rPr>
      </w:pPr>
      <w:r w:rsidRPr="008F2B4F">
        <w:rPr>
          <w:rFonts w:ascii="Arial" w:eastAsia="Times New Roman" w:hAnsi="Arial" w:cs="Arial"/>
          <w:b/>
          <w:iCs/>
          <w:spacing w:val="-2"/>
          <w:sz w:val="18"/>
          <w:szCs w:val="18"/>
          <w:lang w:eastAsia="es-ES"/>
        </w:rPr>
        <w:t>INFORME SOBRE OTROS REQUERIMIENTOS LEGALES Y REGLAMENTARIOS</w:t>
      </w:r>
    </w:p>
    <w:p w14:paraId="1912FA2F" w14:textId="77777777" w:rsidR="008F2B4F" w:rsidRPr="008F2B4F" w:rsidRDefault="008F2B4F" w:rsidP="008F2B4F">
      <w:pPr>
        <w:suppressAutoHyphens/>
        <w:spacing w:after="0" w:line="240" w:lineRule="auto"/>
        <w:jc w:val="both"/>
        <w:rPr>
          <w:rFonts w:ascii="Arial" w:eastAsia="Times New Roman" w:hAnsi="Arial" w:cs="Arial"/>
          <w:bCs/>
          <w:spacing w:val="-2"/>
          <w:sz w:val="18"/>
          <w:szCs w:val="18"/>
          <w:lang w:eastAsia="es-ES"/>
        </w:rPr>
      </w:pPr>
    </w:p>
    <w:p w14:paraId="08149D71" w14:textId="77777777" w:rsidR="008F2B4F" w:rsidRPr="008F2B4F" w:rsidRDefault="008F2B4F" w:rsidP="008F2B4F">
      <w:pPr>
        <w:numPr>
          <w:ilvl w:val="0"/>
          <w:numId w:val="22"/>
        </w:numPr>
        <w:tabs>
          <w:tab w:val="left" w:pos="-720"/>
        </w:tabs>
        <w:suppressAutoHyphens/>
        <w:spacing w:before="120" w:after="0" w:line="240" w:lineRule="auto"/>
        <w:ind w:left="284" w:hanging="284"/>
        <w:jc w:val="both"/>
        <w:rPr>
          <w:rFonts w:ascii="Arial" w:eastAsia="Times New Roman" w:hAnsi="Arial" w:cs="Arial"/>
          <w:iCs/>
          <w:spacing w:val="-2"/>
          <w:sz w:val="18"/>
          <w:szCs w:val="18"/>
          <w:lang w:eastAsia="es-ES"/>
        </w:rPr>
      </w:pPr>
      <w:r w:rsidRPr="008F2B4F">
        <w:rPr>
          <w:rFonts w:ascii="Arial" w:eastAsia="Times New Roman" w:hAnsi="Arial" w:cs="Arial"/>
          <w:iCs/>
          <w:spacing w:val="-2"/>
          <w:sz w:val="18"/>
          <w:szCs w:val="18"/>
          <w:lang w:eastAsia="es-ES"/>
        </w:rPr>
        <w:t>los estados financieros adjuntos de Milicic S.A. se encuentran asentados en el libro “Inventarios y Balances” y cumplen, en lo que es materia de nuestra competencia, con lo dispuesto en la Ley General de Sociedades y en las resoluciones pertinentes de la Comisión Nacional de Valores;</w:t>
      </w:r>
    </w:p>
    <w:p w14:paraId="19E8ACA7" w14:textId="77777777" w:rsidR="008F2B4F" w:rsidRPr="008F2B4F" w:rsidRDefault="008F2B4F" w:rsidP="008F2B4F">
      <w:pPr>
        <w:numPr>
          <w:ilvl w:val="0"/>
          <w:numId w:val="22"/>
        </w:numPr>
        <w:tabs>
          <w:tab w:val="left" w:pos="-720"/>
        </w:tabs>
        <w:suppressAutoHyphens/>
        <w:spacing w:before="120" w:after="0" w:line="240" w:lineRule="auto"/>
        <w:ind w:left="284" w:hanging="284"/>
        <w:jc w:val="both"/>
        <w:rPr>
          <w:rFonts w:ascii="Arial" w:eastAsia="Times New Roman" w:hAnsi="Arial" w:cs="Arial"/>
          <w:iCs/>
          <w:spacing w:val="-2"/>
          <w:sz w:val="18"/>
          <w:szCs w:val="18"/>
          <w:lang w:eastAsia="es-ES"/>
        </w:rPr>
      </w:pPr>
      <w:r w:rsidRPr="008F2B4F">
        <w:rPr>
          <w:rFonts w:ascii="Arial" w:eastAsia="Times New Roman" w:hAnsi="Arial" w:cs="Arial"/>
          <w:iCs/>
          <w:spacing w:val="-2"/>
          <w:sz w:val="18"/>
          <w:szCs w:val="18"/>
          <w:lang w:eastAsia="es-ES"/>
        </w:rPr>
        <w:t>los estados financieros adjuntos de Milicic S.A. surgen de registros contables llevados en sus aspectos formales de conformidad con normas legales;</w:t>
      </w:r>
    </w:p>
    <w:p w14:paraId="0E3449C7" w14:textId="77777777" w:rsidR="008F2B4F" w:rsidRPr="008F2B4F" w:rsidRDefault="00BB375F" w:rsidP="008F2B4F">
      <w:pPr>
        <w:numPr>
          <w:ilvl w:val="0"/>
          <w:numId w:val="22"/>
        </w:numPr>
        <w:tabs>
          <w:tab w:val="left" w:pos="-720"/>
        </w:tabs>
        <w:suppressAutoHyphens/>
        <w:spacing w:before="120" w:after="0" w:line="240" w:lineRule="auto"/>
        <w:ind w:left="284" w:hanging="284"/>
        <w:jc w:val="both"/>
        <w:rPr>
          <w:rFonts w:ascii="Arial" w:eastAsia="Times New Roman" w:hAnsi="Arial" w:cs="Arial"/>
          <w:iCs/>
          <w:spacing w:val="-2"/>
          <w:sz w:val="18"/>
          <w:szCs w:val="18"/>
          <w:lang w:eastAsia="es-ES"/>
        </w:rPr>
      </w:pPr>
      <w:r>
        <w:rPr>
          <w:rFonts w:ascii="Arial" w:eastAsia="Times New Roman" w:hAnsi="Arial" w:cs="Arial"/>
          <w:noProof/>
          <w:spacing w:val="-1"/>
          <w:sz w:val="18"/>
          <w:szCs w:val="18"/>
        </w:rPr>
        <w:object w:dxaOrig="1440" w:dyaOrig="1440" w14:anchorId="35E083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8.25pt;margin-top:38.95pt;width:120.75pt;height:130.3pt;z-index:-251658752">
            <v:imagedata r:id="rId6" o:title=""/>
          </v:shape>
          <o:OLEObject Type="Embed" ProgID="PBrush" ShapeID="_x0000_s1026" DrawAspect="Content" ObjectID="_1677328391" r:id="rId7"/>
        </w:object>
      </w:r>
      <w:r w:rsidR="008F2B4F" w:rsidRPr="008F2B4F">
        <w:rPr>
          <w:rFonts w:ascii="Arial" w:eastAsia="Times New Roman" w:hAnsi="Arial" w:cs="Arial"/>
          <w:iCs/>
          <w:spacing w:val="-2"/>
          <w:sz w:val="18"/>
          <w:szCs w:val="18"/>
          <w:lang w:eastAsia="es-ES"/>
        </w:rPr>
        <w:t>se ha dado cumplimiento a las disposiciones del artículo 294 de la Ley de Sociedades Comerciales y a las normas pertinentes de la Comisión Nacional de Valores, desde la fecha de nuestra designación.</w:t>
      </w:r>
    </w:p>
    <w:p w14:paraId="06FF193C" w14:textId="77777777" w:rsidR="008F2B4F" w:rsidRPr="008F2B4F" w:rsidRDefault="008F2B4F" w:rsidP="008F2B4F">
      <w:pPr>
        <w:suppressAutoHyphens/>
        <w:spacing w:after="0" w:line="240" w:lineRule="auto"/>
        <w:ind w:left="284"/>
        <w:jc w:val="both"/>
        <w:rPr>
          <w:rFonts w:ascii="Arial" w:eastAsia="Times New Roman" w:hAnsi="Arial" w:cs="Arial"/>
          <w:bCs/>
          <w:spacing w:val="-2"/>
          <w:sz w:val="18"/>
          <w:szCs w:val="18"/>
          <w:lang w:eastAsia="es-ES"/>
        </w:rPr>
      </w:pPr>
    </w:p>
    <w:p w14:paraId="0377C048" w14:textId="77777777" w:rsidR="008F2B4F" w:rsidRPr="008F2B4F" w:rsidRDefault="008F2B4F" w:rsidP="008F2B4F">
      <w:pPr>
        <w:suppressAutoHyphens/>
        <w:spacing w:after="0" w:line="240" w:lineRule="auto"/>
        <w:ind w:left="284"/>
        <w:jc w:val="both"/>
        <w:rPr>
          <w:rFonts w:ascii="Arial" w:eastAsia="Times New Roman" w:hAnsi="Arial" w:cs="Arial"/>
          <w:bCs/>
          <w:spacing w:val="-2"/>
          <w:sz w:val="18"/>
          <w:szCs w:val="18"/>
          <w:lang w:eastAsia="es-ES"/>
        </w:rPr>
      </w:pPr>
    </w:p>
    <w:p w14:paraId="24184773" w14:textId="77777777" w:rsidR="008F2B4F" w:rsidRPr="008F2B4F" w:rsidRDefault="008F2B4F" w:rsidP="008F2B4F">
      <w:pPr>
        <w:widowControl w:val="0"/>
        <w:autoSpaceDE w:val="0"/>
        <w:autoSpaceDN w:val="0"/>
        <w:adjustRightInd w:val="0"/>
        <w:spacing w:after="0" w:line="240" w:lineRule="auto"/>
        <w:ind w:right="173"/>
        <w:rPr>
          <w:rFonts w:ascii="Arial" w:eastAsia="Times New Roman" w:hAnsi="Arial" w:cs="Arial"/>
          <w:iCs/>
          <w:spacing w:val="-2"/>
          <w:sz w:val="18"/>
          <w:szCs w:val="18"/>
          <w:lang w:eastAsia="es-ES"/>
        </w:rPr>
      </w:pPr>
      <w:r w:rsidRPr="008F2B4F">
        <w:rPr>
          <w:rFonts w:ascii="Arial" w:eastAsia="Times New Roman" w:hAnsi="Arial" w:cs="Arial"/>
          <w:spacing w:val="-1"/>
          <w:sz w:val="18"/>
          <w:szCs w:val="18"/>
          <w:lang w:eastAsia="es-ES"/>
        </w:rPr>
        <w:t>Rosario</w:t>
      </w:r>
      <w:r w:rsidRPr="008F2B4F">
        <w:rPr>
          <w:rFonts w:ascii="Arial" w:eastAsia="Times New Roman" w:hAnsi="Arial" w:cs="Arial"/>
          <w:sz w:val="18"/>
          <w:szCs w:val="18"/>
          <w:lang w:eastAsia="es-ES"/>
        </w:rPr>
        <w:t xml:space="preserve">, </w:t>
      </w:r>
      <w:r w:rsidRPr="008F2B4F">
        <w:rPr>
          <w:rFonts w:ascii="Arial" w:eastAsia="Times New Roman" w:hAnsi="Arial" w:cs="Arial"/>
          <w:iCs/>
          <w:spacing w:val="-2"/>
          <w:sz w:val="18"/>
          <w:szCs w:val="18"/>
          <w:lang w:eastAsia="es-ES"/>
        </w:rPr>
        <w:t>15 de marzo de 2021</w:t>
      </w:r>
    </w:p>
    <w:p w14:paraId="45946C79" w14:textId="77777777" w:rsidR="008F2B4F" w:rsidRDefault="008F2B4F" w:rsidP="00F90ADC">
      <w:pPr>
        <w:suppressAutoHyphens/>
        <w:jc w:val="center"/>
        <w:rPr>
          <w:rFonts w:ascii="Arial" w:hAnsi="Arial" w:cs="Arial"/>
          <w:b/>
          <w:snapToGrid w:val="0"/>
          <w:sz w:val="16"/>
          <w:szCs w:val="20"/>
          <w:highlight w:val="magenta"/>
        </w:rPr>
      </w:pPr>
    </w:p>
    <w:p w14:paraId="59D3692F" w14:textId="77777777" w:rsidR="008F2B4F" w:rsidRDefault="008F2B4F" w:rsidP="00F90ADC">
      <w:pPr>
        <w:suppressAutoHyphens/>
        <w:jc w:val="center"/>
        <w:rPr>
          <w:rFonts w:ascii="Arial" w:hAnsi="Arial" w:cs="Arial"/>
          <w:b/>
          <w:snapToGrid w:val="0"/>
          <w:sz w:val="16"/>
          <w:szCs w:val="20"/>
          <w:highlight w:val="magenta"/>
        </w:rPr>
      </w:pPr>
    </w:p>
    <w:p w14:paraId="580C0472" w14:textId="77777777" w:rsidR="008F2B4F" w:rsidRDefault="008F2B4F" w:rsidP="00F90ADC">
      <w:pPr>
        <w:suppressAutoHyphens/>
        <w:jc w:val="center"/>
        <w:rPr>
          <w:rFonts w:ascii="Arial" w:hAnsi="Arial" w:cs="Arial"/>
          <w:b/>
          <w:snapToGrid w:val="0"/>
          <w:sz w:val="16"/>
          <w:szCs w:val="20"/>
          <w:highlight w:val="magenta"/>
        </w:rPr>
      </w:pPr>
    </w:p>
    <w:tbl>
      <w:tblPr>
        <w:tblW w:w="3540" w:type="dxa"/>
        <w:jc w:val="right"/>
        <w:tblLayout w:type="fixed"/>
        <w:tblCellMar>
          <w:left w:w="70" w:type="dxa"/>
          <w:right w:w="70" w:type="dxa"/>
        </w:tblCellMar>
        <w:tblLook w:val="04A0" w:firstRow="1" w:lastRow="0" w:firstColumn="1" w:lastColumn="0" w:noHBand="0" w:noVBand="1"/>
      </w:tblPr>
      <w:tblGrid>
        <w:gridCol w:w="3540"/>
      </w:tblGrid>
      <w:tr w:rsidR="00301145" w:rsidRPr="00301145" w14:paraId="7CBA65B8" w14:textId="77777777" w:rsidTr="00A144B6">
        <w:trPr>
          <w:trHeight w:val="225"/>
          <w:jc w:val="right"/>
        </w:trPr>
        <w:tc>
          <w:tcPr>
            <w:tcW w:w="3540" w:type="dxa"/>
            <w:noWrap/>
            <w:vAlign w:val="bottom"/>
          </w:tcPr>
          <w:p w14:paraId="5E83AE16" w14:textId="77777777" w:rsidR="00301145" w:rsidRPr="00301145" w:rsidRDefault="00301145" w:rsidP="00301145">
            <w:pPr>
              <w:spacing w:after="0" w:line="240" w:lineRule="auto"/>
              <w:jc w:val="center"/>
              <w:rPr>
                <w:rFonts w:ascii="Arial" w:eastAsia="Times New Roman" w:hAnsi="Arial" w:cs="Arial"/>
                <w:sz w:val="12"/>
                <w:lang w:eastAsia="es-ES"/>
              </w:rPr>
            </w:pPr>
            <w:r w:rsidRPr="00301145">
              <w:rPr>
                <w:rFonts w:ascii="Arial" w:hAnsi="Arial" w:cs="Arial"/>
                <w:sz w:val="12"/>
              </w:rPr>
              <w:t>Por Comisión Fiscalizadora</w:t>
            </w:r>
          </w:p>
        </w:tc>
      </w:tr>
    </w:tbl>
    <w:p w14:paraId="45229EB2" w14:textId="30918C5B" w:rsidR="000709BA" w:rsidRDefault="000709BA" w:rsidP="000709BA">
      <w:pPr>
        <w:widowControl w:val="0"/>
        <w:autoSpaceDE w:val="0"/>
        <w:autoSpaceDN w:val="0"/>
        <w:adjustRightInd w:val="0"/>
        <w:ind w:right="173"/>
        <w:rPr>
          <w:rFonts w:ascii="Arial" w:eastAsia="Times New Roman" w:hAnsi="Arial" w:cs="Arial"/>
          <w:iCs/>
          <w:spacing w:val="-2"/>
          <w:sz w:val="20"/>
          <w:szCs w:val="20"/>
          <w:highlight w:val="yellow"/>
          <w:lang w:eastAsia="es-ES"/>
        </w:rPr>
      </w:pPr>
    </w:p>
    <w:p w14:paraId="050A9603" w14:textId="77777777" w:rsidR="000709BA" w:rsidRPr="00F90ADC" w:rsidRDefault="000709BA" w:rsidP="00F90ADC">
      <w:pPr>
        <w:widowControl w:val="0"/>
        <w:autoSpaceDE w:val="0"/>
        <w:autoSpaceDN w:val="0"/>
        <w:adjustRightInd w:val="0"/>
        <w:ind w:right="173"/>
        <w:rPr>
          <w:rFonts w:ascii="Arial" w:hAnsi="Arial" w:cs="Arial"/>
          <w:iCs/>
          <w:spacing w:val="-2"/>
          <w:sz w:val="20"/>
          <w:szCs w:val="20"/>
        </w:rPr>
      </w:pPr>
    </w:p>
    <w:p w14:paraId="73E67B83" w14:textId="77777777" w:rsidR="00595570" w:rsidRPr="00816270" w:rsidRDefault="00595570" w:rsidP="00816270">
      <w:pPr>
        <w:pStyle w:val="Sinespaciado"/>
        <w:jc w:val="both"/>
        <w:rPr>
          <w:rFonts w:ascii="Arial" w:eastAsia="Times New Roman" w:hAnsi="Arial" w:cs="Arial"/>
        </w:rPr>
      </w:pPr>
    </w:p>
    <w:p w14:paraId="5CE75A5E" w14:textId="77777777" w:rsidR="00A232C4" w:rsidRDefault="00A232C4" w:rsidP="00A232C4">
      <w:pPr>
        <w:ind w:firstLine="708"/>
      </w:pPr>
    </w:p>
    <w:p w14:paraId="3282B087" w14:textId="77777777" w:rsidR="00A232C4" w:rsidRDefault="00A232C4" w:rsidP="00A232C4">
      <w:pPr>
        <w:ind w:firstLine="708"/>
      </w:pPr>
    </w:p>
    <w:p w14:paraId="5ABAEAF5" w14:textId="77777777" w:rsidR="00F05DD6" w:rsidRPr="00B40422" w:rsidRDefault="00265F2D" w:rsidP="00B40422">
      <w:pPr>
        <w:tabs>
          <w:tab w:val="left" w:pos="-720"/>
        </w:tabs>
        <w:suppressAutoHyphens/>
        <w:spacing w:before="120" w:after="0" w:line="240" w:lineRule="auto"/>
        <w:jc w:val="both"/>
        <w:rPr>
          <w:rFonts w:ascii="Arial" w:hAnsi="Arial" w:cs="Arial"/>
          <w:b/>
          <w:highlight w:val="yellow"/>
        </w:rPr>
      </w:pPr>
      <w:r w:rsidRPr="00265F2D">
        <w:rPr>
          <w:rFonts w:ascii="Verdana" w:eastAsia="Times New Roman" w:hAnsi="Verdana" w:cs="Courier New"/>
          <w:b/>
          <w:snapToGrid w:val="0"/>
          <w:sz w:val="18"/>
          <w:szCs w:val="20"/>
          <w:lang w:eastAsia="es-ES"/>
        </w:rPr>
        <w:t>Miguel Ángel LIALI                 Sergio Miguel ROLDAN           Jorge Fernando FELCARO</w:t>
      </w:r>
    </w:p>
    <w:sectPr w:rsidR="00F05DD6" w:rsidRPr="00B40422" w:rsidSect="00816270">
      <w:pgSz w:w="12242" w:h="20163" w:code="5"/>
      <w:pgMar w:top="2268" w:right="1134"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E32CA"/>
    <w:multiLevelType w:val="hybridMultilevel"/>
    <w:tmpl w:val="30604428"/>
    <w:lvl w:ilvl="0" w:tplc="E25C960E">
      <w:start w:val="1"/>
      <w:numFmt w:val="upperRoman"/>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 w15:restartNumberingAfterBreak="0">
    <w:nsid w:val="0DD85B81"/>
    <w:multiLevelType w:val="singleLevel"/>
    <w:tmpl w:val="7350399E"/>
    <w:lvl w:ilvl="0">
      <w:start w:val="1"/>
      <w:numFmt w:val="decimal"/>
      <w:lvlText w:val="%1)"/>
      <w:legacy w:legacy="1" w:legacySpace="0" w:legacyIndent="360"/>
      <w:lvlJc w:val="left"/>
      <w:pPr>
        <w:ind w:left="360" w:hanging="360"/>
      </w:pPr>
    </w:lvl>
  </w:abstractNum>
  <w:abstractNum w:abstractNumId="2" w15:restartNumberingAfterBreak="0">
    <w:nsid w:val="0F8B0CF6"/>
    <w:multiLevelType w:val="hybridMultilevel"/>
    <w:tmpl w:val="56C0A06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3A895A14"/>
    <w:multiLevelType w:val="hybridMultilevel"/>
    <w:tmpl w:val="56C0A06A"/>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4" w15:restartNumberingAfterBreak="0">
    <w:nsid w:val="49E758B0"/>
    <w:multiLevelType w:val="hybridMultilevel"/>
    <w:tmpl w:val="E94C85BC"/>
    <w:lvl w:ilvl="0" w:tplc="352AFDF2">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502C61E5"/>
    <w:multiLevelType w:val="hybridMultilevel"/>
    <w:tmpl w:val="15A8472A"/>
    <w:lvl w:ilvl="0" w:tplc="5728F232">
      <w:start w:val="1"/>
      <w:numFmt w:val="lowerLetter"/>
      <w:lvlText w:val="%1)"/>
      <w:lvlJc w:val="left"/>
      <w:pPr>
        <w:ind w:left="644" w:hanging="360"/>
      </w:pPr>
    </w:lvl>
    <w:lvl w:ilvl="1" w:tplc="2C0A0019">
      <w:start w:val="1"/>
      <w:numFmt w:val="lowerLetter"/>
      <w:lvlText w:val="%2."/>
      <w:lvlJc w:val="left"/>
      <w:pPr>
        <w:ind w:left="1364" w:hanging="360"/>
      </w:pPr>
    </w:lvl>
    <w:lvl w:ilvl="2" w:tplc="2C0A001B">
      <w:start w:val="1"/>
      <w:numFmt w:val="lowerRoman"/>
      <w:lvlText w:val="%3."/>
      <w:lvlJc w:val="right"/>
      <w:pPr>
        <w:ind w:left="2084" w:hanging="180"/>
      </w:pPr>
    </w:lvl>
    <w:lvl w:ilvl="3" w:tplc="2C0A000F">
      <w:start w:val="1"/>
      <w:numFmt w:val="decimal"/>
      <w:lvlText w:val="%4."/>
      <w:lvlJc w:val="left"/>
      <w:pPr>
        <w:ind w:left="2804" w:hanging="360"/>
      </w:pPr>
    </w:lvl>
    <w:lvl w:ilvl="4" w:tplc="2C0A0019">
      <w:start w:val="1"/>
      <w:numFmt w:val="lowerLetter"/>
      <w:lvlText w:val="%5."/>
      <w:lvlJc w:val="left"/>
      <w:pPr>
        <w:ind w:left="3524" w:hanging="360"/>
      </w:pPr>
    </w:lvl>
    <w:lvl w:ilvl="5" w:tplc="2C0A001B">
      <w:start w:val="1"/>
      <w:numFmt w:val="lowerRoman"/>
      <w:lvlText w:val="%6."/>
      <w:lvlJc w:val="right"/>
      <w:pPr>
        <w:ind w:left="4244" w:hanging="180"/>
      </w:pPr>
    </w:lvl>
    <w:lvl w:ilvl="6" w:tplc="2C0A000F">
      <w:start w:val="1"/>
      <w:numFmt w:val="decimal"/>
      <w:lvlText w:val="%7."/>
      <w:lvlJc w:val="left"/>
      <w:pPr>
        <w:ind w:left="4964" w:hanging="360"/>
      </w:pPr>
    </w:lvl>
    <w:lvl w:ilvl="7" w:tplc="2C0A0019">
      <w:start w:val="1"/>
      <w:numFmt w:val="lowerLetter"/>
      <w:lvlText w:val="%8."/>
      <w:lvlJc w:val="left"/>
      <w:pPr>
        <w:ind w:left="5684" w:hanging="360"/>
      </w:pPr>
    </w:lvl>
    <w:lvl w:ilvl="8" w:tplc="2C0A001B">
      <w:start w:val="1"/>
      <w:numFmt w:val="lowerRoman"/>
      <w:lvlText w:val="%9."/>
      <w:lvlJc w:val="right"/>
      <w:pPr>
        <w:ind w:left="6404" w:hanging="180"/>
      </w:pPr>
    </w:lvl>
  </w:abstractNum>
  <w:abstractNum w:abstractNumId="6" w15:restartNumberingAfterBreak="0">
    <w:nsid w:val="51CE1DBE"/>
    <w:multiLevelType w:val="hybridMultilevel"/>
    <w:tmpl w:val="56C0A06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51F328DF"/>
    <w:multiLevelType w:val="hybridMultilevel"/>
    <w:tmpl w:val="720EEA14"/>
    <w:lvl w:ilvl="0" w:tplc="B43A987E">
      <w:start w:val="1"/>
      <w:numFmt w:val="lowerLetter"/>
      <w:lvlText w:val="%1)"/>
      <w:lvlJc w:val="left"/>
      <w:pPr>
        <w:ind w:left="720" w:hanging="360"/>
      </w:pPr>
      <w:rPr>
        <w:rFonts w:hint="default"/>
      </w:rPr>
    </w:lvl>
    <w:lvl w:ilvl="1" w:tplc="E912FF9A">
      <w:start w:val="1"/>
      <w:numFmt w:val="decimal"/>
      <w:lvlText w:val="%2."/>
      <w:lvlJc w:val="left"/>
      <w:pPr>
        <w:ind w:left="1440" w:hanging="360"/>
      </w:pPr>
      <w:rPr>
        <w:rFonts w:hint="default"/>
      </w:rPr>
    </w:lvl>
    <w:lvl w:ilvl="2" w:tplc="842290CE">
      <w:start w:val="1"/>
      <w:numFmt w:val="upperRoman"/>
      <w:lvlText w:val="%3."/>
      <w:lvlJc w:val="left"/>
      <w:pPr>
        <w:ind w:left="2700" w:hanging="720"/>
      </w:pPr>
      <w:rPr>
        <w:rFonts w:hint="default"/>
      </w:rPr>
    </w:lvl>
    <w:lvl w:ilvl="3" w:tplc="03DC8D76">
      <w:start w:val="20"/>
      <w:numFmt w:val="bullet"/>
      <w:lvlText w:val="-"/>
      <w:lvlJc w:val="left"/>
      <w:pPr>
        <w:ind w:left="2880" w:hanging="360"/>
      </w:pPr>
      <w:rPr>
        <w:rFonts w:ascii="Arial" w:eastAsia="Times New Roman" w:hAnsi="Arial" w:cs="Arial" w:hint="default"/>
      </w:rPr>
    </w:lvl>
    <w:lvl w:ilvl="4" w:tplc="8BCA5564">
      <w:start w:val="1"/>
      <w:numFmt w:val="upperLetter"/>
      <w:lvlText w:val="%5)"/>
      <w:lvlJc w:val="left"/>
      <w:pPr>
        <w:ind w:left="3600" w:hanging="360"/>
      </w:pPr>
      <w:rPr>
        <w:rFonts w:hint="default"/>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5FBF7EA0"/>
    <w:multiLevelType w:val="hybridMultilevel"/>
    <w:tmpl w:val="F1C6C4E4"/>
    <w:lvl w:ilvl="0" w:tplc="D444C7B4">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62F77554"/>
    <w:multiLevelType w:val="hybridMultilevel"/>
    <w:tmpl w:val="C91A6F2E"/>
    <w:lvl w:ilvl="0" w:tplc="DB76F0E2">
      <w:start w:val="1"/>
      <w:numFmt w:val="decimal"/>
      <w:lvlText w:val="%1)"/>
      <w:lvlJc w:val="left"/>
      <w:pPr>
        <w:ind w:left="720" w:hanging="360"/>
      </w:pPr>
      <w:rPr>
        <w:rFonts w:hint="default"/>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66F21BD7"/>
    <w:multiLevelType w:val="hybridMultilevel"/>
    <w:tmpl w:val="01BE309C"/>
    <w:lvl w:ilvl="0" w:tplc="166C8006">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686F2C39"/>
    <w:multiLevelType w:val="hybridMultilevel"/>
    <w:tmpl w:val="0546B3A2"/>
    <w:lvl w:ilvl="0" w:tplc="FAD08CE6">
      <w:start w:val="1"/>
      <w:numFmt w:val="decimal"/>
      <w:lvlText w:val="%1."/>
      <w:lvlJc w:val="left"/>
      <w:pPr>
        <w:tabs>
          <w:tab w:val="num" w:pos="928"/>
        </w:tabs>
        <w:ind w:left="928" w:hanging="360"/>
      </w:pPr>
      <w:rPr>
        <w:rFonts w:ascii="Verdana" w:eastAsia="Times New Roman" w:hAnsi="Verdana" w:cs="Times New Roman" w:hint="default"/>
        <w:b w:val="0"/>
      </w:rPr>
    </w:lvl>
    <w:lvl w:ilvl="1" w:tplc="0C0A0019" w:tentative="1">
      <w:start w:val="1"/>
      <w:numFmt w:val="lowerLetter"/>
      <w:lvlText w:val="%2."/>
      <w:lvlJc w:val="left"/>
      <w:pPr>
        <w:tabs>
          <w:tab w:val="num" w:pos="1648"/>
        </w:tabs>
        <w:ind w:left="1648" w:hanging="360"/>
      </w:pPr>
    </w:lvl>
    <w:lvl w:ilvl="2" w:tplc="0C0A001B" w:tentative="1">
      <w:start w:val="1"/>
      <w:numFmt w:val="lowerRoman"/>
      <w:lvlText w:val="%3."/>
      <w:lvlJc w:val="right"/>
      <w:pPr>
        <w:tabs>
          <w:tab w:val="num" w:pos="2368"/>
        </w:tabs>
        <w:ind w:left="2368" w:hanging="180"/>
      </w:pPr>
    </w:lvl>
    <w:lvl w:ilvl="3" w:tplc="0C0A000F" w:tentative="1">
      <w:start w:val="1"/>
      <w:numFmt w:val="decimal"/>
      <w:lvlText w:val="%4."/>
      <w:lvlJc w:val="left"/>
      <w:pPr>
        <w:tabs>
          <w:tab w:val="num" w:pos="3088"/>
        </w:tabs>
        <w:ind w:left="3088" w:hanging="360"/>
      </w:pPr>
    </w:lvl>
    <w:lvl w:ilvl="4" w:tplc="0C0A0019" w:tentative="1">
      <w:start w:val="1"/>
      <w:numFmt w:val="lowerLetter"/>
      <w:lvlText w:val="%5."/>
      <w:lvlJc w:val="left"/>
      <w:pPr>
        <w:tabs>
          <w:tab w:val="num" w:pos="3808"/>
        </w:tabs>
        <w:ind w:left="3808" w:hanging="360"/>
      </w:pPr>
    </w:lvl>
    <w:lvl w:ilvl="5" w:tplc="0C0A001B" w:tentative="1">
      <w:start w:val="1"/>
      <w:numFmt w:val="lowerRoman"/>
      <w:lvlText w:val="%6."/>
      <w:lvlJc w:val="right"/>
      <w:pPr>
        <w:tabs>
          <w:tab w:val="num" w:pos="4528"/>
        </w:tabs>
        <w:ind w:left="4528" w:hanging="180"/>
      </w:pPr>
    </w:lvl>
    <w:lvl w:ilvl="6" w:tplc="0C0A000F" w:tentative="1">
      <w:start w:val="1"/>
      <w:numFmt w:val="decimal"/>
      <w:lvlText w:val="%7."/>
      <w:lvlJc w:val="left"/>
      <w:pPr>
        <w:tabs>
          <w:tab w:val="num" w:pos="5248"/>
        </w:tabs>
        <w:ind w:left="5248" w:hanging="360"/>
      </w:pPr>
    </w:lvl>
    <w:lvl w:ilvl="7" w:tplc="0C0A0019" w:tentative="1">
      <w:start w:val="1"/>
      <w:numFmt w:val="lowerLetter"/>
      <w:lvlText w:val="%8."/>
      <w:lvlJc w:val="left"/>
      <w:pPr>
        <w:tabs>
          <w:tab w:val="num" w:pos="5968"/>
        </w:tabs>
        <w:ind w:left="5968" w:hanging="360"/>
      </w:pPr>
    </w:lvl>
    <w:lvl w:ilvl="8" w:tplc="0C0A001B" w:tentative="1">
      <w:start w:val="1"/>
      <w:numFmt w:val="lowerRoman"/>
      <w:lvlText w:val="%9."/>
      <w:lvlJc w:val="right"/>
      <w:pPr>
        <w:tabs>
          <w:tab w:val="num" w:pos="6688"/>
        </w:tabs>
        <w:ind w:left="6688" w:hanging="180"/>
      </w:pPr>
    </w:lvl>
  </w:abstractNum>
  <w:abstractNum w:abstractNumId="12" w15:restartNumberingAfterBreak="0">
    <w:nsid w:val="70802FD1"/>
    <w:multiLevelType w:val="hybridMultilevel"/>
    <w:tmpl w:val="826619F4"/>
    <w:lvl w:ilvl="0" w:tplc="352AFDF2">
      <w:start w:val="1"/>
      <w:numFmt w:val="upperRoman"/>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3" w15:restartNumberingAfterBreak="0">
    <w:nsid w:val="7E37542C"/>
    <w:multiLevelType w:val="hybridMultilevel"/>
    <w:tmpl w:val="F1C6C4E4"/>
    <w:lvl w:ilvl="0" w:tplc="D444C7B4">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lvlOverride w:ilvl="0">
      <w:startOverride w:val="1"/>
    </w:lvlOverride>
  </w:num>
  <w:num w:numId="2">
    <w:abstractNumId w:val="8"/>
  </w:num>
  <w:num w:numId="3">
    <w:abstractNumId w:val="13"/>
  </w:num>
  <w:num w:numId="4">
    <w:abstractNumId w:val="1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num>
  <w:num w:numId="9">
    <w:abstractNumId w:val="1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 w:numId="13">
    <w:abstractNumId w:val="10"/>
  </w:num>
  <w:num w:numId="14">
    <w:abstractNumId w:val="3"/>
  </w:num>
  <w:num w:numId="15">
    <w:abstractNumId w:val="2"/>
  </w:num>
  <w:num w:numId="16">
    <w:abstractNumId w:val="6"/>
  </w:num>
  <w:num w:numId="17">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622528"/>
    <w:rsid w:val="000045A7"/>
    <w:rsid w:val="00050118"/>
    <w:rsid w:val="000529EC"/>
    <w:rsid w:val="00055E80"/>
    <w:rsid w:val="00067B74"/>
    <w:rsid w:val="000709BA"/>
    <w:rsid w:val="000822CA"/>
    <w:rsid w:val="0008773D"/>
    <w:rsid w:val="000A4130"/>
    <w:rsid w:val="000A5548"/>
    <w:rsid w:val="000C50A4"/>
    <w:rsid w:val="000C5CAF"/>
    <w:rsid w:val="000E0C95"/>
    <w:rsid w:val="000E3675"/>
    <w:rsid w:val="000E7DB1"/>
    <w:rsid w:val="000F291E"/>
    <w:rsid w:val="00101F42"/>
    <w:rsid w:val="0011043C"/>
    <w:rsid w:val="0013291A"/>
    <w:rsid w:val="00140234"/>
    <w:rsid w:val="00140417"/>
    <w:rsid w:val="00144B07"/>
    <w:rsid w:val="00165C76"/>
    <w:rsid w:val="00165D15"/>
    <w:rsid w:val="001712A3"/>
    <w:rsid w:val="001750BB"/>
    <w:rsid w:val="00176F20"/>
    <w:rsid w:val="0018256F"/>
    <w:rsid w:val="00191665"/>
    <w:rsid w:val="00192C06"/>
    <w:rsid w:val="00193923"/>
    <w:rsid w:val="001A5E6E"/>
    <w:rsid w:val="001A688C"/>
    <w:rsid w:val="001B5A84"/>
    <w:rsid w:val="001C024B"/>
    <w:rsid w:val="001D6BC1"/>
    <w:rsid w:val="001E376B"/>
    <w:rsid w:val="002243D1"/>
    <w:rsid w:val="00226490"/>
    <w:rsid w:val="002267A9"/>
    <w:rsid w:val="00234158"/>
    <w:rsid w:val="00250235"/>
    <w:rsid w:val="00251CF4"/>
    <w:rsid w:val="00251CFE"/>
    <w:rsid w:val="00265F2D"/>
    <w:rsid w:val="00273096"/>
    <w:rsid w:val="002A4673"/>
    <w:rsid w:val="002B2ED9"/>
    <w:rsid w:val="002E1210"/>
    <w:rsid w:val="002F170C"/>
    <w:rsid w:val="002F6BA8"/>
    <w:rsid w:val="00301145"/>
    <w:rsid w:val="003038A6"/>
    <w:rsid w:val="00317225"/>
    <w:rsid w:val="003249C6"/>
    <w:rsid w:val="00331858"/>
    <w:rsid w:val="00340270"/>
    <w:rsid w:val="0034236B"/>
    <w:rsid w:val="00343CA8"/>
    <w:rsid w:val="003449A7"/>
    <w:rsid w:val="00351D13"/>
    <w:rsid w:val="00361421"/>
    <w:rsid w:val="003A4C9D"/>
    <w:rsid w:val="003B4500"/>
    <w:rsid w:val="003C11C4"/>
    <w:rsid w:val="003C2433"/>
    <w:rsid w:val="003D129D"/>
    <w:rsid w:val="003F6A82"/>
    <w:rsid w:val="00402A1D"/>
    <w:rsid w:val="00402E52"/>
    <w:rsid w:val="0041592A"/>
    <w:rsid w:val="00436C87"/>
    <w:rsid w:val="0044225A"/>
    <w:rsid w:val="004478F4"/>
    <w:rsid w:val="00467572"/>
    <w:rsid w:val="00473E36"/>
    <w:rsid w:val="00476150"/>
    <w:rsid w:val="004840C1"/>
    <w:rsid w:val="004A0A8E"/>
    <w:rsid w:val="004D1A72"/>
    <w:rsid w:val="004F3193"/>
    <w:rsid w:val="004F7FC4"/>
    <w:rsid w:val="00507A14"/>
    <w:rsid w:val="00513EAE"/>
    <w:rsid w:val="0052258B"/>
    <w:rsid w:val="00542A04"/>
    <w:rsid w:val="005537C2"/>
    <w:rsid w:val="00565033"/>
    <w:rsid w:val="00567264"/>
    <w:rsid w:val="00577FCF"/>
    <w:rsid w:val="00592497"/>
    <w:rsid w:val="00595570"/>
    <w:rsid w:val="005B5833"/>
    <w:rsid w:val="005B62C9"/>
    <w:rsid w:val="005C1487"/>
    <w:rsid w:val="005C3C57"/>
    <w:rsid w:val="005C6F02"/>
    <w:rsid w:val="005D54F0"/>
    <w:rsid w:val="005D64BF"/>
    <w:rsid w:val="005E5077"/>
    <w:rsid w:val="005F5320"/>
    <w:rsid w:val="005F6416"/>
    <w:rsid w:val="006157A7"/>
    <w:rsid w:val="00615CD9"/>
    <w:rsid w:val="00622528"/>
    <w:rsid w:val="00631E89"/>
    <w:rsid w:val="00644C9B"/>
    <w:rsid w:val="00657703"/>
    <w:rsid w:val="00666814"/>
    <w:rsid w:val="0067189B"/>
    <w:rsid w:val="00676481"/>
    <w:rsid w:val="00676B0B"/>
    <w:rsid w:val="00686725"/>
    <w:rsid w:val="00687143"/>
    <w:rsid w:val="00690ACB"/>
    <w:rsid w:val="006939CE"/>
    <w:rsid w:val="006A3AF7"/>
    <w:rsid w:val="006B51F8"/>
    <w:rsid w:val="006C1798"/>
    <w:rsid w:val="006C31B6"/>
    <w:rsid w:val="006D1D96"/>
    <w:rsid w:val="006E1CC4"/>
    <w:rsid w:val="006E3DCB"/>
    <w:rsid w:val="00705E43"/>
    <w:rsid w:val="00730E66"/>
    <w:rsid w:val="00733F23"/>
    <w:rsid w:val="007524F9"/>
    <w:rsid w:val="00754B16"/>
    <w:rsid w:val="0076792F"/>
    <w:rsid w:val="00770FD3"/>
    <w:rsid w:val="00771658"/>
    <w:rsid w:val="00781EA3"/>
    <w:rsid w:val="00787775"/>
    <w:rsid w:val="007A7CAD"/>
    <w:rsid w:val="007B37AD"/>
    <w:rsid w:val="007C0C92"/>
    <w:rsid w:val="007C5B27"/>
    <w:rsid w:val="007C6321"/>
    <w:rsid w:val="007E213B"/>
    <w:rsid w:val="007E657A"/>
    <w:rsid w:val="008077AB"/>
    <w:rsid w:val="008123A0"/>
    <w:rsid w:val="0081255D"/>
    <w:rsid w:val="00816270"/>
    <w:rsid w:val="00834FFA"/>
    <w:rsid w:val="008353C0"/>
    <w:rsid w:val="00846805"/>
    <w:rsid w:val="008474E6"/>
    <w:rsid w:val="0085043B"/>
    <w:rsid w:val="00861A32"/>
    <w:rsid w:val="0086240E"/>
    <w:rsid w:val="008753A9"/>
    <w:rsid w:val="008A3078"/>
    <w:rsid w:val="008A3A8A"/>
    <w:rsid w:val="008A7497"/>
    <w:rsid w:val="008C2B30"/>
    <w:rsid w:val="008D2E9A"/>
    <w:rsid w:val="008E0B17"/>
    <w:rsid w:val="008E36DC"/>
    <w:rsid w:val="008E4AAA"/>
    <w:rsid w:val="008F1D53"/>
    <w:rsid w:val="008F2B4F"/>
    <w:rsid w:val="008F5DE6"/>
    <w:rsid w:val="00911FD0"/>
    <w:rsid w:val="0091205C"/>
    <w:rsid w:val="009144DE"/>
    <w:rsid w:val="00960C80"/>
    <w:rsid w:val="00964515"/>
    <w:rsid w:val="00966430"/>
    <w:rsid w:val="00975719"/>
    <w:rsid w:val="009944B9"/>
    <w:rsid w:val="009B5309"/>
    <w:rsid w:val="009B61D8"/>
    <w:rsid w:val="009C2236"/>
    <w:rsid w:val="009D1390"/>
    <w:rsid w:val="009F7A86"/>
    <w:rsid w:val="00A148A2"/>
    <w:rsid w:val="00A232C4"/>
    <w:rsid w:val="00A25FC5"/>
    <w:rsid w:val="00A324FC"/>
    <w:rsid w:val="00A374D0"/>
    <w:rsid w:val="00A932FB"/>
    <w:rsid w:val="00AA5675"/>
    <w:rsid w:val="00AB02BC"/>
    <w:rsid w:val="00AD6A23"/>
    <w:rsid w:val="00AF4278"/>
    <w:rsid w:val="00B1072D"/>
    <w:rsid w:val="00B376A1"/>
    <w:rsid w:val="00B40422"/>
    <w:rsid w:val="00B4129D"/>
    <w:rsid w:val="00B44062"/>
    <w:rsid w:val="00B452C3"/>
    <w:rsid w:val="00B46D5B"/>
    <w:rsid w:val="00B52E98"/>
    <w:rsid w:val="00B6252C"/>
    <w:rsid w:val="00B66B0A"/>
    <w:rsid w:val="00B66D2E"/>
    <w:rsid w:val="00B7571B"/>
    <w:rsid w:val="00B92A5F"/>
    <w:rsid w:val="00B93688"/>
    <w:rsid w:val="00B94990"/>
    <w:rsid w:val="00BA222F"/>
    <w:rsid w:val="00BB375F"/>
    <w:rsid w:val="00BB5E4B"/>
    <w:rsid w:val="00BB691D"/>
    <w:rsid w:val="00BC46E3"/>
    <w:rsid w:val="00BC61AC"/>
    <w:rsid w:val="00BC649C"/>
    <w:rsid w:val="00BD13DD"/>
    <w:rsid w:val="00BE03DC"/>
    <w:rsid w:val="00C03CC4"/>
    <w:rsid w:val="00C04DA1"/>
    <w:rsid w:val="00C079D7"/>
    <w:rsid w:val="00C16A21"/>
    <w:rsid w:val="00C53A87"/>
    <w:rsid w:val="00C56A05"/>
    <w:rsid w:val="00C57932"/>
    <w:rsid w:val="00C639A8"/>
    <w:rsid w:val="00C7344E"/>
    <w:rsid w:val="00C82EB0"/>
    <w:rsid w:val="00C92F7D"/>
    <w:rsid w:val="00CA0D6A"/>
    <w:rsid w:val="00CA2097"/>
    <w:rsid w:val="00CA63A9"/>
    <w:rsid w:val="00CA72C5"/>
    <w:rsid w:val="00CA7658"/>
    <w:rsid w:val="00CC1FC1"/>
    <w:rsid w:val="00CC3124"/>
    <w:rsid w:val="00CD1AE2"/>
    <w:rsid w:val="00CD1F01"/>
    <w:rsid w:val="00CD4B60"/>
    <w:rsid w:val="00CD7549"/>
    <w:rsid w:val="00CE7172"/>
    <w:rsid w:val="00D1646F"/>
    <w:rsid w:val="00D34524"/>
    <w:rsid w:val="00D37B81"/>
    <w:rsid w:val="00D609C9"/>
    <w:rsid w:val="00D64051"/>
    <w:rsid w:val="00D96419"/>
    <w:rsid w:val="00D97BBE"/>
    <w:rsid w:val="00DB5072"/>
    <w:rsid w:val="00DB5972"/>
    <w:rsid w:val="00DC436E"/>
    <w:rsid w:val="00DC695C"/>
    <w:rsid w:val="00DD792F"/>
    <w:rsid w:val="00DE37E0"/>
    <w:rsid w:val="00DF3CFB"/>
    <w:rsid w:val="00DF7357"/>
    <w:rsid w:val="00E048C0"/>
    <w:rsid w:val="00E053F9"/>
    <w:rsid w:val="00E12B3B"/>
    <w:rsid w:val="00E21065"/>
    <w:rsid w:val="00E2247B"/>
    <w:rsid w:val="00E35A8F"/>
    <w:rsid w:val="00E4295A"/>
    <w:rsid w:val="00E430D1"/>
    <w:rsid w:val="00E43DA4"/>
    <w:rsid w:val="00E52FEE"/>
    <w:rsid w:val="00E678E9"/>
    <w:rsid w:val="00E803D0"/>
    <w:rsid w:val="00E84ADD"/>
    <w:rsid w:val="00E852DD"/>
    <w:rsid w:val="00E85E38"/>
    <w:rsid w:val="00EA375B"/>
    <w:rsid w:val="00EB200C"/>
    <w:rsid w:val="00EB6FEB"/>
    <w:rsid w:val="00EC06F6"/>
    <w:rsid w:val="00EC1AC4"/>
    <w:rsid w:val="00EC766C"/>
    <w:rsid w:val="00ED0C3A"/>
    <w:rsid w:val="00ED4A3C"/>
    <w:rsid w:val="00ED7A90"/>
    <w:rsid w:val="00F05DD6"/>
    <w:rsid w:val="00F06FDA"/>
    <w:rsid w:val="00F1577A"/>
    <w:rsid w:val="00F2277D"/>
    <w:rsid w:val="00F33193"/>
    <w:rsid w:val="00F63BF8"/>
    <w:rsid w:val="00F73BEE"/>
    <w:rsid w:val="00F827C5"/>
    <w:rsid w:val="00F90ADC"/>
    <w:rsid w:val="00F937B8"/>
    <w:rsid w:val="00F95EF9"/>
    <w:rsid w:val="00FA1786"/>
    <w:rsid w:val="00FA5DA5"/>
    <w:rsid w:val="00FB4C63"/>
    <w:rsid w:val="00FD27D0"/>
    <w:rsid w:val="00FD7A12"/>
    <w:rsid w:val="00FF39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999A8D"/>
  <w15:docId w15:val="{E5718206-B283-4524-B6E7-71C51857B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44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unhideWhenUsed/>
    <w:rsid w:val="00622528"/>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622528"/>
    <w:rPr>
      <w:rFonts w:ascii="Times New Roman" w:eastAsia="Times New Roman" w:hAnsi="Times New Roman" w:cs="Times New Roman"/>
      <w:sz w:val="16"/>
      <w:szCs w:val="16"/>
      <w:lang w:eastAsia="es-ES"/>
    </w:rPr>
  </w:style>
  <w:style w:type="paragraph" w:customStyle="1" w:styleId="Ttuloprincipal">
    <w:name w:val="Título principal"/>
    <w:basedOn w:val="Normal"/>
    <w:rsid w:val="00CD1F01"/>
    <w:pPr>
      <w:spacing w:after="0" w:line="240" w:lineRule="auto"/>
      <w:jc w:val="center"/>
    </w:pPr>
    <w:rPr>
      <w:rFonts w:ascii="Arial" w:eastAsia="Times New Roman" w:hAnsi="Arial" w:cs="Times New Roman"/>
      <w:b/>
      <w:sz w:val="24"/>
      <w:szCs w:val="20"/>
    </w:rPr>
  </w:style>
  <w:style w:type="paragraph" w:customStyle="1" w:styleId="Texto">
    <w:name w:val="Texto"/>
    <w:basedOn w:val="Normal"/>
    <w:rsid w:val="00CD1F01"/>
    <w:pPr>
      <w:spacing w:after="0" w:line="240" w:lineRule="auto"/>
      <w:jc w:val="both"/>
    </w:pPr>
    <w:rPr>
      <w:rFonts w:ascii="Book Antiqua" w:eastAsia="Times New Roman" w:hAnsi="Book Antiqua" w:cs="Times New Roman"/>
      <w:sz w:val="20"/>
      <w:szCs w:val="20"/>
      <w:lang w:val="es-ES_tradnl"/>
    </w:rPr>
  </w:style>
  <w:style w:type="paragraph" w:styleId="Prrafodelista">
    <w:name w:val="List Paragraph"/>
    <w:basedOn w:val="Normal"/>
    <w:uiPriority w:val="34"/>
    <w:qFormat/>
    <w:rsid w:val="007C5B27"/>
    <w:pPr>
      <w:ind w:left="720"/>
      <w:contextualSpacing/>
    </w:pPr>
  </w:style>
  <w:style w:type="paragraph" w:styleId="Textodeglobo">
    <w:name w:val="Balloon Text"/>
    <w:basedOn w:val="Normal"/>
    <w:link w:val="TextodegloboCar"/>
    <w:uiPriority w:val="99"/>
    <w:semiHidden/>
    <w:unhideWhenUsed/>
    <w:rsid w:val="003402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0270"/>
    <w:rPr>
      <w:rFonts w:ascii="Tahoma" w:hAnsi="Tahoma" w:cs="Tahoma"/>
      <w:sz w:val="16"/>
      <w:szCs w:val="16"/>
    </w:rPr>
  </w:style>
  <w:style w:type="paragraph" w:styleId="Sinespaciado">
    <w:name w:val="No Spacing"/>
    <w:uiPriority w:val="1"/>
    <w:qFormat/>
    <w:rsid w:val="001329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196919">
      <w:bodyDiv w:val="1"/>
      <w:marLeft w:val="0"/>
      <w:marRight w:val="0"/>
      <w:marTop w:val="0"/>
      <w:marBottom w:val="0"/>
      <w:divBdr>
        <w:top w:val="none" w:sz="0" w:space="0" w:color="auto"/>
        <w:left w:val="none" w:sz="0" w:space="0" w:color="auto"/>
        <w:bottom w:val="none" w:sz="0" w:space="0" w:color="auto"/>
        <w:right w:val="none" w:sz="0" w:space="0" w:color="auto"/>
      </w:divBdr>
    </w:div>
    <w:div w:id="217517143">
      <w:bodyDiv w:val="1"/>
      <w:marLeft w:val="0"/>
      <w:marRight w:val="0"/>
      <w:marTop w:val="0"/>
      <w:marBottom w:val="0"/>
      <w:divBdr>
        <w:top w:val="none" w:sz="0" w:space="0" w:color="auto"/>
        <w:left w:val="none" w:sz="0" w:space="0" w:color="auto"/>
        <w:bottom w:val="none" w:sz="0" w:space="0" w:color="auto"/>
        <w:right w:val="none" w:sz="0" w:space="0" w:color="auto"/>
      </w:divBdr>
    </w:div>
    <w:div w:id="710106919">
      <w:bodyDiv w:val="1"/>
      <w:marLeft w:val="0"/>
      <w:marRight w:val="0"/>
      <w:marTop w:val="0"/>
      <w:marBottom w:val="0"/>
      <w:divBdr>
        <w:top w:val="none" w:sz="0" w:space="0" w:color="auto"/>
        <w:left w:val="none" w:sz="0" w:space="0" w:color="auto"/>
        <w:bottom w:val="none" w:sz="0" w:space="0" w:color="auto"/>
        <w:right w:val="none" w:sz="0" w:space="0" w:color="auto"/>
      </w:divBdr>
    </w:div>
    <w:div w:id="735979207">
      <w:bodyDiv w:val="1"/>
      <w:marLeft w:val="0"/>
      <w:marRight w:val="0"/>
      <w:marTop w:val="0"/>
      <w:marBottom w:val="0"/>
      <w:divBdr>
        <w:top w:val="none" w:sz="0" w:space="0" w:color="auto"/>
        <w:left w:val="none" w:sz="0" w:space="0" w:color="auto"/>
        <w:bottom w:val="none" w:sz="0" w:space="0" w:color="auto"/>
        <w:right w:val="none" w:sz="0" w:space="0" w:color="auto"/>
      </w:divBdr>
    </w:div>
    <w:div w:id="784428232">
      <w:bodyDiv w:val="1"/>
      <w:marLeft w:val="0"/>
      <w:marRight w:val="0"/>
      <w:marTop w:val="0"/>
      <w:marBottom w:val="0"/>
      <w:divBdr>
        <w:top w:val="none" w:sz="0" w:space="0" w:color="auto"/>
        <w:left w:val="none" w:sz="0" w:space="0" w:color="auto"/>
        <w:bottom w:val="none" w:sz="0" w:space="0" w:color="auto"/>
        <w:right w:val="none" w:sz="0" w:space="0" w:color="auto"/>
      </w:divBdr>
    </w:div>
    <w:div w:id="823084635">
      <w:bodyDiv w:val="1"/>
      <w:marLeft w:val="0"/>
      <w:marRight w:val="0"/>
      <w:marTop w:val="0"/>
      <w:marBottom w:val="0"/>
      <w:divBdr>
        <w:top w:val="none" w:sz="0" w:space="0" w:color="auto"/>
        <w:left w:val="none" w:sz="0" w:space="0" w:color="auto"/>
        <w:bottom w:val="none" w:sz="0" w:space="0" w:color="auto"/>
        <w:right w:val="none" w:sz="0" w:space="0" w:color="auto"/>
      </w:divBdr>
    </w:div>
    <w:div w:id="828596304">
      <w:bodyDiv w:val="1"/>
      <w:marLeft w:val="0"/>
      <w:marRight w:val="0"/>
      <w:marTop w:val="0"/>
      <w:marBottom w:val="0"/>
      <w:divBdr>
        <w:top w:val="none" w:sz="0" w:space="0" w:color="auto"/>
        <w:left w:val="none" w:sz="0" w:space="0" w:color="auto"/>
        <w:bottom w:val="none" w:sz="0" w:space="0" w:color="auto"/>
        <w:right w:val="none" w:sz="0" w:space="0" w:color="auto"/>
      </w:divBdr>
    </w:div>
    <w:div w:id="969943888">
      <w:bodyDiv w:val="1"/>
      <w:marLeft w:val="0"/>
      <w:marRight w:val="0"/>
      <w:marTop w:val="0"/>
      <w:marBottom w:val="0"/>
      <w:divBdr>
        <w:top w:val="none" w:sz="0" w:space="0" w:color="auto"/>
        <w:left w:val="none" w:sz="0" w:space="0" w:color="auto"/>
        <w:bottom w:val="none" w:sz="0" w:space="0" w:color="auto"/>
        <w:right w:val="none" w:sz="0" w:space="0" w:color="auto"/>
      </w:divBdr>
    </w:div>
    <w:div w:id="970131548">
      <w:bodyDiv w:val="1"/>
      <w:marLeft w:val="0"/>
      <w:marRight w:val="0"/>
      <w:marTop w:val="0"/>
      <w:marBottom w:val="0"/>
      <w:divBdr>
        <w:top w:val="none" w:sz="0" w:space="0" w:color="auto"/>
        <w:left w:val="none" w:sz="0" w:space="0" w:color="auto"/>
        <w:bottom w:val="none" w:sz="0" w:space="0" w:color="auto"/>
        <w:right w:val="none" w:sz="0" w:space="0" w:color="auto"/>
      </w:divBdr>
    </w:div>
    <w:div w:id="1198470936">
      <w:bodyDiv w:val="1"/>
      <w:marLeft w:val="0"/>
      <w:marRight w:val="0"/>
      <w:marTop w:val="0"/>
      <w:marBottom w:val="0"/>
      <w:divBdr>
        <w:top w:val="none" w:sz="0" w:space="0" w:color="auto"/>
        <w:left w:val="none" w:sz="0" w:space="0" w:color="auto"/>
        <w:bottom w:val="none" w:sz="0" w:space="0" w:color="auto"/>
        <w:right w:val="none" w:sz="0" w:space="0" w:color="auto"/>
      </w:divBdr>
    </w:div>
    <w:div w:id="1450514029">
      <w:bodyDiv w:val="1"/>
      <w:marLeft w:val="0"/>
      <w:marRight w:val="0"/>
      <w:marTop w:val="0"/>
      <w:marBottom w:val="0"/>
      <w:divBdr>
        <w:top w:val="none" w:sz="0" w:space="0" w:color="auto"/>
        <w:left w:val="none" w:sz="0" w:space="0" w:color="auto"/>
        <w:bottom w:val="none" w:sz="0" w:space="0" w:color="auto"/>
        <w:right w:val="none" w:sz="0" w:space="0" w:color="auto"/>
      </w:divBdr>
    </w:div>
    <w:div w:id="1658533307">
      <w:bodyDiv w:val="1"/>
      <w:marLeft w:val="0"/>
      <w:marRight w:val="0"/>
      <w:marTop w:val="0"/>
      <w:marBottom w:val="0"/>
      <w:divBdr>
        <w:top w:val="none" w:sz="0" w:space="0" w:color="auto"/>
        <w:left w:val="none" w:sz="0" w:space="0" w:color="auto"/>
        <w:bottom w:val="none" w:sz="0" w:space="0" w:color="auto"/>
        <w:right w:val="none" w:sz="0" w:space="0" w:color="auto"/>
      </w:divBdr>
    </w:div>
    <w:div w:id="1722896128">
      <w:bodyDiv w:val="1"/>
      <w:marLeft w:val="0"/>
      <w:marRight w:val="0"/>
      <w:marTop w:val="0"/>
      <w:marBottom w:val="0"/>
      <w:divBdr>
        <w:top w:val="none" w:sz="0" w:space="0" w:color="auto"/>
        <w:left w:val="none" w:sz="0" w:space="0" w:color="auto"/>
        <w:bottom w:val="none" w:sz="0" w:space="0" w:color="auto"/>
        <w:right w:val="none" w:sz="0" w:space="0" w:color="auto"/>
      </w:divBdr>
    </w:div>
    <w:div w:id="1925533310">
      <w:bodyDiv w:val="1"/>
      <w:marLeft w:val="0"/>
      <w:marRight w:val="0"/>
      <w:marTop w:val="0"/>
      <w:marBottom w:val="0"/>
      <w:divBdr>
        <w:top w:val="none" w:sz="0" w:space="0" w:color="auto"/>
        <w:left w:val="none" w:sz="0" w:space="0" w:color="auto"/>
        <w:bottom w:val="none" w:sz="0" w:space="0" w:color="auto"/>
        <w:right w:val="none" w:sz="0" w:space="0" w:color="auto"/>
      </w:divBdr>
    </w:div>
    <w:div w:id="192980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93DF3-1E25-4E97-8428-07DC37C54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1073</TotalTime>
  <Pages>2</Pages>
  <Words>1065</Words>
  <Characters>5859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Felcaro</dc:creator>
  <cp:lastModifiedBy>Maria Florencia Moreira</cp:lastModifiedBy>
  <cp:revision>257</cp:revision>
  <cp:lastPrinted>2020-01-03T17:38:00Z</cp:lastPrinted>
  <dcterms:created xsi:type="dcterms:W3CDTF">2013-12-23T18:41:00Z</dcterms:created>
  <dcterms:modified xsi:type="dcterms:W3CDTF">2021-03-15T18:47:00Z</dcterms:modified>
</cp:coreProperties>
</file>