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620F6" w14:textId="37D65C50" w:rsidR="00E84B98" w:rsidRPr="0010190D" w:rsidRDefault="00E84B98" w:rsidP="0010190D">
      <w:pPr>
        <w:pStyle w:val="Ttulo1"/>
        <w:spacing w:line="360" w:lineRule="auto"/>
        <w:jc w:val="both"/>
        <w:rPr>
          <w:rFonts w:ascii="Garamond" w:hAnsi="Garamond" w:cs="Arial"/>
          <w:smallCaps/>
          <w:szCs w:val="24"/>
          <w:u w:val="none"/>
          <w:lang w:val="es-AR"/>
        </w:rPr>
      </w:pPr>
      <w:r w:rsidRPr="0010190D">
        <w:rPr>
          <w:rFonts w:ascii="Garamond" w:hAnsi="Garamond" w:cs="Arial"/>
          <w:smallCaps/>
          <w:szCs w:val="24"/>
          <w:u w:val="none"/>
          <w:lang w:val="es-AR"/>
        </w:rPr>
        <w:t xml:space="preserve">Síntesis de lo resuelto en la Asamblea General </w:t>
      </w:r>
      <w:r w:rsidR="006F138E">
        <w:rPr>
          <w:rFonts w:ascii="Garamond" w:hAnsi="Garamond" w:cs="Arial"/>
          <w:smallCaps/>
          <w:szCs w:val="24"/>
          <w:u w:val="none"/>
          <w:lang w:val="es-AR"/>
        </w:rPr>
        <w:t>Extrao</w:t>
      </w:r>
      <w:r w:rsidRPr="0010190D">
        <w:rPr>
          <w:rFonts w:ascii="Garamond" w:hAnsi="Garamond" w:cs="Arial"/>
          <w:smallCaps/>
          <w:szCs w:val="24"/>
          <w:u w:val="none"/>
          <w:lang w:val="es-AR"/>
        </w:rPr>
        <w:t xml:space="preserve">rdinaria de </w:t>
      </w:r>
      <w:proofErr w:type="spellStart"/>
      <w:r w:rsidR="007B1F48">
        <w:rPr>
          <w:rFonts w:ascii="Garamond" w:hAnsi="Garamond" w:cs="Arial"/>
          <w:smallCaps/>
          <w:szCs w:val="24"/>
          <w:u w:val="none"/>
          <w:lang w:val="es-AR"/>
        </w:rPr>
        <w:t>Roch</w:t>
      </w:r>
      <w:proofErr w:type="spellEnd"/>
      <w:r w:rsidR="007B1F48" w:rsidRPr="0010190D">
        <w:rPr>
          <w:rFonts w:ascii="Garamond" w:hAnsi="Garamond" w:cs="Arial"/>
          <w:smallCaps/>
          <w:szCs w:val="24"/>
          <w:u w:val="none"/>
          <w:lang w:val="es-AR"/>
        </w:rPr>
        <w:t xml:space="preserve"> </w:t>
      </w:r>
      <w:r w:rsidRPr="0010190D">
        <w:rPr>
          <w:rFonts w:ascii="Garamond" w:hAnsi="Garamond" w:cs="Arial"/>
          <w:smallCaps/>
          <w:szCs w:val="24"/>
          <w:u w:val="none"/>
          <w:lang w:val="es-AR"/>
        </w:rPr>
        <w:t xml:space="preserve">S.A., celebrada el </w:t>
      </w:r>
      <w:r w:rsidR="00C0282D">
        <w:rPr>
          <w:rFonts w:ascii="Garamond" w:hAnsi="Garamond" w:cs="Arial"/>
          <w:smallCaps/>
          <w:szCs w:val="24"/>
          <w:u w:val="none"/>
          <w:lang w:val="es-AR"/>
        </w:rPr>
        <w:t>23</w:t>
      </w:r>
      <w:r w:rsidRPr="0010190D">
        <w:rPr>
          <w:rFonts w:ascii="Garamond" w:hAnsi="Garamond" w:cs="Arial"/>
          <w:smallCaps/>
          <w:szCs w:val="24"/>
          <w:u w:val="none"/>
          <w:lang w:val="es-AR"/>
        </w:rPr>
        <w:t xml:space="preserve"> de </w:t>
      </w:r>
      <w:r w:rsidR="000620CD">
        <w:rPr>
          <w:rFonts w:ascii="Garamond" w:hAnsi="Garamond" w:cs="Arial"/>
          <w:smallCaps/>
          <w:szCs w:val="24"/>
          <w:u w:val="none"/>
          <w:lang w:val="es-AR"/>
        </w:rPr>
        <w:t>julio</w:t>
      </w:r>
      <w:r w:rsidRPr="0010190D">
        <w:rPr>
          <w:rFonts w:ascii="Garamond" w:hAnsi="Garamond" w:cs="Arial"/>
          <w:smallCaps/>
          <w:szCs w:val="24"/>
          <w:u w:val="none"/>
          <w:lang w:val="es-AR"/>
        </w:rPr>
        <w:t xml:space="preserve"> del 20</w:t>
      </w:r>
      <w:r w:rsidR="0068618E">
        <w:rPr>
          <w:rFonts w:ascii="Garamond" w:hAnsi="Garamond" w:cs="Arial"/>
          <w:smallCaps/>
          <w:szCs w:val="24"/>
          <w:u w:val="none"/>
          <w:lang w:val="es-AR"/>
        </w:rPr>
        <w:t>20</w:t>
      </w:r>
    </w:p>
    <w:p w14:paraId="30F0414E" w14:textId="77777777" w:rsidR="00E84B98" w:rsidRPr="0010190D" w:rsidRDefault="00E84B98" w:rsidP="0010190D">
      <w:pPr>
        <w:pStyle w:val="Ttulo1"/>
        <w:spacing w:line="360" w:lineRule="auto"/>
        <w:jc w:val="center"/>
        <w:rPr>
          <w:rFonts w:ascii="Garamond" w:hAnsi="Garamond" w:cs="Arial"/>
          <w:szCs w:val="24"/>
          <w:lang w:val="es-AR"/>
        </w:rPr>
      </w:pPr>
    </w:p>
    <w:p w14:paraId="31F6165A" w14:textId="31AADAA1" w:rsidR="00E84B98" w:rsidRDefault="00E84B98" w:rsidP="0010190D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 w:rsidRPr="0010190D">
        <w:rPr>
          <w:rFonts w:ascii="Garamond" w:hAnsi="Garamond" w:cs="Arial"/>
          <w:sz w:val="24"/>
          <w:szCs w:val="24"/>
        </w:rPr>
        <w:t xml:space="preserve">La Asamblea General </w:t>
      </w:r>
      <w:r w:rsidR="006F138E">
        <w:rPr>
          <w:rFonts w:ascii="Garamond" w:hAnsi="Garamond" w:cs="Arial"/>
          <w:sz w:val="24"/>
          <w:szCs w:val="24"/>
        </w:rPr>
        <w:t>Extrao</w:t>
      </w:r>
      <w:r w:rsidRPr="0010190D">
        <w:rPr>
          <w:rFonts w:ascii="Garamond" w:hAnsi="Garamond" w:cs="Arial"/>
          <w:sz w:val="24"/>
          <w:szCs w:val="24"/>
        </w:rPr>
        <w:t xml:space="preserve">rdinaria celebrada el </w:t>
      </w:r>
      <w:r w:rsidR="00C0282D">
        <w:rPr>
          <w:rFonts w:ascii="Garamond" w:hAnsi="Garamond" w:cs="Arial"/>
          <w:sz w:val="24"/>
          <w:szCs w:val="24"/>
        </w:rPr>
        <w:t>23</w:t>
      </w:r>
      <w:r w:rsidRPr="0010190D">
        <w:rPr>
          <w:rFonts w:ascii="Garamond" w:hAnsi="Garamond" w:cs="Arial"/>
          <w:sz w:val="24"/>
          <w:szCs w:val="24"/>
        </w:rPr>
        <w:t xml:space="preserve"> de </w:t>
      </w:r>
      <w:r w:rsidR="00BE2558">
        <w:rPr>
          <w:rFonts w:ascii="Garamond" w:hAnsi="Garamond" w:cs="Arial"/>
          <w:sz w:val="24"/>
          <w:szCs w:val="24"/>
        </w:rPr>
        <w:t>julio</w:t>
      </w:r>
      <w:r w:rsidRPr="0010190D">
        <w:rPr>
          <w:rFonts w:ascii="Garamond" w:hAnsi="Garamond" w:cs="Arial"/>
          <w:sz w:val="24"/>
          <w:szCs w:val="24"/>
        </w:rPr>
        <w:t xml:space="preserve"> del 20</w:t>
      </w:r>
      <w:r w:rsidR="0068618E">
        <w:rPr>
          <w:rFonts w:ascii="Garamond" w:hAnsi="Garamond" w:cs="Arial"/>
          <w:sz w:val="24"/>
          <w:szCs w:val="24"/>
        </w:rPr>
        <w:t>20</w:t>
      </w:r>
      <w:r w:rsidRPr="0010190D">
        <w:rPr>
          <w:rFonts w:ascii="Garamond" w:hAnsi="Garamond" w:cs="Arial"/>
          <w:sz w:val="24"/>
          <w:szCs w:val="24"/>
        </w:rPr>
        <w:t xml:space="preserve"> contó con la presencia de la totalidad de los accionistas</w:t>
      </w:r>
      <w:r w:rsidR="006F138E">
        <w:rPr>
          <w:rFonts w:ascii="Garamond" w:hAnsi="Garamond" w:cs="Arial"/>
          <w:sz w:val="24"/>
          <w:szCs w:val="24"/>
        </w:rPr>
        <w:t>,</w:t>
      </w:r>
      <w:r w:rsidRPr="0010190D">
        <w:rPr>
          <w:rFonts w:ascii="Garamond" w:hAnsi="Garamond" w:cs="Arial"/>
          <w:sz w:val="24"/>
          <w:szCs w:val="24"/>
        </w:rPr>
        <w:t xml:space="preserve"> titulares del 100% del capital social y las acciones con derecho a voto. </w:t>
      </w:r>
      <w:r w:rsidR="0089446B">
        <w:rPr>
          <w:rFonts w:ascii="Garamond" w:hAnsi="Garamond" w:cs="Arial"/>
          <w:sz w:val="24"/>
          <w:szCs w:val="24"/>
        </w:rPr>
        <w:t>La misma fue celebrada a distancia</w:t>
      </w:r>
      <w:r w:rsidR="002B35F4">
        <w:rPr>
          <w:rFonts w:ascii="Garamond" w:hAnsi="Garamond" w:cs="Arial"/>
          <w:sz w:val="24"/>
          <w:szCs w:val="24"/>
        </w:rPr>
        <w:t>, mediante Skype Empresarial,</w:t>
      </w:r>
      <w:r w:rsidR="0089446B">
        <w:rPr>
          <w:rFonts w:ascii="Garamond" w:hAnsi="Garamond" w:cs="Arial"/>
          <w:sz w:val="24"/>
          <w:szCs w:val="24"/>
        </w:rPr>
        <w:t xml:space="preserve"> cumpliendo con los requisitos exigidos por la Resolución General de la CNV </w:t>
      </w:r>
      <w:proofErr w:type="spellStart"/>
      <w:r w:rsidR="0089446B">
        <w:rPr>
          <w:rFonts w:ascii="Garamond" w:hAnsi="Garamond" w:cs="Arial"/>
          <w:sz w:val="24"/>
          <w:szCs w:val="24"/>
        </w:rPr>
        <w:t>N°</w:t>
      </w:r>
      <w:proofErr w:type="spellEnd"/>
      <w:r w:rsidR="0089446B">
        <w:rPr>
          <w:rFonts w:ascii="Garamond" w:hAnsi="Garamond" w:cs="Arial"/>
          <w:sz w:val="24"/>
          <w:szCs w:val="24"/>
        </w:rPr>
        <w:t xml:space="preserve"> 830/20. </w:t>
      </w:r>
    </w:p>
    <w:p w14:paraId="71E16303" w14:textId="77777777" w:rsidR="0010190D" w:rsidRPr="0010190D" w:rsidRDefault="0010190D" w:rsidP="0010190D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14:paraId="7EA1CE68" w14:textId="1B75BDE3" w:rsidR="00AC1332" w:rsidRDefault="004333E1" w:rsidP="00AC1332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2</w:t>
      </w:r>
      <w:r w:rsidR="00F50CAA" w:rsidRPr="0010190D">
        <w:rPr>
          <w:rFonts w:ascii="Garamond" w:hAnsi="Garamond"/>
          <w:b/>
          <w:sz w:val="24"/>
          <w:szCs w:val="24"/>
        </w:rPr>
        <w:t>º)</w:t>
      </w:r>
      <w:r w:rsidR="00C0282D">
        <w:rPr>
          <w:rFonts w:ascii="Garamond" w:hAnsi="Garamond"/>
          <w:b/>
          <w:sz w:val="24"/>
          <w:szCs w:val="24"/>
        </w:rPr>
        <w:t xml:space="preserve"> </w:t>
      </w:r>
      <w:r w:rsidR="00C0282D" w:rsidRPr="00C0282D">
        <w:rPr>
          <w:rFonts w:ascii="Garamond" w:hAnsi="Garamond"/>
          <w:b/>
          <w:sz w:val="24"/>
          <w:szCs w:val="24"/>
          <w:u w:val="single"/>
        </w:rPr>
        <w:t xml:space="preserve">Consideración de la emisión de obligaciones negociables privadas, convertibles en acciones o no, no subordinadas, por un valor nominal total máximo de hasta US$25.000.000 (Dólares Estadounidenses veinticinco millones) (o su equivalente en otras monedas), a ser emitidas en una o más clases y/o series, de conformidad con las disposiciones de la Ley </w:t>
      </w:r>
      <w:proofErr w:type="spellStart"/>
      <w:r w:rsidR="00C0282D" w:rsidRPr="00C0282D">
        <w:rPr>
          <w:rFonts w:ascii="Garamond" w:hAnsi="Garamond"/>
          <w:b/>
          <w:sz w:val="24"/>
          <w:szCs w:val="24"/>
          <w:u w:val="single"/>
        </w:rPr>
        <w:t>Nº</w:t>
      </w:r>
      <w:proofErr w:type="spellEnd"/>
      <w:r w:rsidR="00C0282D" w:rsidRPr="00C0282D">
        <w:rPr>
          <w:rFonts w:ascii="Garamond" w:hAnsi="Garamond"/>
          <w:b/>
          <w:sz w:val="24"/>
          <w:szCs w:val="24"/>
          <w:u w:val="single"/>
        </w:rPr>
        <w:t xml:space="preserve"> 23.576 de Obligaciones Negociables, tal como la misma fue modificada por la Ley </w:t>
      </w:r>
      <w:proofErr w:type="spellStart"/>
      <w:r w:rsidR="00C0282D" w:rsidRPr="00C0282D">
        <w:rPr>
          <w:rFonts w:ascii="Garamond" w:hAnsi="Garamond"/>
          <w:b/>
          <w:sz w:val="24"/>
          <w:szCs w:val="24"/>
          <w:u w:val="single"/>
        </w:rPr>
        <w:t>Nº</w:t>
      </w:r>
      <w:proofErr w:type="spellEnd"/>
      <w:r w:rsidR="00C0282D" w:rsidRPr="00C0282D">
        <w:rPr>
          <w:rFonts w:ascii="Garamond" w:hAnsi="Garamond"/>
          <w:b/>
          <w:sz w:val="24"/>
          <w:szCs w:val="24"/>
          <w:u w:val="single"/>
        </w:rPr>
        <w:t xml:space="preserve"> 27.440 de Financiamiento Productivo. Delegación de facultades en el Directorio por el plazo de cinco (5) años para determinar todos los términos y condiciones del Programa y de las obligaciones negociables a emitirse en el marco </w:t>
      </w:r>
      <w:proofErr w:type="gramStart"/>
      <w:r w:rsidR="00C0282D" w:rsidRPr="00C0282D">
        <w:rPr>
          <w:rFonts w:ascii="Garamond" w:hAnsi="Garamond"/>
          <w:b/>
          <w:sz w:val="24"/>
          <w:szCs w:val="24"/>
          <w:u w:val="single"/>
        </w:rPr>
        <w:t>del mismo</w:t>
      </w:r>
      <w:proofErr w:type="gramEnd"/>
      <w:r w:rsidR="00F50CAA" w:rsidRPr="0010190D">
        <w:rPr>
          <w:rFonts w:ascii="Garamond" w:hAnsi="Garamond"/>
          <w:i/>
          <w:sz w:val="24"/>
          <w:szCs w:val="24"/>
        </w:rPr>
        <w:t xml:space="preserve">. </w:t>
      </w:r>
      <w:r w:rsidR="00F50CAA" w:rsidRPr="0010190D">
        <w:rPr>
          <w:rFonts w:ascii="Garamond" w:hAnsi="Garamond"/>
          <w:sz w:val="24"/>
          <w:szCs w:val="24"/>
        </w:rPr>
        <w:t>P</w:t>
      </w:r>
      <w:r w:rsidR="000B26AD" w:rsidRPr="0010190D">
        <w:rPr>
          <w:rFonts w:ascii="Garamond" w:hAnsi="Garamond"/>
          <w:sz w:val="24"/>
          <w:szCs w:val="24"/>
        </w:rPr>
        <w:t xml:space="preserve">or unanimidad se resolvió </w:t>
      </w:r>
      <w:r w:rsidR="008968FA">
        <w:rPr>
          <w:rFonts w:ascii="Garamond" w:hAnsi="Garamond"/>
          <w:sz w:val="24"/>
          <w:szCs w:val="24"/>
        </w:rPr>
        <w:t>n</w:t>
      </w:r>
      <w:r w:rsidR="008968FA" w:rsidRPr="008968FA">
        <w:rPr>
          <w:rFonts w:ascii="Garamond" w:hAnsi="Garamond"/>
          <w:sz w:val="24"/>
          <w:szCs w:val="24"/>
        </w:rPr>
        <w:t xml:space="preserve">o emitir obligaciones negociables privadas en los términos propuestos en el presente punto del Orden del Día, </w:t>
      </w:r>
      <w:r w:rsidR="00AA16A9" w:rsidRPr="00AA16A9">
        <w:rPr>
          <w:rFonts w:ascii="Garamond" w:hAnsi="Garamond"/>
          <w:sz w:val="24"/>
          <w:szCs w:val="24"/>
        </w:rPr>
        <w:t>sin perjuicio de continuar analizando esta alternativa y eventualmente, en caso de decidirse, el Directorio convocará a una nueva asamblea de accionistas-, dejando constancia de la decisión de avanzar con la emisión de obligaciones negociables con oferta pública, en un monto a definir oportunamente, bajo el Programa de Obligaciones Negociables simples no convertibles en acciones por un valor nominal de hasta U$S50.000.000 (o su equivalente en otras monedas), con el fin de refinanciar las obligaciones negociables clase 4 y clase 5 así como también obtener fondos adicionales para su utilización en los requerimientos de capital de la Sociedad</w:t>
      </w:r>
    </w:p>
    <w:p w14:paraId="470CF1B5" w14:textId="77777777" w:rsidR="00AC1332" w:rsidRDefault="00AC1332" w:rsidP="00AC1332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7B3484A6" w14:textId="43E3B1B2" w:rsidR="00AC1332" w:rsidRDefault="004333E1" w:rsidP="00AC1332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3</w:t>
      </w:r>
      <w:r w:rsidR="00AC1332" w:rsidRPr="00AC1332">
        <w:rPr>
          <w:rFonts w:ascii="Garamond" w:hAnsi="Garamond"/>
          <w:b/>
          <w:bCs/>
          <w:sz w:val="24"/>
          <w:szCs w:val="24"/>
        </w:rPr>
        <w:t>°)</w:t>
      </w:r>
      <w:r w:rsidR="00AC1332">
        <w:rPr>
          <w:rFonts w:ascii="Garamond" w:hAnsi="Garamond"/>
          <w:sz w:val="24"/>
          <w:szCs w:val="24"/>
        </w:rPr>
        <w:t xml:space="preserve"> </w:t>
      </w:r>
      <w:r w:rsidR="00AC1332" w:rsidRPr="00AC1332">
        <w:rPr>
          <w:rFonts w:ascii="Garamond" w:hAnsi="Garamond"/>
          <w:b/>
          <w:sz w:val="24"/>
          <w:szCs w:val="24"/>
          <w:u w:val="single"/>
        </w:rPr>
        <w:t>Consideración de la celebración de un contrato de préstamo, convertible en acciones o no, por hasta el monto máximo de US$25.000.000 (Dólares Estadounidenses veinticinco millones) (o su equivalente en otras monedas)</w:t>
      </w:r>
      <w:r w:rsidR="00AC1332" w:rsidRPr="0010190D">
        <w:rPr>
          <w:rFonts w:ascii="Garamond" w:hAnsi="Garamond"/>
          <w:i/>
          <w:sz w:val="24"/>
          <w:szCs w:val="24"/>
        </w:rPr>
        <w:t xml:space="preserve">. </w:t>
      </w:r>
      <w:r w:rsidR="00AC1332" w:rsidRPr="0010190D">
        <w:rPr>
          <w:rFonts w:ascii="Garamond" w:hAnsi="Garamond"/>
          <w:sz w:val="24"/>
          <w:szCs w:val="24"/>
        </w:rPr>
        <w:t xml:space="preserve">Por unanimidad se resolvió </w:t>
      </w:r>
      <w:r>
        <w:rPr>
          <w:rFonts w:ascii="Garamond" w:hAnsi="Garamond"/>
          <w:sz w:val="24"/>
          <w:szCs w:val="24"/>
        </w:rPr>
        <w:t>n</w:t>
      </w:r>
      <w:r w:rsidRPr="004333E1">
        <w:rPr>
          <w:rFonts w:ascii="Garamond" w:hAnsi="Garamond"/>
          <w:sz w:val="24"/>
          <w:szCs w:val="24"/>
        </w:rPr>
        <w:t>o celebrar un contrato de préstamo en los términos propuestos en el presente punto del Orden del Día</w:t>
      </w:r>
      <w:r>
        <w:rPr>
          <w:rFonts w:ascii="Garamond" w:hAnsi="Garamond"/>
          <w:sz w:val="24"/>
          <w:szCs w:val="24"/>
        </w:rPr>
        <w:t xml:space="preserve">, </w:t>
      </w:r>
      <w:r w:rsidR="00AA16A9" w:rsidRPr="00AA16A9">
        <w:rPr>
          <w:rFonts w:ascii="Garamond" w:hAnsi="Garamond"/>
          <w:sz w:val="24"/>
          <w:szCs w:val="24"/>
        </w:rPr>
        <w:t>sin perjuicio de continuar analizando esta alternativa y, eventualmente, en caso de decidirse celebrar un contrato de préstamo convertible en acciones, el Directorio convocará a una nueva asamblea de accionistas-, dejándose constancia de la decisión de avanzar con la emisión de obligaciones negociables con oferta pública , en un monto a definir oportunamente, bajo el Programa de Obligaciones Negociables simples no convertibles en acciones por un valor nominal de hasta U$S50.000.000 (o su equivalente en otras monedas), con el fin de refinanciar las obligaciones negociables clase 4 y clase 5 así como también obtener fondos adicionales para su utilización en los requerimientos de capital de la Sociedad</w:t>
      </w:r>
      <w:r w:rsidR="00AA16A9">
        <w:rPr>
          <w:rFonts w:ascii="Garamond" w:hAnsi="Garamond"/>
          <w:sz w:val="24"/>
          <w:szCs w:val="24"/>
        </w:rPr>
        <w:t>.</w:t>
      </w:r>
    </w:p>
    <w:p w14:paraId="21794C6A" w14:textId="77777777" w:rsidR="00AC1332" w:rsidRDefault="00AC1332" w:rsidP="00AC1332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149E934E" w14:textId="6606EE22" w:rsidR="00AC1332" w:rsidRDefault="004333E1" w:rsidP="00AC1332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4</w:t>
      </w:r>
      <w:r w:rsidR="00AC1332" w:rsidRPr="0010190D">
        <w:rPr>
          <w:rFonts w:ascii="Garamond" w:hAnsi="Garamond"/>
          <w:b/>
          <w:sz w:val="24"/>
          <w:szCs w:val="24"/>
        </w:rPr>
        <w:t>º)</w:t>
      </w:r>
      <w:r w:rsidR="00AC1332">
        <w:rPr>
          <w:rFonts w:ascii="Garamond" w:hAnsi="Garamond"/>
          <w:b/>
          <w:sz w:val="24"/>
          <w:szCs w:val="24"/>
        </w:rPr>
        <w:t xml:space="preserve"> </w:t>
      </w:r>
      <w:r w:rsidRPr="004333E1">
        <w:rPr>
          <w:rFonts w:ascii="Garamond" w:hAnsi="Garamond"/>
          <w:b/>
          <w:sz w:val="24"/>
          <w:szCs w:val="24"/>
          <w:u w:val="single"/>
        </w:rPr>
        <w:t>Aumento del capital social en la proporción necesaria para, en caso de emisión de obligaciones negociables privadas convertibles en acciones y/o de la celebración de un contrato de préstamo convertible en acciones, atender los futuros pedidos de conversión de las obligaciones negociables privadas y/o del préstamo”; “5) Renuncia al derecho de preferencia y de acrecer de los Accionistas”; “6) Delegación de facultades en el Dire</w:t>
      </w:r>
      <w:bookmarkStart w:id="0" w:name="_GoBack"/>
      <w:bookmarkEnd w:id="0"/>
      <w:r w:rsidRPr="004333E1">
        <w:rPr>
          <w:rFonts w:ascii="Garamond" w:hAnsi="Garamond"/>
          <w:b/>
          <w:sz w:val="24"/>
          <w:szCs w:val="24"/>
          <w:u w:val="single"/>
        </w:rPr>
        <w:t xml:space="preserve">ctorio para determinar todos los términos y condiciones de emisión de las clases y/o series de </w:t>
      </w:r>
      <w:r w:rsidRPr="004333E1">
        <w:rPr>
          <w:rFonts w:ascii="Garamond" w:hAnsi="Garamond"/>
          <w:b/>
          <w:sz w:val="24"/>
          <w:szCs w:val="24"/>
          <w:u w:val="single"/>
        </w:rPr>
        <w:lastRenderedPageBreak/>
        <w:t xml:space="preserve">obligaciones negociables privadas y/o de todos los términos y condiciones del préstamo dentro de los montos autorizados en cada caso, incluyendo, sin limitación, épocas, plazos, precios, moneda, tasas y tipos de interés, garantías, forma y condiciones de pago, ley y jurisdicción aplicable, y valor de conversión en acciones”; y “7) Autorización al Directorio para subdelegar en uno o más de sus integrantes o en uno o más gerentes de primera línea designados en los términos del artículo 270 de la Ley General de Sociedades </w:t>
      </w:r>
      <w:proofErr w:type="spellStart"/>
      <w:r w:rsidRPr="004333E1">
        <w:rPr>
          <w:rFonts w:ascii="Garamond" w:hAnsi="Garamond"/>
          <w:b/>
          <w:sz w:val="24"/>
          <w:szCs w:val="24"/>
          <w:u w:val="single"/>
        </w:rPr>
        <w:t>Nº</w:t>
      </w:r>
      <w:proofErr w:type="spellEnd"/>
      <w:r w:rsidRPr="004333E1">
        <w:rPr>
          <w:rFonts w:ascii="Garamond" w:hAnsi="Garamond"/>
          <w:b/>
          <w:sz w:val="24"/>
          <w:szCs w:val="24"/>
          <w:u w:val="single"/>
        </w:rPr>
        <w:t xml:space="preserve"> 19.550 el ejercicio de todas las facultades referidas en los apartados anteriores</w:t>
      </w:r>
      <w:r w:rsidR="00AC1332" w:rsidRPr="0010190D">
        <w:rPr>
          <w:rFonts w:ascii="Garamond" w:hAnsi="Garamond"/>
          <w:i/>
          <w:sz w:val="24"/>
          <w:szCs w:val="24"/>
        </w:rPr>
        <w:t xml:space="preserve">. </w:t>
      </w:r>
      <w:r w:rsidR="00AC1332" w:rsidRPr="0010190D">
        <w:rPr>
          <w:rFonts w:ascii="Garamond" w:hAnsi="Garamond"/>
          <w:sz w:val="24"/>
          <w:szCs w:val="24"/>
        </w:rPr>
        <w:t xml:space="preserve">Por unanimidad se resolvió </w:t>
      </w:r>
      <w:r>
        <w:rPr>
          <w:rFonts w:ascii="Garamond" w:hAnsi="Garamond"/>
          <w:sz w:val="24"/>
          <w:szCs w:val="24"/>
        </w:rPr>
        <w:t>o</w:t>
      </w:r>
      <w:r w:rsidRPr="004333E1">
        <w:rPr>
          <w:rFonts w:ascii="Garamond" w:hAnsi="Garamond"/>
          <w:sz w:val="24"/>
          <w:szCs w:val="24"/>
        </w:rPr>
        <w:t>mitir el tratamiento de los puntos 4), 5), 6) y 7) del Orden del Día, toda vez que su consideración ha devenido abstracta a tenor de lo resuelto en los puntos 2) y 3) del Orden del Día</w:t>
      </w:r>
      <w:r>
        <w:rPr>
          <w:rFonts w:ascii="Garamond" w:hAnsi="Garamond"/>
          <w:sz w:val="24"/>
          <w:szCs w:val="24"/>
        </w:rPr>
        <w:t>.</w:t>
      </w:r>
    </w:p>
    <w:p w14:paraId="3BED5C45" w14:textId="77777777" w:rsidR="000B26AD" w:rsidRPr="0010190D" w:rsidRDefault="000B26AD" w:rsidP="0010190D">
      <w:pPr>
        <w:spacing w:line="360" w:lineRule="auto"/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14:paraId="150E1D7F" w14:textId="3E303413" w:rsidR="00DA67BC" w:rsidRDefault="002117F1" w:rsidP="0010190D">
      <w:pPr>
        <w:spacing w:line="360" w:lineRule="auto"/>
        <w:jc w:val="both"/>
        <w:rPr>
          <w:rFonts w:ascii="Garamond" w:hAnsi="Garamond"/>
          <w:b/>
          <w:bCs/>
          <w:sz w:val="24"/>
          <w:szCs w:val="24"/>
        </w:rPr>
      </w:pPr>
      <w:r w:rsidRPr="0010190D">
        <w:rPr>
          <w:rFonts w:ascii="Garamond" w:hAnsi="Garamond"/>
          <w:b/>
          <w:bCs/>
          <w:sz w:val="24"/>
          <w:szCs w:val="24"/>
          <w:u w:val="single"/>
        </w:rPr>
        <w:t>Firmado</w:t>
      </w:r>
      <w:r w:rsidRPr="0010190D">
        <w:rPr>
          <w:rFonts w:ascii="Garamond" w:hAnsi="Garamond"/>
          <w:b/>
          <w:bCs/>
          <w:sz w:val="24"/>
          <w:szCs w:val="24"/>
        </w:rPr>
        <w:t xml:space="preserve">: </w:t>
      </w:r>
      <w:r w:rsidR="00EF24A1">
        <w:rPr>
          <w:rFonts w:ascii="Garamond" w:hAnsi="Garamond"/>
          <w:b/>
          <w:bCs/>
          <w:sz w:val="24"/>
          <w:szCs w:val="24"/>
        </w:rPr>
        <w:t xml:space="preserve">Ricardo Chacra – Silvana Chacra – </w:t>
      </w:r>
      <w:r w:rsidR="00595712">
        <w:rPr>
          <w:rFonts w:ascii="Garamond" w:hAnsi="Garamond"/>
          <w:b/>
          <w:bCs/>
          <w:sz w:val="24"/>
          <w:szCs w:val="24"/>
        </w:rPr>
        <w:t xml:space="preserve">Ivana Karina Román </w:t>
      </w:r>
    </w:p>
    <w:p w14:paraId="31825CF9" w14:textId="3B75ED11" w:rsidR="00F50CAA" w:rsidRPr="0010190D" w:rsidRDefault="00F50CAA" w:rsidP="0010190D">
      <w:pPr>
        <w:spacing w:line="360" w:lineRule="auto"/>
        <w:rPr>
          <w:rFonts w:ascii="Garamond" w:hAnsi="Garamond"/>
          <w:sz w:val="24"/>
          <w:szCs w:val="24"/>
        </w:rPr>
      </w:pPr>
    </w:p>
    <w:p w14:paraId="15146947" w14:textId="77777777" w:rsidR="003F520B" w:rsidRPr="0010190D" w:rsidRDefault="003F520B" w:rsidP="00DA67BC">
      <w:pPr>
        <w:spacing w:line="360" w:lineRule="auto"/>
        <w:rPr>
          <w:rFonts w:ascii="Garamond" w:hAnsi="Garamond"/>
          <w:sz w:val="24"/>
          <w:szCs w:val="24"/>
        </w:rPr>
      </w:pPr>
    </w:p>
    <w:p w14:paraId="5FCAABF1" w14:textId="77777777" w:rsidR="003F520B" w:rsidRPr="0010190D" w:rsidRDefault="003F520B" w:rsidP="00DA67BC">
      <w:pPr>
        <w:spacing w:line="360" w:lineRule="auto"/>
        <w:rPr>
          <w:rFonts w:ascii="Garamond" w:hAnsi="Garamond"/>
          <w:sz w:val="24"/>
          <w:szCs w:val="24"/>
        </w:rPr>
      </w:pPr>
    </w:p>
    <w:p w14:paraId="2ED0FEEC" w14:textId="77777777" w:rsidR="00F50CAA" w:rsidRPr="0010190D" w:rsidRDefault="00F50CAA" w:rsidP="0010190D">
      <w:pPr>
        <w:spacing w:line="360" w:lineRule="auto"/>
        <w:rPr>
          <w:rFonts w:ascii="Garamond" w:hAnsi="Garamond"/>
          <w:sz w:val="24"/>
          <w:szCs w:val="24"/>
        </w:rPr>
      </w:pPr>
    </w:p>
    <w:p w14:paraId="22D07063" w14:textId="77777777" w:rsidR="00F50CAA" w:rsidRPr="0010190D" w:rsidRDefault="00F50CAA" w:rsidP="0010190D">
      <w:pPr>
        <w:spacing w:line="360" w:lineRule="auto"/>
        <w:rPr>
          <w:rFonts w:ascii="Garamond" w:hAnsi="Garamond"/>
          <w:sz w:val="24"/>
          <w:szCs w:val="24"/>
        </w:rPr>
      </w:pPr>
    </w:p>
    <w:p w14:paraId="317458D6" w14:textId="77777777" w:rsidR="00555A90" w:rsidRPr="0010190D" w:rsidRDefault="00555A90" w:rsidP="0010190D">
      <w:pPr>
        <w:spacing w:line="360" w:lineRule="auto"/>
        <w:rPr>
          <w:sz w:val="24"/>
          <w:szCs w:val="24"/>
        </w:rPr>
      </w:pPr>
    </w:p>
    <w:sectPr w:rsidR="00555A90" w:rsidRPr="0010190D" w:rsidSect="00F50CAA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1AF1E" w14:textId="77777777" w:rsidR="000E34E7" w:rsidRDefault="000E34E7" w:rsidP="006851D2">
      <w:r>
        <w:separator/>
      </w:r>
    </w:p>
  </w:endnote>
  <w:endnote w:type="continuationSeparator" w:id="0">
    <w:p w14:paraId="030708F8" w14:textId="77777777" w:rsidR="000E34E7" w:rsidRDefault="000E34E7" w:rsidP="00685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AF153" w14:textId="77777777" w:rsidR="000E34E7" w:rsidRDefault="000E34E7" w:rsidP="006851D2">
      <w:r>
        <w:separator/>
      </w:r>
    </w:p>
  </w:footnote>
  <w:footnote w:type="continuationSeparator" w:id="0">
    <w:p w14:paraId="7D653F8E" w14:textId="77777777" w:rsidR="000E34E7" w:rsidRDefault="000E34E7" w:rsidP="00685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AA"/>
    <w:rsid w:val="000527BB"/>
    <w:rsid w:val="000620CD"/>
    <w:rsid w:val="000B26AD"/>
    <w:rsid w:val="000C333F"/>
    <w:rsid w:val="000E34E7"/>
    <w:rsid w:val="000F3D7D"/>
    <w:rsid w:val="0010190D"/>
    <w:rsid w:val="00104579"/>
    <w:rsid w:val="001436A1"/>
    <w:rsid w:val="00147531"/>
    <w:rsid w:val="001604EB"/>
    <w:rsid w:val="001A4D3B"/>
    <w:rsid w:val="002117F1"/>
    <w:rsid w:val="00236943"/>
    <w:rsid w:val="002B35F4"/>
    <w:rsid w:val="002D25B8"/>
    <w:rsid w:val="0037087A"/>
    <w:rsid w:val="00384D36"/>
    <w:rsid w:val="003B1707"/>
    <w:rsid w:val="003B4D95"/>
    <w:rsid w:val="003C2A8B"/>
    <w:rsid w:val="003F520B"/>
    <w:rsid w:val="003F778E"/>
    <w:rsid w:val="00423D0D"/>
    <w:rsid w:val="004333E1"/>
    <w:rsid w:val="00481278"/>
    <w:rsid w:val="0050367B"/>
    <w:rsid w:val="00521DBC"/>
    <w:rsid w:val="00540865"/>
    <w:rsid w:val="00555A90"/>
    <w:rsid w:val="00595712"/>
    <w:rsid w:val="005D3422"/>
    <w:rsid w:val="005E6878"/>
    <w:rsid w:val="006410D6"/>
    <w:rsid w:val="006439A4"/>
    <w:rsid w:val="00643BFB"/>
    <w:rsid w:val="0067001E"/>
    <w:rsid w:val="006762F5"/>
    <w:rsid w:val="006851D2"/>
    <w:rsid w:val="0068618E"/>
    <w:rsid w:val="006B1B4E"/>
    <w:rsid w:val="006C2F23"/>
    <w:rsid w:val="006C43B9"/>
    <w:rsid w:val="006C6B0F"/>
    <w:rsid w:val="006D0FCB"/>
    <w:rsid w:val="006E51DE"/>
    <w:rsid w:val="006F138E"/>
    <w:rsid w:val="0070674F"/>
    <w:rsid w:val="007713C1"/>
    <w:rsid w:val="007B1F48"/>
    <w:rsid w:val="007D1791"/>
    <w:rsid w:val="00803A29"/>
    <w:rsid w:val="008247EA"/>
    <w:rsid w:val="00833030"/>
    <w:rsid w:val="008702F0"/>
    <w:rsid w:val="00877263"/>
    <w:rsid w:val="00884EA2"/>
    <w:rsid w:val="0089446B"/>
    <w:rsid w:val="008968FA"/>
    <w:rsid w:val="008A3049"/>
    <w:rsid w:val="008B125B"/>
    <w:rsid w:val="008B672E"/>
    <w:rsid w:val="008E2CE6"/>
    <w:rsid w:val="009065B4"/>
    <w:rsid w:val="00915B30"/>
    <w:rsid w:val="00942D81"/>
    <w:rsid w:val="00981968"/>
    <w:rsid w:val="009E14A5"/>
    <w:rsid w:val="00A71091"/>
    <w:rsid w:val="00A72D76"/>
    <w:rsid w:val="00AA16A9"/>
    <w:rsid w:val="00AC1332"/>
    <w:rsid w:val="00AE33DD"/>
    <w:rsid w:val="00B1422A"/>
    <w:rsid w:val="00B4026A"/>
    <w:rsid w:val="00B558A6"/>
    <w:rsid w:val="00BD214C"/>
    <w:rsid w:val="00BD7572"/>
    <w:rsid w:val="00BE2558"/>
    <w:rsid w:val="00C0282D"/>
    <w:rsid w:val="00C661CE"/>
    <w:rsid w:val="00C926D4"/>
    <w:rsid w:val="00CA25A8"/>
    <w:rsid w:val="00CB0ABA"/>
    <w:rsid w:val="00D1679A"/>
    <w:rsid w:val="00D3098C"/>
    <w:rsid w:val="00D3330D"/>
    <w:rsid w:val="00D52638"/>
    <w:rsid w:val="00DA4CAD"/>
    <w:rsid w:val="00DA67BC"/>
    <w:rsid w:val="00DE0A97"/>
    <w:rsid w:val="00E123DF"/>
    <w:rsid w:val="00E37ECF"/>
    <w:rsid w:val="00E52AC5"/>
    <w:rsid w:val="00E713FB"/>
    <w:rsid w:val="00E84B98"/>
    <w:rsid w:val="00EA7E85"/>
    <w:rsid w:val="00EF0069"/>
    <w:rsid w:val="00EF24A1"/>
    <w:rsid w:val="00F50CAA"/>
    <w:rsid w:val="00F87F45"/>
    <w:rsid w:val="00FA345F"/>
    <w:rsid w:val="00FC6959"/>
    <w:rsid w:val="00FF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FD8A81"/>
  <w15:docId w15:val="{CD1C7598-DE37-4258-A224-7AEC4C5B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C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F50CAA"/>
    <w:pPr>
      <w:keepNext/>
      <w:outlineLvl w:val="0"/>
    </w:pPr>
    <w:rPr>
      <w:b/>
      <w:sz w:val="24"/>
      <w:u w:val="single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F50CAA"/>
    <w:rPr>
      <w:rFonts w:ascii="Times New Roman" w:eastAsia="Times New Roman" w:hAnsi="Times New Roman" w:cs="Times New Roman"/>
      <w:b/>
      <w:sz w:val="24"/>
      <w:szCs w:val="20"/>
      <w:u w:val="single"/>
      <w:lang w:val="en-GB" w:eastAsia="es-ES"/>
    </w:rPr>
  </w:style>
  <w:style w:type="character" w:styleId="Hipervnculo">
    <w:name w:val="Hyperlink"/>
    <w:basedOn w:val="Fuentedeprrafopredeter"/>
    <w:uiPriority w:val="99"/>
    <w:rsid w:val="00F50CAA"/>
    <w:rPr>
      <w:rFonts w:cs="Times New Roman"/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F50C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50CAA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50CA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50C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50CAA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0CA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0CAA"/>
    <w:rPr>
      <w:rFonts w:ascii="Tahoma" w:eastAsia="Times New Roman" w:hAnsi="Tahoma" w:cs="Tahoma"/>
      <w:sz w:val="16"/>
      <w:szCs w:val="1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851D2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851D2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6851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A3B02-679C-4ACA-ACE6-215ECABED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679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KGD</dc:creator>
  <cp:lastModifiedBy>Fernanda Olivieri</cp:lastModifiedBy>
  <cp:revision>4</cp:revision>
  <cp:lastPrinted>2018-04-04T12:58:00Z</cp:lastPrinted>
  <dcterms:created xsi:type="dcterms:W3CDTF">2020-07-22T22:53:00Z</dcterms:created>
  <dcterms:modified xsi:type="dcterms:W3CDTF">2020-07-23T18:29:00Z</dcterms:modified>
</cp:coreProperties>
</file>