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17E06" w14:textId="3825A58D" w:rsidR="00CB66B8" w:rsidRDefault="00CB66B8" w:rsidP="00CB66B8">
      <w:pPr>
        <w:pStyle w:val="NormalWeb"/>
        <w:spacing w:before="0" w:beforeAutospacing="0" w:after="0" w:afterAutospacing="0" w:line="360" w:lineRule="auto"/>
        <w:jc w:val="both"/>
        <w:rPr>
          <w:rFonts w:ascii="Garamond" w:hAnsi="Garamond" w:cs="Arial"/>
          <w:b/>
        </w:rPr>
      </w:pPr>
      <w:r w:rsidRPr="002C2A37">
        <w:rPr>
          <w:rFonts w:ascii="Garamond" w:hAnsi="Garamond" w:cs="Arial"/>
          <w:b/>
          <w:bCs/>
          <w:u w:val="single"/>
        </w:rPr>
        <w:t xml:space="preserve">ACTA DE DIRECTORIO Nº </w:t>
      </w:r>
      <w:r w:rsidR="00133B39">
        <w:rPr>
          <w:rFonts w:ascii="Garamond" w:hAnsi="Garamond" w:cs="Arial"/>
          <w:b/>
          <w:bCs/>
          <w:u w:val="single"/>
        </w:rPr>
        <w:t>307:</w:t>
      </w:r>
      <w:r w:rsidRPr="002C2A37">
        <w:rPr>
          <w:rFonts w:ascii="Garamond" w:hAnsi="Garamond" w:cs="Arial"/>
        </w:rPr>
        <w:t xml:space="preserve"> En el Municipio de Joaquín V. González, Provincia de Salta, a los </w:t>
      </w:r>
      <w:r w:rsidR="00133B39">
        <w:rPr>
          <w:rFonts w:ascii="Garamond" w:hAnsi="Garamond" w:cs="Arial"/>
        </w:rPr>
        <w:t>13</w:t>
      </w:r>
      <w:r w:rsidRPr="002C2A37">
        <w:rPr>
          <w:rFonts w:ascii="Garamond" w:hAnsi="Garamond" w:cs="Arial"/>
        </w:rPr>
        <w:t xml:space="preserve"> días del mes de diciembre de 201</w:t>
      </w:r>
      <w:r>
        <w:rPr>
          <w:rFonts w:ascii="Garamond" w:hAnsi="Garamond" w:cs="Arial"/>
        </w:rPr>
        <w:t>9</w:t>
      </w:r>
      <w:r w:rsidRPr="002C2A37">
        <w:rPr>
          <w:rFonts w:ascii="Garamond" w:hAnsi="Garamond" w:cs="Arial"/>
        </w:rPr>
        <w:t xml:space="preserve"> siendo las </w:t>
      </w:r>
      <w:r w:rsidR="00133B39">
        <w:rPr>
          <w:rFonts w:ascii="Garamond" w:hAnsi="Garamond" w:cs="Arial"/>
        </w:rPr>
        <w:t>11</w:t>
      </w:r>
      <w:r w:rsidRPr="002C2A37">
        <w:rPr>
          <w:rFonts w:ascii="Garamond" w:hAnsi="Garamond" w:cs="Arial"/>
        </w:rPr>
        <w:t xml:space="preserve"> horas, se reúne en la sede social sita en la Ruta Nacional N° </w:t>
      </w:r>
      <w:smartTag w:uri="urn:schemas-microsoft-com:office:smarttags" w:element="metricconverter">
        <w:smartTagPr>
          <w:attr w:name="ProductID" w:val="16 km"/>
        </w:smartTagPr>
        <w:r w:rsidRPr="002C2A37">
          <w:rPr>
            <w:rFonts w:ascii="Garamond" w:hAnsi="Garamond" w:cs="Arial"/>
          </w:rPr>
          <w:t>16 km</w:t>
        </w:r>
      </w:smartTag>
      <w:r w:rsidRPr="002C2A37">
        <w:rPr>
          <w:rFonts w:ascii="Garamond" w:hAnsi="Garamond" w:cs="Arial"/>
        </w:rPr>
        <w:t xml:space="preserve"> 596, </w:t>
      </w:r>
      <w:r w:rsidRPr="00133B39">
        <w:rPr>
          <w:rFonts w:ascii="Garamond" w:hAnsi="Garamond" w:cs="Arial"/>
        </w:rPr>
        <w:t xml:space="preserve">el Directorio de </w:t>
      </w:r>
      <w:r w:rsidRPr="00133B39">
        <w:rPr>
          <w:rFonts w:ascii="Garamond" w:hAnsi="Garamond" w:cs="Arial"/>
          <w:b/>
          <w:bCs/>
        </w:rPr>
        <w:t xml:space="preserve">INVERSORA JURAMENTO S.A. </w:t>
      </w:r>
      <w:r w:rsidRPr="00133B39">
        <w:rPr>
          <w:rFonts w:ascii="Garamond" w:hAnsi="Garamond" w:cs="Arial"/>
        </w:rPr>
        <w:t>(la “</w:t>
      </w:r>
      <w:r w:rsidRPr="00133B39">
        <w:rPr>
          <w:rFonts w:ascii="Garamond" w:hAnsi="Garamond" w:cs="Arial"/>
          <w:bCs/>
          <w:u w:val="single"/>
        </w:rPr>
        <w:t>Sociedad</w:t>
      </w:r>
      <w:r w:rsidRPr="00133B39">
        <w:rPr>
          <w:rFonts w:ascii="Garamond" w:hAnsi="Garamond" w:cs="Arial"/>
        </w:rPr>
        <w:t>”), contándose con la presencia de</w:t>
      </w:r>
      <w:r w:rsidR="00133B39" w:rsidRPr="00133B39">
        <w:rPr>
          <w:rFonts w:ascii="Garamond" w:hAnsi="Garamond" w:cs="Arial"/>
        </w:rPr>
        <w:t xml:space="preserve"> </w:t>
      </w:r>
      <w:r w:rsidRPr="00133B39">
        <w:rPr>
          <w:rFonts w:ascii="Garamond" w:hAnsi="Garamond" w:cs="Arial"/>
        </w:rPr>
        <w:t xml:space="preserve">los Directores Sres.  </w:t>
      </w:r>
      <w:r w:rsidR="00133B39" w:rsidRPr="00133B39">
        <w:rPr>
          <w:rFonts w:ascii="Garamond" w:hAnsi="Garamond" w:cs="Arial"/>
        </w:rPr>
        <w:t>Jorge Horacio Brito, Marcos Brito, Jorge Pablo Brito, Santiago Horacio Seeber, Emilia Fornari y Natalia Godoy</w:t>
      </w:r>
      <w:r w:rsidRPr="002C2A37">
        <w:rPr>
          <w:rFonts w:ascii="Garamond" w:hAnsi="Garamond" w:cs="Arial"/>
        </w:rPr>
        <w:t>. Asimismo, participa el Cdor. Eugenio Martínez en representació</w:t>
      </w:r>
      <w:r w:rsidR="00A01098">
        <w:rPr>
          <w:rFonts w:ascii="Garamond" w:hAnsi="Garamond" w:cs="Arial"/>
        </w:rPr>
        <w:t>n de la Comisión Fiscalizadora</w:t>
      </w:r>
      <w:r w:rsidRPr="002C2A37">
        <w:rPr>
          <w:rFonts w:ascii="Garamond" w:hAnsi="Garamond" w:cs="Arial"/>
        </w:rPr>
        <w:t>.</w:t>
      </w:r>
      <w:r w:rsidR="00A01098" w:rsidRPr="00A01098">
        <w:t xml:space="preserve"> </w:t>
      </w:r>
      <w:r w:rsidR="00A01098" w:rsidRPr="00A01098">
        <w:rPr>
          <w:rFonts w:ascii="Garamond" w:hAnsi="Garamond" w:cs="Arial"/>
        </w:rPr>
        <w:t xml:space="preserve">Se hace saber que el Sr. Claudio Cerezo ha comunicado debidamente a la Sociedad que no podría estar presente en el día de hoy por razones de índole </w:t>
      </w:r>
      <w:r w:rsidR="00A01098">
        <w:rPr>
          <w:rFonts w:ascii="Garamond" w:hAnsi="Garamond" w:cs="Arial"/>
        </w:rPr>
        <w:t>personal.</w:t>
      </w:r>
      <w:r w:rsidRPr="002C2A37">
        <w:rPr>
          <w:rFonts w:ascii="Garamond" w:hAnsi="Garamond" w:cs="Arial"/>
        </w:rPr>
        <w:t xml:space="preserve"> Preside la reunión el Sr. Jorge Horacio Brito, quien luego de constatar la existencia de quórum suficiente para sesionar manifiesta que la presente reunión tiene por objeto considerar los siguientes puntos</w:t>
      </w:r>
      <w:r>
        <w:rPr>
          <w:rFonts w:ascii="Garamond" w:hAnsi="Garamond" w:cs="Arial"/>
        </w:rPr>
        <w:t xml:space="preserve"> de la A</w:t>
      </w:r>
      <w:r w:rsidRPr="002C2A37">
        <w:rPr>
          <w:rFonts w:ascii="Garamond" w:hAnsi="Garamond" w:cs="Arial"/>
        </w:rPr>
        <w:t>genda:</w:t>
      </w:r>
      <w:r>
        <w:rPr>
          <w:rFonts w:ascii="Garamond" w:hAnsi="Garamond" w:cs="Arial"/>
          <w:b/>
        </w:rPr>
        <w:t xml:space="preserve"> </w:t>
      </w:r>
    </w:p>
    <w:p w14:paraId="272C81F9" w14:textId="77777777" w:rsidR="00CB66B8" w:rsidRDefault="00CB66B8" w:rsidP="00CB66B8">
      <w:pPr>
        <w:pStyle w:val="NormalWeb"/>
        <w:spacing w:before="0" w:beforeAutospacing="0" w:after="0" w:afterAutospacing="0" w:line="360" w:lineRule="auto"/>
        <w:jc w:val="both"/>
        <w:rPr>
          <w:rFonts w:ascii="Garamond" w:hAnsi="Garamond" w:cs="Arial"/>
          <w:b/>
        </w:rPr>
      </w:pPr>
    </w:p>
    <w:p w14:paraId="47269AF3" w14:textId="6B8A3D9F" w:rsidR="00362627" w:rsidRDefault="00362627" w:rsidP="00133B39">
      <w:pPr>
        <w:pStyle w:val="NormalWeb"/>
        <w:numPr>
          <w:ilvl w:val="0"/>
          <w:numId w:val="1"/>
        </w:numPr>
        <w:spacing w:before="0" w:beforeAutospacing="0" w:after="0" w:afterAutospacing="0" w:line="360" w:lineRule="auto"/>
        <w:ind w:left="284" w:hanging="284"/>
        <w:jc w:val="both"/>
        <w:rPr>
          <w:rFonts w:ascii="Garamond" w:hAnsi="Garamond" w:cs="Arial"/>
          <w:b/>
        </w:rPr>
      </w:pPr>
      <w:r w:rsidRPr="00E950D7">
        <w:rPr>
          <w:rFonts w:ascii="Garamond" w:hAnsi="Garamond" w:cs="Arial"/>
          <w:b/>
          <w:u w:val="single"/>
        </w:rPr>
        <w:t xml:space="preserve">Consideración de los términos de </w:t>
      </w:r>
      <w:r w:rsidR="00133B39">
        <w:rPr>
          <w:rFonts w:ascii="Garamond" w:hAnsi="Garamond" w:cs="Arial"/>
          <w:b/>
          <w:u w:val="single"/>
        </w:rPr>
        <w:t>cancelación de la deuda generada por el vencimiento del plazo para la consideración</w:t>
      </w:r>
      <w:r w:rsidRPr="00E950D7">
        <w:rPr>
          <w:rFonts w:ascii="Garamond" w:hAnsi="Garamond" w:cs="Arial"/>
          <w:b/>
          <w:u w:val="single"/>
        </w:rPr>
        <w:t xml:space="preserve"> del aporte irrevocable aceptado por el Directorio con fecha 6 de junio de 2019</w:t>
      </w:r>
      <w:r w:rsidRPr="00362627">
        <w:rPr>
          <w:rFonts w:ascii="Garamond" w:hAnsi="Garamond" w:cs="Arial"/>
          <w:b/>
        </w:rPr>
        <w:t>.</w:t>
      </w:r>
      <w:r>
        <w:rPr>
          <w:rFonts w:ascii="Garamond" w:hAnsi="Garamond" w:cs="Arial"/>
          <w:b/>
        </w:rPr>
        <w:t xml:space="preserve"> </w:t>
      </w:r>
    </w:p>
    <w:p w14:paraId="5594F698" w14:textId="63CEBE79" w:rsidR="00CB66B8" w:rsidRDefault="00133B39" w:rsidP="00133B39">
      <w:pPr>
        <w:pStyle w:val="NormalWeb"/>
        <w:tabs>
          <w:tab w:val="left" w:pos="142"/>
          <w:tab w:val="left" w:pos="284"/>
        </w:tabs>
        <w:spacing w:before="0" w:beforeAutospacing="0" w:after="0" w:afterAutospacing="0" w:line="360" w:lineRule="auto"/>
        <w:jc w:val="both"/>
        <w:rPr>
          <w:rFonts w:ascii="Garamond" w:hAnsi="Garamond" w:cs="Arial"/>
        </w:rPr>
      </w:pPr>
      <w:r>
        <w:rPr>
          <w:rFonts w:ascii="Garamond" w:hAnsi="Garamond" w:cs="Arial"/>
          <w:b/>
        </w:rPr>
        <w:t xml:space="preserve"> </w:t>
      </w:r>
      <w:r w:rsidRPr="00133B39">
        <w:rPr>
          <w:rFonts w:ascii="Garamond" w:hAnsi="Garamond" w:cs="Arial"/>
        </w:rPr>
        <w:t>Toma la palabra el Sr. Presidente quien manifiesta que con relación a los términos de cancelación de la deuda generada por el vencimiento del plazo para la consideración del aporte irrevocable aceptado por el Directorio con fecha 6 de junio de 2019</w:t>
      </w:r>
      <w:r>
        <w:rPr>
          <w:rFonts w:ascii="Garamond" w:hAnsi="Garamond" w:cs="Arial"/>
        </w:rPr>
        <w:t xml:space="preserve"> se han mantenido conversaciones previas con el accionista acreedor y éste ha aceptado suscribir con dicha deuda un aumento de capital en caso de que la Sociedad así lo apruebe.  Por unanimidad, se resuelve tomar nota de lo informado.</w:t>
      </w:r>
    </w:p>
    <w:p w14:paraId="0D6E0579" w14:textId="77777777" w:rsidR="00133B39" w:rsidRPr="00133B39" w:rsidRDefault="00133B39" w:rsidP="00133B39">
      <w:pPr>
        <w:pStyle w:val="NormalWeb"/>
        <w:tabs>
          <w:tab w:val="left" w:pos="142"/>
          <w:tab w:val="left" w:pos="284"/>
        </w:tabs>
        <w:spacing w:before="0" w:beforeAutospacing="0" w:after="0" w:afterAutospacing="0" w:line="360" w:lineRule="auto"/>
        <w:jc w:val="both"/>
        <w:rPr>
          <w:rFonts w:ascii="Garamond" w:hAnsi="Garamond" w:cs="Arial"/>
        </w:rPr>
      </w:pPr>
    </w:p>
    <w:p w14:paraId="4EC51456" w14:textId="7D835CAF" w:rsidR="00CB66B8" w:rsidRDefault="00935C8E" w:rsidP="00CB66B8">
      <w:pPr>
        <w:pStyle w:val="NormalWeb"/>
        <w:spacing w:before="0" w:beforeAutospacing="0" w:after="0" w:afterAutospacing="0" w:line="360" w:lineRule="auto"/>
        <w:jc w:val="both"/>
        <w:rPr>
          <w:rFonts w:ascii="Garamond" w:hAnsi="Garamond" w:cs="Arial"/>
          <w:b/>
        </w:rPr>
      </w:pPr>
      <w:r>
        <w:rPr>
          <w:rFonts w:ascii="Garamond" w:hAnsi="Garamond" w:cs="Arial"/>
          <w:b/>
        </w:rPr>
        <w:t>2</w:t>
      </w:r>
      <w:r w:rsidR="00CB66B8" w:rsidRPr="00302B9C">
        <w:rPr>
          <w:rFonts w:ascii="Garamond" w:hAnsi="Garamond" w:cs="Arial"/>
          <w:b/>
        </w:rPr>
        <w:t xml:space="preserve">) </w:t>
      </w:r>
      <w:r w:rsidR="00CB66B8" w:rsidRPr="00362F38">
        <w:rPr>
          <w:rFonts w:ascii="Garamond" w:hAnsi="Garamond" w:cs="Arial"/>
          <w:b/>
          <w:u w:val="single"/>
        </w:rPr>
        <w:t>Convocatoria a Asamblea General Ordinaria y Extraordinaria</w:t>
      </w:r>
      <w:r w:rsidR="00CB66B8" w:rsidRPr="00302B9C">
        <w:rPr>
          <w:rFonts w:ascii="Garamond" w:hAnsi="Garamond" w:cs="Arial"/>
          <w:b/>
        </w:rPr>
        <w:t>.</w:t>
      </w:r>
      <w:r w:rsidR="00CB66B8">
        <w:rPr>
          <w:rFonts w:ascii="Garamond" w:hAnsi="Garamond" w:cs="Arial"/>
          <w:b/>
        </w:rPr>
        <w:t xml:space="preserve"> </w:t>
      </w:r>
    </w:p>
    <w:p w14:paraId="77A48161" w14:textId="77777777" w:rsidR="00935C8E" w:rsidRDefault="00935C8E" w:rsidP="00CB66B8">
      <w:pPr>
        <w:pStyle w:val="NormalWeb"/>
        <w:spacing w:before="0" w:beforeAutospacing="0" w:after="0" w:afterAutospacing="0" w:line="360" w:lineRule="auto"/>
        <w:jc w:val="both"/>
        <w:rPr>
          <w:rFonts w:ascii="Garamond" w:hAnsi="Garamond" w:cs="Arial"/>
        </w:rPr>
      </w:pPr>
    </w:p>
    <w:p w14:paraId="0C1D5B9A" w14:textId="4059DD58" w:rsidR="00CB66B8" w:rsidRPr="00302B9C" w:rsidRDefault="00935C8E" w:rsidP="00CB66B8">
      <w:pPr>
        <w:pStyle w:val="NormalWeb"/>
        <w:spacing w:before="0" w:beforeAutospacing="0" w:after="0" w:afterAutospacing="0" w:line="360" w:lineRule="auto"/>
        <w:jc w:val="both"/>
        <w:rPr>
          <w:rFonts w:ascii="Garamond" w:hAnsi="Garamond" w:cs="Arial"/>
          <w:b/>
        </w:rPr>
      </w:pPr>
      <w:r>
        <w:rPr>
          <w:rFonts w:ascii="Garamond" w:hAnsi="Garamond" w:cs="Arial"/>
        </w:rPr>
        <w:t>L</w:t>
      </w:r>
      <w:r w:rsidR="00CB66B8" w:rsidRPr="00302B9C">
        <w:rPr>
          <w:rFonts w:ascii="Garamond" w:hAnsi="Garamond" w:cs="Arial"/>
        </w:rPr>
        <w:t xml:space="preserve">uego de un breve intercambio de ideas, por unanimidad se resuelve convocar a Asamblea General Ordinaria y Extraordinaria en primera convocatoria para el día </w:t>
      </w:r>
      <w:r w:rsidR="00133B39">
        <w:rPr>
          <w:rFonts w:ascii="Garamond" w:hAnsi="Garamond" w:cs="Arial"/>
        </w:rPr>
        <w:t>16 enero de 2020</w:t>
      </w:r>
      <w:r w:rsidR="00CB66B8" w:rsidRPr="00302B9C">
        <w:rPr>
          <w:rFonts w:ascii="Garamond" w:hAnsi="Garamond" w:cs="Arial"/>
        </w:rPr>
        <w:t xml:space="preserve"> a las 12, en la sede social de la Sociedad, para tratar el orden del Día que consta en el siguiente aviso a publicar:</w:t>
      </w:r>
    </w:p>
    <w:p w14:paraId="5D995F9C" w14:textId="77777777" w:rsidR="00CB66B8" w:rsidRPr="00302B9C" w:rsidRDefault="00CB66B8" w:rsidP="00CB66B8">
      <w:pPr>
        <w:pStyle w:val="NormalWeb"/>
        <w:spacing w:before="0" w:beforeAutospacing="0" w:after="0" w:afterAutospacing="0" w:line="360" w:lineRule="auto"/>
        <w:jc w:val="both"/>
        <w:rPr>
          <w:rFonts w:ascii="Garamond" w:hAnsi="Garamond" w:cs="Arial"/>
          <w:b/>
        </w:rPr>
      </w:pPr>
    </w:p>
    <w:p w14:paraId="009BBFC8" w14:textId="2277F31A" w:rsidR="006C1922" w:rsidRPr="00302B9C" w:rsidRDefault="00CB66B8" w:rsidP="006C1922">
      <w:pPr>
        <w:pStyle w:val="NormalWeb"/>
        <w:spacing w:before="0" w:beforeAutospacing="0" w:after="0" w:afterAutospacing="0" w:line="360" w:lineRule="auto"/>
        <w:jc w:val="both"/>
        <w:rPr>
          <w:rFonts w:ascii="Garamond" w:hAnsi="Garamond" w:cs="Arial"/>
        </w:rPr>
      </w:pPr>
      <w:r w:rsidRPr="00302B9C">
        <w:rPr>
          <w:rFonts w:ascii="Garamond" w:hAnsi="Garamond" w:cs="Arial"/>
        </w:rPr>
        <w:t>“</w:t>
      </w:r>
      <w:r w:rsidR="006C1922" w:rsidRPr="00302B9C">
        <w:rPr>
          <w:rFonts w:ascii="Garamond" w:hAnsi="Garamond" w:cs="Arial"/>
        </w:rPr>
        <w:t xml:space="preserve">El Directorio de Inversora Juramento S.A., convoca a Asamblea General Ordinaria y Extraordinaria en primera convocatoria para el día </w:t>
      </w:r>
      <w:r w:rsidR="006C1922">
        <w:rPr>
          <w:rFonts w:ascii="Garamond" w:hAnsi="Garamond" w:cs="Arial"/>
        </w:rPr>
        <w:t>16</w:t>
      </w:r>
      <w:r w:rsidR="006C1922" w:rsidRPr="002C2A37">
        <w:rPr>
          <w:rFonts w:ascii="Garamond" w:hAnsi="Garamond" w:cs="Arial"/>
        </w:rPr>
        <w:t xml:space="preserve"> </w:t>
      </w:r>
      <w:r w:rsidR="006C1922" w:rsidRPr="00302B9C">
        <w:rPr>
          <w:rFonts w:ascii="Garamond" w:hAnsi="Garamond" w:cs="Arial"/>
        </w:rPr>
        <w:t>de enero de 20</w:t>
      </w:r>
      <w:r w:rsidR="006C1922">
        <w:rPr>
          <w:rFonts w:ascii="Garamond" w:hAnsi="Garamond" w:cs="Arial"/>
        </w:rPr>
        <w:t>20</w:t>
      </w:r>
      <w:r w:rsidR="006C1922" w:rsidRPr="00302B9C">
        <w:rPr>
          <w:rFonts w:ascii="Garamond" w:hAnsi="Garamond" w:cs="Arial"/>
        </w:rPr>
        <w:t>, a las 12, a celebrarse en la sede social de Ruta Nacional N° 16,</w:t>
      </w:r>
      <w:r w:rsidR="006C1922">
        <w:rPr>
          <w:rFonts w:ascii="Garamond" w:hAnsi="Garamond" w:cs="Arial"/>
        </w:rPr>
        <w:t xml:space="preserve"> km 596, municipio de Joaquín V.</w:t>
      </w:r>
      <w:r w:rsidR="006C1922" w:rsidRPr="00302B9C">
        <w:rPr>
          <w:rFonts w:ascii="Garamond" w:hAnsi="Garamond" w:cs="Arial"/>
        </w:rPr>
        <w:t xml:space="preserve"> González, Provincia de Salta, para considerar el siguiente:</w:t>
      </w:r>
    </w:p>
    <w:p w14:paraId="72191C18" w14:textId="77777777" w:rsidR="006C1922" w:rsidRPr="00302B9C" w:rsidRDefault="006C1922" w:rsidP="006C1922">
      <w:pPr>
        <w:pStyle w:val="NormalWeb"/>
        <w:spacing w:before="0" w:beforeAutospacing="0" w:after="0" w:afterAutospacing="0" w:line="360" w:lineRule="auto"/>
        <w:jc w:val="both"/>
        <w:rPr>
          <w:rFonts w:ascii="Garamond" w:hAnsi="Garamond" w:cs="Arial"/>
          <w:b/>
          <w:bCs/>
        </w:rPr>
      </w:pPr>
    </w:p>
    <w:p w14:paraId="4857A6A7" w14:textId="77777777" w:rsidR="006C1922" w:rsidRPr="00302B9C" w:rsidRDefault="006C1922" w:rsidP="006C1922">
      <w:pPr>
        <w:pStyle w:val="NormalWeb"/>
        <w:spacing w:before="0" w:beforeAutospacing="0" w:after="0" w:afterAutospacing="0" w:line="360" w:lineRule="auto"/>
        <w:jc w:val="both"/>
        <w:rPr>
          <w:rFonts w:ascii="Garamond" w:hAnsi="Garamond" w:cs="Arial"/>
          <w:b/>
          <w:bCs/>
        </w:rPr>
      </w:pPr>
      <w:r w:rsidRPr="00302B9C">
        <w:rPr>
          <w:rFonts w:ascii="Garamond" w:hAnsi="Garamond" w:cs="Arial"/>
          <w:b/>
          <w:bCs/>
        </w:rPr>
        <w:t>ORDEN DEL DIA</w:t>
      </w:r>
    </w:p>
    <w:p w14:paraId="65A12344" w14:textId="77777777" w:rsidR="006C1922" w:rsidRPr="00302B9C" w:rsidRDefault="006C1922" w:rsidP="006C1922">
      <w:pPr>
        <w:pStyle w:val="NormalWeb"/>
        <w:spacing w:before="0" w:beforeAutospacing="0" w:after="0" w:afterAutospacing="0" w:line="360" w:lineRule="auto"/>
        <w:jc w:val="both"/>
        <w:rPr>
          <w:rFonts w:ascii="Garamond" w:hAnsi="Garamond" w:cs="Arial"/>
          <w:b/>
          <w:bCs/>
        </w:rPr>
      </w:pPr>
    </w:p>
    <w:p w14:paraId="71D2D64B" w14:textId="77777777" w:rsidR="006C1922" w:rsidRPr="00302B9C" w:rsidRDefault="006C1922" w:rsidP="006C1922">
      <w:pPr>
        <w:pStyle w:val="NormalWeb"/>
        <w:spacing w:before="0" w:beforeAutospacing="0" w:after="0" w:afterAutospacing="0" w:line="360" w:lineRule="auto"/>
        <w:ind w:left="426"/>
        <w:jc w:val="both"/>
        <w:rPr>
          <w:rFonts w:ascii="Garamond" w:hAnsi="Garamond" w:cs="Arial"/>
          <w:color w:val="000000"/>
        </w:rPr>
      </w:pPr>
      <w:r w:rsidRPr="00302B9C">
        <w:rPr>
          <w:rFonts w:ascii="Garamond" w:hAnsi="Garamond" w:cs="Arial"/>
          <w:color w:val="000000"/>
        </w:rPr>
        <w:t>1°)</w:t>
      </w:r>
      <w:r w:rsidRPr="00302B9C">
        <w:rPr>
          <w:rFonts w:ascii="Garamond" w:hAnsi="Garamond" w:cs="Arial"/>
          <w:color w:val="000000"/>
        </w:rPr>
        <w:tab/>
        <w:t>Designación de dos accionistas para firmar y aprobar el acta de Asamblea.</w:t>
      </w:r>
    </w:p>
    <w:p w14:paraId="4073FF58" w14:textId="77777777" w:rsidR="006C1922" w:rsidRPr="00302B9C" w:rsidRDefault="006C1922" w:rsidP="006C1922">
      <w:pPr>
        <w:pStyle w:val="NormalWeb"/>
        <w:spacing w:before="0" w:beforeAutospacing="0" w:after="0" w:afterAutospacing="0" w:line="360" w:lineRule="auto"/>
        <w:ind w:left="426"/>
        <w:jc w:val="both"/>
        <w:rPr>
          <w:rFonts w:ascii="Garamond" w:hAnsi="Garamond" w:cs="Arial"/>
          <w:color w:val="000000"/>
        </w:rPr>
      </w:pPr>
      <w:r w:rsidRPr="00302B9C">
        <w:rPr>
          <w:rFonts w:ascii="Garamond" w:hAnsi="Garamond" w:cs="Arial"/>
          <w:color w:val="000000"/>
        </w:rPr>
        <w:t>2°)</w:t>
      </w:r>
      <w:r w:rsidRPr="00302B9C">
        <w:rPr>
          <w:rFonts w:ascii="Garamond" w:hAnsi="Garamond" w:cs="Arial"/>
          <w:color w:val="000000"/>
        </w:rPr>
        <w:tab/>
        <w:t>Consideración de la documentación prescripta por el artículo 234 inciso 1º de la Ley General de Sociedades N° 19.550, correspondiente al ejercicio económico Nº 2</w:t>
      </w:r>
      <w:r>
        <w:rPr>
          <w:rFonts w:ascii="Garamond" w:hAnsi="Garamond" w:cs="Arial"/>
          <w:color w:val="000000"/>
        </w:rPr>
        <w:t>9</w:t>
      </w:r>
      <w:r w:rsidRPr="00302B9C">
        <w:rPr>
          <w:rFonts w:ascii="Garamond" w:hAnsi="Garamond" w:cs="Arial"/>
          <w:color w:val="000000"/>
        </w:rPr>
        <w:t>, iniciado el 1° de octubre de 201</w:t>
      </w:r>
      <w:r>
        <w:rPr>
          <w:rFonts w:ascii="Garamond" w:hAnsi="Garamond" w:cs="Arial"/>
          <w:color w:val="000000"/>
        </w:rPr>
        <w:t>8</w:t>
      </w:r>
      <w:r w:rsidRPr="00302B9C">
        <w:rPr>
          <w:rFonts w:ascii="Garamond" w:hAnsi="Garamond" w:cs="Arial"/>
          <w:color w:val="000000"/>
        </w:rPr>
        <w:t xml:space="preserve"> y finalizado el 30 de septiembre de 201</w:t>
      </w:r>
      <w:r>
        <w:rPr>
          <w:rFonts w:ascii="Garamond" w:hAnsi="Garamond" w:cs="Arial"/>
          <w:color w:val="000000"/>
        </w:rPr>
        <w:t>9</w:t>
      </w:r>
      <w:r w:rsidRPr="00302B9C">
        <w:rPr>
          <w:rFonts w:ascii="Garamond" w:hAnsi="Garamond" w:cs="Arial"/>
          <w:color w:val="000000"/>
        </w:rPr>
        <w:t>.</w:t>
      </w:r>
    </w:p>
    <w:p w14:paraId="3D17B5CD" w14:textId="77777777" w:rsidR="006C1922" w:rsidRPr="00302B9C" w:rsidRDefault="006C1922" w:rsidP="006C1922">
      <w:pPr>
        <w:pStyle w:val="NormalWeb"/>
        <w:spacing w:before="0" w:beforeAutospacing="0" w:after="0" w:afterAutospacing="0" w:line="360" w:lineRule="auto"/>
        <w:ind w:left="426"/>
        <w:jc w:val="both"/>
        <w:rPr>
          <w:rFonts w:ascii="Garamond" w:hAnsi="Garamond" w:cs="Arial"/>
          <w:color w:val="000000"/>
        </w:rPr>
      </w:pPr>
      <w:r w:rsidRPr="00302B9C">
        <w:rPr>
          <w:rFonts w:ascii="Garamond" w:hAnsi="Garamond" w:cs="Arial"/>
          <w:color w:val="000000"/>
        </w:rPr>
        <w:t>3°)</w:t>
      </w:r>
      <w:r w:rsidRPr="00302B9C">
        <w:rPr>
          <w:rFonts w:ascii="Garamond" w:hAnsi="Garamond" w:cs="Arial"/>
          <w:color w:val="000000"/>
        </w:rPr>
        <w:tab/>
        <w:t>Consideración de los resultados</w:t>
      </w:r>
      <w:r>
        <w:rPr>
          <w:rFonts w:ascii="Garamond" w:hAnsi="Garamond" w:cs="Arial"/>
          <w:color w:val="000000"/>
        </w:rPr>
        <w:t xml:space="preserve"> </w:t>
      </w:r>
      <w:r w:rsidRPr="00302B9C">
        <w:rPr>
          <w:rFonts w:ascii="Garamond" w:hAnsi="Garamond" w:cs="Arial"/>
          <w:color w:val="000000"/>
        </w:rPr>
        <w:t>del ejercicio</w:t>
      </w:r>
      <w:r>
        <w:rPr>
          <w:rFonts w:ascii="Garamond" w:hAnsi="Garamond" w:cs="Arial"/>
          <w:color w:val="000000"/>
        </w:rPr>
        <w:t xml:space="preserve">. </w:t>
      </w:r>
    </w:p>
    <w:p w14:paraId="51A6435A" w14:textId="77777777" w:rsidR="006C1922" w:rsidRDefault="006C1922" w:rsidP="006C1922">
      <w:pPr>
        <w:pStyle w:val="NormalWeb"/>
        <w:spacing w:before="0" w:beforeAutospacing="0" w:after="0" w:afterAutospacing="0" w:line="360" w:lineRule="auto"/>
        <w:ind w:left="426"/>
        <w:jc w:val="both"/>
        <w:rPr>
          <w:rFonts w:ascii="Garamond" w:hAnsi="Garamond" w:cs="Arial"/>
          <w:color w:val="000000"/>
        </w:rPr>
      </w:pPr>
      <w:r w:rsidRPr="00302B9C">
        <w:rPr>
          <w:rFonts w:ascii="Garamond" w:hAnsi="Garamond" w:cs="Arial"/>
          <w:color w:val="000000"/>
        </w:rPr>
        <w:t>4°)</w:t>
      </w:r>
      <w:r w:rsidRPr="00302B9C">
        <w:rPr>
          <w:rFonts w:ascii="Garamond" w:hAnsi="Garamond" w:cs="Arial"/>
          <w:color w:val="000000"/>
        </w:rPr>
        <w:tab/>
        <w:t>Consideración de las remuneraciones al Directorio ($</w:t>
      </w:r>
      <w:r w:rsidRPr="00DC5059">
        <w:rPr>
          <w:rFonts w:ascii="Garamond" w:hAnsi="Garamond" w:cs="Arial"/>
        </w:rPr>
        <w:t>3.375.598,50</w:t>
      </w:r>
      <w:r w:rsidRPr="002C2A37">
        <w:rPr>
          <w:rFonts w:ascii="Garamond" w:hAnsi="Garamond" w:cs="Arial"/>
        </w:rPr>
        <w:t xml:space="preserve"> </w:t>
      </w:r>
      <w:r w:rsidRPr="00302B9C">
        <w:rPr>
          <w:rFonts w:ascii="Garamond" w:hAnsi="Garamond" w:cs="Arial"/>
          <w:color w:val="000000"/>
        </w:rPr>
        <w:t>importe asignado) correspondiente al ejercicio económico finalizado el 30 de septiembre de 201</w:t>
      </w:r>
      <w:r>
        <w:rPr>
          <w:rFonts w:ascii="Garamond" w:hAnsi="Garamond" w:cs="Arial"/>
          <w:color w:val="000000"/>
        </w:rPr>
        <w:t>9</w:t>
      </w:r>
      <w:r w:rsidRPr="00302B9C">
        <w:rPr>
          <w:rFonts w:ascii="Garamond" w:hAnsi="Garamond" w:cs="Arial"/>
          <w:color w:val="000000"/>
        </w:rPr>
        <w:t xml:space="preserve"> el cual arrojó </w:t>
      </w:r>
      <w:r w:rsidRPr="00302B9C">
        <w:rPr>
          <w:rFonts w:ascii="Garamond" w:hAnsi="Garamond" w:cs="Arial"/>
          <w:color w:val="000000"/>
        </w:rPr>
        <w:lastRenderedPageBreak/>
        <w:t xml:space="preserve">un </w:t>
      </w:r>
      <w:r>
        <w:rPr>
          <w:rFonts w:ascii="Garamond" w:hAnsi="Garamond" w:cs="Arial"/>
          <w:color w:val="000000"/>
        </w:rPr>
        <w:t>quebranto</w:t>
      </w:r>
      <w:r w:rsidRPr="00302B9C">
        <w:rPr>
          <w:rFonts w:ascii="Garamond" w:hAnsi="Garamond" w:cs="Arial"/>
          <w:color w:val="000000"/>
        </w:rPr>
        <w:t xml:space="preserve"> computable en los términos de las Normas de la Comisión Nacional de Valores.</w:t>
      </w:r>
    </w:p>
    <w:p w14:paraId="7272B147" w14:textId="77777777" w:rsidR="006C1922" w:rsidRDefault="006C1922" w:rsidP="006C1922">
      <w:pPr>
        <w:pStyle w:val="NormalWeb"/>
        <w:spacing w:before="0" w:beforeAutospacing="0" w:after="0" w:afterAutospacing="0" w:line="360" w:lineRule="auto"/>
        <w:ind w:left="426"/>
        <w:jc w:val="both"/>
        <w:rPr>
          <w:rFonts w:ascii="Garamond" w:hAnsi="Garamond" w:cs="Arial"/>
          <w:color w:val="000000"/>
        </w:rPr>
      </w:pPr>
      <w:r>
        <w:rPr>
          <w:rFonts w:ascii="Garamond" w:hAnsi="Garamond" w:cs="Arial"/>
          <w:color w:val="000000"/>
        </w:rPr>
        <w:t>5</w:t>
      </w:r>
      <w:r w:rsidRPr="008014E3">
        <w:rPr>
          <w:rFonts w:ascii="Garamond" w:hAnsi="Garamond" w:cs="Arial"/>
          <w:color w:val="000000"/>
        </w:rPr>
        <w:t>°) Consideración de la refor</w:t>
      </w:r>
      <w:r>
        <w:rPr>
          <w:rFonts w:ascii="Garamond" w:hAnsi="Garamond" w:cs="Arial"/>
          <w:color w:val="000000"/>
        </w:rPr>
        <w:t xml:space="preserve">ma de los artículos 1, 5, 9, 15, 19, 20, 25, y 26 en cuanto a la actualización de las normas y organismos citados y además, el Artículo 8 referido al derecho de preferencia, el Artículo 12 referido a la emisión de debentures, obligaciones negociables y otros títulos, el artículo 13 referido a la dirección y administración, el artículo 22 referido a la celebración de asambleas, el artículo 23 referido a la distribución de utilidades y la eliminación de la Cláusula Transitoria </w:t>
      </w:r>
      <w:r w:rsidRPr="008014E3">
        <w:rPr>
          <w:rFonts w:ascii="Garamond" w:hAnsi="Garamond" w:cs="Arial"/>
          <w:color w:val="000000"/>
        </w:rPr>
        <w:t>del Estatuto Social.</w:t>
      </w:r>
    </w:p>
    <w:p w14:paraId="3507EBFA" w14:textId="77777777" w:rsidR="006C1922" w:rsidRDefault="006C1922" w:rsidP="006C1922">
      <w:pPr>
        <w:pStyle w:val="NormalWeb"/>
        <w:spacing w:before="0" w:beforeAutospacing="0" w:after="0" w:afterAutospacing="0" w:line="360" w:lineRule="auto"/>
        <w:ind w:left="426"/>
        <w:jc w:val="both"/>
        <w:rPr>
          <w:rFonts w:ascii="Garamond" w:hAnsi="Garamond" w:cs="Arial"/>
          <w:color w:val="000000"/>
        </w:rPr>
      </w:pPr>
      <w:r>
        <w:rPr>
          <w:rFonts w:ascii="Garamond" w:hAnsi="Garamond" w:cs="Arial"/>
          <w:color w:val="000000"/>
        </w:rPr>
        <w:t>6</w:t>
      </w:r>
      <w:r w:rsidRPr="00302B9C">
        <w:rPr>
          <w:rFonts w:ascii="Garamond" w:hAnsi="Garamond" w:cs="Arial"/>
          <w:color w:val="000000"/>
        </w:rPr>
        <w:t>°) Tratamiento de</w:t>
      </w:r>
      <w:r>
        <w:rPr>
          <w:rFonts w:ascii="Garamond" w:hAnsi="Garamond" w:cs="Arial"/>
          <w:color w:val="000000"/>
        </w:rPr>
        <w:t xml:space="preserve"> </w:t>
      </w:r>
      <w:r w:rsidRPr="00302B9C">
        <w:rPr>
          <w:rFonts w:ascii="Garamond" w:hAnsi="Garamond" w:cs="Arial"/>
          <w:color w:val="000000"/>
        </w:rPr>
        <w:t>l</w:t>
      </w:r>
      <w:r>
        <w:rPr>
          <w:rFonts w:ascii="Garamond" w:hAnsi="Garamond" w:cs="Arial"/>
          <w:color w:val="000000"/>
        </w:rPr>
        <w:t>os</w:t>
      </w:r>
      <w:r w:rsidRPr="00302B9C">
        <w:rPr>
          <w:rFonts w:ascii="Garamond" w:hAnsi="Garamond" w:cs="Arial"/>
          <w:color w:val="000000"/>
        </w:rPr>
        <w:t xml:space="preserve"> aporte</w:t>
      </w:r>
      <w:r>
        <w:rPr>
          <w:rFonts w:ascii="Garamond" w:hAnsi="Garamond" w:cs="Arial"/>
          <w:color w:val="000000"/>
        </w:rPr>
        <w:t>s</w:t>
      </w:r>
      <w:r w:rsidRPr="00302B9C">
        <w:rPr>
          <w:rFonts w:ascii="Garamond" w:hAnsi="Garamond" w:cs="Arial"/>
          <w:color w:val="000000"/>
        </w:rPr>
        <w:t xml:space="preserve"> irrevocable</w:t>
      </w:r>
      <w:r>
        <w:rPr>
          <w:rFonts w:ascii="Garamond" w:hAnsi="Garamond" w:cs="Arial"/>
          <w:color w:val="000000"/>
        </w:rPr>
        <w:t>s</w:t>
      </w:r>
      <w:r w:rsidRPr="00302B9C">
        <w:rPr>
          <w:rFonts w:ascii="Garamond" w:hAnsi="Garamond" w:cs="Arial"/>
          <w:color w:val="000000"/>
        </w:rPr>
        <w:t xml:space="preserve"> aceptado</w:t>
      </w:r>
      <w:r>
        <w:rPr>
          <w:rFonts w:ascii="Garamond" w:hAnsi="Garamond" w:cs="Arial"/>
          <w:color w:val="000000"/>
        </w:rPr>
        <w:t>s</w:t>
      </w:r>
      <w:r w:rsidRPr="00302B9C">
        <w:rPr>
          <w:rFonts w:ascii="Garamond" w:hAnsi="Garamond" w:cs="Arial"/>
          <w:color w:val="000000"/>
        </w:rPr>
        <w:t xml:space="preserve"> por el Directorio con fecha </w:t>
      </w:r>
      <w:r>
        <w:rPr>
          <w:rFonts w:ascii="Garamond" w:hAnsi="Garamond" w:cs="Arial"/>
        </w:rPr>
        <w:t>14 de agosto,</w:t>
      </w:r>
      <w:r w:rsidRPr="0019090E">
        <w:rPr>
          <w:rFonts w:ascii="Garamond" w:hAnsi="Garamond" w:cs="Arial"/>
        </w:rPr>
        <w:t xml:space="preserve"> 28 de agosto de 2019</w:t>
      </w:r>
      <w:r>
        <w:rPr>
          <w:rFonts w:ascii="Garamond" w:hAnsi="Garamond" w:cs="Arial"/>
        </w:rPr>
        <w:t xml:space="preserve"> </w:t>
      </w:r>
      <w:r w:rsidRPr="00DC5059">
        <w:rPr>
          <w:rFonts w:ascii="Garamond" w:hAnsi="Garamond" w:cs="Arial"/>
        </w:rPr>
        <w:t>y 11 de diciembre de 2019.</w:t>
      </w:r>
    </w:p>
    <w:p w14:paraId="0BF4A0FA" w14:textId="77777777" w:rsidR="006C1922" w:rsidRDefault="006C1922" w:rsidP="006C1922">
      <w:pPr>
        <w:pStyle w:val="NormalWeb"/>
        <w:spacing w:before="0" w:beforeAutospacing="0" w:after="0" w:afterAutospacing="0" w:line="360" w:lineRule="auto"/>
        <w:ind w:left="426"/>
        <w:jc w:val="both"/>
        <w:rPr>
          <w:rFonts w:ascii="Garamond" w:hAnsi="Garamond" w:cs="Arial"/>
          <w:color w:val="000000"/>
        </w:rPr>
      </w:pPr>
      <w:r>
        <w:rPr>
          <w:rFonts w:ascii="Garamond" w:hAnsi="Garamond" w:cs="Arial"/>
          <w:color w:val="000000"/>
        </w:rPr>
        <w:t xml:space="preserve">7°) </w:t>
      </w:r>
      <w:r w:rsidRPr="00556300">
        <w:rPr>
          <w:rFonts w:ascii="Garamond" w:hAnsi="Garamond" w:cs="Arial"/>
          <w:color w:val="000000"/>
        </w:rPr>
        <w:t xml:space="preserve">Aumento del capital social de Inversora Juramento S.A. (i) aumento de capital social de la Sociedad por la suma de hasta valor nominal $ </w:t>
      </w:r>
      <w:r>
        <w:rPr>
          <w:rFonts w:ascii="Garamond" w:hAnsi="Garamond" w:cs="Arial"/>
          <w:color w:val="000000"/>
        </w:rPr>
        <w:t>242.000.000</w:t>
      </w:r>
      <w:r w:rsidRPr="00556300">
        <w:rPr>
          <w:rFonts w:ascii="Garamond" w:hAnsi="Garamond" w:cs="Arial"/>
          <w:color w:val="000000"/>
        </w:rPr>
        <w:t xml:space="preserve"> (valor nominal </w:t>
      </w:r>
      <w:r w:rsidRPr="00162452">
        <w:rPr>
          <w:rFonts w:ascii="Garamond" w:hAnsi="Garamond" w:cs="Arial"/>
          <w:color w:val="000000"/>
        </w:rPr>
        <w:t>pesos doscientos cuarenta y dos millones), mediante la emisión de hasta 242.000.000 (doscientos cuarenta y dos millones) de nuevas accio</w:t>
      </w:r>
      <w:r w:rsidRPr="00556300">
        <w:rPr>
          <w:rFonts w:ascii="Garamond" w:hAnsi="Garamond" w:cs="Arial"/>
          <w:color w:val="000000"/>
        </w:rPr>
        <w:t>nes ordinarias, escriturales Clase B con derecho a 1 (un) voto y de valor nominal $ 1 (un peso) por acción y con derecho a dividendos en igualdad de condiciones que las acciones ordinarias, escriturales, clase B en circulación al momento de la emisión, para ser ofrecida por suscripción pública en el país o delegando en el Directorio los parámetros dentro de los cuales el Directorio establecerá la prima de emisión y demás condiciones de la emisión; (ii) Reducción del plazo para el ejercicio de los derechos de suscripción preferente y de acrecer para la suscripción de las nuevas acciones ordinarias, escriturales Clase B hasta el mínimo legal de diez (10) días conforme lo dispuesto por el artículo 194 de la LGS y sus modificaciones; (iii) Solicitud de la respectiva autorización para hacer oferta pública en el país y cotización en la Bols</w:t>
      </w:r>
      <w:r>
        <w:rPr>
          <w:rFonts w:ascii="Garamond" w:hAnsi="Garamond" w:cs="Arial"/>
          <w:color w:val="000000"/>
        </w:rPr>
        <w:t>a de Comercio de Buenos Aires; (iv) Posibilidad de integración mediante</w:t>
      </w:r>
      <w:r w:rsidRPr="00493182">
        <w:rPr>
          <w:rFonts w:ascii="Garamond" w:hAnsi="Garamond" w:cs="Arial"/>
          <w:color w:val="000000"/>
        </w:rPr>
        <w:t xml:space="preserve"> la capitalización de ciert</w:t>
      </w:r>
      <w:r>
        <w:rPr>
          <w:rFonts w:ascii="Garamond" w:hAnsi="Garamond" w:cs="Arial"/>
          <w:color w:val="000000"/>
        </w:rPr>
        <w:t>os créditos y aportes irrevocables del Sr. Jorge Horacio Brito; y (</w:t>
      </w:r>
      <w:r w:rsidRPr="00556300">
        <w:rPr>
          <w:rFonts w:ascii="Garamond" w:hAnsi="Garamond" w:cs="Arial"/>
          <w:color w:val="000000"/>
        </w:rPr>
        <w:t>v) Delegación en el Directorio de las facultades necesarias para la (i) implementación del aumento de capital y las condiciones de emisión no establecidas por la Asamblea (incluyendo época, el monto, el precio la forma y demás términos, condiciones o modalidades de suscripción e integración),</w:t>
      </w:r>
      <w:r>
        <w:rPr>
          <w:rFonts w:ascii="Garamond" w:hAnsi="Garamond" w:cs="Arial"/>
          <w:color w:val="000000"/>
        </w:rPr>
        <w:t xml:space="preserve"> (ii) </w:t>
      </w:r>
      <w:r w:rsidRPr="00005268">
        <w:rPr>
          <w:rFonts w:ascii="Garamond" w:hAnsi="Garamond" w:cs="Arial"/>
          <w:color w:val="000000"/>
        </w:rPr>
        <w:t xml:space="preserve">posibilidad de aplicación de aportes irrevocables </w:t>
      </w:r>
      <w:r>
        <w:rPr>
          <w:rFonts w:ascii="Garamond" w:hAnsi="Garamond" w:cs="Arial"/>
          <w:color w:val="000000"/>
        </w:rPr>
        <w:t>y créditos a la integración del aumento</w:t>
      </w:r>
      <w:r w:rsidRPr="00556300">
        <w:rPr>
          <w:rFonts w:ascii="Garamond" w:hAnsi="Garamond" w:cs="Arial"/>
          <w:color w:val="000000"/>
        </w:rPr>
        <w:t xml:space="preserve"> (ii</w:t>
      </w:r>
      <w:r>
        <w:rPr>
          <w:rFonts w:ascii="Garamond" w:hAnsi="Garamond" w:cs="Arial"/>
          <w:color w:val="000000"/>
        </w:rPr>
        <w:t>i</w:t>
      </w:r>
      <w:r w:rsidRPr="00556300">
        <w:rPr>
          <w:rFonts w:ascii="Garamond" w:hAnsi="Garamond" w:cs="Arial"/>
          <w:color w:val="000000"/>
        </w:rPr>
        <w:t>) solicitud de oferta pública y cotización de las acciones a ser emitidas de conformidad con el aumento de capital social resuelto en el punto (i) a la Comisión nacional de Valores, la Bolsa de Comercio de buenos Aires y/o cualquier otro organismo</w:t>
      </w:r>
      <w:r>
        <w:rPr>
          <w:rFonts w:ascii="Garamond" w:hAnsi="Garamond" w:cs="Arial"/>
          <w:color w:val="000000"/>
        </w:rPr>
        <w:t xml:space="preserve"> necesario e (iv</w:t>
      </w:r>
      <w:r w:rsidRPr="00556300">
        <w:rPr>
          <w:rFonts w:ascii="Garamond" w:hAnsi="Garamond" w:cs="Arial"/>
          <w:color w:val="000000"/>
        </w:rPr>
        <w:t>) instrumentación de las demás decisiones que oportunamente adopte esta Asamblea co</w:t>
      </w:r>
      <w:r>
        <w:rPr>
          <w:rFonts w:ascii="Garamond" w:hAnsi="Garamond" w:cs="Arial"/>
          <w:color w:val="000000"/>
        </w:rPr>
        <w:t>n respecto a los puntos (i) a (</w:t>
      </w:r>
      <w:r w:rsidRPr="00556300">
        <w:rPr>
          <w:rFonts w:ascii="Garamond" w:hAnsi="Garamond" w:cs="Arial"/>
          <w:color w:val="000000"/>
        </w:rPr>
        <w:t>v) precedentes del Orden del Día y cuantos más trámites y gestiones se requieran para tal efecto. Autorización al Directorio para subdelegar las antedichas facultades en uno o más directores y/o gerentes de inversora juramento S.A., con arreglo a lo establecido por las Normas de la Comisión Nacional de Valores.</w:t>
      </w:r>
    </w:p>
    <w:p w14:paraId="42D0516A" w14:textId="77777777" w:rsidR="006C1922" w:rsidRPr="00302B9C" w:rsidRDefault="006C1922" w:rsidP="006C1922">
      <w:pPr>
        <w:pStyle w:val="NormalWeb"/>
        <w:spacing w:before="0" w:beforeAutospacing="0" w:after="0" w:afterAutospacing="0" w:line="360" w:lineRule="auto"/>
        <w:ind w:left="426"/>
        <w:jc w:val="both"/>
        <w:rPr>
          <w:rFonts w:ascii="Garamond" w:hAnsi="Garamond" w:cs="Arial"/>
          <w:color w:val="000000"/>
        </w:rPr>
      </w:pPr>
      <w:r>
        <w:rPr>
          <w:rFonts w:ascii="Garamond" w:hAnsi="Garamond" w:cs="Arial"/>
        </w:rPr>
        <w:t xml:space="preserve">8°) </w:t>
      </w:r>
      <w:r w:rsidRPr="00556300">
        <w:rPr>
          <w:rFonts w:ascii="Garamond" w:hAnsi="Garamond" w:cs="Arial"/>
        </w:rPr>
        <w:t>Renovación de las delegaciones y autorizaciones efectuadas al Directorio con relación a la emisión de obligaciones negociables.</w:t>
      </w:r>
    </w:p>
    <w:p w14:paraId="4CD02AFF" w14:textId="77777777" w:rsidR="006C1922" w:rsidRPr="00302B9C" w:rsidRDefault="006C1922" w:rsidP="006C1922">
      <w:pPr>
        <w:pStyle w:val="NormalWeb"/>
        <w:tabs>
          <w:tab w:val="left" w:pos="709"/>
          <w:tab w:val="left" w:pos="851"/>
        </w:tabs>
        <w:spacing w:before="0" w:beforeAutospacing="0" w:after="0" w:afterAutospacing="0" w:line="360" w:lineRule="auto"/>
        <w:ind w:left="426"/>
        <w:jc w:val="both"/>
        <w:rPr>
          <w:rFonts w:ascii="Garamond" w:hAnsi="Garamond" w:cs="Arial"/>
          <w:color w:val="000000"/>
        </w:rPr>
      </w:pPr>
      <w:r>
        <w:rPr>
          <w:rFonts w:ascii="Garamond" w:hAnsi="Garamond" w:cs="Arial"/>
          <w:color w:val="000000"/>
        </w:rPr>
        <w:t>9</w:t>
      </w:r>
      <w:r w:rsidRPr="00302B9C">
        <w:rPr>
          <w:rFonts w:ascii="Garamond" w:hAnsi="Garamond" w:cs="Arial"/>
          <w:color w:val="000000"/>
        </w:rPr>
        <w:t>°)</w:t>
      </w:r>
      <w:r w:rsidRPr="00302B9C">
        <w:rPr>
          <w:rFonts w:ascii="Garamond" w:hAnsi="Garamond" w:cs="Arial"/>
          <w:color w:val="000000"/>
        </w:rPr>
        <w:tab/>
        <w:t>Consideración de la gestión del Directorio correspondiente al ejercicio cerrado al 30 de septiembre de 201</w:t>
      </w:r>
      <w:r>
        <w:rPr>
          <w:rFonts w:ascii="Garamond" w:hAnsi="Garamond" w:cs="Arial"/>
          <w:color w:val="000000"/>
        </w:rPr>
        <w:t>9</w:t>
      </w:r>
      <w:r w:rsidRPr="00302B9C">
        <w:rPr>
          <w:rFonts w:ascii="Garamond" w:hAnsi="Garamond" w:cs="Arial"/>
          <w:color w:val="000000"/>
        </w:rPr>
        <w:t>.</w:t>
      </w:r>
    </w:p>
    <w:p w14:paraId="690E4A28" w14:textId="77777777" w:rsidR="006C1922" w:rsidRPr="00302B9C" w:rsidRDefault="006C1922" w:rsidP="006C1922">
      <w:pPr>
        <w:pStyle w:val="NormalWeb"/>
        <w:spacing w:before="0" w:beforeAutospacing="0" w:after="0" w:afterAutospacing="0" w:line="360" w:lineRule="auto"/>
        <w:ind w:left="426"/>
        <w:jc w:val="both"/>
        <w:rPr>
          <w:rFonts w:ascii="Garamond" w:hAnsi="Garamond" w:cs="Arial"/>
          <w:color w:val="000000"/>
        </w:rPr>
      </w:pPr>
      <w:r>
        <w:rPr>
          <w:rFonts w:ascii="Garamond" w:hAnsi="Garamond" w:cs="Arial"/>
          <w:color w:val="000000"/>
        </w:rPr>
        <w:t>10</w:t>
      </w:r>
      <w:r w:rsidRPr="00302B9C">
        <w:rPr>
          <w:rFonts w:ascii="Garamond" w:hAnsi="Garamond" w:cs="Arial"/>
          <w:color w:val="000000"/>
        </w:rPr>
        <w:t>°) Fijación del número y elección de miembros del Directorio.</w:t>
      </w:r>
    </w:p>
    <w:p w14:paraId="643FD258" w14:textId="77777777" w:rsidR="006C1922" w:rsidRPr="00302B9C" w:rsidRDefault="006C1922" w:rsidP="006C1922">
      <w:pPr>
        <w:pStyle w:val="NormalWeb"/>
        <w:spacing w:before="0" w:beforeAutospacing="0" w:after="0" w:afterAutospacing="0" w:line="360" w:lineRule="auto"/>
        <w:ind w:left="426"/>
        <w:jc w:val="both"/>
        <w:rPr>
          <w:rFonts w:ascii="Garamond" w:hAnsi="Garamond" w:cs="Arial"/>
          <w:color w:val="000000"/>
        </w:rPr>
      </w:pPr>
      <w:r>
        <w:rPr>
          <w:rFonts w:ascii="Garamond" w:hAnsi="Garamond" w:cs="Arial"/>
          <w:color w:val="000000"/>
        </w:rPr>
        <w:lastRenderedPageBreak/>
        <w:t>11</w:t>
      </w:r>
      <w:r w:rsidRPr="00302B9C">
        <w:rPr>
          <w:rFonts w:ascii="Garamond" w:hAnsi="Garamond" w:cs="Arial"/>
          <w:color w:val="000000"/>
        </w:rPr>
        <w:t>°)</w:t>
      </w:r>
      <w:r>
        <w:rPr>
          <w:rFonts w:ascii="Garamond" w:hAnsi="Garamond" w:cs="Arial"/>
          <w:color w:val="000000"/>
        </w:rPr>
        <w:t xml:space="preserve"> </w:t>
      </w:r>
      <w:r w:rsidRPr="00302B9C">
        <w:rPr>
          <w:rFonts w:ascii="Garamond" w:hAnsi="Garamond" w:cs="Arial"/>
          <w:color w:val="000000"/>
        </w:rPr>
        <w:t>Consideración de la actuación de los miembros de la Comisión Fiscalizadora. Consideración de los honorarios de la Comisión Fiscalizadora por el ejercicio económico finali</w:t>
      </w:r>
      <w:r>
        <w:rPr>
          <w:rFonts w:ascii="Garamond" w:hAnsi="Garamond" w:cs="Arial"/>
          <w:color w:val="000000"/>
        </w:rPr>
        <w:t>zado el 30 de septiembre de 2019</w:t>
      </w:r>
      <w:r w:rsidRPr="00302B9C">
        <w:rPr>
          <w:rFonts w:ascii="Garamond" w:hAnsi="Garamond" w:cs="Arial"/>
          <w:color w:val="000000"/>
        </w:rPr>
        <w:t xml:space="preserve"> por hasta la suma de $</w:t>
      </w:r>
      <w:r w:rsidRPr="00DC5059">
        <w:rPr>
          <w:rFonts w:ascii="Garamond" w:hAnsi="Garamond" w:cs="Arial"/>
        </w:rPr>
        <w:t>549.000</w:t>
      </w:r>
      <w:r w:rsidRPr="00302B9C">
        <w:rPr>
          <w:rFonts w:ascii="Garamond" w:hAnsi="Garamond" w:cs="Arial"/>
        </w:rPr>
        <w:t>.</w:t>
      </w:r>
    </w:p>
    <w:p w14:paraId="7F7576CC" w14:textId="77777777" w:rsidR="006C1922" w:rsidRPr="00302B9C" w:rsidRDefault="006C1922" w:rsidP="006C1922">
      <w:pPr>
        <w:pStyle w:val="NormalWeb"/>
        <w:spacing w:before="0" w:beforeAutospacing="0" w:after="0" w:afterAutospacing="0" w:line="360" w:lineRule="auto"/>
        <w:ind w:left="426"/>
        <w:jc w:val="both"/>
        <w:rPr>
          <w:rFonts w:ascii="Garamond" w:hAnsi="Garamond" w:cs="Arial"/>
          <w:color w:val="000000"/>
        </w:rPr>
      </w:pPr>
      <w:r>
        <w:rPr>
          <w:rFonts w:ascii="Garamond" w:hAnsi="Garamond" w:cs="Arial"/>
          <w:color w:val="000000"/>
        </w:rPr>
        <w:t xml:space="preserve">12°) </w:t>
      </w:r>
      <w:r w:rsidRPr="00302B9C">
        <w:rPr>
          <w:rFonts w:ascii="Garamond" w:hAnsi="Garamond" w:cs="Arial"/>
          <w:color w:val="000000"/>
        </w:rPr>
        <w:t>Designación de miembros de la Comisión Fiscalizadora.</w:t>
      </w:r>
    </w:p>
    <w:p w14:paraId="585B617A" w14:textId="77777777" w:rsidR="006C1922" w:rsidRDefault="006C1922" w:rsidP="006C1922">
      <w:pPr>
        <w:pStyle w:val="NormalWeb"/>
        <w:spacing w:before="0" w:beforeAutospacing="0" w:after="0" w:afterAutospacing="0" w:line="360" w:lineRule="auto"/>
        <w:ind w:left="426"/>
        <w:jc w:val="both"/>
        <w:rPr>
          <w:rFonts w:ascii="Garamond" w:hAnsi="Garamond" w:cs="Arial"/>
          <w:color w:val="000000"/>
        </w:rPr>
      </w:pPr>
      <w:r>
        <w:rPr>
          <w:rFonts w:ascii="Garamond" w:hAnsi="Garamond" w:cs="Arial"/>
          <w:color w:val="000000"/>
        </w:rPr>
        <w:t>13</w:t>
      </w:r>
      <w:r w:rsidRPr="00302B9C">
        <w:rPr>
          <w:rFonts w:ascii="Garamond" w:hAnsi="Garamond" w:cs="Arial"/>
          <w:color w:val="000000"/>
        </w:rPr>
        <w:t>°)</w:t>
      </w:r>
      <w:r>
        <w:rPr>
          <w:rFonts w:ascii="Garamond" w:hAnsi="Garamond" w:cs="Arial"/>
          <w:color w:val="000000"/>
        </w:rPr>
        <w:t xml:space="preserve"> </w:t>
      </w:r>
      <w:r w:rsidRPr="00302B9C">
        <w:rPr>
          <w:rFonts w:ascii="Garamond" w:hAnsi="Garamond" w:cs="Arial"/>
          <w:color w:val="000000"/>
        </w:rPr>
        <w:t>Elección de un contador dictaminante titular y uno suplente por el ejercicio económico iniciado el 1° de octubre de 201</w:t>
      </w:r>
      <w:r>
        <w:rPr>
          <w:rFonts w:ascii="Garamond" w:hAnsi="Garamond" w:cs="Arial"/>
          <w:color w:val="000000"/>
        </w:rPr>
        <w:t>9</w:t>
      </w:r>
      <w:r w:rsidRPr="00302B9C">
        <w:rPr>
          <w:rFonts w:ascii="Garamond" w:hAnsi="Garamond" w:cs="Arial"/>
          <w:color w:val="000000"/>
        </w:rPr>
        <w:t xml:space="preserve">. </w:t>
      </w:r>
      <w:r>
        <w:rPr>
          <w:rFonts w:ascii="Garamond" w:hAnsi="Garamond" w:cs="Arial"/>
          <w:color w:val="000000"/>
        </w:rPr>
        <w:t>Determinación de su retribución.</w:t>
      </w:r>
    </w:p>
    <w:p w14:paraId="44B7586A" w14:textId="77777777" w:rsidR="006C1922" w:rsidRPr="00302B9C" w:rsidRDefault="006C1922" w:rsidP="006C1922">
      <w:pPr>
        <w:pStyle w:val="NormalWeb"/>
        <w:spacing w:before="0" w:beforeAutospacing="0" w:after="0" w:afterAutospacing="0" w:line="360" w:lineRule="auto"/>
        <w:ind w:left="426"/>
        <w:jc w:val="both"/>
        <w:rPr>
          <w:rFonts w:ascii="Garamond" w:hAnsi="Garamond" w:cs="Arial"/>
          <w:color w:val="000000"/>
        </w:rPr>
      </w:pPr>
      <w:r>
        <w:rPr>
          <w:rFonts w:ascii="Garamond" w:hAnsi="Garamond" w:cs="Arial"/>
          <w:color w:val="000000"/>
        </w:rPr>
        <w:t>14°</w:t>
      </w:r>
      <w:r w:rsidRPr="00302B9C">
        <w:rPr>
          <w:rFonts w:ascii="Garamond" w:hAnsi="Garamond" w:cs="Arial"/>
          <w:color w:val="000000"/>
        </w:rPr>
        <w:t>) Otorgamiento de aut</w:t>
      </w:r>
      <w:r>
        <w:rPr>
          <w:rFonts w:ascii="Garamond" w:hAnsi="Garamond" w:cs="Arial"/>
          <w:color w:val="000000"/>
        </w:rPr>
        <w:t>orizaciones</w:t>
      </w:r>
    </w:p>
    <w:p w14:paraId="48C7C535" w14:textId="77777777" w:rsidR="006C1922" w:rsidRPr="00302B9C" w:rsidRDefault="006C1922" w:rsidP="006C1922">
      <w:pPr>
        <w:pStyle w:val="NormalWeb"/>
        <w:spacing w:before="0" w:beforeAutospacing="0" w:after="0" w:afterAutospacing="0" w:line="360" w:lineRule="auto"/>
        <w:ind w:left="426"/>
        <w:jc w:val="both"/>
        <w:rPr>
          <w:rFonts w:ascii="Garamond" w:hAnsi="Garamond" w:cs="Arial"/>
          <w:color w:val="000000"/>
        </w:rPr>
      </w:pPr>
    </w:p>
    <w:p w14:paraId="32E54EE8" w14:textId="77777777" w:rsidR="006C1922" w:rsidRPr="00302B9C" w:rsidRDefault="006C1922" w:rsidP="006C1922">
      <w:pPr>
        <w:rPr>
          <w:rFonts w:ascii="Garamond" w:hAnsi="Garamond" w:cs="Arial"/>
        </w:rPr>
      </w:pPr>
      <w:r w:rsidRPr="00302B9C">
        <w:rPr>
          <w:rFonts w:ascii="Garamond" w:hAnsi="Garamond" w:cs="Arial"/>
        </w:rPr>
        <w:t> </w:t>
      </w:r>
    </w:p>
    <w:p w14:paraId="2210ED27" w14:textId="77777777" w:rsidR="006C1922" w:rsidRDefault="006C1922" w:rsidP="006C1922">
      <w:pPr>
        <w:pStyle w:val="NormalWeb"/>
        <w:spacing w:before="0" w:beforeAutospacing="0" w:after="0" w:afterAutospacing="0" w:line="360" w:lineRule="auto"/>
        <w:jc w:val="both"/>
        <w:rPr>
          <w:rFonts w:ascii="Garamond" w:hAnsi="Garamond" w:cs="Arial"/>
        </w:rPr>
      </w:pPr>
      <w:r w:rsidRPr="00302B9C">
        <w:rPr>
          <w:rFonts w:ascii="Garamond" w:hAnsi="Garamond" w:cs="Arial"/>
        </w:rPr>
        <w:t xml:space="preserve">NOTAS: Para asistir a la Asamblea los señores accionistas deberán depositar constancia de la cuenta de acciones escriturales librada al efecto por </w:t>
      </w:r>
      <w:smartTag w:uri="urn:schemas-microsoft-com:office:smarttags" w:element="metricconverter">
        <w:smartTagPr>
          <w:attr w:name="ProductID" w:val="2012 ha"/>
        </w:smartTagPr>
        <w:r w:rsidRPr="00302B9C">
          <w:rPr>
            <w:rFonts w:ascii="Garamond" w:hAnsi="Garamond" w:cs="Arial"/>
          </w:rPr>
          <w:t>Caja de Valores</w:t>
        </w:r>
      </w:smartTag>
      <w:r w:rsidRPr="00302B9C">
        <w:rPr>
          <w:rFonts w:ascii="Garamond" w:hAnsi="Garamond" w:cs="Arial"/>
        </w:rPr>
        <w:t xml:space="preserve"> S.A. y acreditar identidad y personería, según correspondiere, en la sede social de la Sociedad, de </w:t>
      </w:r>
      <w:smartTag w:uri="urn:schemas-microsoft-com:office:smarttags" w:element="metricconverter">
        <w:smartTagPr>
          <w:attr w:name="ProductID" w:val="2012 ha"/>
        </w:smartTagPr>
        <w:r w:rsidRPr="00302B9C">
          <w:rPr>
            <w:rFonts w:ascii="Garamond" w:hAnsi="Garamond" w:cs="Arial"/>
          </w:rPr>
          <w:t>10 a</w:t>
        </w:r>
      </w:smartTag>
      <w:r w:rsidRPr="00302B9C">
        <w:rPr>
          <w:rFonts w:ascii="Garamond" w:hAnsi="Garamond" w:cs="Arial"/>
        </w:rPr>
        <w:t xml:space="preserve"> 17 horas, </w:t>
      </w:r>
      <w:r w:rsidRPr="00162452">
        <w:rPr>
          <w:rFonts w:ascii="Garamond" w:hAnsi="Garamond" w:cs="Arial"/>
        </w:rPr>
        <w:t>hasta el 10 de enero de 2020</w:t>
      </w:r>
      <w:r>
        <w:rPr>
          <w:rFonts w:ascii="Garamond" w:hAnsi="Garamond" w:cs="Arial"/>
        </w:rPr>
        <w:t xml:space="preserve"> inclusive</w:t>
      </w:r>
      <w:r w:rsidRPr="00302B9C">
        <w:rPr>
          <w:rFonts w:ascii="Garamond" w:hAnsi="Garamond" w:cs="Arial"/>
        </w:rPr>
        <w:t>.</w:t>
      </w:r>
    </w:p>
    <w:p w14:paraId="7E66C6F5" w14:textId="77777777" w:rsidR="006C1922" w:rsidRPr="00302B9C" w:rsidRDefault="006C1922" w:rsidP="006C1922">
      <w:pPr>
        <w:pStyle w:val="NormalWeb"/>
        <w:spacing w:before="0" w:beforeAutospacing="0" w:after="0" w:afterAutospacing="0" w:line="360" w:lineRule="auto"/>
        <w:jc w:val="both"/>
        <w:rPr>
          <w:rFonts w:ascii="Garamond" w:hAnsi="Garamond" w:cs="Arial"/>
        </w:rPr>
      </w:pPr>
    </w:p>
    <w:p w14:paraId="47EBA462" w14:textId="77777777" w:rsidR="006C1922" w:rsidRPr="00302B9C" w:rsidRDefault="006C1922" w:rsidP="006C1922">
      <w:pPr>
        <w:spacing w:line="360" w:lineRule="auto"/>
        <w:jc w:val="both"/>
        <w:rPr>
          <w:rFonts w:ascii="Garamond" w:hAnsi="Garamond" w:cs="Arial"/>
        </w:rPr>
      </w:pPr>
      <w:r w:rsidRPr="00302B9C">
        <w:rPr>
          <w:rFonts w:ascii="Garamond" w:hAnsi="Garamond" w:cs="Arial"/>
        </w:rPr>
        <w:t>Atento a lo dispuesto por las Normas de la Comisión Nacional de Valores, al momento de la inscripción para participar de la Asamblea, se deberán informar los siguientes datos del titular de las acciones: nombre y apellido o denominación social completa; tipo y número de documento de identidad de las personas físicas o datos de inscripción registral de las personas jurídicas con expresa indicación del registro donde se hallan inscriptas y de jurisdicción, domicilio con indicación del carácter y firma. Los mismos datos deberá proporcionar quien asista a la Asamblea como representante del titular de las acciones: así como también el carácter de la representación. Adicionalmente, si figuran participaciones sociales como de titularidad de un “trust”, fideicomiso o figura similar, para poder votar en la asamblea deberá presentarse un certificado que individualice el negocio fiduciario causa de la transferencia e incluya el nombre y apellido o denominación, domicilio o sede, número de documento de identidad o de pasaporte o datos de registro, autorización o incorporación, de fiduciante, fiduciario, “trustee” o equivalente, y fideicomisarios y/o beneficiarios o sus equivalentes según el régimen legal bajo el cual aquel se haya constituido o celebrado el acto. Si las participaciones sociales aparecen como de titularidad de una fundación ó figura similar, sea de finalidad pública o privada, deben indicarse los mismos datos referidos en el párrafo anterior con respecto al fundador y, si fuere persona diferente a quien haya efectuado el aporte o transferencia a dic</w:t>
      </w:r>
      <w:r>
        <w:rPr>
          <w:rFonts w:ascii="Garamond" w:hAnsi="Garamond" w:cs="Arial"/>
        </w:rPr>
        <w:t>ho patrimonio.</w:t>
      </w:r>
      <w:r w:rsidRPr="00BD0E55">
        <w:t xml:space="preserve"> </w:t>
      </w:r>
      <w:r w:rsidRPr="00BD0E55">
        <w:rPr>
          <w:rFonts w:ascii="Garamond" w:hAnsi="Garamond" w:cs="Arial"/>
        </w:rPr>
        <w:t>Se aclara que los puntos 5, 6</w:t>
      </w:r>
      <w:r>
        <w:rPr>
          <w:rFonts w:ascii="Garamond" w:hAnsi="Garamond" w:cs="Arial"/>
        </w:rPr>
        <w:t>,</w:t>
      </w:r>
      <w:r w:rsidRPr="00BD0E55">
        <w:rPr>
          <w:rFonts w:ascii="Garamond" w:hAnsi="Garamond" w:cs="Arial"/>
        </w:rPr>
        <w:t xml:space="preserve"> 7</w:t>
      </w:r>
      <w:r>
        <w:rPr>
          <w:rFonts w:ascii="Garamond" w:hAnsi="Garamond" w:cs="Arial"/>
        </w:rPr>
        <w:t xml:space="preserve"> y 8</w:t>
      </w:r>
      <w:r w:rsidRPr="00BD0E55">
        <w:rPr>
          <w:rFonts w:ascii="Garamond" w:hAnsi="Garamond" w:cs="Arial"/>
        </w:rPr>
        <w:t xml:space="preserve"> del Orden del Día serán considerados por la Asamblea en carácter de Extraordinaria. Los restantes puntos del Orden del Día serán considerados por la Asamblea en carácter de Ordinaria.</w:t>
      </w:r>
    </w:p>
    <w:p w14:paraId="360E1559" w14:textId="77777777" w:rsidR="006C1922" w:rsidRPr="00302B9C" w:rsidRDefault="006C1922" w:rsidP="006C1922">
      <w:pPr>
        <w:spacing w:line="360" w:lineRule="auto"/>
        <w:jc w:val="both"/>
        <w:rPr>
          <w:rFonts w:ascii="Garamond" w:hAnsi="Garamond" w:cs="Arial"/>
        </w:rPr>
      </w:pPr>
      <w:r w:rsidRPr="00302B9C">
        <w:rPr>
          <w:rFonts w:ascii="Garamond" w:hAnsi="Garamond" w:cs="Arial"/>
        </w:rPr>
        <w:t>Se les recuerda a los accionistas que sean sociedades constituidas en el exterior la obligatoriedad de encontrarse registradas bajo los términos del artículo 123 de la Ley General de Sociedades N° 19.550.</w:t>
      </w:r>
    </w:p>
    <w:p w14:paraId="5555D7B0" w14:textId="77777777" w:rsidR="006C1922" w:rsidRDefault="006C1922" w:rsidP="006C1922"/>
    <w:p w14:paraId="7E953B8D" w14:textId="3265A5F0" w:rsidR="004E239E" w:rsidRDefault="004E239E" w:rsidP="006C1922">
      <w:pPr>
        <w:pStyle w:val="NormalWeb"/>
        <w:spacing w:before="0" w:beforeAutospacing="0" w:after="0" w:afterAutospacing="0" w:line="360" w:lineRule="auto"/>
        <w:jc w:val="both"/>
      </w:pPr>
    </w:p>
    <w:p w14:paraId="09A844B1" w14:textId="54AAC78B" w:rsidR="00CB66B8" w:rsidRPr="00302B9C" w:rsidRDefault="00CB66B8" w:rsidP="004E239E">
      <w:pPr>
        <w:pStyle w:val="NormalWeb"/>
        <w:spacing w:before="0" w:beforeAutospacing="0" w:after="0" w:afterAutospacing="0" w:line="360" w:lineRule="auto"/>
        <w:jc w:val="both"/>
        <w:rPr>
          <w:rFonts w:ascii="Garamond" w:hAnsi="Garamond" w:cs="Arial"/>
        </w:rPr>
      </w:pPr>
    </w:p>
    <w:p w14:paraId="175FF965" w14:textId="625F9663" w:rsidR="00CB66B8" w:rsidRPr="00302B9C" w:rsidRDefault="00CB66B8" w:rsidP="00CB66B8">
      <w:pPr>
        <w:spacing w:line="360" w:lineRule="auto"/>
        <w:jc w:val="both"/>
        <w:rPr>
          <w:rFonts w:ascii="Garamond" w:hAnsi="Garamond" w:cs="Arial"/>
        </w:rPr>
      </w:pPr>
      <w:r w:rsidRPr="00302B9C">
        <w:rPr>
          <w:rFonts w:ascii="Garamond" w:hAnsi="Garamond" w:cs="Arial"/>
        </w:rPr>
        <w:t>Finalmente, se resuelve por unanimidad autorizar a Francisco Müller Neto, María José Van Morlegan, Emilia Fornari, María Lucía Winschel, Luciano Federico Babuin, María Florencia Angélico, Verónica Apollonio,</w:t>
      </w:r>
      <w:r>
        <w:rPr>
          <w:rFonts w:ascii="Garamond" w:hAnsi="Garamond" w:cs="Arial"/>
        </w:rPr>
        <w:t xml:space="preserve"> Teodoro María Caceres, Santiago Youssef El Chaer,</w:t>
      </w:r>
      <w:r w:rsidRPr="00302B9C">
        <w:rPr>
          <w:rFonts w:ascii="Garamond" w:hAnsi="Garamond" w:cs="Arial"/>
        </w:rPr>
        <w:t xml:space="preserve"> Manuel Olcese, María Amparo Cangueiro, </w:t>
      </w:r>
      <w:r>
        <w:rPr>
          <w:rFonts w:ascii="Garamond" w:hAnsi="Garamond" w:cs="Arial"/>
        </w:rPr>
        <w:t xml:space="preserve">Lucas Borrego Silvy, Juan Zurano, Mayra Mammana, </w:t>
      </w:r>
      <w:r w:rsidRPr="00302B9C">
        <w:rPr>
          <w:rFonts w:ascii="Garamond" w:hAnsi="Garamond" w:cs="Arial"/>
        </w:rPr>
        <w:t xml:space="preserve">Jose </w:t>
      </w:r>
      <w:r w:rsidRPr="00302B9C">
        <w:rPr>
          <w:rFonts w:ascii="Garamond" w:hAnsi="Garamond" w:cs="Arial"/>
        </w:rPr>
        <w:lastRenderedPageBreak/>
        <w:t>María Bazán</w:t>
      </w:r>
      <w:r w:rsidR="00AD084B">
        <w:rPr>
          <w:rFonts w:ascii="Garamond" w:hAnsi="Garamond" w:cs="Arial"/>
        </w:rPr>
        <w:t xml:space="preserve">, </w:t>
      </w:r>
      <w:r w:rsidR="008118CA" w:rsidRPr="008118CA">
        <w:rPr>
          <w:rFonts w:ascii="Garamond" w:hAnsi="Garamond" w:cs="Arial"/>
        </w:rPr>
        <w:t xml:space="preserve">y/o </w:t>
      </w:r>
      <w:r w:rsidR="00AD084B">
        <w:rPr>
          <w:rFonts w:ascii="Garamond" w:hAnsi="Garamond" w:cs="Arial"/>
        </w:rPr>
        <w:t xml:space="preserve">Juan Barros Moss </w:t>
      </w:r>
      <w:r w:rsidRPr="00302B9C">
        <w:rPr>
          <w:rFonts w:ascii="Garamond" w:hAnsi="Garamond" w:cs="Arial"/>
        </w:rPr>
        <w:t>para que, actuando en forma individual, suscriba</w:t>
      </w:r>
      <w:r>
        <w:rPr>
          <w:rFonts w:ascii="Garamond" w:hAnsi="Garamond" w:cs="Arial"/>
        </w:rPr>
        <w:t>n</w:t>
      </w:r>
      <w:r w:rsidRPr="00302B9C">
        <w:rPr>
          <w:rFonts w:ascii="Garamond" w:hAnsi="Garamond" w:cs="Arial"/>
        </w:rPr>
        <w:t xml:space="preserve"> y presente</w:t>
      </w:r>
      <w:r>
        <w:rPr>
          <w:rFonts w:ascii="Garamond" w:hAnsi="Garamond" w:cs="Arial"/>
        </w:rPr>
        <w:t>n</w:t>
      </w:r>
      <w:r w:rsidRPr="00302B9C">
        <w:rPr>
          <w:rFonts w:ascii="Garamond" w:hAnsi="Garamond" w:cs="Arial"/>
        </w:rPr>
        <w:t xml:space="preserve"> para su publicación los correspondientes edictos de convocatoria conforme el artículo 237 de la Ley General de Sociedades Nº 19.550</w:t>
      </w:r>
      <w:r>
        <w:rPr>
          <w:rFonts w:ascii="Garamond" w:hAnsi="Garamond" w:cs="Arial"/>
        </w:rPr>
        <w:t xml:space="preserve"> y demás tramites que correspondan en el marco de la celebración de la asamblea convocada</w:t>
      </w:r>
      <w:r w:rsidRPr="00302B9C">
        <w:rPr>
          <w:rFonts w:ascii="Garamond" w:hAnsi="Garamond" w:cs="Arial"/>
        </w:rPr>
        <w:t>.</w:t>
      </w:r>
    </w:p>
    <w:p w14:paraId="57EF48EB" w14:textId="77777777" w:rsidR="00CB66B8" w:rsidRPr="00302B9C" w:rsidRDefault="00CB66B8" w:rsidP="00CB66B8">
      <w:pPr>
        <w:spacing w:line="360" w:lineRule="auto"/>
        <w:jc w:val="both"/>
        <w:rPr>
          <w:rFonts w:ascii="Garamond" w:hAnsi="Garamond" w:cs="Arial"/>
        </w:rPr>
      </w:pPr>
    </w:p>
    <w:p w14:paraId="11CD462D" w14:textId="5EF476FD" w:rsidR="00CB66B8" w:rsidRDefault="00761D2D" w:rsidP="00CB66B8">
      <w:pPr>
        <w:spacing w:line="360" w:lineRule="auto"/>
        <w:jc w:val="both"/>
        <w:rPr>
          <w:rFonts w:ascii="Garamond" w:hAnsi="Garamond" w:cs="Arial"/>
          <w:b/>
        </w:rPr>
      </w:pPr>
      <w:r>
        <w:rPr>
          <w:rFonts w:ascii="Garamond" w:hAnsi="Garamond" w:cs="Arial"/>
          <w:b/>
        </w:rPr>
        <w:t>3</w:t>
      </w:r>
      <w:r w:rsidR="00CB66B8" w:rsidRPr="00302B9C">
        <w:rPr>
          <w:rFonts w:ascii="Garamond" w:hAnsi="Garamond" w:cs="Arial"/>
          <w:b/>
        </w:rPr>
        <w:t xml:space="preserve">) </w:t>
      </w:r>
      <w:r w:rsidR="00CB66B8" w:rsidRPr="00362F38">
        <w:rPr>
          <w:rFonts w:ascii="Garamond" w:hAnsi="Garamond" w:cs="Arial"/>
          <w:b/>
          <w:u w:val="single"/>
        </w:rPr>
        <w:t>Propuesta en relación con la elección de la firma de auditoría externa y el contador que dictaminará sobre la documentación contable de la Sociedad por el nuevo ejercicio económico</w:t>
      </w:r>
      <w:r w:rsidR="00CB66B8" w:rsidRPr="00302B9C">
        <w:rPr>
          <w:rFonts w:ascii="Garamond" w:hAnsi="Garamond" w:cs="Arial"/>
          <w:b/>
        </w:rPr>
        <w:t>.</w:t>
      </w:r>
    </w:p>
    <w:p w14:paraId="0B09E7EB" w14:textId="77777777" w:rsidR="00CB66B8" w:rsidRPr="00302B9C" w:rsidRDefault="00CB66B8" w:rsidP="00CB66B8">
      <w:pPr>
        <w:spacing w:line="360" w:lineRule="auto"/>
        <w:jc w:val="both"/>
        <w:rPr>
          <w:rFonts w:ascii="Garamond" w:hAnsi="Garamond" w:cs="Arial"/>
          <w:b/>
        </w:rPr>
      </w:pPr>
    </w:p>
    <w:p w14:paraId="084C7E7B" w14:textId="423C8E63" w:rsidR="004E239E" w:rsidRPr="00302B9C" w:rsidRDefault="004E239E" w:rsidP="004E239E">
      <w:pPr>
        <w:spacing w:line="360" w:lineRule="auto"/>
        <w:jc w:val="both"/>
        <w:rPr>
          <w:rFonts w:ascii="Garamond" w:hAnsi="Garamond" w:cs="Arial"/>
        </w:rPr>
      </w:pPr>
      <w:r w:rsidRPr="00302B9C">
        <w:rPr>
          <w:rFonts w:ascii="Garamond" w:hAnsi="Garamond" w:cs="Arial"/>
        </w:rPr>
        <w:t xml:space="preserve">Toma la palabra </w:t>
      </w:r>
      <w:r>
        <w:rPr>
          <w:rFonts w:ascii="Garamond" w:hAnsi="Garamond" w:cs="Arial"/>
        </w:rPr>
        <w:t>la Sra. Natalia Godoy</w:t>
      </w:r>
      <w:r w:rsidRPr="00302B9C">
        <w:rPr>
          <w:rFonts w:ascii="Garamond" w:hAnsi="Garamond" w:cs="Arial"/>
        </w:rPr>
        <w:t xml:space="preserve"> quien propone </w:t>
      </w:r>
      <w:r>
        <w:rPr>
          <w:rFonts w:ascii="Garamond" w:hAnsi="Garamond" w:cs="Arial"/>
        </w:rPr>
        <w:t>mantener la designación de</w:t>
      </w:r>
      <w:r w:rsidRPr="00302B9C">
        <w:rPr>
          <w:rFonts w:ascii="Garamond" w:hAnsi="Garamond" w:cs="Arial"/>
        </w:rPr>
        <w:t xml:space="preserve"> Consultora Pluss S.A. y al Sr. Ricardo Antonio Améstica como contador certificante titular </w:t>
      </w:r>
      <w:r>
        <w:rPr>
          <w:rFonts w:ascii="Garamond" w:hAnsi="Garamond" w:cs="Arial"/>
        </w:rPr>
        <w:t xml:space="preserve">y al Sr. </w:t>
      </w:r>
      <w:r w:rsidRPr="00B872D2">
        <w:rPr>
          <w:rFonts w:ascii="Garamond" w:hAnsi="Garamond" w:cs="Arial"/>
        </w:rPr>
        <w:t xml:space="preserve">Augusto Luciano </w:t>
      </w:r>
      <w:r w:rsidR="004F4603" w:rsidRPr="00B872D2">
        <w:rPr>
          <w:rFonts w:ascii="Garamond" w:hAnsi="Garamond" w:cs="Arial"/>
        </w:rPr>
        <w:t>Gómez</w:t>
      </w:r>
      <w:r w:rsidRPr="00B872D2">
        <w:rPr>
          <w:rFonts w:ascii="Garamond" w:hAnsi="Garamond" w:cs="Arial"/>
        </w:rPr>
        <w:t xml:space="preserve"> </w:t>
      </w:r>
      <w:r w:rsidRPr="00B11761">
        <w:rPr>
          <w:rFonts w:ascii="Garamond" w:hAnsi="Garamond" w:cs="Arial"/>
        </w:rPr>
        <w:t xml:space="preserve">como contador certificante </w:t>
      </w:r>
      <w:r>
        <w:rPr>
          <w:rFonts w:ascii="Garamond" w:hAnsi="Garamond" w:cs="Arial"/>
        </w:rPr>
        <w:t>suplente</w:t>
      </w:r>
      <w:r w:rsidRPr="00B11761">
        <w:rPr>
          <w:rFonts w:ascii="Garamond" w:hAnsi="Garamond" w:cs="Arial"/>
        </w:rPr>
        <w:t xml:space="preserve"> </w:t>
      </w:r>
      <w:r w:rsidRPr="00302B9C">
        <w:rPr>
          <w:rFonts w:ascii="Garamond" w:hAnsi="Garamond" w:cs="Arial"/>
        </w:rPr>
        <w:t>de la Sociedad para el ejercicio iniciado el 1 de octubre de 201</w:t>
      </w:r>
      <w:r>
        <w:rPr>
          <w:rFonts w:ascii="Garamond" w:hAnsi="Garamond" w:cs="Arial"/>
        </w:rPr>
        <w:t>8</w:t>
      </w:r>
      <w:r w:rsidRPr="00302B9C">
        <w:rPr>
          <w:rFonts w:ascii="Garamond" w:hAnsi="Garamond" w:cs="Arial"/>
        </w:rPr>
        <w:t>, conforme las disposiciones del artículo 28 de la Sección VI del Capítulo III de las Normas de la Comisión Nacional de Valores. Puesto a consideración de los presentes, la moción resulta aprobada por unanimidad.</w:t>
      </w:r>
    </w:p>
    <w:p w14:paraId="6DF5BCBB" w14:textId="77777777" w:rsidR="00CB66B8" w:rsidRDefault="00CB66B8" w:rsidP="00CB66B8">
      <w:pPr>
        <w:spacing w:line="360" w:lineRule="auto"/>
        <w:jc w:val="both"/>
        <w:rPr>
          <w:rFonts w:ascii="Garamond" w:hAnsi="Garamond" w:cs="Arial"/>
        </w:rPr>
      </w:pPr>
    </w:p>
    <w:p w14:paraId="612980CE" w14:textId="3B10D847" w:rsidR="006E1807" w:rsidRPr="006E1807" w:rsidRDefault="00761D2D" w:rsidP="006E1807">
      <w:pPr>
        <w:spacing w:line="360" w:lineRule="auto"/>
        <w:jc w:val="both"/>
        <w:rPr>
          <w:rFonts w:ascii="Garamond" w:hAnsi="Garamond" w:cs="Arial"/>
        </w:rPr>
      </w:pPr>
      <w:r>
        <w:rPr>
          <w:rFonts w:ascii="Garamond" w:hAnsi="Garamond" w:cs="Arial"/>
          <w:b/>
        </w:rPr>
        <w:t>4</w:t>
      </w:r>
      <w:r w:rsidR="006E1807" w:rsidRPr="006E1807">
        <w:rPr>
          <w:rFonts w:ascii="Garamond" w:hAnsi="Garamond" w:cs="Arial"/>
          <w:b/>
        </w:rPr>
        <w:t>)</w:t>
      </w:r>
      <w:r w:rsidR="006E1807" w:rsidRPr="006E1807">
        <w:rPr>
          <w:rFonts w:ascii="Garamond" w:hAnsi="Garamond" w:cs="Arial"/>
        </w:rPr>
        <w:t xml:space="preserve"> </w:t>
      </w:r>
      <w:r w:rsidR="006E1807" w:rsidRPr="006E1807">
        <w:rPr>
          <w:rFonts w:ascii="Garamond" w:hAnsi="Garamond" w:cs="Arial"/>
          <w:b/>
          <w:u w:val="single"/>
        </w:rPr>
        <w:t>Actualización de la información contenida en el prospecto del programa global de emisión de obligaciones negociables simples (no convertibles en acciones) de la Sociedad</w:t>
      </w:r>
      <w:r w:rsidR="006E1807" w:rsidRPr="006E1807">
        <w:rPr>
          <w:rFonts w:ascii="Garamond" w:hAnsi="Garamond" w:cs="Arial"/>
        </w:rPr>
        <w:t>. Toma la</w:t>
      </w:r>
      <w:r w:rsidR="004F4603">
        <w:rPr>
          <w:rFonts w:ascii="Garamond" w:hAnsi="Garamond" w:cs="Arial"/>
        </w:rPr>
        <w:t xml:space="preserve"> palabra el </w:t>
      </w:r>
      <w:r w:rsidR="004F4603" w:rsidRPr="004F4603">
        <w:rPr>
          <w:rFonts w:ascii="Garamond" w:hAnsi="Garamond" w:cs="Arial"/>
        </w:rPr>
        <w:t xml:space="preserve">Señor </w:t>
      </w:r>
      <w:r w:rsidR="006E1807" w:rsidRPr="004F4603">
        <w:rPr>
          <w:rFonts w:ascii="Garamond" w:hAnsi="Garamond" w:cs="Arial"/>
        </w:rPr>
        <w:t>Jorge Horacio Brito y</w:t>
      </w:r>
      <w:r w:rsidR="006E1807" w:rsidRPr="006E1807">
        <w:rPr>
          <w:rFonts w:ascii="Garamond" w:hAnsi="Garamond" w:cs="Arial"/>
        </w:rPr>
        <w:t xml:space="preserve"> manifiesta que, como es de conocimiento de los Señores Directores, la Asamblea General Ordinaria de Accionistas de la Sociedad realizada el 28 de octubre de 2011 (la “Primer Asamblea”) autorizó la creación de un programa global de emisión de obligaciones negociables simples, no convertibles en acciones, a corto, mediano o largo plazo, subordinadas o no, con o sin garantía, y a ser denominadas en Pesos o en cualquier otra moneda por un monto máximo en circulación de hasta U$S100.000.000 (Dólares cien millones) (o su equivalente en otras monedas). Asimismo, con fecha 31 de octubre de 2011, este Directorio aprobó los términos y condiciones básicos del Programa, el cual que fuera aprobado oportunamente por la CNV mediante la Resolución N° 16.744 de fecha 14 de febrero de 2012 por un plazo de 5 años (el “Programa”), la Asamblea General Ordinaria de Accionistas de la Sociedad de fecha 24 de enero de 2017 conforme fuera ratificada por la Asamblea Extraordinaria de Accionistas el 30 de marzo de 2017 (la “Segunda Asamblea” y junto con la Primer Asamblea, las “Asambleas”) autorizó la prórroga del Programa con los mismos términos y condiciones que la Primer Asamblea. La prórroga del plazo del Programa ha sido autorizada por Resolución N° 18.729 de fecha de 1 de junio de 2017. A los fines de dar cumplimiento con las Normas de la CNV, y en virtud de que oportunamente los estados contables de la Sociedad correspondientes al ejercicio anual finalizado el 30 de septiembre de 2019 serán tratados por la asamblea de accionistas, resulta necesario proceder con la actualización de la información del Prospecto del Programa. En consecuencia se propone aprobar el texto preliminar del mencionado Prospecto del Programa a ser presentado ante la CNV, cuyo borrador fue distribuido entre los Directores con suficiente anterioridad a esta reunión. Seguidamente, los directores participantes </w:t>
      </w:r>
      <w:r w:rsidR="006E1807" w:rsidRPr="006E1807">
        <w:rPr>
          <w:rFonts w:ascii="Garamond" w:hAnsi="Garamond" w:cs="Arial"/>
          <w:b/>
          <w:u w:val="single"/>
        </w:rPr>
        <w:t>RESUELVEN</w:t>
      </w:r>
      <w:r w:rsidR="006E1807" w:rsidRPr="006E1807">
        <w:rPr>
          <w:rFonts w:ascii="Garamond" w:hAnsi="Garamond" w:cs="Arial"/>
        </w:rPr>
        <w:t xml:space="preserve"> por unanimidad aprobar la actualización del Programa y la versión preliminar del Prospecto de Actualización del Programa sometido a consideración.</w:t>
      </w:r>
    </w:p>
    <w:p w14:paraId="103F383B" w14:textId="77777777" w:rsidR="006E1807" w:rsidRPr="006E1807" w:rsidRDefault="006E1807" w:rsidP="006E1807">
      <w:pPr>
        <w:spacing w:line="360" w:lineRule="auto"/>
        <w:jc w:val="both"/>
        <w:rPr>
          <w:rFonts w:ascii="Garamond" w:hAnsi="Garamond" w:cs="Arial"/>
        </w:rPr>
      </w:pPr>
    </w:p>
    <w:p w14:paraId="645CD74B" w14:textId="35D5C1B2" w:rsidR="006E1807" w:rsidRPr="006E1807" w:rsidRDefault="00761D2D" w:rsidP="006E1807">
      <w:pPr>
        <w:spacing w:line="360" w:lineRule="auto"/>
        <w:jc w:val="both"/>
        <w:rPr>
          <w:rFonts w:ascii="Garamond" w:hAnsi="Garamond" w:cs="Arial"/>
        </w:rPr>
      </w:pPr>
      <w:r>
        <w:rPr>
          <w:rFonts w:ascii="Garamond" w:hAnsi="Garamond" w:cs="Arial"/>
          <w:b/>
        </w:rPr>
        <w:lastRenderedPageBreak/>
        <w:t>5</w:t>
      </w:r>
      <w:r w:rsidR="006E1807" w:rsidRPr="006E1807">
        <w:rPr>
          <w:rFonts w:ascii="Garamond" w:hAnsi="Garamond" w:cs="Arial"/>
          <w:b/>
        </w:rPr>
        <w:t>)</w:t>
      </w:r>
      <w:r w:rsidR="006E1807" w:rsidRPr="006E1807">
        <w:rPr>
          <w:rFonts w:ascii="Garamond" w:hAnsi="Garamond" w:cs="Arial"/>
        </w:rPr>
        <w:t xml:space="preserve"> </w:t>
      </w:r>
      <w:r w:rsidR="006E1807" w:rsidRPr="006E1807">
        <w:rPr>
          <w:rFonts w:ascii="Garamond" w:hAnsi="Garamond" w:cs="Arial"/>
          <w:b/>
          <w:u w:val="single"/>
        </w:rPr>
        <w:t>Emisión de Obligaciones Negociables Clase 7 por hasta un monto de $400.000.000 (Pesos Cuatrocientos Millones) bajo el Programa. Consideración de sus términos y condiciones</w:t>
      </w:r>
      <w:r w:rsidR="006E1807" w:rsidRPr="006E1807">
        <w:rPr>
          <w:rFonts w:ascii="Garamond" w:hAnsi="Garamond" w:cs="Arial"/>
        </w:rPr>
        <w:t xml:space="preserve">. Continúa en uso de la palabra el </w:t>
      </w:r>
      <w:r w:rsidR="006E1807" w:rsidRPr="004F4603">
        <w:rPr>
          <w:rFonts w:ascii="Garamond" w:hAnsi="Garamond" w:cs="Arial"/>
        </w:rPr>
        <w:t>Seño</w:t>
      </w:r>
      <w:r w:rsidR="004F4603" w:rsidRPr="004F4603">
        <w:rPr>
          <w:rFonts w:ascii="Garamond" w:hAnsi="Garamond" w:cs="Arial"/>
        </w:rPr>
        <w:t xml:space="preserve">r </w:t>
      </w:r>
      <w:r w:rsidR="006E1807" w:rsidRPr="004F4603">
        <w:rPr>
          <w:rFonts w:ascii="Garamond" w:hAnsi="Garamond" w:cs="Arial"/>
        </w:rPr>
        <w:t>Jorge Horacio Brito</w:t>
      </w:r>
      <w:r w:rsidR="004F4603" w:rsidRPr="004F4603">
        <w:rPr>
          <w:rFonts w:ascii="Garamond" w:hAnsi="Garamond" w:cs="Arial"/>
        </w:rPr>
        <w:t xml:space="preserve"> </w:t>
      </w:r>
      <w:r w:rsidR="006E1807" w:rsidRPr="004F4603">
        <w:rPr>
          <w:rFonts w:ascii="Garamond" w:hAnsi="Garamond" w:cs="Arial"/>
        </w:rPr>
        <w:t>y manifiesta</w:t>
      </w:r>
      <w:r w:rsidR="006E1807" w:rsidRPr="006E1807">
        <w:rPr>
          <w:rFonts w:ascii="Garamond" w:hAnsi="Garamond" w:cs="Arial"/>
        </w:rPr>
        <w:t xml:space="preserve"> que, en virtud de las necesidades de financiamiento de la Sociedad y de las actuales condiciones de mercado, y en el contexto de la delegación de facultades efectuada en este Directorio por la Asamblea para la determinación de la oportunidad de emisión de las clases y/o series de obligaciones negociables bajo el Programa, las cuales fueron renovadas por la asamblea con fecha 10 de enero de 2019, resulta oportuno analizar los términos y condiciones de la emisión por parte de la Sociedad, bajo el Programa, de una o más clase de obligaciones negociables por un monto de hasta $400.000.000 (Pesos cuatrocientos millones) (las “Obligaciones Negociables”). Los términos y condiciones de las Obligaciones Negociables no se transcriben en forma completa en actas por motivos de practicidad, pero están incluidos en el borrador del suplemento de CNV que los Señores Directores han tenido a la vista y revisado con suficiente antelación. </w:t>
      </w:r>
    </w:p>
    <w:p w14:paraId="58BC4A5C" w14:textId="77777777" w:rsidR="006E1807" w:rsidRPr="006E1807" w:rsidRDefault="006E1807" w:rsidP="006E1807">
      <w:pPr>
        <w:spacing w:line="360" w:lineRule="auto"/>
        <w:jc w:val="both"/>
        <w:rPr>
          <w:rFonts w:ascii="Garamond" w:hAnsi="Garamond" w:cs="Arial"/>
        </w:rPr>
      </w:pPr>
    </w:p>
    <w:p w14:paraId="4A7D9DC3" w14:textId="77777777" w:rsidR="006E1807" w:rsidRPr="006E1807" w:rsidRDefault="006E1807" w:rsidP="006E1807">
      <w:pPr>
        <w:spacing w:line="360" w:lineRule="auto"/>
        <w:jc w:val="both"/>
        <w:rPr>
          <w:rFonts w:ascii="Garamond" w:hAnsi="Garamond" w:cs="Arial"/>
        </w:rPr>
      </w:pPr>
      <w:r w:rsidRPr="006E1807">
        <w:rPr>
          <w:rFonts w:ascii="Garamond" w:hAnsi="Garamond" w:cs="Arial"/>
        </w:rPr>
        <w:t xml:space="preserve">En tal sentido, el Señor Jorge Horacio Brito propone aprobar la emisión y colocación por oferta pública de las Obligaciones Negociables, según los siguientes términos y condiciones: (i) Emisor: Inversora Juramento S.A.; (ii) Clases: una única clase; (iii) Descripción: Las Obligaciones Negociables serán obligaciones simples, no convertibles en acciones; (iv) Moneda: Las Obligaciones Negociables estarán denominadas y serán pagaderas en Pesos, o en aquella otra moneda que oportunamente determinen las personas autorizadas en este acta; (v) Valor nominal: hasta $400.000.000 (Pesos Cuatrocientos Millones). El valor nominal definitivo de las Obligaciones Negociables será determinado por las personas autorizadas en este acta con anterioridad a la Fecha de Emisión; (vi) Fecha de Emisión: Será la que oportunamente determinen las personas autorizadas en este acta; (vii) Suscripción e integración: Las Obligaciones Negociables serán suscriptas e integradas en Pesos, o en aquella otra moneda que oportunamente determinen las personas autorizadas en este acta, en forma directa por los inversores en, o antes de, la Fecha de Emisión y serán acreditadas en sus respectivas cuentas de Caja de Valores S.A. (“CVSA”); (viii) Precio de Emisión: 100% del valor nominal, salvo que el correspondiente suplemento de precio definitivo disponga lo contrario conforme lo determinen las personas autorizadas en este acta; (ix) Fecha de Vencimiento: La fecha oportunamente determinada por las personas autorizadas en este acta; (x) Amortización: el capital de las Obligaciones Negociables se repagará en una o más cuotas, con o sin períodos de gracia, según el cronograma de amortización que determinen las personas autorizadas en este acta; (xi) Intereses: El capital no amortizado de las Obligaciones Negociables devengará intereses a una tasa variable o tasa fija o una combinación de ambas desde la Fecha de Emisión y hasta la fecha en que dicho capital sea totalmente amortizado. Salvo que se disponga lo contrario en el correspondiente suplemento de precio definitivo, conforme lo determinen las personas autorizadas en este acta, la tasa de interés podrá ser igual a la Tasa de Referencia más el Margen Diferencial, el que será determinado por las personas autorizadas en este acta con anterioridad a la Fecha de Emisión pudiendo combinar con una Tasa Fija para un periodo determinado. La Tasa de Referencia será la Tasa Badlar Banco Privados, entendiéndose por tal la tasa de interés promedio ponderado por monto, correspondiente a depósitos a plazo fijo de 30 a 35 días de plazo de más de $1.000.000 para los Bancos Privados Informantes que se publica diariamente </w:t>
      </w:r>
      <w:r w:rsidRPr="006E1807">
        <w:rPr>
          <w:rFonts w:ascii="Garamond" w:hAnsi="Garamond" w:cs="Arial"/>
        </w:rPr>
        <w:lastRenderedPageBreak/>
        <w:t xml:space="preserve">en el boletín estadístico del Banco Central de la República Argentina (el “BCRA”). En caso que el BCRA suspenda la publicación de dicha tasa de interés, (i) se considerará la tasa sustituta de dicha tasa que informe el BCRA, o (ii) en caso de no existir dicha tasa sustituta, la Tasa de Referencia se calculará considerando como representativa el promedio de tasas para idéntico plazo por los cinco primeros bancos privados según el último informe de depósitos disponible publicado por el BCRA; (xii) Fechas de Pago de Intereses: Los intereses se pagarán trimestralmente desde la Fecha de Emisión hasta la Fecha de Vencimiento, o de la forma que determinen las personas autorizadas en este acta; (xiii) Rescate por Razones Impositivas: Salvo que se disponga lo contrario en el correspondiente suplemento de precio definitivo, conforme lo determinen las personas autorizadas en este acta, las Obligaciones Negociables podrán ser rescatadas a opción de la Sociedad en su totalidad, pero no parcialmente, en caso que tuvieran lugar ciertos cambios impositivos que generen en la Sociedad la obligación de pagar ciertos montos adicionales bajo las Obligaciones Negociables, y en las condiciones dispuestas en el Programa; (xiv) Compromisos de la Sociedad: La Sociedad deberá cumplir con los compromisos previstos bajo el Programa mientras cualquiera de las Obligaciones Negociables se encuentre en circulación; (xv) Forma: Las Obligaciones Negociables estarán representadas por un certificado global permanente que será depositado en CVSA, o tendrán aquella otra forma que oportunamente determinen las personas autorizadas en este acta; (xvi) Rango: Las Obligaciones Negociables constituirán un endeudamiento directo, incondicional, no privilegiado y no subordinado de la Sociedad y, salvo que se disponga lo contrario en el correspondiente suplemento de precio definitivo conforme lo determinen las personas autorizadas en este acta, tendrán en todo momento al menos el mismo rango en su derecho de pago que todas las deudas existentes y futuras no privilegiadas y no subordinadas de la Sociedad (salvo las obligaciones que gozan de preferencia por ley); (xvii) Monto Mínimo de Suscripción: $1.000 y múltiplos de $1 por encima de dicho monto, o aquellos otros montos que oportunamente determinen las personas autorizadas en este acta; (xviii) Denominación Mínima y Unidad Mínima de Negociación: La denominación mínima de las Obligaciones Negociables será $1000, o aquel otro monto que oportunamente determinen las personas autorizadas en este acta. Las Obligaciones Negociables sólo podrán ser negociadas por montos iguales a $1.000 o múltiplos de $1 por encima de dicho monto; (xix) Destino de los Fondos: La Sociedad utilizará la totalidad del producido neto de la colocación de las Obligaciones Negociables para cualquiera de los destinos permitidos por el artículo 36 de la Ley de Obligaciones Negociables, el que será oportunamente determinado por las personas autorizadas en este acta; (xx) Colocador: será Macro Securities S.A. y/o la/s entidad/es que oportunamente determinen las personas autorizadas en este acta; (xxi) Agente de Cálculo: será la Sociedad o la entidad que oportunamente determinen las personas autorizadas en este acta; (xxii) Supuestos de Incumplimiento: Se considerarán supuestos de incumplimiento los dispuestos en el Programa; (xxiii) Ley Aplicable: Las Obligaciones Negociables se emitirán de conformidad con la Ley N° 23.576 de Obligaciones Negociables (según fuera modificada y complementada, la “Ley de Obligaciones Negociables”), con la Ley de Mercado de Capitales, y con las restantes normas vigentes incluyendo, sin limitación, las Normas de la CNV que resulten de aplicación a la colocación por oferta pública de dichos títulos; (xxiv) Jurisdicción: Toda controversia que se suscite entre la Sociedad y los tenedores en relación con las Obligaciones Negociables se podrá someter a la jurisdicción del Tribunal de Arbitraje General de la BCBA o </w:t>
      </w:r>
      <w:r w:rsidRPr="006E1807">
        <w:rPr>
          <w:rFonts w:ascii="Garamond" w:hAnsi="Garamond" w:cs="Arial"/>
        </w:rPr>
        <w:lastRenderedPageBreak/>
        <w:t>el que se cree en el futuro en la BCBA de conformidad con el artículo 46 de la Ley de Mercado de Capitales. No obstante lo anterior, los inversores tendrán el derecho de optar por acudir a los tribunales judiciales competentes; (xxv) Acción Ejecutiva: Las Obligaciones Negociables serán emitidas de conformidad con la Ley de Obligaciones Negociables, constituirán “obligaciones negociables” en los términos de esta y gozarán de los derechos allí establecidos; (xxvi) Listado y Negociación: Se podrá solicitar la cotización de las Obligaciones Negociables en Bolsas y Mercados Argentinos S.A. (“BYMA”) y su negociación en el Mercado Abierto Electrónico (el “MAE”); (xxvii) Mecanismo de Colocación: Las Obligaciones Negociables serán colocadas por oferta pública de acuerdo con los mecanismos previstos usualmente para este tipo de transacciones en el mercado de capitales de Argentina, y en cumplimiento de las normas de la CNV; (xxviii) Calificadoras de Riesgo: una o más calificadoras de riesgo debidamente registradas en CNV, que sean seleccionadas por las personas autorizadas en este acta. Luego de una breve deliberación, se RESUELVE por unanimidad aprobar la moción y aprobar el borrador del suplemento de precio preliminar a ser presentado ante la CNV, que con anterioridad a la celebración de esta reunión se distribuyó entre los señores miembros del Directorio y de la Comisión Fiscalizadora para su análisis, y el cual por razones de índole práctica no se transcribe en este acta.</w:t>
      </w:r>
    </w:p>
    <w:p w14:paraId="501A22B9" w14:textId="77777777" w:rsidR="006E1807" w:rsidRPr="006E1807" w:rsidRDefault="006E1807" w:rsidP="006E1807">
      <w:pPr>
        <w:spacing w:line="360" w:lineRule="auto"/>
        <w:jc w:val="both"/>
        <w:rPr>
          <w:rFonts w:ascii="Garamond" w:hAnsi="Garamond" w:cs="Arial"/>
        </w:rPr>
      </w:pPr>
    </w:p>
    <w:p w14:paraId="15B2E7BB" w14:textId="17916FEB" w:rsidR="006E1807" w:rsidRPr="006E1807" w:rsidRDefault="00761D2D" w:rsidP="006E1807">
      <w:pPr>
        <w:spacing w:line="360" w:lineRule="auto"/>
        <w:jc w:val="both"/>
        <w:rPr>
          <w:rFonts w:ascii="Garamond" w:hAnsi="Garamond" w:cs="Arial"/>
        </w:rPr>
      </w:pPr>
      <w:r>
        <w:rPr>
          <w:rFonts w:ascii="Garamond" w:hAnsi="Garamond" w:cs="Arial"/>
          <w:b/>
        </w:rPr>
        <w:t>6</w:t>
      </w:r>
      <w:r w:rsidR="006E1807" w:rsidRPr="006E1807">
        <w:rPr>
          <w:rFonts w:ascii="Garamond" w:hAnsi="Garamond" w:cs="Arial"/>
          <w:b/>
        </w:rPr>
        <w:t xml:space="preserve">) </w:t>
      </w:r>
      <w:r w:rsidR="006E1807" w:rsidRPr="006E1807">
        <w:rPr>
          <w:rFonts w:ascii="Garamond" w:hAnsi="Garamond" w:cs="Arial"/>
          <w:b/>
          <w:u w:val="single"/>
        </w:rPr>
        <w:t>Subdelegaciones. Autorizaciones en relación con la emisión de las Obligaciones Negociables</w:t>
      </w:r>
      <w:r w:rsidR="006E1807" w:rsidRPr="006E1807">
        <w:rPr>
          <w:rFonts w:ascii="Garamond" w:hAnsi="Garamond" w:cs="Arial"/>
        </w:rPr>
        <w:t xml:space="preserve">. </w:t>
      </w:r>
    </w:p>
    <w:p w14:paraId="0B70A038" w14:textId="77777777" w:rsidR="006E1807" w:rsidRPr="006E1807" w:rsidRDefault="006E1807" w:rsidP="006E1807">
      <w:pPr>
        <w:spacing w:line="360" w:lineRule="auto"/>
        <w:jc w:val="both"/>
        <w:rPr>
          <w:rFonts w:ascii="Garamond" w:hAnsi="Garamond" w:cs="Arial"/>
        </w:rPr>
      </w:pPr>
    </w:p>
    <w:p w14:paraId="7ABF290E" w14:textId="177236B5" w:rsidR="006E1807" w:rsidRPr="006E1807" w:rsidRDefault="006E1807" w:rsidP="006E1807">
      <w:pPr>
        <w:spacing w:line="360" w:lineRule="auto"/>
        <w:jc w:val="both"/>
        <w:rPr>
          <w:rFonts w:ascii="Garamond" w:hAnsi="Garamond" w:cs="Arial"/>
        </w:rPr>
      </w:pPr>
      <w:r w:rsidRPr="006E1807">
        <w:rPr>
          <w:rFonts w:ascii="Garamond" w:hAnsi="Garamond" w:cs="Arial"/>
        </w:rPr>
        <w:t>Adicionalmente, e</w:t>
      </w:r>
      <w:r w:rsidR="004F4603">
        <w:rPr>
          <w:rFonts w:ascii="Garamond" w:hAnsi="Garamond" w:cs="Arial"/>
        </w:rPr>
        <w:t xml:space="preserve">l </w:t>
      </w:r>
      <w:r w:rsidR="004F4603" w:rsidRPr="004F4603">
        <w:rPr>
          <w:rFonts w:ascii="Garamond" w:hAnsi="Garamond" w:cs="Arial"/>
        </w:rPr>
        <w:t xml:space="preserve">Señor </w:t>
      </w:r>
      <w:r w:rsidRPr="004F4603">
        <w:rPr>
          <w:rFonts w:ascii="Garamond" w:hAnsi="Garamond" w:cs="Arial"/>
        </w:rPr>
        <w:t>Jorge Horacio Brito propone</w:t>
      </w:r>
      <w:r w:rsidRPr="006E1807">
        <w:rPr>
          <w:rFonts w:ascii="Garamond" w:hAnsi="Garamond" w:cs="Arial"/>
        </w:rPr>
        <w:t xml:space="preserve"> aprobar la subdelegación de facultades </w:t>
      </w:r>
      <w:r w:rsidRPr="00D0270F">
        <w:rPr>
          <w:rFonts w:ascii="Garamond" w:hAnsi="Garamond" w:cs="Arial"/>
        </w:rPr>
        <w:t xml:space="preserve">en </w:t>
      </w:r>
      <w:r w:rsidR="00795876" w:rsidRPr="00D0270F">
        <w:rPr>
          <w:rFonts w:ascii="Garamond" w:hAnsi="Garamond" w:cs="Arial"/>
        </w:rPr>
        <w:t>Santiago Horacio Seeber</w:t>
      </w:r>
      <w:r w:rsidR="00D0270F" w:rsidRPr="00D0270F">
        <w:rPr>
          <w:rFonts w:ascii="Garamond" w:hAnsi="Garamond" w:cs="Arial"/>
        </w:rPr>
        <w:t>, Marcos Brito</w:t>
      </w:r>
      <w:r w:rsidR="00795876" w:rsidRPr="00D0270F">
        <w:rPr>
          <w:rFonts w:ascii="Garamond" w:hAnsi="Garamond" w:cs="Arial"/>
        </w:rPr>
        <w:t xml:space="preserve"> y Jorge Pablo Brito, </w:t>
      </w:r>
      <w:r w:rsidRPr="00D0270F">
        <w:rPr>
          <w:rFonts w:ascii="Garamond" w:hAnsi="Garamond" w:cs="Arial"/>
        </w:rPr>
        <w:t>y por lo</w:t>
      </w:r>
      <w:r w:rsidRPr="006E1807">
        <w:rPr>
          <w:rFonts w:ascii="Garamond" w:hAnsi="Garamond" w:cs="Arial"/>
        </w:rPr>
        <w:t xml:space="preserve"> tanto otorgar un poder especial a su favor, para que cualesquiera de ellos en forma indistinta, en nombre y representación de la Sociedad, ejerza la totalidad de las facultades que la Asamblea delegó en este Directorio, incluyendo sin limitación la facultad para fijar los términos y condiciones definitivos relativos a la emisión de las Obligaciones Negociables; para negociar y firmar las versiones definitivas de los documentos de la oferta, pudiendo incluso modificar los términos previamente aprobados; para determinar la Fecha de Vencimiento, cantidad de cuotas y amortización, contratar agentes subcolocadores, agentes de cálculo, agentes de registro y pago, incluyendo sin limitación, contratar con CVSA, calificadoras de riesgo y cualquier otro agente que pudiera ser necesario y/o conveniente en relación con las Obligaciones Negociables, así como para negociar y fijar los términos y condiciones de los contratos eventualmente suscriptos con éstos y eventualmente firmar estos contratos y cualesquiera notificaciones, instrucciones y/u otra documentación accesoria o relacionada con estos; para negociar, aprobar, suscribir y eventualmente modificar, prorrogar o complementar, todos y cada uno de los documentos y contratos relativos a, y/o relacionados con, la emisión de las Obligaciones Negociables (incluyendo sin limitación cualquier actualización de prospecto de Programa, en sus versiones completa y resumida, cualquier suplemento del prospecto, el suplemento de precio definitivo, el contrato de colocación de las Obligaciones Negociables, cualquier contrato de agencia de cálculo o de agencia de registro y/o pago o similar en relación con las Obligaciones Negociables y/o cualquier enmienda y/o prórroga a estos y cualquier otra clase de contratos, notificaciones u otros instrumentos que puedan otorgarse en relación con las Obligaciones Negociables) y, </w:t>
      </w:r>
      <w:r w:rsidRPr="006E1807">
        <w:rPr>
          <w:rFonts w:ascii="Garamond" w:hAnsi="Garamond" w:cs="Arial"/>
        </w:rPr>
        <w:lastRenderedPageBreak/>
        <w:t xml:space="preserve">asimismo, para resolver, de acuerdo a la situación de mercado imperante en el momento oportuno, la emisión de las Obligaciones Negociables, o para declarar desierta la colocación y no emitir Obligaciones Negociables o para </w:t>
      </w:r>
      <w:r w:rsidRPr="004F4603">
        <w:rPr>
          <w:rFonts w:ascii="Garamond" w:hAnsi="Garamond" w:cs="Arial"/>
        </w:rPr>
        <w:t>decidir emisiones adicionales de Obligaciones Negociables en una o más series. Por último, el Señor Jorge Horacio Brito</w:t>
      </w:r>
      <w:r w:rsidRPr="006E1807">
        <w:rPr>
          <w:rFonts w:ascii="Garamond" w:hAnsi="Garamond" w:cs="Arial"/>
        </w:rPr>
        <w:t xml:space="preserve"> propone autorizar a cualquiera de los miembros del Directorio a elevar la presente a escritura pública, firmando al efecto la escritura pública respectiva de elevación del poder especial antes descripto, así como autorizar a los Dres. Hugo N. L. Bruzone, José María Bazán, Pablo Nisim Schreiber, Leandro Belusci, Paula Mariel Ferreira Juan Barros Moss, Agustin Bauer, Cristian Ragucci, Facundo Sainato, Luisina Rossi, Santiago Duhalde, Lucila Dorado, Manuel Etchevehere</w:t>
      </w:r>
      <w:r w:rsidR="007114A7">
        <w:rPr>
          <w:rFonts w:ascii="Garamond" w:hAnsi="Garamond" w:cs="Arial"/>
        </w:rPr>
        <w:t>, Verónica Paola Apollonio, Maria Amparo Cangueiro</w:t>
      </w:r>
      <w:r w:rsidRPr="006E1807">
        <w:rPr>
          <w:rFonts w:ascii="Garamond" w:hAnsi="Garamond" w:cs="Arial"/>
        </w:rPr>
        <w:t xml:space="preserve"> y Josefina Reyes , para que cualquiera de ellos, actuando separada, conjunta, alternativa o indistintamente, realice con las más amplias facultades, incluyendo las de tomar vista de actuaciones, publicar edictos y avisos, presentar escritos y recibir notificaciones, todos los trámites y gestiones que estimen necesarios para obtener las registraciones y aprobaciones de lo resuelto en la presente, ante la CNV, el BYMA, el MAE u otras bolsas de comercio o entidades autorreguladas, la CVSA, el Boletín Oficial y cualquier otra entidad pública o privada que pudiera resultar necesario en relación con la oferta pública, cotización y negociación de las Obligaciones Negociables. Luego de una breve deliberación, </w:t>
      </w:r>
      <w:r w:rsidRPr="006E1807">
        <w:rPr>
          <w:rFonts w:ascii="Garamond" w:hAnsi="Garamond" w:cs="Arial"/>
          <w:b/>
          <w:u w:val="single"/>
        </w:rPr>
        <w:t>RESUELVE</w:t>
      </w:r>
      <w:r w:rsidRPr="006E1807">
        <w:rPr>
          <w:rFonts w:ascii="Garamond" w:hAnsi="Garamond" w:cs="Arial"/>
        </w:rPr>
        <w:t xml:space="preserve"> por unanimidad aprobar la moción.</w:t>
      </w:r>
    </w:p>
    <w:p w14:paraId="5D5F211F" w14:textId="77777777" w:rsidR="006E1807" w:rsidRPr="00302B9C" w:rsidRDefault="006E1807" w:rsidP="00CB66B8">
      <w:pPr>
        <w:spacing w:line="360" w:lineRule="auto"/>
        <w:jc w:val="both"/>
        <w:rPr>
          <w:rFonts w:ascii="Garamond" w:hAnsi="Garamond" w:cs="Arial"/>
        </w:rPr>
      </w:pPr>
    </w:p>
    <w:p w14:paraId="075648A0" w14:textId="77777777" w:rsidR="00CB66B8" w:rsidRPr="00302B9C" w:rsidRDefault="00CB66B8" w:rsidP="00CB66B8">
      <w:pPr>
        <w:spacing w:line="360" w:lineRule="auto"/>
        <w:jc w:val="both"/>
        <w:rPr>
          <w:rFonts w:ascii="Garamond" w:hAnsi="Garamond" w:cs="Arial"/>
        </w:rPr>
      </w:pPr>
      <w:r w:rsidRPr="00302B9C">
        <w:rPr>
          <w:rFonts w:ascii="Garamond" w:hAnsi="Garamond" w:cs="Arial"/>
        </w:rPr>
        <w:t>Toma la palabra el Sr. Eugenio Martínez en representación de la Comisión Fiscalizadora quien deja expresa constancia de la regularidad de las decisiones adoptadas en la presente reunión de conformidad con lo previsto en el Artículo Décimo Tercero del Estatuto Social.</w:t>
      </w:r>
    </w:p>
    <w:p w14:paraId="142CCAD0" w14:textId="77777777" w:rsidR="00CB66B8" w:rsidRPr="00302B9C" w:rsidRDefault="00CB66B8" w:rsidP="00CB66B8">
      <w:pPr>
        <w:spacing w:line="360" w:lineRule="auto"/>
        <w:jc w:val="both"/>
        <w:rPr>
          <w:rFonts w:ascii="Garamond" w:hAnsi="Garamond" w:cs="Arial"/>
        </w:rPr>
      </w:pPr>
    </w:p>
    <w:p w14:paraId="156D593E" w14:textId="7DC15218" w:rsidR="00CB66B8" w:rsidRPr="00302B9C" w:rsidRDefault="00CB66B8" w:rsidP="00CB66B8">
      <w:pPr>
        <w:spacing w:line="360" w:lineRule="auto"/>
        <w:jc w:val="both"/>
        <w:rPr>
          <w:rFonts w:ascii="Garamond" w:hAnsi="Garamond" w:cs="Arial"/>
        </w:rPr>
      </w:pPr>
      <w:r w:rsidRPr="00302B9C">
        <w:rPr>
          <w:rFonts w:ascii="Garamond" w:hAnsi="Garamond" w:cs="Arial"/>
        </w:rPr>
        <w:t xml:space="preserve">No habiendo más asuntos que tratar, se levanta la sesión siendo las </w:t>
      </w:r>
      <w:r w:rsidR="004F4603">
        <w:rPr>
          <w:rFonts w:ascii="Garamond" w:hAnsi="Garamond" w:cs="Arial"/>
        </w:rPr>
        <w:t>11:40</w:t>
      </w:r>
      <w:r w:rsidR="00E52E7F">
        <w:rPr>
          <w:rFonts w:ascii="Garamond" w:hAnsi="Garamond" w:cs="Arial"/>
        </w:rPr>
        <w:t xml:space="preserve"> </w:t>
      </w:r>
      <w:r w:rsidRPr="00302B9C">
        <w:rPr>
          <w:rFonts w:ascii="Garamond" w:hAnsi="Garamond" w:cs="Arial"/>
        </w:rPr>
        <w:t>horas.</w:t>
      </w:r>
    </w:p>
    <w:p w14:paraId="1F056489" w14:textId="77777777" w:rsidR="00CB66B8" w:rsidRDefault="00CB66B8" w:rsidP="00CB66B8">
      <w:pPr>
        <w:spacing w:line="360" w:lineRule="auto"/>
        <w:jc w:val="both"/>
        <w:rPr>
          <w:rFonts w:ascii="Garamond" w:hAnsi="Garamond" w:cs="Arial"/>
        </w:rPr>
      </w:pPr>
    </w:p>
    <w:p w14:paraId="59036FF6" w14:textId="09F763E9" w:rsidR="004F4603" w:rsidRDefault="00CB66B8" w:rsidP="004F4603">
      <w:pPr>
        <w:spacing w:line="360" w:lineRule="auto"/>
        <w:jc w:val="both"/>
      </w:pPr>
      <w:r w:rsidRPr="00302B9C">
        <w:rPr>
          <w:rFonts w:ascii="Garamond" w:hAnsi="Garamond" w:cs="Arial"/>
        </w:rPr>
        <w:t>Firmado</w:t>
      </w:r>
      <w:r w:rsidRPr="004F4603">
        <w:rPr>
          <w:rFonts w:ascii="Garamond" w:hAnsi="Garamond" w:cs="Arial"/>
        </w:rPr>
        <w:t>:</w:t>
      </w:r>
      <w:r w:rsidRPr="004F4603">
        <w:t xml:space="preserve"> </w:t>
      </w:r>
      <w:r w:rsidR="004F4603" w:rsidRPr="004F4603">
        <w:rPr>
          <w:rFonts w:ascii="Garamond" w:eastAsia="Times New Roman" w:hAnsi="Garamond"/>
          <w:noProof/>
          <w:lang w:val="pt-BR" w:eastAsia="en-US"/>
        </w:rPr>
        <w:t>Eugenio Martinez</w:t>
      </w:r>
      <w:r w:rsidR="00235FA3">
        <w:rPr>
          <w:rFonts w:ascii="Garamond" w:eastAsia="Times New Roman" w:hAnsi="Garamond"/>
          <w:noProof/>
          <w:lang w:val="pt-BR" w:eastAsia="en-US"/>
        </w:rPr>
        <w:t xml:space="preserve"> (sindico)</w:t>
      </w:r>
      <w:r w:rsidR="004F4603" w:rsidRPr="004F4603">
        <w:rPr>
          <w:rFonts w:ascii="Garamond" w:eastAsia="Times New Roman" w:hAnsi="Garamond"/>
          <w:noProof/>
          <w:lang w:val="pt-BR" w:eastAsia="en-US"/>
        </w:rPr>
        <w:t>, Jorge Horacio Brito</w:t>
      </w:r>
      <w:r w:rsidR="00235FA3">
        <w:rPr>
          <w:rFonts w:ascii="Garamond" w:eastAsia="Times New Roman" w:hAnsi="Garamond"/>
          <w:noProof/>
          <w:lang w:val="pt-BR" w:eastAsia="en-US"/>
        </w:rPr>
        <w:t xml:space="preserve"> (presidente)</w:t>
      </w:r>
      <w:r w:rsidR="004F4603" w:rsidRPr="004F4603">
        <w:rPr>
          <w:rFonts w:ascii="Garamond" w:eastAsia="Times New Roman" w:hAnsi="Garamond"/>
          <w:noProof/>
          <w:lang w:val="pt-BR" w:eastAsia="en-US"/>
        </w:rPr>
        <w:t>, Marcos Brito</w:t>
      </w:r>
      <w:r w:rsidR="00235FA3">
        <w:rPr>
          <w:rFonts w:ascii="Garamond" w:eastAsia="Times New Roman" w:hAnsi="Garamond"/>
          <w:noProof/>
          <w:lang w:val="pt-BR" w:eastAsia="en-US"/>
        </w:rPr>
        <w:t xml:space="preserve"> (director)</w:t>
      </w:r>
      <w:r w:rsidR="004F4603" w:rsidRPr="004F4603">
        <w:rPr>
          <w:rFonts w:ascii="Garamond" w:eastAsia="Times New Roman" w:hAnsi="Garamond"/>
          <w:noProof/>
          <w:lang w:val="pt-BR" w:eastAsia="en-US"/>
        </w:rPr>
        <w:t>, Jorge Pablo Brito</w:t>
      </w:r>
      <w:r w:rsidR="00235FA3">
        <w:rPr>
          <w:rFonts w:ascii="Garamond" w:eastAsia="Times New Roman" w:hAnsi="Garamond"/>
          <w:noProof/>
          <w:lang w:val="pt-BR" w:eastAsia="en-US"/>
        </w:rPr>
        <w:t xml:space="preserve"> (vicepresidente)</w:t>
      </w:r>
      <w:r w:rsidR="004F4603" w:rsidRPr="004F4603">
        <w:rPr>
          <w:rFonts w:ascii="Garamond" w:eastAsia="Times New Roman" w:hAnsi="Garamond"/>
          <w:noProof/>
          <w:lang w:val="pt-BR" w:eastAsia="en-US"/>
        </w:rPr>
        <w:t>, Santiago Horacio Seeber</w:t>
      </w:r>
      <w:r w:rsidR="00235FA3">
        <w:rPr>
          <w:rFonts w:ascii="Garamond" w:eastAsia="Times New Roman" w:hAnsi="Garamond"/>
          <w:noProof/>
          <w:lang w:val="pt-BR" w:eastAsia="en-US"/>
        </w:rPr>
        <w:t xml:space="preserve"> (director)</w:t>
      </w:r>
      <w:r w:rsidR="004F4603" w:rsidRPr="004F4603">
        <w:rPr>
          <w:rFonts w:ascii="Garamond" w:eastAsia="Times New Roman" w:hAnsi="Garamond"/>
          <w:noProof/>
          <w:lang w:val="pt-BR" w:eastAsia="en-US"/>
        </w:rPr>
        <w:t xml:space="preserve">, Emilia Fornari </w:t>
      </w:r>
      <w:r w:rsidR="00235FA3">
        <w:rPr>
          <w:rFonts w:ascii="Garamond" w:eastAsia="Times New Roman" w:hAnsi="Garamond"/>
          <w:noProof/>
          <w:lang w:val="pt-BR" w:eastAsia="en-US"/>
        </w:rPr>
        <w:t xml:space="preserve">(director) </w:t>
      </w:r>
      <w:r w:rsidR="004F4603" w:rsidRPr="004F4603">
        <w:rPr>
          <w:rFonts w:ascii="Garamond" w:eastAsia="Times New Roman" w:hAnsi="Garamond"/>
          <w:noProof/>
          <w:lang w:val="pt-BR" w:eastAsia="en-US"/>
        </w:rPr>
        <w:t>y Natalia Godoy</w:t>
      </w:r>
      <w:r w:rsidR="00235FA3">
        <w:rPr>
          <w:rFonts w:ascii="Garamond" w:eastAsia="Times New Roman" w:hAnsi="Garamond"/>
          <w:noProof/>
          <w:lang w:val="pt-BR" w:eastAsia="en-US"/>
        </w:rPr>
        <w:t xml:space="preserve"> (director)</w:t>
      </w:r>
      <w:bookmarkStart w:id="0" w:name="_GoBack"/>
      <w:bookmarkEnd w:id="0"/>
      <w:r w:rsidR="00133B39">
        <w:rPr>
          <w:rFonts w:ascii="Garamond" w:eastAsia="Times New Roman" w:hAnsi="Garamond"/>
          <w:noProof/>
          <w:lang w:val="pt-BR" w:eastAsia="en-US"/>
        </w:rPr>
        <w:t>.</w:t>
      </w:r>
    </w:p>
    <w:p w14:paraId="1A412CF2" w14:textId="77777777" w:rsidR="004F4603" w:rsidRDefault="004F4603" w:rsidP="004F4603">
      <w:pPr>
        <w:spacing w:line="360" w:lineRule="auto"/>
        <w:jc w:val="both"/>
      </w:pPr>
    </w:p>
    <w:p w14:paraId="58A6824A" w14:textId="77777777" w:rsidR="00CD73D9" w:rsidRDefault="00CD73D9"/>
    <w:p w14:paraId="042AB5B1" w14:textId="77777777" w:rsidR="006E1807" w:rsidRDefault="006E1807"/>
    <w:sectPr w:rsidR="006E1807" w:rsidSect="000B09BB">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3710D" w14:textId="77777777" w:rsidR="00894145" w:rsidRDefault="00894145" w:rsidP="006E1807">
      <w:r>
        <w:separator/>
      </w:r>
    </w:p>
  </w:endnote>
  <w:endnote w:type="continuationSeparator" w:id="0">
    <w:p w14:paraId="7226CB05" w14:textId="77777777" w:rsidR="00894145" w:rsidRDefault="00894145" w:rsidP="006E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0F267" w14:textId="77777777" w:rsidR="00894145" w:rsidRDefault="00894145" w:rsidP="006E1807">
      <w:r>
        <w:separator/>
      </w:r>
    </w:p>
  </w:footnote>
  <w:footnote w:type="continuationSeparator" w:id="0">
    <w:p w14:paraId="69C37696" w14:textId="77777777" w:rsidR="00894145" w:rsidRDefault="00894145" w:rsidP="006E1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F28E3"/>
    <w:multiLevelType w:val="hybridMultilevel"/>
    <w:tmpl w:val="803CDE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6B8"/>
    <w:rsid w:val="00045FD8"/>
    <w:rsid w:val="00100B8E"/>
    <w:rsid w:val="001036A6"/>
    <w:rsid w:val="00133B39"/>
    <w:rsid w:val="0013744F"/>
    <w:rsid w:val="0019090E"/>
    <w:rsid w:val="00190993"/>
    <w:rsid w:val="00235FA3"/>
    <w:rsid w:val="002830DA"/>
    <w:rsid w:val="00352835"/>
    <w:rsid w:val="00362627"/>
    <w:rsid w:val="004163E4"/>
    <w:rsid w:val="004211FB"/>
    <w:rsid w:val="00493182"/>
    <w:rsid w:val="00494BE6"/>
    <w:rsid w:val="004C7A3C"/>
    <w:rsid w:val="004E239E"/>
    <w:rsid w:val="004F4603"/>
    <w:rsid w:val="00533753"/>
    <w:rsid w:val="00566BBD"/>
    <w:rsid w:val="006229B1"/>
    <w:rsid w:val="00657414"/>
    <w:rsid w:val="006C1922"/>
    <w:rsid w:val="006E1807"/>
    <w:rsid w:val="00706A2D"/>
    <w:rsid w:val="007114A7"/>
    <w:rsid w:val="00761D2D"/>
    <w:rsid w:val="00795876"/>
    <w:rsid w:val="007F47FB"/>
    <w:rsid w:val="008014E3"/>
    <w:rsid w:val="008118CA"/>
    <w:rsid w:val="00894145"/>
    <w:rsid w:val="008A57A6"/>
    <w:rsid w:val="009230BA"/>
    <w:rsid w:val="00935C8E"/>
    <w:rsid w:val="00997DE5"/>
    <w:rsid w:val="009D05AD"/>
    <w:rsid w:val="00A01098"/>
    <w:rsid w:val="00AD084B"/>
    <w:rsid w:val="00B164C4"/>
    <w:rsid w:val="00C21912"/>
    <w:rsid w:val="00C336E9"/>
    <w:rsid w:val="00CB66B8"/>
    <w:rsid w:val="00CD73D9"/>
    <w:rsid w:val="00D0270F"/>
    <w:rsid w:val="00DC5059"/>
    <w:rsid w:val="00E05783"/>
    <w:rsid w:val="00E52E7F"/>
    <w:rsid w:val="00E950D7"/>
    <w:rsid w:val="00F50469"/>
    <w:rsid w:val="00F97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87D4B3"/>
  <w15:chartTrackingRefBased/>
  <w15:docId w15:val="{7AA59686-A37F-4D34-A47D-0591CD87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6B8"/>
    <w:pPr>
      <w:spacing w:after="0" w:line="240" w:lineRule="auto"/>
    </w:pPr>
    <w:rPr>
      <w:rFonts w:ascii="Times New Roman" w:eastAsia="SimSun" w:hAnsi="Times New Roman" w:cs="Times New Roman"/>
      <w:sz w:val="24"/>
      <w:szCs w:val="24"/>
      <w:lang w:val="es-A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B66B8"/>
    <w:pPr>
      <w:spacing w:before="100" w:beforeAutospacing="1" w:after="100" w:afterAutospacing="1"/>
    </w:pPr>
  </w:style>
  <w:style w:type="paragraph" w:styleId="BodyText">
    <w:name w:val="Body Text"/>
    <w:basedOn w:val="Normal"/>
    <w:link w:val="BodyTextChar"/>
    <w:uiPriority w:val="99"/>
    <w:rsid w:val="00CB66B8"/>
    <w:pPr>
      <w:widowControl w:val="0"/>
      <w:overflowPunct w:val="0"/>
      <w:autoSpaceDE w:val="0"/>
      <w:autoSpaceDN w:val="0"/>
      <w:adjustRightInd w:val="0"/>
      <w:jc w:val="both"/>
      <w:textAlignment w:val="baseline"/>
    </w:pPr>
    <w:rPr>
      <w:rFonts w:ascii="Arial" w:eastAsia="Times New Roman" w:hAnsi="Arial"/>
      <w:sz w:val="20"/>
      <w:szCs w:val="20"/>
      <w:lang w:val="es-ES" w:eastAsia="x-none"/>
    </w:rPr>
  </w:style>
  <w:style w:type="character" w:customStyle="1" w:styleId="BodyTextChar">
    <w:name w:val="Body Text Char"/>
    <w:basedOn w:val="DefaultParagraphFont"/>
    <w:link w:val="BodyText"/>
    <w:uiPriority w:val="99"/>
    <w:rsid w:val="00CB66B8"/>
    <w:rPr>
      <w:rFonts w:ascii="Arial" w:eastAsia="Times New Roman" w:hAnsi="Arial" w:cs="Times New Roman"/>
      <w:sz w:val="20"/>
      <w:szCs w:val="20"/>
      <w:lang w:val="es-ES" w:eastAsia="x-none"/>
    </w:rPr>
  </w:style>
  <w:style w:type="character" w:customStyle="1" w:styleId="CommentTextChar">
    <w:name w:val="Comment Text Char"/>
    <w:link w:val="CommentText"/>
    <w:uiPriority w:val="99"/>
    <w:semiHidden/>
    <w:rsid w:val="00CB66B8"/>
    <w:rPr>
      <w:rFonts w:ascii="Arial" w:hAnsi="Arial"/>
    </w:rPr>
  </w:style>
  <w:style w:type="paragraph" w:styleId="CommentText">
    <w:name w:val="annotation text"/>
    <w:basedOn w:val="Normal"/>
    <w:link w:val="CommentTextChar"/>
    <w:uiPriority w:val="99"/>
    <w:semiHidden/>
    <w:rsid w:val="00CB66B8"/>
    <w:pPr>
      <w:overflowPunct w:val="0"/>
      <w:autoSpaceDE w:val="0"/>
      <w:autoSpaceDN w:val="0"/>
      <w:adjustRightInd w:val="0"/>
      <w:textAlignment w:val="baseline"/>
    </w:pPr>
    <w:rPr>
      <w:rFonts w:ascii="Arial" w:eastAsiaTheme="minorHAnsi" w:hAnsi="Arial" w:cstheme="minorBidi"/>
      <w:sz w:val="22"/>
      <w:szCs w:val="22"/>
      <w:lang w:val="en-GB" w:eastAsia="en-US"/>
    </w:rPr>
  </w:style>
  <w:style w:type="character" w:customStyle="1" w:styleId="CommentTextChar1">
    <w:name w:val="Comment Text Char1"/>
    <w:basedOn w:val="DefaultParagraphFont"/>
    <w:uiPriority w:val="99"/>
    <w:semiHidden/>
    <w:rsid w:val="00CB66B8"/>
    <w:rPr>
      <w:rFonts w:ascii="Times New Roman" w:eastAsia="SimSun" w:hAnsi="Times New Roman" w:cs="Times New Roman"/>
      <w:sz w:val="20"/>
      <w:szCs w:val="20"/>
      <w:lang w:val="es-AR" w:eastAsia="zh-CN"/>
    </w:rPr>
  </w:style>
  <w:style w:type="character" w:styleId="CommentReference">
    <w:name w:val="annotation reference"/>
    <w:rsid w:val="00CB66B8"/>
    <w:rPr>
      <w:sz w:val="16"/>
      <w:szCs w:val="16"/>
    </w:rPr>
  </w:style>
  <w:style w:type="paragraph" w:styleId="BalloonText">
    <w:name w:val="Balloon Text"/>
    <w:basedOn w:val="Normal"/>
    <w:link w:val="BalloonTextChar"/>
    <w:uiPriority w:val="99"/>
    <w:semiHidden/>
    <w:unhideWhenUsed/>
    <w:rsid w:val="00CB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6B8"/>
    <w:rPr>
      <w:rFonts w:ascii="Segoe UI" w:eastAsia="SimSun" w:hAnsi="Segoe UI" w:cs="Segoe UI"/>
      <w:sz w:val="18"/>
      <w:szCs w:val="18"/>
      <w:lang w:val="es-AR" w:eastAsia="zh-CN"/>
    </w:rPr>
  </w:style>
  <w:style w:type="paragraph" w:styleId="CommentSubject">
    <w:name w:val="annotation subject"/>
    <w:basedOn w:val="CommentText"/>
    <w:next w:val="CommentText"/>
    <w:link w:val="CommentSubjectChar"/>
    <w:uiPriority w:val="99"/>
    <w:semiHidden/>
    <w:unhideWhenUsed/>
    <w:rsid w:val="00E52E7F"/>
    <w:pPr>
      <w:overflowPunct/>
      <w:autoSpaceDE/>
      <w:autoSpaceDN/>
      <w:adjustRightInd/>
      <w:textAlignment w:val="auto"/>
    </w:pPr>
    <w:rPr>
      <w:rFonts w:ascii="Times New Roman" w:eastAsia="SimSun" w:hAnsi="Times New Roman" w:cs="Times New Roman"/>
      <w:b/>
      <w:bCs/>
      <w:sz w:val="20"/>
      <w:szCs w:val="20"/>
      <w:lang w:val="es-AR" w:eastAsia="zh-CN"/>
    </w:rPr>
  </w:style>
  <w:style w:type="character" w:customStyle="1" w:styleId="CommentSubjectChar">
    <w:name w:val="Comment Subject Char"/>
    <w:basedOn w:val="CommentTextChar"/>
    <w:link w:val="CommentSubject"/>
    <w:uiPriority w:val="99"/>
    <w:semiHidden/>
    <w:rsid w:val="00E52E7F"/>
    <w:rPr>
      <w:rFonts w:ascii="Times New Roman" w:eastAsia="SimSun" w:hAnsi="Times New Roman" w:cs="Times New Roman"/>
      <w:b/>
      <w:bCs/>
      <w:sz w:val="20"/>
      <w:szCs w:val="20"/>
      <w:lang w:val="es-AR" w:eastAsia="zh-CN"/>
    </w:rPr>
  </w:style>
  <w:style w:type="paragraph" w:styleId="Header">
    <w:name w:val="header"/>
    <w:basedOn w:val="Normal"/>
    <w:link w:val="HeaderChar"/>
    <w:uiPriority w:val="99"/>
    <w:unhideWhenUsed/>
    <w:rsid w:val="006E1807"/>
    <w:pPr>
      <w:tabs>
        <w:tab w:val="center" w:pos="4513"/>
        <w:tab w:val="right" w:pos="9026"/>
      </w:tabs>
    </w:pPr>
  </w:style>
  <w:style w:type="character" w:customStyle="1" w:styleId="HeaderChar">
    <w:name w:val="Header Char"/>
    <w:basedOn w:val="DefaultParagraphFont"/>
    <w:link w:val="Header"/>
    <w:uiPriority w:val="99"/>
    <w:rsid w:val="006E1807"/>
    <w:rPr>
      <w:rFonts w:ascii="Times New Roman" w:eastAsia="SimSun" w:hAnsi="Times New Roman" w:cs="Times New Roman"/>
      <w:sz w:val="24"/>
      <w:szCs w:val="24"/>
      <w:lang w:val="es-AR" w:eastAsia="zh-CN"/>
    </w:rPr>
  </w:style>
  <w:style w:type="paragraph" w:styleId="Footer">
    <w:name w:val="footer"/>
    <w:basedOn w:val="Normal"/>
    <w:link w:val="FooterChar"/>
    <w:uiPriority w:val="99"/>
    <w:unhideWhenUsed/>
    <w:rsid w:val="006E1807"/>
    <w:pPr>
      <w:tabs>
        <w:tab w:val="center" w:pos="4513"/>
        <w:tab w:val="right" w:pos="9026"/>
      </w:tabs>
    </w:pPr>
  </w:style>
  <w:style w:type="character" w:customStyle="1" w:styleId="FooterChar">
    <w:name w:val="Footer Char"/>
    <w:basedOn w:val="DefaultParagraphFont"/>
    <w:link w:val="Footer"/>
    <w:uiPriority w:val="99"/>
    <w:rsid w:val="006E1807"/>
    <w:rPr>
      <w:rFonts w:ascii="Times New Roman" w:eastAsia="SimSun" w:hAnsi="Times New Roman" w:cs="Times New Roman"/>
      <w:sz w:val="24"/>
      <w:szCs w:val="24"/>
      <w:lang w:val="es-AR" w:eastAsia="zh-CN"/>
    </w:rPr>
  </w:style>
  <w:style w:type="paragraph" w:styleId="FootnoteText">
    <w:name w:val="footnote text"/>
    <w:basedOn w:val="Normal"/>
    <w:link w:val="FootnoteTextChar"/>
    <w:uiPriority w:val="99"/>
    <w:semiHidden/>
    <w:unhideWhenUsed/>
    <w:rsid w:val="00657414"/>
    <w:rPr>
      <w:sz w:val="20"/>
      <w:szCs w:val="20"/>
    </w:rPr>
  </w:style>
  <w:style w:type="character" w:customStyle="1" w:styleId="FootnoteTextChar">
    <w:name w:val="Footnote Text Char"/>
    <w:basedOn w:val="DefaultParagraphFont"/>
    <w:link w:val="FootnoteText"/>
    <w:uiPriority w:val="99"/>
    <w:semiHidden/>
    <w:rsid w:val="00657414"/>
    <w:rPr>
      <w:rFonts w:ascii="Times New Roman" w:eastAsia="SimSun" w:hAnsi="Times New Roman" w:cs="Times New Roman"/>
      <w:sz w:val="20"/>
      <w:szCs w:val="20"/>
      <w:lang w:val="es-AR" w:eastAsia="zh-CN"/>
    </w:rPr>
  </w:style>
  <w:style w:type="character" w:styleId="FootnoteReference">
    <w:name w:val="footnote reference"/>
    <w:basedOn w:val="DefaultParagraphFont"/>
    <w:uiPriority w:val="99"/>
    <w:semiHidden/>
    <w:unhideWhenUsed/>
    <w:rsid w:val="00657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9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323B-E7C2-4A3C-AA1A-3FB5433F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4066</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Cangueiro, Maria Amparo</dc:creator>
  <cp:keywords/>
  <dc:description/>
  <cp:lastModifiedBy>Apollonio, Veronica</cp:lastModifiedBy>
  <cp:revision>2</cp:revision>
  <dcterms:created xsi:type="dcterms:W3CDTF">2019-12-13T15:09:00Z</dcterms:created>
  <dcterms:modified xsi:type="dcterms:W3CDTF">2019-12-13T15:09:00Z</dcterms:modified>
</cp:coreProperties>
</file>