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B32" w:rsidRDefault="00EB08ED">
      <w:pPr>
        <w:rPr>
          <w:b/>
          <w:smallCaps/>
          <w:sz w:val="28"/>
          <w:szCs w:val="28"/>
          <w:lang w:val="es-ES"/>
        </w:rPr>
      </w:pPr>
      <w:r w:rsidRPr="00EB08ED">
        <w:rPr>
          <w:noProof/>
          <w:lang w:eastAsia="es-AR"/>
        </w:rPr>
        <w:drawing>
          <wp:anchor distT="0" distB="0" distL="114300" distR="114300" simplePos="0" relativeHeight="251658752" behindDoc="0" locked="0" layoutInCell="1" allowOverlap="1" wp14:anchorId="20E06058" wp14:editId="5ADCD161">
            <wp:simplePos x="0" y="0"/>
            <wp:positionH relativeFrom="column">
              <wp:posOffset>4291965</wp:posOffset>
            </wp:positionH>
            <wp:positionV relativeFrom="paragraph">
              <wp:posOffset>8167370</wp:posOffset>
            </wp:positionV>
            <wp:extent cx="1771650" cy="96202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5A33">
        <w:rPr>
          <w:b/>
          <w:noProof/>
          <w:color w:val="000000"/>
          <w:sz w:val="22"/>
          <w:lang w:eastAsia="es-AR"/>
        </w:rPr>
        <w:pict>
          <v:shapetype id="_x0000_t202" coordsize="21600,21600" o:spt="202" path="m,l,21600r21600,l21600,xe">
            <v:stroke joinstyle="miter"/>
            <v:path gradientshapeok="t" o:connecttype="rect"/>
          </v:shapetype>
          <v:shape id="_x0000_s1037" type="#_x0000_t202" style="position:absolute;margin-left:-71.55pt;margin-top:444.4pt;width:575.25pt;height:128.85pt;z-index:25166438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" filled="f" stroked="f">
            <v:textbox style="mso-next-textbox:#_x0000_s1037">
              <w:txbxContent>
                <w:p w:rsidR="000C397B" w:rsidRDefault="000C397B" w:rsidP="00746B32">
                  <w:pPr>
                    <w:jc w:val="center"/>
                    <w:rPr>
                      <w:rFonts w:ascii="Futura Md BT" w:hAnsi="Futura Md BT"/>
                      <w:b/>
                      <w:color w:val="FFFFFF"/>
                      <w:sz w:val="66"/>
                      <w:szCs w:val="72"/>
                    </w:rPr>
                  </w:pPr>
                  <w:r w:rsidRPr="00961BE0">
                    <w:rPr>
                      <w:rFonts w:ascii="Futura Md BT" w:hAnsi="Futura Md BT"/>
                      <w:b/>
                      <w:color w:val="FFFFFF"/>
                      <w:sz w:val="48"/>
                      <w:szCs w:val="72"/>
                    </w:rPr>
                    <w:t>ACTUAL S.A.</w:t>
                  </w:r>
                </w:p>
                <w:p w:rsidR="000C397B" w:rsidRDefault="000C397B" w:rsidP="00746B32">
                  <w:pPr>
                    <w:jc w:val="center"/>
                    <w:rPr>
                      <w:b/>
                      <w:color w:val="FFFFFF"/>
                      <w:sz w:val="36"/>
                      <w:szCs w:val="36"/>
                    </w:rPr>
                  </w:pPr>
                  <w:r>
                    <w:rPr>
                      <w:b/>
                      <w:color w:val="FFFFFF"/>
                      <w:sz w:val="36"/>
                      <w:szCs w:val="36"/>
                    </w:rPr>
                    <w:t>PROGRAMA GLOBAL</w:t>
                  </w:r>
                  <w:r w:rsidRPr="00961BE0">
                    <w:rPr>
                      <w:b/>
                      <w:color w:val="FFFFFF"/>
                      <w:sz w:val="36"/>
                      <w:szCs w:val="36"/>
                    </w:rPr>
                    <w:t xml:space="preserve"> </w:t>
                  </w:r>
                  <w:r>
                    <w:rPr>
                      <w:b/>
                      <w:color w:val="FFFFFF"/>
                      <w:sz w:val="36"/>
                      <w:szCs w:val="36"/>
                    </w:rPr>
                    <w:t xml:space="preserve">PARA LA EMISIÓN </w:t>
                  </w:r>
                  <w:r w:rsidRPr="00961BE0">
                    <w:rPr>
                      <w:b/>
                      <w:color w:val="FFFFFF"/>
                      <w:sz w:val="36"/>
                      <w:szCs w:val="36"/>
                    </w:rPr>
                    <w:t>DE OBLIGACIONES NEGOCIABLES PyME</w:t>
                  </w:r>
                  <w:r>
                    <w:rPr>
                      <w:b/>
                      <w:color w:val="FFFFFF"/>
                      <w:sz w:val="36"/>
                      <w:szCs w:val="36"/>
                    </w:rPr>
                    <w:t xml:space="preserve"> CNV</w:t>
                  </w:r>
                </w:p>
                <w:p w:rsidR="000C397B" w:rsidRDefault="000C397B" w:rsidP="00746B32">
                  <w:pPr>
                    <w:jc w:val="center"/>
                    <w:rPr>
                      <w:color w:val="FFFFFF"/>
                      <w:sz w:val="20"/>
                      <w:szCs w:val="32"/>
                    </w:rPr>
                  </w:pPr>
                </w:p>
              </w:txbxContent>
            </v:textbox>
          </v:shape>
        </w:pict>
      </w:r>
      <w:r w:rsidR="009C5A33">
        <w:rPr>
          <w:b/>
          <w:noProof/>
          <w:color w:val="000000"/>
          <w:sz w:val="22"/>
          <w:lang w:eastAsia="es-AR"/>
        </w:rPr>
        <w:pict>
          <v:shape id="Text Box 2" o:spid="_x0000_s1036" type="#_x0000_t202" style="position:absolute;margin-left:312pt;margin-top:10in;width:190.8pt;height:18.45pt;z-index:251663360;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" filled="f" stroked="f">
            <v:textbox style="mso-next-textbox:#Text Box 2">
              <w:txbxContent>
                <w:p w:rsidR="000C397B" w:rsidRPr="00F34007" w:rsidRDefault="000C397B" w:rsidP="00746B32">
                  <w:pPr>
                    <w:jc w:val="center"/>
                    <w:rPr>
                      <w:rFonts w:ascii="Cocon" w:hAnsi="Cocon"/>
                      <w:b/>
                      <w:color w:val="3E5962"/>
                      <w:sz w:val="22"/>
                      <w:szCs w:val="18"/>
                    </w:rPr>
                  </w:pPr>
                  <w:r w:rsidRPr="00F34007">
                    <w:rPr>
                      <w:rFonts w:ascii="Cocon" w:hAnsi="Cocon"/>
                      <w:b/>
                      <w:color w:val="3E5962"/>
                      <w:sz w:val="22"/>
                      <w:szCs w:val="18"/>
                    </w:rPr>
                    <w:t>ORGANIZADOR Y COLOCADOR</w:t>
                  </w:r>
                </w:p>
              </w:txbxContent>
            </v:textbox>
          </v:shape>
        </w:pict>
      </w:r>
      <w:r w:rsidR="00746B32" w:rsidRPr="00F21E86">
        <w:rPr>
          <w:b/>
          <w:noProof/>
          <w:color w:val="000000"/>
          <w:sz w:val="22"/>
          <w:lang w:eastAsia="es-AR"/>
        </w:rPr>
        <w:drawing>
          <wp:anchor distT="0" distB="0" distL="114300" distR="114300" simplePos="0" relativeHeight="251654656" behindDoc="1" locked="0" layoutInCell="1" allowOverlap="1" wp14:anchorId="64596608" wp14:editId="54AC1B0B">
            <wp:simplePos x="0" y="0"/>
            <wp:positionH relativeFrom="margin">
              <wp:posOffset>-1057275</wp:posOffset>
            </wp:positionH>
            <wp:positionV relativeFrom="page">
              <wp:posOffset>33020</wp:posOffset>
            </wp:positionV>
            <wp:extent cx="7558405" cy="10691495"/>
            <wp:effectExtent l="19050" t="0" r="4445" b="0"/>
            <wp:wrapNone/>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8405" cy="10691495"/>
                    </a:xfrm>
                    <a:prstGeom prst="rect">
                      <a:avLst/>
                    </a:prstGeom>
                    <a:noFill/>
                  </pic:spPr>
                </pic:pic>
              </a:graphicData>
            </a:graphic>
          </wp:anchor>
        </w:drawing>
      </w:r>
      <w:r w:rsidR="00746B32">
        <w:rPr>
          <w:b/>
          <w:smallCaps/>
          <w:sz w:val="28"/>
          <w:szCs w:val="28"/>
          <w:lang w:val="es-ES"/>
        </w:rPr>
        <w:br w:type="page"/>
      </w:r>
    </w:p>
    <w:p w:rsidR="00965A08" w:rsidRPr="005752E3" w:rsidRDefault="00965A08" w:rsidP="001B11E1">
      <w:pPr>
        <w:jc w:val="center"/>
        <w:outlineLvl w:val="0"/>
        <w:rPr>
          <w:b/>
          <w:smallCaps/>
          <w:sz w:val="28"/>
          <w:szCs w:val="28"/>
          <w:lang w:val="es-ES"/>
        </w:rPr>
      </w:pPr>
      <w:r w:rsidRPr="005752E3">
        <w:rPr>
          <w:b/>
          <w:smallCaps/>
          <w:sz w:val="28"/>
          <w:szCs w:val="28"/>
          <w:lang w:val="es-ES"/>
        </w:rPr>
        <w:lastRenderedPageBreak/>
        <w:t xml:space="preserve">PROSPECTO DE OFERTA PÚBLICA </w:t>
      </w:r>
    </w:p>
    <w:p w:rsidR="00965A08" w:rsidRDefault="00965A08" w:rsidP="00AA2865">
      <w:pPr>
        <w:jc w:val="center"/>
        <w:rPr>
          <w:b/>
          <w:smallCaps/>
          <w:sz w:val="28"/>
          <w:szCs w:val="28"/>
          <w:lang w:val="es-ES"/>
        </w:rPr>
      </w:pPr>
      <w:r w:rsidRPr="005752E3">
        <w:rPr>
          <w:b/>
          <w:smallCaps/>
          <w:sz w:val="28"/>
          <w:szCs w:val="28"/>
          <w:lang w:val="es-ES"/>
        </w:rPr>
        <w:t>programa global para la emisión de obligaciones negociables pymes</w:t>
      </w:r>
      <w:r w:rsidR="00035EB4">
        <w:rPr>
          <w:b/>
          <w:smallCaps/>
          <w:sz w:val="28"/>
          <w:szCs w:val="28"/>
          <w:lang w:val="es-ES"/>
        </w:rPr>
        <w:t xml:space="preserve"> CNV</w:t>
      </w:r>
    </w:p>
    <w:p w:rsidR="00965A08" w:rsidRPr="005752E3" w:rsidRDefault="00AF15A2" w:rsidP="00AA2865">
      <w:pPr>
        <w:jc w:val="center"/>
        <w:rPr>
          <w:b/>
          <w:smallCaps/>
          <w:sz w:val="28"/>
          <w:szCs w:val="28"/>
          <w:lang w:val="es-ES"/>
        </w:rPr>
      </w:pPr>
      <w:r w:rsidRPr="00F21E86">
        <w:rPr>
          <w:rFonts w:ascii="Arial" w:hAnsi="Arial" w:cs="Arial"/>
          <w:noProof/>
          <w:color w:val="000000"/>
          <w:sz w:val="16"/>
          <w:szCs w:val="16"/>
          <w:lang w:eastAsia="es-AR"/>
        </w:rPr>
        <w:drawing>
          <wp:anchor distT="0" distB="0" distL="114300" distR="114300" simplePos="0" relativeHeight="251655680" behindDoc="0" locked="0" layoutInCell="1" allowOverlap="1" wp14:anchorId="711D4DA0" wp14:editId="0C37ED09">
            <wp:simplePos x="0" y="0"/>
            <wp:positionH relativeFrom="margin">
              <wp:align>center</wp:align>
            </wp:positionH>
            <wp:positionV relativeFrom="paragraph">
              <wp:posOffset>206375</wp:posOffset>
            </wp:positionV>
            <wp:extent cx="1114425" cy="942975"/>
            <wp:effectExtent l="0" t="0" r="0" b="0"/>
            <wp:wrapNone/>
            <wp:docPr id="3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4425" cy="942975"/>
                    </a:xfrm>
                    <a:prstGeom prst="rect">
                      <a:avLst/>
                    </a:prstGeom>
                    <a:noFill/>
                  </pic:spPr>
                </pic:pic>
              </a:graphicData>
            </a:graphic>
          </wp:anchor>
        </w:drawing>
      </w:r>
      <w:r w:rsidR="00965A08">
        <w:rPr>
          <w:b/>
          <w:smallCaps/>
          <w:sz w:val="28"/>
          <w:szCs w:val="28"/>
          <w:lang w:val="es-ES"/>
        </w:rPr>
        <w:t>por hasta v/n $</w:t>
      </w:r>
      <w:r w:rsidR="000D7CC6">
        <w:rPr>
          <w:b/>
          <w:smallCaps/>
          <w:sz w:val="28"/>
          <w:szCs w:val="28"/>
          <w:lang w:val="es-ES"/>
        </w:rPr>
        <w:t xml:space="preserve"> </w:t>
      </w:r>
      <w:r w:rsidR="000F21E6">
        <w:rPr>
          <w:b/>
          <w:smallCaps/>
          <w:sz w:val="28"/>
          <w:szCs w:val="28"/>
          <w:lang w:val="es-ES"/>
        </w:rPr>
        <w:t>2</w:t>
      </w:r>
      <w:r w:rsidR="007B2859">
        <w:rPr>
          <w:b/>
          <w:smallCaps/>
          <w:sz w:val="28"/>
          <w:szCs w:val="28"/>
          <w:lang w:val="es-ES"/>
        </w:rPr>
        <w:t>00.000.000</w:t>
      </w:r>
    </w:p>
    <w:p w:rsidR="00965A08" w:rsidRPr="00ED77DA" w:rsidRDefault="00965A08" w:rsidP="001B11E1">
      <w:pPr>
        <w:jc w:val="center"/>
        <w:outlineLvl w:val="0"/>
        <w:rPr>
          <w:b/>
          <w:smallCaps/>
          <w:sz w:val="16"/>
          <w:szCs w:val="16"/>
          <w:lang w:val="es-ES"/>
        </w:rPr>
      </w:pPr>
    </w:p>
    <w:p w:rsidR="00965A08" w:rsidRPr="00ED77DA" w:rsidRDefault="00965A08" w:rsidP="00F349A9">
      <w:pPr>
        <w:jc w:val="center"/>
        <w:rPr>
          <w:i/>
          <w:sz w:val="22"/>
          <w:lang w:val="es-ES"/>
        </w:rPr>
      </w:pPr>
    </w:p>
    <w:p w:rsidR="00965A08" w:rsidRPr="005752E3" w:rsidRDefault="00965A08" w:rsidP="007D3F9B">
      <w:pPr>
        <w:rPr>
          <w:i/>
          <w:sz w:val="16"/>
          <w:szCs w:val="16"/>
          <w:lang w:val="es-ES"/>
        </w:rPr>
      </w:pPr>
    </w:p>
    <w:p w:rsidR="00AF15A2" w:rsidRDefault="00AF15A2" w:rsidP="00367397">
      <w:pPr>
        <w:jc w:val="center"/>
        <w:rPr>
          <w:b/>
          <w:sz w:val="32"/>
          <w:szCs w:val="32"/>
          <w:lang w:val="es-ES"/>
        </w:rPr>
      </w:pPr>
    </w:p>
    <w:p w:rsidR="00AF15A2" w:rsidRDefault="00AF15A2" w:rsidP="00367397">
      <w:pPr>
        <w:jc w:val="center"/>
        <w:rPr>
          <w:b/>
          <w:sz w:val="32"/>
          <w:szCs w:val="32"/>
          <w:lang w:val="es-ES"/>
        </w:rPr>
      </w:pPr>
    </w:p>
    <w:p w:rsidR="00AF15A2" w:rsidRDefault="00AF15A2" w:rsidP="00367397">
      <w:pPr>
        <w:jc w:val="center"/>
        <w:rPr>
          <w:b/>
          <w:sz w:val="32"/>
          <w:szCs w:val="32"/>
          <w:lang w:val="es-ES"/>
        </w:rPr>
      </w:pPr>
    </w:p>
    <w:p w:rsidR="00965A08" w:rsidRPr="00ED77DA" w:rsidRDefault="00AF15A2" w:rsidP="00367397">
      <w:pPr>
        <w:jc w:val="center"/>
        <w:rPr>
          <w:b/>
          <w:sz w:val="32"/>
          <w:szCs w:val="32"/>
          <w:lang w:val="es-ES"/>
        </w:rPr>
      </w:pPr>
      <w:r>
        <w:rPr>
          <w:b/>
          <w:sz w:val="32"/>
          <w:szCs w:val="32"/>
          <w:lang w:val="es-ES"/>
        </w:rPr>
        <w:t>ACTUAL</w:t>
      </w:r>
      <w:r w:rsidR="00965A08" w:rsidRPr="00ED77DA">
        <w:rPr>
          <w:b/>
          <w:sz w:val="32"/>
          <w:szCs w:val="32"/>
          <w:lang w:val="es-ES"/>
        </w:rPr>
        <w:t xml:space="preserve"> S.A.</w:t>
      </w:r>
    </w:p>
    <w:p w:rsidR="00965A08" w:rsidRPr="00ED77DA" w:rsidRDefault="00965A08" w:rsidP="001B11E1">
      <w:pPr>
        <w:jc w:val="center"/>
        <w:rPr>
          <w:b/>
          <w:lang w:val="es-ES"/>
        </w:rPr>
      </w:pPr>
      <w:r w:rsidRPr="00ED77DA">
        <w:rPr>
          <w:b/>
          <w:lang w:val="es-ES"/>
        </w:rPr>
        <w:t>Emisor</w:t>
      </w:r>
    </w:p>
    <w:p w:rsidR="00965A08" w:rsidRPr="00ED77DA" w:rsidRDefault="00965A08" w:rsidP="001B11E1">
      <w:pPr>
        <w:jc w:val="both"/>
        <w:rPr>
          <w:sz w:val="16"/>
          <w:szCs w:val="16"/>
          <w:lang w:val="es-ES"/>
        </w:rPr>
      </w:pPr>
    </w:p>
    <w:p w:rsidR="00965A08" w:rsidRPr="00ED77DA" w:rsidRDefault="00965A08">
      <w:pPr>
        <w:jc w:val="both"/>
        <w:rPr>
          <w:i/>
          <w:sz w:val="16"/>
          <w:szCs w:val="16"/>
          <w:lang w:val="es-ES"/>
        </w:rPr>
      </w:pPr>
    </w:p>
    <w:p w:rsidR="00965A08" w:rsidRDefault="00965A08" w:rsidP="005752E3">
      <w:pPr>
        <w:jc w:val="both"/>
        <w:rPr>
          <w:i/>
        </w:rPr>
      </w:pPr>
      <w:r w:rsidRPr="00346F84">
        <w:rPr>
          <w:i/>
        </w:rPr>
        <w:t>Bajo el presente Programa Global para la Emisión de Obligaciones Negociables Pyme</w:t>
      </w:r>
      <w:r w:rsidR="00AF15A2">
        <w:rPr>
          <w:i/>
        </w:rPr>
        <w:t xml:space="preserve"> CNV</w:t>
      </w:r>
      <w:r w:rsidRPr="00346F84">
        <w:rPr>
          <w:i/>
        </w:rPr>
        <w:t xml:space="preserve"> (el “Programa”), </w:t>
      </w:r>
      <w:r w:rsidR="00AF15A2">
        <w:rPr>
          <w:i/>
        </w:rPr>
        <w:t>ACTUAL</w:t>
      </w:r>
      <w:r w:rsidRPr="00346F84">
        <w:rPr>
          <w:i/>
        </w:rPr>
        <w:t xml:space="preserve"> S.A. (indistintamente “</w:t>
      </w:r>
      <w:r w:rsidR="00AF15A2">
        <w:rPr>
          <w:i/>
        </w:rPr>
        <w:t>Actual</w:t>
      </w:r>
      <w:r w:rsidRPr="00346F84">
        <w:rPr>
          <w:i/>
        </w:rPr>
        <w:t xml:space="preserve">”, la “Sociedad” y/o el “Emisor”) podrá emitir Obligaciones Negociables </w:t>
      </w:r>
      <w:r w:rsidR="00035EB4">
        <w:rPr>
          <w:i/>
        </w:rPr>
        <w:t xml:space="preserve">(las “ON” u “Obligaciones Negociables”) </w:t>
      </w:r>
      <w:r w:rsidRPr="00346F84">
        <w:rPr>
          <w:i/>
          <w:lang w:val="es-ES"/>
        </w:rPr>
        <w:t>conforme al Decreto 1087/93</w:t>
      </w:r>
      <w:r w:rsidR="00035EB4">
        <w:rPr>
          <w:i/>
          <w:lang w:val="es-ES"/>
        </w:rPr>
        <w:t>, 598/2016 y sus modificatorias</w:t>
      </w:r>
      <w:r w:rsidRPr="00346F84">
        <w:rPr>
          <w:i/>
          <w:lang w:val="es-ES"/>
        </w:rPr>
        <w:t xml:space="preserve"> y disposiciones concordantes de las Normas de la Comisión Nacional de Valores (“CNV”)</w:t>
      </w:r>
      <w:r>
        <w:rPr>
          <w:i/>
        </w:rPr>
        <w:t xml:space="preserve">. Las condiciones </w:t>
      </w:r>
      <w:r w:rsidR="00035EB4">
        <w:rPr>
          <w:i/>
        </w:rPr>
        <w:t xml:space="preserve">generales </w:t>
      </w:r>
      <w:r>
        <w:rPr>
          <w:i/>
        </w:rPr>
        <w:t xml:space="preserve">de emisión del Programa </w:t>
      </w:r>
      <w:r w:rsidR="00035EB4">
        <w:rPr>
          <w:i/>
        </w:rPr>
        <w:t xml:space="preserve">(las “Condiciones Generales”) </w:t>
      </w:r>
      <w:r w:rsidR="00035EB4" w:rsidRPr="003B7E94">
        <w:rPr>
          <w:i/>
        </w:rPr>
        <w:t>se encuentran descriptas en el presente prospecto de emisión (el “Prospecto”). Las condiciones particulares de las Obligaciones Negociables que se emitan bajo el Programa Global se encontrarán descriptas en los suplementos de prospecto correspondientes a cada serie de Obligaciones Negociables (el “Suplemento de Prospecto”). Las Condiciones Generales se aplicarán a las Series que se emitan en todo aquello que no fuera establecido por las condiciones particulares de la respectiva Serie que se establezcan en el Suplemento de Prospecto.</w:t>
      </w:r>
      <w:r w:rsidR="00AF15A2">
        <w:rPr>
          <w:i/>
        </w:rPr>
        <w:t xml:space="preserve"> </w:t>
      </w:r>
      <w:r>
        <w:rPr>
          <w:i/>
        </w:rPr>
        <w:t>Podrán emitirse ON por hasta un monto máximo en circulación en cualquier momento durante la vigencia del Programa de $</w:t>
      </w:r>
      <w:r w:rsidR="000F21E6">
        <w:rPr>
          <w:i/>
        </w:rPr>
        <w:t>2</w:t>
      </w:r>
      <w:r w:rsidR="007A796A">
        <w:rPr>
          <w:i/>
        </w:rPr>
        <w:t>00.000.000</w:t>
      </w:r>
      <w:r>
        <w:rPr>
          <w:i/>
        </w:rPr>
        <w:t xml:space="preserve"> (pesos</w:t>
      </w:r>
      <w:r w:rsidR="00AF15A2">
        <w:rPr>
          <w:i/>
        </w:rPr>
        <w:t xml:space="preserve"> </w:t>
      </w:r>
      <w:r w:rsidR="000F21E6">
        <w:rPr>
          <w:i/>
        </w:rPr>
        <w:t>dos</w:t>
      </w:r>
      <w:r w:rsidR="007A796A">
        <w:rPr>
          <w:i/>
        </w:rPr>
        <w:t>cien</w:t>
      </w:r>
      <w:r w:rsidR="000F21E6">
        <w:rPr>
          <w:i/>
        </w:rPr>
        <w:t>tos</w:t>
      </w:r>
      <w:r w:rsidR="007A796A">
        <w:rPr>
          <w:i/>
        </w:rPr>
        <w:t xml:space="preserve"> </w:t>
      </w:r>
      <w:r>
        <w:rPr>
          <w:i/>
        </w:rPr>
        <w:t xml:space="preserve">millones). </w:t>
      </w:r>
    </w:p>
    <w:p w:rsidR="00AF15A2" w:rsidRDefault="00AF15A2" w:rsidP="005752E3">
      <w:pPr>
        <w:jc w:val="both"/>
        <w:rPr>
          <w:i/>
          <w:sz w:val="16"/>
          <w:szCs w:val="16"/>
        </w:rPr>
      </w:pPr>
    </w:p>
    <w:p w:rsidR="007F4DD5" w:rsidRPr="00CD7492" w:rsidRDefault="00965A08" w:rsidP="007F4DD5">
      <w:pPr>
        <w:jc w:val="both"/>
        <w:rPr>
          <w:b/>
          <w:bCs/>
          <w:sz w:val="22"/>
          <w:szCs w:val="22"/>
        </w:rPr>
      </w:pPr>
      <w:r>
        <w:rPr>
          <w:b/>
        </w:rPr>
        <w:t xml:space="preserve">EL PROGRAMA </w:t>
      </w:r>
      <w:r w:rsidRPr="00AF15A2">
        <w:rPr>
          <w:b/>
        </w:rPr>
        <w:t>NO</w:t>
      </w:r>
      <w:r>
        <w:rPr>
          <w:b/>
        </w:rPr>
        <w:t xml:space="preserve"> CUENTA CON CALIFICACIÓN DE RIESGO. LAS OBLIGACIONES NEGOCIABLES A EMITIRSE BAJO EL MISMO </w:t>
      </w:r>
      <w:r w:rsidR="007F4DD5">
        <w:rPr>
          <w:b/>
        </w:rPr>
        <w:t xml:space="preserve">PODRAN </w:t>
      </w:r>
      <w:r w:rsidRPr="003714A6">
        <w:rPr>
          <w:b/>
        </w:rPr>
        <w:t xml:space="preserve">CONTAR </w:t>
      </w:r>
      <w:r w:rsidR="00AF15A2" w:rsidRPr="003714A6">
        <w:rPr>
          <w:b/>
        </w:rPr>
        <w:t>CON CALIFICACIÓN</w:t>
      </w:r>
      <w:r w:rsidRPr="003714A6">
        <w:rPr>
          <w:b/>
        </w:rPr>
        <w:t xml:space="preserve"> DE RIESGO</w:t>
      </w:r>
      <w:r w:rsidR="007F4DD5" w:rsidRPr="003B7E94">
        <w:rPr>
          <w:b/>
        </w:rPr>
        <w:t xml:space="preserve"> SEGÚN SE ESPECIFIQUE EN LOS SUPLEMENTOS DE PROSPECTO CORRESPONDIENTES</w:t>
      </w:r>
      <w:r w:rsidR="007F4DD5" w:rsidRPr="00CD7492">
        <w:rPr>
          <w:b/>
          <w:bCs/>
          <w:sz w:val="22"/>
          <w:szCs w:val="22"/>
        </w:rPr>
        <w:t xml:space="preserve">. </w:t>
      </w:r>
    </w:p>
    <w:p w:rsidR="00965A08" w:rsidRPr="005752E3" w:rsidRDefault="00965A08" w:rsidP="003B7E94">
      <w:pPr>
        <w:jc w:val="both"/>
        <w:rPr>
          <w:b/>
          <w:sz w:val="16"/>
          <w:szCs w:val="16"/>
        </w:rPr>
      </w:pPr>
    </w:p>
    <w:p w:rsidR="007F4DD5" w:rsidRPr="003B7E94" w:rsidRDefault="00965A08" w:rsidP="007F4DD5">
      <w:pPr>
        <w:pStyle w:val="Default"/>
        <w:jc w:val="both"/>
        <w:rPr>
          <w:rFonts w:eastAsia="Calibri"/>
          <w:b/>
          <w:iCs/>
          <w:sz w:val="22"/>
          <w:szCs w:val="22"/>
        </w:rPr>
      </w:pPr>
      <w:r w:rsidRPr="006D6E05">
        <w:rPr>
          <w:b/>
          <w:bCs/>
          <w:sz w:val="22"/>
          <w:szCs w:val="22"/>
        </w:rPr>
        <w:t>OFERTA PÚBLICA AUTORIZADA EN LOS TERMINOS DE</w:t>
      </w:r>
      <w:r w:rsidR="000C397B" w:rsidRPr="006D6E05">
        <w:rPr>
          <w:b/>
          <w:bCs/>
          <w:sz w:val="22"/>
          <w:szCs w:val="22"/>
        </w:rPr>
        <w:t xml:space="preserve"> </w:t>
      </w:r>
      <w:r w:rsidRPr="006D6E05">
        <w:rPr>
          <w:b/>
          <w:bCs/>
          <w:sz w:val="22"/>
          <w:szCs w:val="22"/>
        </w:rPr>
        <w:t>L</w:t>
      </w:r>
      <w:r w:rsidR="000C397B" w:rsidRPr="006D6E05">
        <w:rPr>
          <w:b/>
          <w:bCs/>
          <w:sz w:val="22"/>
          <w:szCs w:val="22"/>
        </w:rPr>
        <w:t>A LEY N° 26.831</w:t>
      </w:r>
      <w:r w:rsidRPr="006D6E05">
        <w:rPr>
          <w:b/>
          <w:bCs/>
          <w:sz w:val="22"/>
          <w:szCs w:val="22"/>
        </w:rPr>
        <w:t xml:space="preserve"> </w:t>
      </w:r>
      <w:r w:rsidR="000C397B" w:rsidRPr="006D6E05">
        <w:rPr>
          <w:b/>
          <w:bCs/>
          <w:sz w:val="22"/>
          <w:szCs w:val="22"/>
        </w:rPr>
        <w:t xml:space="preserve">Y </w:t>
      </w:r>
      <w:r w:rsidRPr="006D6E05">
        <w:rPr>
          <w:b/>
          <w:bCs/>
          <w:sz w:val="22"/>
          <w:szCs w:val="22"/>
        </w:rPr>
        <w:t>DECRETO Nº 10</w:t>
      </w:r>
      <w:r w:rsidR="000C397B" w:rsidRPr="006D6E05">
        <w:rPr>
          <w:b/>
          <w:bCs/>
          <w:sz w:val="22"/>
          <w:szCs w:val="22"/>
        </w:rPr>
        <w:t>23</w:t>
      </w:r>
      <w:r w:rsidRPr="006D6E05">
        <w:rPr>
          <w:b/>
          <w:bCs/>
          <w:sz w:val="22"/>
          <w:szCs w:val="22"/>
        </w:rPr>
        <w:t>/</w:t>
      </w:r>
      <w:r w:rsidR="000C397B" w:rsidRPr="006D6E05">
        <w:rPr>
          <w:b/>
          <w:bCs/>
          <w:sz w:val="22"/>
          <w:szCs w:val="22"/>
        </w:rPr>
        <w:t>13</w:t>
      </w:r>
      <w:r w:rsidRPr="006D6E05">
        <w:rPr>
          <w:b/>
          <w:bCs/>
          <w:sz w:val="22"/>
          <w:szCs w:val="22"/>
        </w:rPr>
        <w:t xml:space="preserve"> </w:t>
      </w:r>
      <w:r w:rsidR="007F4DD5" w:rsidRPr="00173196">
        <w:rPr>
          <w:b/>
          <w:bCs/>
          <w:sz w:val="22"/>
          <w:szCs w:val="22"/>
        </w:rPr>
        <w:t>Y NORMAS DE LA COMISION NACIONAL DE VALORES</w:t>
      </w:r>
      <w:r w:rsidR="000C397B" w:rsidRPr="00173196">
        <w:rPr>
          <w:b/>
          <w:bCs/>
          <w:sz w:val="22"/>
          <w:szCs w:val="22"/>
        </w:rPr>
        <w:t>,</w:t>
      </w:r>
      <w:r w:rsidRPr="006D6E05">
        <w:rPr>
          <w:b/>
          <w:bCs/>
          <w:sz w:val="22"/>
          <w:szCs w:val="22"/>
        </w:rPr>
        <w:t xml:space="preserve"> REGISTRADA</w:t>
      </w:r>
      <w:r w:rsidR="000C397B" w:rsidRPr="006D6E05">
        <w:rPr>
          <w:b/>
          <w:bCs/>
          <w:sz w:val="22"/>
          <w:szCs w:val="22"/>
        </w:rPr>
        <w:t xml:space="preserve"> BAJO RESOLUCIÓN N°</w:t>
      </w:r>
      <w:r w:rsidR="00AA2865">
        <w:rPr>
          <w:b/>
          <w:bCs/>
          <w:sz w:val="22"/>
          <w:szCs w:val="22"/>
        </w:rPr>
        <w:t xml:space="preserve"> 20073</w:t>
      </w:r>
      <w:r w:rsidRPr="006D6E05">
        <w:rPr>
          <w:b/>
          <w:bCs/>
          <w:sz w:val="22"/>
          <w:szCs w:val="22"/>
        </w:rPr>
        <w:t xml:space="preserve"> </w:t>
      </w:r>
      <w:r w:rsidR="000C397B" w:rsidRPr="006D6E05">
        <w:rPr>
          <w:b/>
          <w:bCs/>
          <w:sz w:val="22"/>
          <w:szCs w:val="22"/>
        </w:rPr>
        <w:t>D</w:t>
      </w:r>
      <w:r w:rsidRPr="006D6E05">
        <w:rPr>
          <w:b/>
          <w:bCs/>
          <w:sz w:val="22"/>
          <w:szCs w:val="22"/>
        </w:rPr>
        <w:t xml:space="preserve">EL </w:t>
      </w:r>
      <w:r w:rsidR="00AA2865">
        <w:rPr>
          <w:b/>
          <w:bCs/>
          <w:sz w:val="22"/>
          <w:szCs w:val="22"/>
        </w:rPr>
        <w:t xml:space="preserve"> 20 DE FEBRERO DE 2019 </w:t>
      </w:r>
      <w:r w:rsidR="007F4DD5" w:rsidRPr="00173196">
        <w:rPr>
          <w:rFonts w:eastAsia="Calibri"/>
          <w:b/>
          <w:iCs/>
          <w:sz w:val="22"/>
          <w:szCs w:val="22"/>
        </w:rPr>
        <w:t xml:space="preserve">CUYA NEGOCIACIÓN SE ENCUENTRA RESERVADA CON EXCLUSIVIDAD A </w:t>
      </w:r>
      <w:r w:rsidR="007F4DD5" w:rsidRPr="000D5E6D">
        <w:rPr>
          <w:rFonts w:eastAsia="Calibri"/>
          <w:b/>
          <w:iCs/>
          <w:sz w:val="22"/>
          <w:szCs w:val="22"/>
        </w:rPr>
        <w:t>INVERSORES CALIFICADOS. ESTA AUTORIZACIÓN SÓLO SIGNIFICA QUE SE HA CUMPLIDO CON LOS REQUISITOS ESTABLECIDOS EN MATERIA DE INFORMACIÓN. LA COMISIÓN NACIONAL DE VALORES NO HA EMITIDO JUICIO SOBRE LOS</w:t>
      </w:r>
      <w:r w:rsidR="007F4DD5" w:rsidRPr="00223C18">
        <w:rPr>
          <w:rFonts w:eastAsia="Calibri"/>
          <w:b/>
          <w:iCs/>
          <w:sz w:val="22"/>
          <w:szCs w:val="22"/>
        </w:rPr>
        <w:t xml:space="preserve"> DATOS CONTENIDOS EN EL PROSPECTO. LA VERACIDAD DE LA INFORMACIÓN CONTABLE, FINANCIERA Y ECONÓMICA, ASÍ COMO DE TODA OTRA INFORMACIÓN SUMINISTRADA EN EL PRESENTE PROSPECTO ES</w:t>
      </w:r>
      <w:r w:rsidR="007F4DD5" w:rsidRPr="001434A5">
        <w:rPr>
          <w:rFonts w:eastAsia="Calibri"/>
          <w:b/>
          <w:iCs/>
          <w:sz w:val="22"/>
          <w:szCs w:val="22"/>
        </w:rPr>
        <w:t xml:space="preserve"> EXCLUSIVA RESPONSABILIDAD DEL ÓRGANO DE ADMINISTRACIÓN DE LA EMISORA Y DEMAS RESPONSABLES SEGÚN LOS ARTICULOS </w:t>
      </w:r>
      <w:r w:rsidR="007F4DD5" w:rsidRPr="006272DA">
        <w:rPr>
          <w:rFonts w:eastAsia="Calibri"/>
          <w:b/>
          <w:iCs/>
          <w:sz w:val="22"/>
          <w:szCs w:val="22"/>
        </w:rPr>
        <w:t>119 Y 120 DE LA LEY 26.831.</w:t>
      </w:r>
      <w:r w:rsidR="007F4DD5" w:rsidRPr="001434A5">
        <w:rPr>
          <w:rFonts w:eastAsia="Calibri"/>
          <w:b/>
          <w:iCs/>
          <w:sz w:val="22"/>
          <w:szCs w:val="22"/>
        </w:rPr>
        <w:t xml:space="preserve"> EL ÓRGANO DE ADMINISTRACIÓN MANIFIESTA, CON CARÁCTER DE DECLARACIÓN JURADA, QUE EL PRESENTE PROSPECTO CONTIENE A LA FECHA DE SU PUBLICACIÓN INFORMACIÓN VERAZ Y SUFICIENTE SOBRE TODO HECHO RELEVANTE QUE PUEDA AFECTAR LA SITUACIÓN PATRIMONIAL, ECONÓMICA Y FINANCIERA</w:t>
      </w:r>
      <w:r w:rsidR="007F4DD5" w:rsidRPr="00D54F4C">
        <w:rPr>
          <w:rFonts w:eastAsia="Calibri"/>
          <w:b/>
          <w:iCs/>
          <w:sz w:val="22"/>
          <w:szCs w:val="22"/>
        </w:rPr>
        <w:t xml:space="preserve"> DE LA EMISORA Y DE TODA </w:t>
      </w:r>
      <w:r w:rsidR="007F4DD5" w:rsidRPr="00D54F4C">
        <w:rPr>
          <w:rFonts w:eastAsia="Calibri"/>
          <w:b/>
          <w:iCs/>
          <w:sz w:val="22"/>
          <w:szCs w:val="22"/>
        </w:rPr>
        <w:lastRenderedPageBreak/>
        <w:t>AQUELLA QUE DEBA SER DE CONOCIMIENTO DEL PÚBLICO INVERSOR CON RELACIÓN A LA PRESENTE EMISIÓN, CONFORME LAS NORMAS VIGENTES. LAS OBLIGACIONES NEGOCIABLES AUTORIZADAS A OFERTA PUBLICA SOLO PUEDEN NEGOCIARSE PUBLICAMENTE EN MERCADOS A</w:t>
      </w:r>
      <w:r w:rsidR="007F4DD5" w:rsidRPr="003B7E94">
        <w:rPr>
          <w:rFonts w:eastAsia="Calibri"/>
          <w:b/>
          <w:iCs/>
          <w:sz w:val="22"/>
          <w:szCs w:val="22"/>
        </w:rPr>
        <w:t>UTORIZADOS DEL PAIS, PARA SER ADQUIRIDAS POR LOS INVERSORES QUE INDICAN LAS NORMAS DE LA COMISIÓN NACIONAL DE VALORES EN SU SECCION II DEL CAPÍTULO VI DEL TITULO II</w:t>
      </w:r>
    </w:p>
    <w:p w:rsidR="00965A08" w:rsidRPr="00ED77DA" w:rsidRDefault="00965A08" w:rsidP="005752E3">
      <w:pPr>
        <w:pStyle w:val="Textoindependiente2"/>
        <w:rPr>
          <w:bCs/>
          <w:szCs w:val="20"/>
          <w:u w:val="none"/>
        </w:rPr>
      </w:pPr>
      <w:r w:rsidRPr="00ED77DA">
        <w:rPr>
          <w:bCs/>
          <w:szCs w:val="20"/>
          <w:u w:val="none"/>
        </w:rPr>
        <w:t xml:space="preserve"> </w:t>
      </w:r>
    </w:p>
    <w:p w:rsidR="00965A08" w:rsidRPr="005752E3" w:rsidRDefault="00965A08" w:rsidP="005752E3">
      <w:pPr>
        <w:jc w:val="center"/>
        <w:rPr>
          <w:sz w:val="16"/>
          <w:szCs w:val="16"/>
          <w:lang w:val="es-ES"/>
        </w:rPr>
      </w:pPr>
    </w:p>
    <w:p w:rsidR="00965A08" w:rsidRPr="005752E3" w:rsidRDefault="00965A08" w:rsidP="005752E3">
      <w:pPr>
        <w:jc w:val="center"/>
        <w:rPr>
          <w:sz w:val="20"/>
          <w:szCs w:val="20"/>
          <w:lang w:val="es-ES"/>
        </w:rPr>
      </w:pPr>
      <w:r w:rsidRPr="00ED77DA">
        <w:rPr>
          <w:sz w:val="20"/>
          <w:szCs w:val="20"/>
          <w:lang w:val="es-ES"/>
        </w:rPr>
        <w:t>La fecha del presente Prospecto es</w:t>
      </w:r>
      <w:r w:rsidR="00CD6B8D">
        <w:rPr>
          <w:sz w:val="20"/>
          <w:szCs w:val="20"/>
          <w:lang w:val="es-ES"/>
        </w:rPr>
        <w:t xml:space="preserve"> </w:t>
      </w:r>
      <w:r w:rsidR="00AA2865">
        <w:rPr>
          <w:sz w:val="20"/>
          <w:szCs w:val="20"/>
          <w:lang w:val="es-ES"/>
        </w:rPr>
        <w:t>2</w:t>
      </w:r>
      <w:r w:rsidR="009C5A33">
        <w:rPr>
          <w:sz w:val="20"/>
          <w:szCs w:val="20"/>
          <w:lang w:val="es-ES"/>
        </w:rPr>
        <w:t>6</w:t>
      </w:r>
      <w:bookmarkStart w:id="0" w:name="_GoBack"/>
      <w:bookmarkEnd w:id="0"/>
      <w:r w:rsidR="00AA2865">
        <w:rPr>
          <w:sz w:val="20"/>
          <w:szCs w:val="20"/>
          <w:lang w:val="es-ES"/>
        </w:rPr>
        <w:t xml:space="preserve"> </w:t>
      </w:r>
      <w:r w:rsidR="00CD6B8D">
        <w:rPr>
          <w:sz w:val="20"/>
          <w:szCs w:val="20"/>
          <w:lang w:val="es-ES"/>
        </w:rPr>
        <w:t>d</w:t>
      </w:r>
      <w:r w:rsidRPr="005752E3">
        <w:rPr>
          <w:sz w:val="20"/>
          <w:szCs w:val="20"/>
          <w:lang w:val="es-ES"/>
        </w:rPr>
        <w:t xml:space="preserve">e </w:t>
      </w:r>
      <w:r w:rsidR="00AA2865">
        <w:rPr>
          <w:sz w:val="20"/>
          <w:szCs w:val="20"/>
          <w:lang w:val="es-ES"/>
        </w:rPr>
        <w:t xml:space="preserve">febrero </w:t>
      </w:r>
      <w:r w:rsidRPr="005752E3">
        <w:rPr>
          <w:sz w:val="20"/>
          <w:szCs w:val="20"/>
          <w:lang w:val="es-ES"/>
        </w:rPr>
        <w:t>de 201</w:t>
      </w:r>
      <w:r w:rsidR="00173196">
        <w:rPr>
          <w:sz w:val="20"/>
          <w:szCs w:val="20"/>
          <w:lang w:val="es-ES"/>
        </w:rPr>
        <w:t>9</w:t>
      </w:r>
      <w:r w:rsidRPr="005752E3">
        <w:rPr>
          <w:sz w:val="20"/>
          <w:szCs w:val="20"/>
          <w:lang w:val="es-ES"/>
        </w:rPr>
        <w:t>.</w:t>
      </w:r>
    </w:p>
    <w:p w:rsidR="00965A08" w:rsidRPr="005752E3" w:rsidRDefault="00965A08" w:rsidP="005752E3">
      <w:pPr>
        <w:jc w:val="center"/>
        <w:rPr>
          <w:sz w:val="16"/>
          <w:szCs w:val="16"/>
          <w:lang w:val="es-ES"/>
        </w:rPr>
      </w:pPr>
    </w:p>
    <w:p w:rsidR="00965A08" w:rsidRDefault="00965A08" w:rsidP="005752E3">
      <w:pPr>
        <w:widowControl w:val="0"/>
        <w:suppressAutoHyphens/>
        <w:jc w:val="both"/>
      </w:pPr>
      <w:r w:rsidRPr="005752E3">
        <w:rPr>
          <w:sz w:val="20"/>
          <w:szCs w:val="20"/>
          <w:lang w:val="es-ES"/>
        </w:rPr>
        <w:t xml:space="preserve">Copias del Prospecto estarán disponibles para ser entregados a los inversores interesados en las oficinas comerciales del Emisor sitas en </w:t>
      </w:r>
      <w:r w:rsidR="00D718A8" w:rsidRPr="00D718A8">
        <w:rPr>
          <w:sz w:val="20"/>
          <w:szCs w:val="20"/>
        </w:rPr>
        <w:t>San Luis 357,</w:t>
      </w:r>
      <w:r w:rsidR="00D718A8">
        <w:rPr>
          <w:sz w:val="20"/>
          <w:szCs w:val="20"/>
        </w:rPr>
        <w:t xml:space="preserve"> Ciudad de</w:t>
      </w:r>
      <w:r w:rsidR="00D718A8" w:rsidRPr="00D718A8">
        <w:rPr>
          <w:sz w:val="20"/>
          <w:szCs w:val="20"/>
        </w:rPr>
        <w:t xml:space="preserve"> Neuquén</w:t>
      </w:r>
      <w:r w:rsidR="00D718A8">
        <w:rPr>
          <w:sz w:val="20"/>
          <w:szCs w:val="20"/>
          <w:lang w:val="es-ES"/>
        </w:rPr>
        <w:t xml:space="preserve">, Provincia de Neuquén </w:t>
      </w:r>
      <w:r w:rsidRPr="005752E3">
        <w:rPr>
          <w:sz w:val="20"/>
          <w:szCs w:val="20"/>
          <w:lang w:val="es-ES"/>
        </w:rPr>
        <w:t xml:space="preserve">y en las oficinas de los Colocadores que se designen. Asimismo, estará publicado </w:t>
      </w:r>
      <w:r w:rsidRPr="005752E3">
        <w:rPr>
          <w:iCs/>
          <w:sz w:val="20"/>
          <w:szCs w:val="20"/>
          <w:lang w:val="es-ES"/>
        </w:rPr>
        <w:t xml:space="preserve">en </w:t>
      </w:r>
      <w:hyperlink r:id="rId11" w:history="1">
        <w:r w:rsidR="00173196" w:rsidRPr="00173196">
          <w:rPr>
            <w:rStyle w:val="Hipervnculo"/>
            <w:iCs/>
            <w:sz w:val="20"/>
            <w:szCs w:val="20"/>
            <w:lang w:val="es-ES"/>
          </w:rPr>
          <w:t>www.cnv.gov</w:t>
        </w:r>
        <w:r w:rsidR="00173196" w:rsidRPr="000D5E6D">
          <w:rPr>
            <w:rStyle w:val="Hipervnculo"/>
            <w:iCs/>
            <w:sz w:val="20"/>
            <w:szCs w:val="20"/>
            <w:lang w:val="es-ES"/>
          </w:rPr>
          <w:t>.ar</w:t>
        </w:r>
      </w:hyperlink>
      <w:r w:rsidRPr="005752E3">
        <w:t>.</w:t>
      </w:r>
    </w:p>
    <w:p w:rsidR="00965A08" w:rsidRPr="005752E3" w:rsidRDefault="00965A08" w:rsidP="005752E3">
      <w:pPr>
        <w:widowControl w:val="0"/>
        <w:suppressAutoHyphens/>
        <w:jc w:val="both"/>
        <w:rPr>
          <w:sz w:val="16"/>
          <w:szCs w:val="16"/>
          <w:lang w:val="es-ES"/>
        </w:rPr>
      </w:pPr>
    </w:p>
    <w:p w:rsidR="00965A08" w:rsidRPr="00ED77DA" w:rsidRDefault="00965A08" w:rsidP="000F2EFF">
      <w:pPr>
        <w:jc w:val="center"/>
        <w:rPr>
          <w:sz w:val="16"/>
          <w:szCs w:val="16"/>
          <w:lang w:val="es-ES"/>
        </w:rPr>
      </w:pPr>
    </w:p>
    <w:p w:rsidR="00965A08" w:rsidRPr="00ED77DA" w:rsidRDefault="00965A08" w:rsidP="00AA2865">
      <w:pPr>
        <w:pStyle w:val="Textonotapie"/>
        <w:widowControl/>
        <w:numPr>
          <w:ilvl w:val="0"/>
          <w:numId w:val="2"/>
        </w:numPr>
        <w:tabs>
          <w:tab w:val="clear" w:pos="-720"/>
        </w:tabs>
        <w:suppressAutoHyphens w:val="0"/>
        <w:ind w:left="0" w:firstLine="0"/>
        <w:jc w:val="center"/>
        <w:outlineLvl w:val="0"/>
        <w:rPr>
          <w:rFonts w:ascii="Times New Roman" w:hAnsi="Times New Roman"/>
          <w:b/>
          <w:sz w:val="22"/>
          <w:lang w:val="es-ES"/>
        </w:rPr>
      </w:pPr>
      <w:r w:rsidRPr="00ED77DA">
        <w:rPr>
          <w:rFonts w:ascii="Times New Roman" w:hAnsi="Times New Roman"/>
          <w:b/>
          <w:sz w:val="22"/>
          <w:lang w:val="es-ES"/>
        </w:rPr>
        <w:t>ADVERTENCIAS</w:t>
      </w:r>
    </w:p>
    <w:p w:rsidR="00965A08" w:rsidRPr="00ED77DA" w:rsidRDefault="00965A08" w:rsidP="000F2EFF">
      <w:pPr>
        <w:pStyle w:val="Textonotapie"/>
        <w:widowControl/>
        <w:tabs>
          <w:tab w:val="clear" w:pos="-720"/>
        </w:tabs>
        <w:suppressAutoHyphens w:val="0"/>
        <w:ind w:left="1080"/>
        <w:rPr>
          <w:rFonts w:ascii="Times New Roman" w:hAnsi="Times New Roman"/>
          <w:b/>
          <w:sz w:val="22"/>
          <w:lang w:val="es-ES"/>
        </w:rPr>
      </w:pPr>
    </w:p>
    <w:p w:rsidR="00965A08" w:rsidRPr="00ED77DA" w:rsidRDefault="00965A08" w:rsidP="000F2EFF">
      <w:pPr>
        <w:jc w:val="both"/>
        <w:rPr>
          <w:b/>
          <w:sz w:val="20"/>
          <w:szCs w:val="20"/>
          <w:lang w:val="es-ES"/>
        </w:rPr>
      </w:pPr>
      <w:r w:rsidRPr="00ED77DA">
        <w:rPr>
          <w:b/>
          <w:iCs/>
          <w:caps/>
          <w:sz w:val="20"/>
          <w:szCs w:val="20"/>
          <w:lang w:val="es-ES"/>
        </w:rPr>
        <w:t xml:space="preserve">DE ACUERDO A LO PREVISTO en el </w:t>
      </w:r>
      <w:r w:rsidRPr="006272DA">
        <w:rPr>
          <w:b/>
          <w:caps/>
          <w:color w:val="000000"/>
          <w:sz w:val="20"/>
          <w:szCs w:val="20"/>
          <w:lang w:val="es-ES"/>
        </w:rPr>
        <w:t>artículo 119 de la ley 26.831,</w:t>
      </w:r>
      <w:r w:rsidRPr="00ED77DA">
        <w:rPr>
          <w:b/>
          <w:caps/>
          <w:color w:val="000000"/>
          <w:sz w:val="20"/>
          <w:szCs w:val="20"/>
          <w:lang w:val="es-ES"/>
        </w:rPr>
        <w:t xml:space="preserve"> “</w:t>
      </w:r>
      <w:r w:rsidRPr="00ED77DA">
        <w:rPr>
          <w:b/>
          <w:i/>
          <w:caps/>
          <w:color w:val="000000"/>
          <w:sz w:val="20"/>
          <w:szCs w:val="20"/>
          <w:lang w:val="es-ES"/>
        </w:rPr>
        <w:t>Los emisores de valores negociables, juntamente con los integrantes de los órganos de administración y fiscalización, estos últimos en materia de su competencia, y en su caso los oferentes de los valores negociables con relación a la información vinculada a los mismos, y las personas que firmen el prospecto de una emisión de valores negociables, serán responsables de toda la información incluida en los prospectos por ellos registrados ante la Comisión Nacional de Valores</w:t>
      </w:r>
      <w:r w:rsidRPr="00ED77DA">
        <w:rPr>
          <w:b/>
          <w:caps/>
          <w:color w:val="000000"/>
          <w:sz w:val="20"/>
          <w:szCs w:val="20"/>
          <w:lang w:val="es-ES"/>
        </w:rPr>
        <w:t xml:space="preserve">” (los “responsables directos”) agrega el </w:t>
      </w:r>
      <w:r w:rsidRPr="006272DA">
        <w:rPr>
          <w:b/>
          <w:caps/>
          <w:color w:val="000000"/>
          <w:sz w:val="20"/>
          <w:szCs w:val="20"/>
          <w:lang w:val="es-ES"/>
        </w:rPr>
        <w:t>artículo 120</w:t>
      </w:r>
      <w:r w:rsidRPr="00ED77DA">
        <w:rPr>
          <w:b/>
          <w:caps/>
          <w:color w:val="000000"/>
          <w:sz w:val="20"/>
          <w:szCs w:val="20"/>
          <w:lang w:val="es-ES"/>
        </w:rPr>
        <w:t xml:space="preserve"> que “</w:t>
      </w:r>
      <w:r w:rsidRPr="00ED77DA">
        <w:rPr>
          <w:b/>
          <w:i/>
          <w:caps/>
          <w:color w:val="000000"/>
          <w:sz w:val="20"/>
          <w:szCs w:val="20"/>
          <w:lang w:val="es-ES"/>
        </w:rPr>
        <w:t>Las entidades y agentes intermediarios en el mercado que participen como organizadores o colocadores en una oferta pública de venta o compra de valores negociables deberán revisar diligentemente la información contenida en los prospectos de la oferta. Los expertos o terceros que opinen sobre ciertas partes del prospecto sólo serán responsables por la parte de dicha información sobre la que han emitido opinión</w:t>
      </w:r>
      <w:r w:rsidRPr="00ED77DA">
        <w:rPr>
          <w:b/>
          <w:caps/>
          <w:color w:val="000000"/>
          <w:sz w:val="20"/>
          <w:szCs w:val="20"/>
          <w:lang w:val="es-ES"/>
        </w:rPr>
        <w:t xml:space="preserve">”. LA LEGITIMACIÓN PARA DEMANDAR, EL MONTO DE LA INDEMNIZACIÓN Y OTROS ASPECTOS VINCULADOS ESTÁN REGULADOS EN LOS ARTÍCULOS </w:t>
      </w:r>
      <w:r w:rsidRPr="006272DA">
        <w:rPr>
          <w:b/>
          <w:caps/>
          <w:color w:val="000000"/>
          <w:sz w:val="20"/>
          <w:szCs w:val="20"/>
          <w:lang w:val="es-ES"/>
        </w:rPr>
        <w:t>121 A 124</w:t>
      </w:r>
      <w:r w:rsidRPr="00ED77DA">
        <w:rPr>
          <w:b/>
          <w:caps/>
          <w:color w:val="000000"/>
          <w:sz w:val="20"/>
          <w:szCs w:val="20"/>
          <w:lang w:val="es-ES"/>
        </w:rPr>
        <w:t xml:space="preserve"> DE LA LEY CITADA.</w:t>
      </w:r>
    </w:p>
    <w:p w:rsidR="00965A08" w:rsidRPr="005752E3" w:rsidRDefault="00965A08" w:rsidP="000F2EFF">
      <w:pPr>
        <w:jc w:val="both"/>
        <w:rPr>
          <w:b/>
          <w:sz w:val="16"/>
          <w:szCs w:val="16"/>
          <w:lang w:val="es-ES"/>
        </w:rPr>
      </w:pPr>
    </w:p>
    <w:p w:rsidR="00965A08" w:rsidRPr="00770CA9" w:rsidRDefault="00965A08" w:rsidP="00A2587F">
      <w:pPr>
        <w:pStyle w:val="Textoindependiente"/>
        <w:rPr>
          <w:rFonts w:ascii="Times New Roman" w:hAnsi="Times New Roman"/>
          <w:sz w:val="22"/>
          <w:szCs w:val="22"/>
        </w:rPr>
      </w:pPr>
      <w:r w:rsidRPr="00770CA9">
        <w:rPr>
          <w:rFonts w:ascii="Times New Roman" w:hAnsi="Times New Roman"/>
          <w:sz w:val="22"/>
          <w:szCs w:val="22"/>
        </w:rPr>
        <w:t xml:space="preserve">Toda vez que las ON estarán documentadas en certificados globales permanentes depositados en Caja de Valores S.A., las transferencias y constitución de derechos reales sobre los mismos se realizarán conforme a las disposiciones de la </w:t>
      </w:r>
      <w:r>
        <w:rPr>
          <w:rFonts w:ascii="Times New Roman" w:hAnsi="Times New Roman"/>
          <w:sz w:val="22"/>
          <w:szCs w:val="22"/>
        </w:rPr>
        <w:t>l</w:t>
      </w:r>
      <w:r w:rsidRPr="00770CA9">
        <w:rPr>
          <w:rFonts w:ascii="Times New Roman" w:hAnsi="Times New Roman"/>
          <w:sz w:val="22"/>
          <w:szCs w:val="22"/>
        </w:rPr>
        <w:t xml:space="preserve">ey 20.643 y concordantes. La Caja de Valores S.A. se encuentra habilitada para cobrar aranceles a cargo de los depositantes, que éstos podrán transferir en todo o en parte a los titulares de </w:t>
      </w:r>
      <w:r>
        <w:rPr>
          <w:rFonts w:ascii="Times New Roman" w:hAnsi="Times New Roman"/>
          <w:sz w:val="22"/>
          <w:szCs w:val="22"/>
        </w:rPr>
        <w:t xml:space="preserve">las </w:t>
      </w:r>
      <w:r w:rsidRPr="00770CA9">
        <w:rPr>
          <w:rFonts w:ascii="Times New Roman" w:hAnsi="Times New Roman"/>
          <w:sz w:val="22"/>
          <w:szCs w:val="22"/>
        </w:rPr>
        <w:t>ON.</w:t>
      </w:r>
    </w:p>
    <w:p w:rsidR="00965A08" w:rsidRPr="00770CA9" w:rsidRDefault="00965A08" w:rsidP="00A2587F">
      <w:pPr>
        <w:jc w:val="both"/>
        <w:rPr>
          <w:sz w:val="22"/>
          <w:szCs w:val="22"/>
        </w:rPr>
      </w:pPr>
    </w:p>
    <w:p w:rsidR="00965A08" w:rsidRPr="00770CA9" w:rsidRDefault="00965A08" w:rsidP="00A2587F">
      <w:pPr>
        <w:jc w:val="both"/>
        <w:rPr>
          <w:sz w:val="22"/>
        </w:rPr>
      </w:pPr>
      <w:r w:rsidRPr="00770CA9">
        <w:rPr>
          <w:sz w:val="22"/>
        </w:rPr>
        <w:t>Fuera de la Argentina, este Prospecto no constituye una oferta, ni una invitación por o en representación del Emisor o cualquiera de los Colocadores, a suscribir o adquirir ON y no deberá considerarse que constituye una recomendación por parte del Emisor o cualquiera de los Colocadores en el sentido de que cualquier receptor de este</w:t>
      </w:r>
      <w:r>
        <w:rPr>
          <w:sz w:val="22"/>
        </w:rPr>
        <w:t xml:space="preserve"> </w:t>
      </w:r>
      <w:r w:rsidRPr="00770CA9">
        <w:rPr>
          <w:sz w:val="22"/>
        </w:rPr>
        <w:t>Prospecto deba suscribir o adquirir ON. Se considerará que cada receptor ha efectuado su propia investigación y evaluación de la situación financiera del Emisor. La distribución de este Prospecto, o cualquier parte del mismo, y la oferta, venta o posesión de ON en ciertas jurisdicciones podrían estar restringidas por normas legales. El Emisor solicita a las personas que reciban este</w:t>
      </w:r>
      <w:r>
        <w:rPr>
          <w:sz w:val="22"/>
        </w:rPr>
        <w:t xml:space="preserve"> </w:t>
      </w:r>
      <w:r w:rsidRPr="00770CA9">
        <w:rPr>
          <w:sz w:val="22"/>
        </w:rPr>
        <w:t>Prospecto que se informen acerca de tales restricciones y las cumplan.</w:t>
      </w:r>
    </w:p>
    <w:p w:rsidR="00965A08" w:rsidRPr="00A2587F" w:rsidRDefault="00965A08" w:rsidP="00A2587F">
      <w:pPr>
        <w:pStyle w:val="Ttulo1"/>
        <w:rPr>
          <w:sz w:val="22"/>
          <w:lang w:val="es-ES"/>
        </w:rPr>
      </w:pPr>
      <w:bookmarkStart w:id="1" w:name="_Toc179722102"/>
      <w:bookmarkStart w:id="2" w:name="_Toc263072470"/>
    </w:p>
    <w:p w:rsidR="00965A08" w:rsidRPr="00A2587F" w:rsidRDefault="00965A08" w:rsidP="00A2587F">
      <w:pPr>
        <w:pStyle w:val="Ttulo1"/>
        <w:rPr>
          <w:sz w:val="22"/>
          <w:lang w:val="es-ES"/>
        </w:rPr>
      </w:pPr>
      <w:r w:rsidRPr="00A2587F">
        <w:rPr>
          <w:sz w:val="22"/>
          <w:lang w:val="es-ES"/>
        </w:rPr>
        <w:t>I</w:t>
      </w:r>
      <w:r>
        <w:rPr>
          <w:sz w:val="22"/>
          <w:lang w:val="es-ES"/>
        </w:rPr>
        <w:t>I</w:t>
      </w:r>
      <w:r w:rsidRPr="00777508">
        <w:rPr>
          <w:rFonts w:eastAsia="Times New Roman"/>
          <w:spacing w:val="-2"/>
          <w:sz w:val="22"/>
          <w:lang w:val="es-ES"/>
        </w:rPr>
        <w:t xml:space="preserve">. </w:t>
      </w:r>
      <w:r w:rsidRPr="00777508">
        <w:rPr>
          <w:sz w:val="22"/>
          <w:lang w:val="es-ES"/>
        </w:rPr>
        <w:t>NOTIFICACIÓN</w:t>
      </w:r>
      <w:r w:rsidRPr="00777508">
        <w:rPr>
          <w:rFonts w:eastAsia="Times New Roman"/>
          <w:spacing w:val="-2"/>
          <w:sz w:val="22"/>
          <w:lang w:val="es-ES"/>
        </w:rPr>
        <w:t xml:space="preserve"> A LOS</w:t>
      </w:r>
      <w:r w:rsidRPr="00A2587F">
        <w:rPr>
          <w:sz w:val="22"/>
          <w:lang w:val="es-ES"/>
        </w:rPr>
        <w:t xml:space="preserve"> INVERSORES</w:t>
      </w:r>
      <w:bookmarkEnd w:id="1"/>
      <w:bookmarkEnd w:id="2"/>
    </w:p>
    <w:p w:rsidR="00965A08" w:rsidRPr="000B001A" w:rsidRDefault="00965A08" w:rsidP="00A2587F">
      <w:pPr>
        <w:widowControl w:val="0"/>
        <w:suppressLineNumbers/>
        <w:suppressAutoHyphens/>
        <w:jc w:val="both"/>
        <w:rPr>
          <w:b/>
          <w:bCs/>
          <w:sz w:val="22"/>
          <w:szCs w:val="22"/>
        </w:rPr>
      </w:pPr>
    </w:p>
    <w:p w:rsidR="00965A08" w:rsidRPr="000B001A" w:rsidRDefault="00965A08" w:rsidP="00A2587F">
      <w:pPr>
        <w:pStyle w:val="Textoindependiente"/>
        <w:suppressLineNumbers/>
        <w:rPr>
          <w:rFonts w:ascii="Times New Roman" w:hAnsi="Times New Roman"/>
          <w:sz w:val="22"/>
          <w:szCs w:val="22"/>
        </w:rPr>
      </w:pPr>
      <w:r w:rsidRPr="000B001A">
        <w:rPr>
          <w:rFonts w:ascii="Times New Roman" w:hAnsi="Times New Roman"/>
          <w:sz w:val="22"/>
          <w:szCs w:val="22"/>
        </w:rPr>
        <w:t>Al tomar decisiones de inversión respecto de las Obligaciones Negociables, el público inversor deberá basarse en su propio análisis de la Sociedad, en los términos y condiciones de las Obligaciones Negociables, y en los beneficios y riesgos involucrados. El contenido de este Prospecto no debe ser interpretado como asesoramiento legal, comercial, financiero, impositivo y/o de otro tipo. El público inversor deberá consultar con sus propios asesores respecto de los aspectos legales, comerciales, financieros, impositivos y/o de otro tipo relacionados con su inversión en las Obligaciones Negociables.</w:t>
      </w:r>
    </w:p>
    <w:p w:rsidR="00965A08" w:rsidRPr="000B001A" w:rsidRDefault="00965A08" w:rsidP="00A2587F">
      <w:pPr>
        <w:widowControl w:val="0"/>
        <w:suppressLineNumbers/>
        <w:suppressAutoHyphens/>
        <w:jc w:val="both"/>
        <w:rPr>
          <w:sz w:val="22"/>
          <w:szCs w:val="22"/>
        </w:rPr>
      </w:pPr>
    </w:p>
    <w:p w:rsidR="00965A08" w:rsidRDefault="00965A08" w:rsidP="00AA2865">
      <w:pPr>
        <w:rPr>
          <w:b/>
          <w:sz w:val="22"/>
          <w:szCs w:val="20"/>
          <w:lang w:val="es-ES_tradnl"/>
        </w:rPr>
      </w:pPr>
      <w:r w:rsidRPr="0008147F">
        <w:rPr>
          <w:b/>
          <w:sz w:val="22"/>
          <w:szCs w:val="20"/>
          <w:lang w:val="es-ES_tradnl"/>
        </w:rPr>
        <w:t>Restricciones para la adquisición de las Obligaciones Negociables</w:t>
      </w:r>
      <w:r>
        <w:rPr>
          <w:b/>
          <w:sz w:val="22"/>
          <w:szCs w:val="20"/>
          <w:lang w:val="es-ES_tradnl"/>
        </w:rPr>
        <w:t xml:space="preserve"> </w:t>
      </w:r>
    </w:p>
    <w:p w:rsidR="00965A08" w:rsidRDefault="00965A08" w:rsidP="00A2587F">
      <w:pPr>
        <w:autoSpaceDE w:val="0"/>
        <w:autoSpaceDN w:val="0"/>
        <w:adjustRightInd w:val="0"/>
        <w:jc w:val="both"/>
        <w:rPr>
          <w:b/>
          <w:sz w:val="22"/>
          <w:szCs w:val="20"/>
          <w:lang w:val="es-ES_tradnl"/>
        </w:rPr>
      </w:pPr>
    </w:p>
    <w:p w:rsidR="00965A08" w:rsidRDefault="00965A08" w:rsidP="00A2587F">
      <w:pPr>
        <w:jc w:val="both"/>
        <w:rPr>
          <w:sz w:val="22"/>
          <w:szCs w:val="20"/>
        </w:rPr>
      </w:pPr>
      <w:r>
        <w:rPr>
          <w:sz w:val="22"/>
          <w:szCs w:val="20"/>
        </w:rPr>
        <w:t>Las Obligaciones Negociables a ser emitidas en el marco del régimen especial previsto para pequeñas y medianas empresas (PyMEs), sólo podrán ser adquiridas por los inversores calificados que se encuentren dentro de las siguientes categorías:</w:t>
      </w:r>
    </w:p>
    <w:p w:rsidR="00965A08" w:rsidRDefault="00965A08" w:rsidP="00A2587F">
      <w:pPr>
        <w:jc w:val="both"/>
        <w:rPr>
          <w:sz w:val="22"/>
          <w:szCs w:val="20"/>
        </w:rPr>
      </w:pPr>
    </w:p>
    <w:p w:rsidR="00965A08" w:rsidRPr="001D1CCF" w:rsidRDefault="00965A08" w:rsidP="00A2587F">
      <w:pPr>
        <w:autoSpaceDE w:val="0"/>
        <w:autoSpaceDN w:val="0"/>
        <w:adjustRightInd w:val="0"/>
        <w:jc w:val="both"/>
        <w:rPr>
          <w:color w:val="000000"/>
          <w:sz w:val="22"/>
          <w:szCs w:val="22"/>
          <w:lang w:val="es-ES"/>
        </w:rPr>
      </w:pPr>
      <w:r w:rsidRPr="001D1CCF">
        <w:rPr>
          <w:color w:val="000000"/>
          <w:sz w:val="22"/>
          <w:szCs w:val="22"/>
          <w:lang w:val="es-ES"/>
        </w:rPr>
        <w:t>a) El Estado Nacional, las Provincias y Municipalidades, sus Entidades Autárquicas, Sociedades del Estado</w:t>
      </w:r>
      <w:r w:rsidR="00D92629">
        <w:rPr>
          <w:color w:val="000000"/>
          <w:sz w:val="22"/>
          <w:szCs w:val="22"/>
          <w:lang w:val="es-ES"/>
        </w:rPr>
        <w:t xml:space="preserve"> y</w:t>
      </w:r>
      <w:r w:rsidRPr="001D1CCF">
        <w:rPr>
          <w:color w:val="000000"/>
          <w:sz w:val="22"/>
          <w:szCs w:val="22"/>
          <w:lang w:val="es-ES"/>
        </w:rPr>
        <w:t xml:space="preserve"> Empresas del Estado. </w:t>
      </w:r>
    </w:p>
    <w:p w:rsidR="00965A08" w:rsidRPr="001D1CCF" w:rsidRDefault="00965A08" w:rsidP="00A2587F">
      <w:pPr>
        <w:autoSpaceDE w:val="0"/>
        <w:autoSpaceDN w:val="0"/>
        <w:adjustRightInd w:val="0"/>
        <w:jc w:val="both"/>
        <w:rPr>
          <w:color w:val="000000"/>
          <w:sz w:val="22"/>
          <w:szCs w:val="22"/>
          <w:lang w:val="es-ES"/>
        </w:rPr>
      </w:pPr>
      <w:r w:rsidRPr="001D1CCF">
        <w:rPr>
          <w:color w:val="000000"/>
          <w:sz w:val="22"/>
          <w:szCs w:val="22"/>
          <w:lang w:val="es-ES"/>
        </w:rPr>
        <w:t xml:space="preserve">b) </w:t>
      </w:r>
      <w:r w:rsidR="00240A04" w:rsidRPr="00240A04">
        <w:rPr>
          <w:color w:val="000000"/>
          <w:sz w:val="22"/>
          <w:szCs w:val="22"/>
          <w:lang w:val="es-ES"/>
        </w:rPr>
        <w:t>Organismos Internacionales y Personas Jurídicas de Derecho Público</w:t>
      </w:r>
    </w:p>
    <w:p w:rsidR="00965A08" w:rsidRPr="001D1CCF" w:rsidRDefault="00965A08" w:rsidP="00A2587F">
      <w:pPr>
        <w:autoSpaceDE w:val="0"/>
        <w:autoSpaceDN w:val="0"/>
        <w:adjustRightInd w:val="0"/>
        <w:jc w:val="both"/>
        <w:rPr>
          <w:color w:val="000000"/>
          <w:sz w:val="22"/>
          <w:szCs w:val="22"/>
          <w:lang w:val="es-ES"/>
        </w:rPr>
      </w:pPr>
      <w:r w:rsidRPr="001D1CCF">
        <w:rPr>
          <w:color w:val="000000"/>
          <w:sz w:val="22"/>
          <w:szCs w:val="22"/>
          <w:lang w:val="es-ES"/>
        </w:rPr>
        <w:t xml:space="preserve">c) </w:t>
      </w:r>
      <w:r w:rsidR="00240A04" w:rsidRPr="00240A04">
        <w:rPr>
          <w:color w:val="000000"/>
          <w:sz w:val="22"/>
          <w:szCs w:val="22"/>
          <w:lang w:val="es-ES"/>
        </w:rPr>
        <w:t>Fondos Fiduciarios Públicos.</w:t>
      </w:r>
    </w:p>
    <w:p w:rsidR="00965A08" w:rsidRPr="001D1CCF" w:rsidRDefault="00965A08" w:rsidP="00A2587F">
      <w:pPr>
        <w:autoSpaceDE w:val="0"/>
        <w:autoSpaceDN w:val="0"/>
        <w:adjustRightInd w:val="0"/>
        <w:jc w:val="both"/>
        <w:rPr>
          <w:color w:val="000000"/>
          <w:sz w:val="22"/>
          <w:szCs w:val="22"/>
          <w:lang w:val="es-ES"/>
        </w:rPr>
      </w:pPr>
      <w:r w:rsidRPr="001D1CCF">
        <w:rPr>
          <w:color w:val="000000"/>
          <w:sz w:val="22"/>
          <w:szCs w:val="22"/>
          <w:lang w:val="es-ES"/>
        </w:rPr>
        <w:t>d)</w:t>
      </w:r>
      <w:r w:rsidR="00240A04">
        <w:rPr>
          <w:color w:val="000000"/>
          <w:sz w:val="22"/>
          <w:szCs w:val="22"/>
          <w:lang w:val="es-ES"/>
        </w:rPr>
        <w:t xml:space="preserve"> </w:t>
      </w:r>
      <w:r w:rsidR="00240A04" w:rsidRPr="00240A04">
        <w:rPr>
          <w:color w:val="000000"/>
          <w:sz w:val="22"/>
          <w:szCs w:val="22"/>
          <w:lang w:val="es-ES"/>
        </w:rPr>
        <w:t>La Administración Nacional de la Seguridad Social (ANSeS) – Fondo de Garantía de Sustentabilidad (FGS</w:t>
      </w:r>
      <w:r w:rsidR="00D92629">
        <w:rPr>
          <w:color w:val="000000"/>
          <w:sz w:val="22"/>
          <w:szCs w:val="22"/>
          <w:lang w:val="es-ES"/>
        </w:rPr>
        <w:t>).</w:t>
      </w:r>
    </w:p>
    <w:p w:rsidR="00965A08" w:rsidRPr="001D1CCF" w:rsidRDefault="00965A08" w:rsidP="00A2587F">
      <w:pPr>
        <w:autoSpaceDE w:val="0"/>
        <w:autoSpaceDN w:val="0"/>
        <w:adjustRightInd w:val="0"/>
        <w:jc w:val="both"/>
        <w:rPr>
          <w:color w:val="000000"/>
          <w:sz w:val="22"/>
          <w:szCs w:val="22"/>
          <w:lang w:val="es-ES"/>
        </w:rPr>
      </w:pPr>
      <w:r w:rsidRPr="001D1CCF">
        <w:rPr>
          <w:color w:val="000000"/>
          <w:sz w:val="22"/>
          <w:szCs w:val="22"/>
          <w:lang w:val="es-ES"/>
        </w:rPr>
        <w:t xml:space="preserve">e) </w:t>
      </w:r>
      <w:r w:rsidR="00D92629">
        <w:rPr>
          <w:color w:val="000000"/>
          <w:sz w:val="22"/>
          <w:szCs w:val="22"/>
          <w:lang w:val="es-ES"/>
        </w:rPr>
        <w:t>Cajas Previsionales.</w:t>
      </w:r>
      <w:r w:rsidRPr="001D1CCF">
        <w:rPr>
          <w:color w:val="000000"/>
          <w:sz w:val="22"/>
          <w:szCs w:val="22"/>
          <w:lang w:val="es-ES"/>
        </w:rPr>
        <w:t xml:space="preserve"> </w:t>
      </w:r>
    </w:p>
    <w:p w:rsidR="00965A08" w:rsidRPr="001D1CCF" w:rsidRDefault="00965A08" w:rsidP="00A2587F">
      <w:pPr>
        <w:autoSpaceDE w:val="0"/>
        <w:autoSpaceDN w:val="0"/>
        <w:adjustRightInd w:val="0"/>
        <w:jc w:val="both"/>
        <w:rPr>
          <w:color w:val="000000"/>
          <w:sz w:val="22"/>
          <w:szCs w:val="22"/>
          <w:lang w:val="es-ES"/>
        </w:rPr>
      </w:pPr>
      <w:r w:rsidRPr="001D1CCF">
        <w:rPr>
          <w:color w:val="000000"/>
          <w:sz w:val="22"/>
          <w:szCs w:val="22"/>
          <w:lang w:val="es-ES"/>
        </w:rPr>
        <w:t xml:space="preserve">f) </w:t>
      </w:r>
      <w:r w:rsidR="00D92629" w:rsidRPr="00D92629">
        <w:rPr>
          <w:color w:val="000000"/>
          <w:sz w:val="22"/>
          <w:szCs w:val="22"/>
          <w:lang w:val="es-ES"/>
        </w:rPr>
        <w:t>Bancos y Entidades Financieras Públicas y Privadas.</w:t>
      </w:r>
    </w:p>
    <w:p w:rsidR="00965A08" w:rsidRPr="001D1CCF" w:rsidRDefault="00965A08" w:rsidP="00A2587F">
      <w:pPr>
        <w:autoSpaceDE w:val="0"/>
        <w:autoSpaceDN w:val="0"/>
        <w:adjustRightInd w:val="0"/>
        <w:jc w:val="both"/>
        <w:rPr>
          <w:color w:val="000000"/>
          <w:sz w:val="22"/>
          <w:szCs w:val="22"/>
          <w:lang w:val="es-ES"/>
        </w:rPr>
      </w:pPr>
      <w:r w:rsidRPr="001D1CCF">
        <w:rPr>
          <w:color w:val="000000"/>
          <w:sz w:val="22"/>
          <w:szCs w:val="22"/>
          <w:lang w:val="es-ES"/>
        </w:rPr>
        <w:t xml:space="preserve">g) </w:t>
      </w:r>
      <w:r w:rsidR="00D92629" w:rsidRPr="00D92629">
        <w:rPr>
          <w:color w:val="000000"/>
          <w:sz w:val="22"/>
          <w:szCs w:val="22"/>
          <w:lang w:val="es-ES"/>
        </w:rPr>
        <w:t>Fondos Comunes de Inversión.</w:t>
      </w:r>
    </w:p>
    <w:p w:rsidR="00965A08" w:rsidRPr="001D1CCF" w:rsidRDefault="00965A08" w:rsidP="00A2587F">
      <w:pPr>
        <w:autoSpaceDE w:val="0"/>
        <w:autoSpaceDN w:val="0"/>
        <w:adjustRightInd w:val="0"/>
        <w:jc w:val="both"/>
        <w:rPr>
          <w:color w:val="000000"/>
          <w:sz w:val="22"/>
          <w:szCs w:val="22"/>
          <w:lang w:val="es-ES"/>
        </w:rPr>
      </w:pPr>
      <w:r w:rsidRPr="001D1CCF">
        <w:rPr>
          <w:color w:val="000000"/>
          <w:sz w:val="22"/>
          <w:szCs w:val="22"/>
          <w:lang w:val="es-ES"/>
        </w:rPr>
        <w:t xml:space="preserve">h) </w:t>
      </w:r>
      <w:r w:rsidR="00D92629" w:rsidRPr="00D92629">
        <w:rPr>
          <w:color w:val="000000"/>
          <w:sz w:val="22"/>
          <w:szCs w:val="22"/>
          <w:lang w:val="es-ES"/>
        </w:rPr>
        <w:t>Fideicomisos Financieros con oferta pública</w:t>
      </w:r>
      <w:r w:rsidR="00D92629">
        <w:rPr>
          <w:color w:val="000000"/>
          <w:sz w:val="22"/>
          <w:szCs w:val="22"/>
          <w:lang w:val="es-ES"/>
        </w:rPr>
        <w:t>.</w:t>
      </w:r>
    </w:p>
    <w:p w:rsidR="00D92629" w:rsidRDefault="00965A08" w:rsidP="00A2587F">
      <w:pPr>
        <w:autoSpaceDE w:val="0"/>
        <w:autoSpaceDN w:val="0"/>
        <w:adjustRightInd w:val="0"/>
        <w:jc w:val="both"/>
        <w:rPr>
          <w:color w:val="000000"/>
          <w:sz w:val="22"/>
          <w:szCs w:val="22"/>
          <w:lang w:val="es-ES"/>
        </w:rPr>
      </w:pPr>
      <w:r w:rsidRPr="001D1CCF">
        <w:rPr>
          <w:color w:val="000000"/>
          <w:sz w:val="22"/>
          <w:szCs w:val="22"/>
          <w:lang w:val="es-ES"/>
        </w:rPr>
        <w:t xml:space="preserve">i) </w:t>
      </w:r>
      <w:r w:rsidR="00D92629" w:rsidRPr="00D92629">
        <w:rPr>
          <w:color w:val="000000"/>
          <w:sz w:val="22"/>
          <w:szCs w:val="22"/>
          <w:lang w:val="es-ES"/>
        </w:rPr>
        <w:t>Compañías de Seguros, de Reaseguros y Aseguradoras de Riesgos de Trabajo.</w:t>
      </w:r>
    </w:p>
    <w:p w:rsidR="00D92629" w:rsidRDefault="00D92629" w:rsidP="00A2587F">
      <w:pPr>
        <w:autoSpaceDE w:val="0"/>
        <w:autoSpaceDN w:val="0"/>
        <w:adjustRightInd w:val="0"/>
        <w:jc w:val="both"/>
        <w:rPr>
          <w:color w:val="000000"/>
          <w:sz w:val="22"/>
          <w:szCs w:val="22"/>
          <w:lang w:val="es-ES"/>
        </w:rPr>
      </w:pPr>
      <w:r>
        <w:rPr>
          <w:color w:val="000000"/>
          <w:sz w:val="22"/>
          <w:szCs w:val="22"/>
          <w:lang w:val="es-ES"/>
        </w:rPr>
        <w:t>j) Sociedades de Garantía Recíproca.</w:t>
      </w:r>
    </w:p>
    <w:p w:rsidR="00D92629" w:rsidRDefault="00D92629" w:rsidP="00A2587F">
      <w:pPr>
        <w:autoSpaceDE w:val="0"/>
        <w:autoSpaceDN w:val="0"/>
        <w:adjustRightInd w:val="0"/>
        <w:jc w:val="both"/>
        <w:rPr>
          <w:color w:val="000000"/>
          <w:sz w:val="22"/>
          <w:szCs w:val="22"/>
          <w:lang w:val="es-ES"/>
        </w:rPr>
      </w:pPr>
      <w:r>
        <w:rPr>
          <w:color w:val="000000"/>
          <w:sz w:val="22"/>
          <w:szCs w:val="22"/>
          <w:lang w:val="es-ES"/>
        </w:rPr>
        <w:t xml:space="preserve">k) </w:t>
      </w:r>
      <w:r w:rsidRPr="00D92629">
        <w:rPr>
          <w:color w:val="000000"/>
          <w:sz w:val="22"/>
          <w:szCs w:val="22"/>
          <w:lang w:val="es-ES"/>
        </w:rPr>
        <w:t>Personas Jurídicas registradas por la COMISIÓN como agentes, cuando actúen por cuenta propia.</w:t>
      </w:r>
    </w:p>
    <w:p w:rsidR="00965A08" w:rsidRDefault="00D92629" w:rsidP="00D92629">
      <w:pPr>
        <w:autoSpaceDE w:val="0"/>
        <w:autoSpaceDN w:val="0"/>
        <w:adjustRightInd w:val="0"/>
        <w:jc w:val="both"/>
        <w:rPr>
          <w:color w:val="000000"/>
          <w:sz w:val="22"/>
          <w:szCs w:val="22"/>
          <w:lang w:val="es-ES"/>
        </w:rPr>
      </w:pPr>
      <w:r>
        <w:rPr>
          <w:color w:val="000000"/>
          <w:sz w:val="22"/>
          <w:szCs w:val="22"/>
          <w:lang w:val="es-ES"/>
        </w:rPr>
        <w:t xml:space="preserve">l) </w:t>
      </w:r>
      <w:r w:rsidRPr="00D92629">
        <w:rPr>
          <w:color w:val="000000"/>
          <w:sz w:val="22"/>
          <w:szCs w:val="22"/>
          <w:lang w:val="es-ES"/>
        </w:rPr>
        <w:t>Personas humanas que se encuentren inscriptas, con carácter definitivo, en el Registro de Idóneos a cargo de la</w:t>
      </w:r>
      <w:r>
        <w:rPr>
          <w:color w:val="000000"/>
          <w:sz w:val="22"/>
          <w:szCs w:val="22"/>
          <w:lang w:val="es-ES"/>
        </w:rPr>
        <w:t xml:space="preserve"> </w:t>
      </w:r>
      <w:r w:rsidRPr="00D92629">
        <w:rPr>
          <w:color w:val="000000"/>
          <w:sz w:val="22"/>
          <w:szCs w:val="22"/>
          <w:lang w:val="es-ES"/>
        </w:rPr>
        <w:t>COMISIÓN.</w:t>
      </w:r>
    </w:p>
    <w:p w:rsidR="00D92629" w:rsidRDefault="00D92629" w:rsidP="00D92629">
      <w:pPr>
        <w:autoSpaceDE w:val="0"/>
        <w:autoSpaceDN w:val="0"/>
        <w:adjustRightInd w:val="0"/>
        <w:jc w:val="both"/>
        <w:rPr>
          <w:color w:val="000000"/>
          <w:sz w:val="22"/>
          <w:szCs w:val="22"/>
          <w:lang w:val="es-ES"/>
        </w:rPr>
      </w:pPr>
      <w:r>
        <w:rPr>
          <w:color w:val="000000"/>
          <w:sz w:val="22"/>
          <w:szCs w:val="22"/>
          <w:lang w:val="es-ES"/>
        </w:rPr>
        <w:t xml:space="preserve">m) </w:t>
      </w:r>
      <w:r w:rsidRPr="00D92629">
        <w:rPr>
          <w:color w:val="000000"/>
          <w:sz w:val="22"/>
          <w:szCs w:val="22"/>
          <w:lang w:val="es-ES"/>
        </w:rPr>
        <w:t>Personas humanas o jurídicas, distintas de las enunciadas en los incisos anteriores, que al momento de efectuar la inversión cuenten con inversiones en valores negociables y/o depósitos en entidades financieras por un monto equivalente a UNIDADES DE VALOR ADQUISITIVO TRESCIENTAS CINCUENTA MIL (UVA 350.000).</w:t>
      </w:r>
    </w:p>
    <w:p w:rsidR="00D92629" w:rsidRPr="001D1CCF" w:rsidRDefault="00D92629" w:rsidP="00D92629">
      <w:pPr>
        <w:autoSpaceDE w:val="0"/>
        <w:autoSpaceDN w:val="0"/>
        <w:adjustRightInd w:val="0"/>
        <w:jc w:val="both"/>
        <w:rPr>
          <w:color w:val="000000"/>
          <w:sz w:val="22"/>
          <w:szCs w:val="22"/>
          <w:lang w:val="es-ES"/>
        </w:rPr>
      </w:pPr>
      <w:r>
        <w:rPr>
          <w:color w:val="000000"/>
          <w:sz w:val="22"/>
          <w:szCs w:val="22"/>
          <w:lang w:val="es-ES"/>
        </w:rPr>
        <w:t xml:space="preserve">n) </w:t>
      </w:r>
      <w:r w:rsidRPr="00D92629">
        <w:rPr>
          <w:color w:val="000000"/>
          <w:sz w:val="22"/>
          <w:szCs w:val="22"/>
          <w:lang w:val="es-ES"/>
        </w:rPr>
        <w:t>Personas jurídicas constituidas en el extranjero y personas humanas con domicilio real en el extranjero.</w:t>
      </w:r>
    </w:p>
    <w:p w:rsidR="00965A08" w:rsidRDefault="00965A08" w:rsidP="00A2587F">
      <w:pPr>
        <w:ind w:left="720"/>
        <w:jc w:val="both"/>
        <w:rPr>
          <w:sz w:val="22"/>
          <w:szCs w:val="20"/>
        </w:rPr>
      </w:pPr>
    </w:p>
    <w:p w:rsidR="00965A08" w:rsidRPr="00ED77DA" w:rsidRDefault="00965A08" w:rsidP="00A2587F">
      <w:pPr>
        <w:jc w:val="both"/>
        <w:rPr>
          <w:sz w:val="22"/>
          <w:szCs w:val="22"/>
          <w:lang w:val="es-ES"/>
        </w:rPr>
      </w:pPr>
      <w:r w:rsidRPr="00ED77DA">
        <w:rPr>
          <w:sz w:val="22"/>
          <w:szCs w:val="22"/>
          <w:lang w:val="es-ES"/>
        </w:rPr>
        <w:t xml:space="preserve">Los </w:t>
      </w:r>
      <w:r w:rsidR="00035EB4">
        <w:rPr>
          <w:sz w:val="22"/>
          <w:szCs w:val="22"/>
          <w:lang w:val="es-ES"/>
        </w:rPr>
        <w:t>agentes de negociación</w:t>
      </w:r>
      <w:r w:rsidRPr="00ED77DA">
        <w:rPr>
          <w:sz w:val="22"/>
          <w:szCs w:val="22"/>
          <w:lang w:val="es-ES"/>
        </w:rPr>
        <w:t xml:space="preserve"> autorizados a intervenir en la oferta pública de valores negociables que actúen como tales en las respectivas operaciones de compraventa, deberán verificar que la parte compradora reúna los requisitos previstos en las Normas.</w:t>
      </w:r>
    </w:p>
    <w:p w:rsidR="00965A08" w:rsidRPr="00ED77DA" w:rsidRDefault="00965A08" w:rsidP="00A2587F">
      <w:pPr>
        <w:jc w:val="both"/>
        <w:rPr>
          <w:sz w:val="22"/>
          <w:szCs w:val="22"/>
          <w:lang w:val="es-ES"/>
        </w:rPr>
      </w:pPr>
    </w:p>
    <w:p w:rsidR="00965A08" w:rsidRPr="00ED77DA" w:rsidRDefault="00965A08" w:rsidP="00A2587F">
      <w:pPr>
        <w:jc w:val="both"/>
        <w:rPr>
          <w:sz w:val="22"/>
          <w:szCs w:val="22"/>
          <w:lang w:val="es-ES"/>
        </w:rPr>
      </w:pPr>
      <w:r w:rsidRPr="00ED77DA">
        <w:rPr>
          <w:sz w:val="22"/>
          <w:szCs w:val="22"/>
          <w:lang w:val="es-ES"/>
        </w:rPr>
        <w:t xml:space="preserve">Los compradores deberán dejar constancia ante los respectivos </w:t>
      </w:r>
      <w:r w:rsidR="00035EB4">
        <w:rPr>
          <w:sz w:val="22"/>
          <w:szCs w:val="22"/>
          <w:lang w:val="es-ES"/>
        </w:rPr>
        <w:t>agentes de negociación</w:t>
      </w:r>
      <w:r w:rsidRPr="00ED77DA">
        <w:rPr>
          <w:sz w:val="22"/>
          <w:szCs w:val="22"/>
          <w:lang w:val="es-ES"/>
        </w:rPr>
        <w:t xml:space="preserve"> que (a) Los valores negociables en cuestión son adquiridos sobre la base del prospecto de emisión que han recibido y (b) La decisión de inversión ha sido adoptada en forma independiente.</w:t>
      </w:r>
    </w:p>
    <w:p w:rsidR="00965A08" w:rsidRDefault="00965A08" w:rsidP="00A2587F">
      <w:pPr>
        <w:pStyle w:val="Textonotapie"/>
        <w:widowControl/>
        <w:tabs>
          <w:tab w:val="clear" w:pos="-720"/>
        </w:tabs>
        <w:suppressAutoHyphens w:val="0"/>
        <w:ind w:left="1080"/>
        <w:rPr>
          <w:rFonts w:ascii="Times New Roman" w:hAnsi="Times New Roman"/>
          <w:b/>
          <w:sz w:val="22"/>
          <w:lang w:val="es-ES"/>
        </w:rPr>
      </w:pPr>
    </w:p>
    <w:p w:rsidR="00965A08" w:rsidRPr="00ED77DA" w:rsidRDefault="00965A08" w:rsidP="00D639C6">
      <w:pPr>
        <w:pStyle w:val="Textonotapie"/>
        <w:widowControl/>
        <w:numPr>
          <w:ilvl w:val="0"/>
          <w:numId w:val="21"/>
        </w:numPr>
        <w:tabs>
          <w:tab w:val="clear" w:pos="-720"/>
        </w:tabs>
        <w:suppressAutoHyphens w:val="0"/>
        <w:jc w:val="center"/>
        <w:rPr>
          <w:rFonts w:ascii="Times New Roman" w:hAnsi="Times New Roman"/>
          <w:b/>
          <w:sz w:val="22"/>
          <w:lang w:val="es-ES"/>
        </w:rPr>
      </w:pPr>
      <w:r w:rsidRPr="00ED77DA">
        <w:rPr>
          <w:rFonts w:ascii="Times New Roman" w:hAnsi="Times New Roman"/>
          <w:b/>
          <w:sz w:val="22"/>
          <w:lang w:val="es-ES"/>
        </w:rPr>
        <w:t>CONSIDERACIONES DE RIESGO</w:t>
      </w:r>
    </w:p>
    <w:p w:rsidR="00965A08" w:rsidRPr="00ED77DA" w:rsidRDefault="00965A08" w:rsidP="000F2EFF">
      <w:pPr>
        <w:jc w:val="center"/>
        <w:rPr>
          <w:b/>
          <w:sz w:val="20"/>
          <w:szCs w:val="20"/>
          <w:lang w:val="es-ES"/>
        </w:rPr>
      </w:pPr>
    </w:p>
    <w:p w:rsidR="006D71CC" w:rsidRPr="006D6E05" w:rsidRDefault="00965A08" w:rsidP="000F2EFF">
      <w:pPr>
        <w:pStyle w:val="CPN-normal"/>
        <w:widowControl/>
        <w:tabs>
          <w:tab w:val="clear" w:pos="-720"/>
        </w:tabs>
        <w:suppressAutoHyphens w:val="0"/>
        <w:rPr>
          <w:rFonts w:ascii="Times New Roman" w:hAnsi="Times New Roman"/>
          <w:spacing w:val="0"/>
          <w:szCs w:val="22"/>
          <w:lang w:val="es-AR"/>
        </w:rPr>
      </w:pPr>
      <w:r w:rsidRPr="006D6E05">
        <w:rPr>
          <w:rFonts w:ascii="Times New Roman" w:hAnsi="Times New Roman"/>
          <w:spacing w:val="0"/>
          <w:szCs w:val="22"/>
          <w:lang w:val="es-AR"/>
        </w:rPr>
        <w:t xml:space="preserve">La adquisición de las Obligaciones Negociables importa la asunción de determinados riesgos. Se recomienda a los inversores que efectúen su propia investigación independiente y evaluación acerca de la situación financiera, de los negocios y de la solvencia del Emisor. </w:t>
      </w:r>
    </w:p>
    <w:p w:rsidR="006D71CC" w:rsidRPr="006D6E05" w:rsidRDefault="006D71CC" w:rsidP="000F2EFF">
      <w:pPr>
        <w:pStyle w:val="CPN-normal"/>
        <w:widowControl/>
        <w:tabs>
          <w:tab w:val="clear" w:pos="-720"/>
        </w:tabs>
        <w:suppressAutoHyphens w:val="0"/>
        <w:rPr>
          <w:rFonts w:ascii="Times New Roman" w:hAnsi="Times New Roman"/>
          <w:spacing w:val="0"/>
          <w:szCs w:val="22"/>
          <w:lang w:val="es-AR"/>
        </w:rPr>
      </w:pPr>
    </w:p>
    <w:p w:rsidR="006D71CC" w:rsidRPr="006D6E05" w:rsidRDefault="00965A08" w:rsidP="008F483A">
      <w:pPr>
        <w:pStyle w:val="CPN-normal"/>
        <w:widowControl/>
        <w:tabs>
          <w:tab w:val="clear" w:pos="-720"/>
        </w:tabs>
        <w:suppressAutoHyphens w:val="0"/>
        <w:rPr>
          <w:sz w:val="24"/>
          <w:lang w:val="es-AR"/>
        </w:rPr>
      </w:pPr>
      <w:r w:rsidRPr="006D6E05">
        <w:rPr>
          <w:rFonts w:ascii="Times New Roman" w:hAnsi="Times New Roman"/>
          <w:b/>
          <w:sz w:val="24"/>
          <w:lang w:val="es-AR"/>
        </w:rPr>
        <w:t>Riesgos macroeconómicos</w:t>
      </w:r>
    </w:p>
    <w:p w:rsidR="006D71CC" w:rsidRPr="000D1BAC" w:rsidRDefault="006D71CC" w:rsidP="00AA2865">
      <w:pPr>
        <w:pStyle w:val="Tit2"/>
        <w:suppressAutoHyphens/>
        <w:jc w:val="both"/>
        <w:outlineLvl w:val="9"/>
        <w:rPr>
          <w:b w:val="0"/>
          <w:color w:val="000000"/>
          <w:sz w:val="22"/>
          <w:szCs w:val="22"/>
          <w:lang w:val="es-AR"/>
        </w:rPr>
      </w:pPr>
      <w:r w:rsidRPr="000D1BAC">
        <w:rPr>
          <w:b w:val="0"/>
          <w:color w:val="000000"/>
          <w:sz w:val="22"/>
          <w:szCs w:val="22"/>
          <w:lang w:val="es-AR"/>
        </w:rPr>
        <w:t>Dependencia de las economías locales y políticas económicas. Las condiciones económicas del país afectan en forma general la actividad de la Sociedad. Consecuentemente, de producirse períodos de recesión en la economía local, afectarían el nivel de ingresos de la Sociedad, incidiendo en su situación patrimonial y/o en su capacidad de repago de las Obligaciones Negociables. Históricamente el Gobierno ha ejercido una considerable influencia sobre la economía argentina. Las acciones del gobierno relativas a la economía pueden continuar incidiendo sobre el mercado, produciendo importantes efectos sobre las empresas que operan en él. La Sociedad no puede dar garantías que los desarrollos futuros de la economía argentina y las políticas del gobierno vinculadas a la misma no afectarán el nivel de actividad, la situación patrimonial o la capacidad de ACTUAL S.A. para repagar las Obligaciones Negociables.</w:t>
      </w:r>
    </w:p>
    <w:p w:rsidR="003D2FF3" w:rsidRPr="000D1BAC" w:rsidRDefault="003D2FF3" w:rsidP="00AA2865">
      <w:pPr>
        <w:jc w:val="both"/>
        <w:rPr>
          <w:color w:val="000000"/>
          <w:sz w:val="22"/>
          <w:szCs w:val="22"/>
        </w:rPr>
      </w:pPr>
      <w:r w:rsidRPr="000D1BAC">
        <w:rPr>
          <w:color w:val="000000"/>
          <w:sz w:val="22"/>
          <w:szCs w:val="22"/>
        </w:rPr>
        <w:t xml:space="preserve">Inflación. En Argentina se han implementado diversos mecanismos correctivos para disminuir los efectos negativos de la inflación; períodos de alta inflación han tenido, tienen y podrían seguir teniendo efectos significativos en la economía argentina, en los </w:t>
      </w:r>
      <w:r w:rsidRPr="004B31DE">
        <w:rPr>
          <w:color w:val="000000"/>
          <w:sz w:val="22"/>
          <w:szCs w:val="22"/>
        </w:rPr>
        <w:t>mercados de Títulos Valores y de Cambio argentino</w:t>
      </w:r>
      <w:r w:rsidRPr="000D1BAC">
        <w:rPr>
          <w:color w:val="000000"/>
          <w:sz w:val="22"/>
          <w:szCs w:val="22"/>
        </w:rPr>
        <w:t>, en las operaciones de la Sociedad y en su capacidad de repago de las obligaciones.</w:t>
      </w:r>
      <w:r w:rsidR="006B0876" w:rsidRPr="006B0876">
        <w:rPr>
          <w:color w:val="0D0D0D"/>
          <w:sz w:val="22"/>
          <w:szCs w:val="22"/>
        </w:rPr>
        <w:t xml:space="preserve"> </w:t>
      </w:r>
      <w:r w:rsidR="006B0876">
        <w:rPr>
          <w:color w:val="0D0D0D"/>
          <w:sz w:val="22"/>
          <w:szCs w:val="22"/>
        </w:rPr>
        <w:t>En el año 2018</w:t>
      </w:r>
      <w:r w:rsidR="006B0876" w:rsidRPr="00517659">
        <w:rPr>
          <w:color w:val="0D0D0D"/>
          <w:sz w:val="22"/>
          <w:szCs w:val="22"/>
        </w:rPr>
        <w:t xml:space="preserve"> el peso se depreció frente al dólar estadounidense </w:t>
      </w:r>
      <w:r w:rsidR="006B0876">
        <w:rPr>
          <w:color w:val="0D0D0D"/>
          <w:sz w:val="22"/>
          <w:szCs w:val="22"/>
        </w:rPr>
        <w:t xml:space="preserve">y se incrementaron las tasas de interés de mercado, </w:t>
      </w:r>
      <w:r w:rsidR="006B0876" w:rsidRPr="00517659">
        <w:rPr>
          <w:color w:val="0D0D0D"/>
          <w:sz w:val="22"/>
          <w:szCs w:val="22"/>
        </w:rPr>
        <w:t xml:space="preserve">lo que </w:t>
      </w:r>
      <w:r w:rsidR="006B0876">
        <w:rPr>
          <w:color w:val="0D0D0D"/>
          <w:sz w:val="22"/>
          <w:szCs w:val="22"/>
        </w:rPr>
        <w:t>derivó en</w:t>
      </w:r>
      <w:r w:rsidR="006B0876" w:rsidRPr="00517659">
        <w:rPr>
          <w:color w:val="0D0D0D"/>
          <w:sz w:val="22"/>
          <w:szCs w:val="22"/>
        </w:rPr>
        <w:t xml:space="preserve"> un aumento en el Índice de Precios </w:t>
      </w:r>
      <w:r w:rsidR="006B0876" w:rsidRPr="00B22C94">
        <w:rPr>
          <w:color w:val="0D0D0D"/>
          <w:sz w:val="22"/>
          <w:szCs w:val="22"/>
        </w:rPr>
        <w:t>al Consumidor</w:t>
      </w:r>
      <w:r w:rsidR="006B0876" w:rsidRPr="00517659">
        <w:rPr>
          <w:color w:val="0D0D0D"/>
          <w:sz w:val="22"/>
          <w:szCs w:val="22"/>
        </w:rPr>
        <w:t xml:space="preserve">. </w:t>
      </w:r>
      <w:r w:rsidR="006B0876">
        <w:rPr>
          <w:color w:val="0D0D0D"/>
          <w:sz w:val="22"/>
          <w:szCs w:val="22"/>
        </w:rPr>
        <w:t xml:space="preserve">En forma previa a ello, </w:t>
      </w:r>
      <w:r w:rsidR="006B0876" w:rsidRPr="00517659">
        <w:rPr>
          <w:color w:val="0D0D0D"/>
          <w:sz w:val="22"/>
          <w:szCs w:val="22"/>
        </w:rPr>
        <w:t>la meta de inflación fijada para el año 2018 e</w:t>
      </w:r>
      <w:r w:rsidR="006B0876">
        <w:rPr>
          <w:color w:val="0D0D0D"/>
          <w:sz w:val="22"/>
          <w:szCs w:val="22"/>
        </w:rPr>
        <w:t xml:space="preserve">ra de </w:t>
      </w:r>
      <w:r w:rsidR="006B0876" w:rsidRPr="00517659">
        <w:rPr>
          <w:color w:val="0D0D0D"/>
          <w:sz w:val="22"/>
          <w:szCs w:val="22"/>
        </w:rPr>
        <w:t>un 15%</w:t>
      </w:r>
      <w:r w:rsidR="006B0876">
        <w:rPr>
          <w:color w:val="0D0D0D"/>
          <w:sz w:val="22"/>
          <w:szCs w:val="22"/>
        </w:rPr>
        <w:t xml:space="preserve">. </w:t>
      </w:r>
      <w:r w:rsidR="006B0876" w:rsidRPr="00517659">
        <w:rPr>
          <w:color w:val="0D0D0D"/>
          <w:sz w:val="22"/>
          <w:szCs w:val="22"/>
        </w:rPr>
        <w:t>Sin embargo, de acuerdo al INDEC</w:t>
      </w:r>
      <w:r w:rsidR="006B0876">
        <w:rPr>
          <w:color w:val="0D0D0D"/>
          <w:sz w:val="22"/>
          <w:szCs w:val="22"/>
        </w:rPr>
        <w:t xml:space="preserve"> la tasa de inflación interanual a diciembre 2018 fue del 47,6% superando la meta que </w:t>
      </w:r>
      <w:r w:rsidR="006B0876" w:rsidRPr="007B2B45">
        <w:rPr>
          <w:color w:val="0D0D0D"/>
          <w:sz w:val="22"/>
          <w:szCs w:val="22"/>
        </w:rPr>
        <w:t>había definido el BCRA. Para 2019 el Relevamiento de Expectativas de Mercado (“REM”) de diciembre de 2018 prevé una inflación de 28,7% i.a.</w:t>
      </w:r>
    </w:p>
    <w:p w:rsidR="003D2FF3" w:rsidRPr="000D1BAC" w:rsidRDefault="003D2FF3" w:rsidP="00AA2865">
      <w:pPr>
        <w:pStyle w:val="Tit2"/>
        <w:suppressAutoHyphens/>
        <w:jc w:val="both"/>
        <w:outlineLvl w:val="9"/>
        <w:rPr>
          <w:b w:val="0"/>
          <w:color w:val="000000"/>
          <w:sz w:val="22"/>
          <w:szCs w:val="22"/>
          <w:lang w:val="es-AR"/>
        </w:rPr>
      </w:pPr>
      <w:r w:rsidRPr="000D1BAC">
        <w:rPr>
          <w:b w:val="0"/>
          <w:color w:val="000000"/>
          <w:sz w:val="22"/>
          <w:szCs w:val="22"/>
          <w:lang w:val="es-AR"/>
        </w:rPr>
        <w:t>Falta de liquidez. Inversiones de mediano plazo. No puede asegurarse que se desarrollará un mercado secundario para la negociación de las Obligaciones Negociables PyME CNV y, en caso de desarrollarse, que el mismo brindará a sus tenedores nivel de liquidez adecuado o que tal mercado subsistirá en el futuro.</w:t>
      </w:r>
    </w:p>
    <w:p w:rsidR="003E6800" w:rsidRPr="000D1BAC" w:rsidRDefault="003D2FF3" w:rsidP="00AA2865">
      <w:pPr>
        <w:pStyle w:val="Tit2"/>
        <w:suppressAutoHyphens/>
        <w:jc w:val="both"/>
        <w:outlineLvl w:val="9"/>
        <w:rPr>
          <w:b w:val="0"/>
          <w:color w:val="000000"/>
          <w:sz w:val="22"/>
          <w:szCs w:val="22"/>
          <w:lang w:val="es-AR"/>
        </w:rPr>
      </w:pPr>
      <w:r w:rsidRPr="006D6E05">
        <w:rPr>
          <w:rFonts w:eastAsia="Times New Roman"/>
          <w:bCs w:val="0"/>
          <w:spacing w:val="-2"/>
          <w:sz w:val="24"/>
          <w:lang w:val="es-AR"/>
        </w:rPr>
        <w:t>Riesgos relacionados con la actividad de la Emisora</w:t>
      </w:r>
      <w:r w:rsidRPr="000D1BAC">
        <w:rPr>
          <w:b w:val="0"/>
          <w:color w:val="000000"/>
          <w:sz w:val="22"/>
          <w:szCs w:val="22"/>
          <w:lang w:val="es-AR"/>
        </w:rPr>
        <w:t xml:space="preserve">. </w:t>
      </w:r>
    </w:p>
    <w:p w:rsidR="003D2FF3" w:rsidRPr="000D1BAC" w:rsidRDefault="003D2FF3" w:rsidP="00AA2865">
      <w:pPr>
        <w:pStyle w:val="Tit2"/>
        <w:suppressAutoHyphens/>
        <w:jc w:val="both"/>
        <w:outlineLvl w:val="9"/>
        <w:rPr>
          <w:b w:val="0"/>
          <w:color w:val="000000"/>
          <w:sz w:val="22"/>
          <w:szCs w:val="22"/>
          <w:lang w:val="es-AR"/>
        </w:rPr>
      </w:pPr>
      <w:r w:rsidRPr="000D1BAC">
        <w:rPr>
          <w:b w:val="0"/>
          <w:color w:val="000000"/>
          <w:sz w:val="22"/>
          <w:szCs w:val="22"/>
          <w:lang w:val="es-AR"/>
        </w:rPr>
        <w:t>El otorgamiento de créditos constituye el eje central de la actividad de la Sociedad. La capacidad de repago de las Obligaciones Negociables PyME CNV por la Sociedad puede verse afectada por situaciones de mora o incumplimiento en el pago de los créditos, su ejecución judicial o incobrabilidad. Las tasas reales de mora, ejecución y pérdidas de los créditos pueden variar y verse afectadas por numerosos factores; entre los cuales se incluyen, cambios adversos en las condiciones generales de la economía y política argentina, aumento del desempleo y pérdida de nivel del salario real. En virtud que la mayor parte de los deudores de los créditos son individuos de bajos recursos, circunstancias sobrevinientes tales como la disminución de sus remuneraciones o la pérdida de sus fuentes laborales -en el caso de los empleados en relación de dependencia-, podrían derivar en que se comprometiese la fuente de recursos de los deudores de los créditos, y por consiguiente, la cobranza de los mismos, configurando un efecto negativo sobre la capacidad de repago de las Obligaciones Negociables PyME CNV por la Sociedad. En el mismo sentido, existen disposiciones legales imperativas que impiden el embargo de las remuneraciones por encima de un porcentaje determinado, con lo cual – frente al escenario de un cobro de los créditos por vía judicial – ello limitaría la capacidad de recupero de los créditos en mora, lo que eventualmente dañaría la posibilidad la capacidad de repago de los Obligaciones Negociables PyME CNV por la Sociedad.</w:t>
      </w:r>
    </w:p>
    <w:p w:rsidR="00965A08" w:rsidRPr="006D6E05" w:rsidRDefault="00965A08" w:rsidP="000F2EFF">
      <w:pPr>
        <w:pStyle w:val="Tit2"/>
        <w:suppressAutoHyphens/>
        <w:jc w:val="both"/>
        <w:outlineLvl w:val="9"/>
        <w:rPr>
          <w:color w:val="000000"/>
          <w:sz w:val="22"/>
          <w:szCs w:val="22"/>
          <w:lang w:val="es-AR"/>
        </w:rPr>
      </w:pPr>
      <w:bookmarkStart w:id="3" w:name="_DV_M351"/>
      <w:bookmarkStart w:id="4" w:name="_DV_M354"/>
      <w:bookmarkStart w:id="5" w:name="_DV_M358"/>
      <w:bookmarkStart w:id="6" w:name="_DV_M360"/>
      <w:bookmarkStart w:id="7" w:name="_DV_M367"/>
      <w:bookmarkStart w:id="8" w:name="_DV_M368"/>
      <w:bookmarkStart w:id="9" w:name="_DV_M369"/>
      <w:bookmarkStart w:id="10" w:name="_DV_M371"/>
      <w:bookmarkStart w:id="11" w:name="_DV_M372"/>
      <w:bookmarkStart w:id="12" w:name="_DV_M373"/>
      <w:bookmarkStart w:id="13" w:name="_DV_M374"/>
      <w:bookmarkStart w:id="14" w:name="_DV_M375"/>
      <w:bookmarkEnd w:id="3"/>
      <w:bookmarkEnd w:id="4"/>
      <w:bookmarkEnd w:id="5"/>
      <w:bookmarkEnd w:id="6"/>
      <w:bookmarkEnd w:id="7"/>
      <w:bookmarkEnd w:id="8"/>
      <w:bookmarkEnd w:id="9"/>
      <w:bookmarkEnd w:id="10"/>
      <w:bookmarkEnd w:id="11"/>
      <w:bookmarkEnd w:id="12"/>
      <w:bookmarkEnd w:id="13"/>
      <w:bookmarkEnd w:id="14"/>
      <w:r w:rsidRPr="006D6E05">
        <w:rPr>
          <w:color w:val="000000"/>
          <w:sz w:val="22"/>
          <w:szCs w:val="22"/>
          <w:lang w:val="es-AR"/>
        </w:rPr>
        <w:t xml:space="preserve">Riesgos relacionados con la Oferta y las Obligaciones Negociables del Emisor </w:t>
      </w:r>
    </w:p>
    <w:p w:rsidR="00965A08" w:rsidRPr="000D1BAC" w:rsidRDefault="00965A08" w:rsidP="000F2EFF">
      <w:pPr>
        <w:widowControl w:val="0"/>
        <w:jc w:val="both"/>
        <w:rPr>
          <w:sz w:val="22"/>
          <w:szCs w:val="22"/>
        </w:rPr>
      </w:pPr>
      <w:r w:rsidRPr="000D1BAC">
        <w:rPr>
          <w:sz w:val="22"/>
          <w:szCs w:val="22"/>
        </w:rPr>
        <w:t>La Sociedad podrá solicitar el listado de las Obligaciones Negociables en B</w:t>
      </w:r>
      <w:r w:rsidR="001C7803" w:rsidRPr="000D1BAC">
        <w:rPr>
          <w:sz w:val="22"/>
          <w:szCs w:val="22"/>
        </w:rPr>
        <w:t>olsas y Mercados Arge</w:t>
      </w:r>
      <w:r w:rsidR="004D100F" w:rsidRPr="000D1BAC">
        <w:rPr>
          <w:sz w:val="22"/>
          <w:szCs w:val="22"/>
        </w:rPr>
        <w:t>n</w:t>
      </w:r>
      <w:r w:rsidR="001C7803" w:rsidRPr="000D1BAC">
        <w:rPr>
          <w:sz w:val="22"/>
          <w:szCs w:val="22"/>
        </w:rPr>
        <w:t>tinos S.A. (</w:t>
      </w:r>
      <w:r w:rsidR="00891214" w:rsidRPr="000D1BAC">
        <w:rPr>
          <w:sz w:val="22"/>
          <w:szCs w:val="22"/>
        </w:rPr>
        <w:t>“</w:t>
      </w:r>
      <w:r w:rsidR="001C7803" w:rsidRPr="000D1BAC">
        <w:rPr>
          <w:sz w:val="22"/>
          <w:szCs w:val="22"/>
        </w:rPr>
        <w:t>ByMA”)</w:t>
      </w:r>
      <w:r w:rsidRPr="000D1BAC">
        <w:rPr>
          <w:sz w:val="22"/>
          <w:szCs w:val="22"/>
        </w:rPr>
        <w:t xml:space="preserve"> y eventualmente podría solicitar el listado y/o negociación en cualquier otr</w:t>
      </w:r>
      <w:r w:rsidR="001C7803" w:rsidRPr="000D1BAC">
        <w:rPr>
          <w:sz w:val="22"/>
          <w:szCs w:val="22"/>
        </w:rPr>
        <w:t>o</w:t>
      </w:r>
      <w:r w:rsidRPr="000D1BAC">
        <w:rPr>
          <w:sz w:val="22"/>
          <w:szCs w:val="22"/>
        </w:rPr>
        <w:t xml:space="preserve"> mercado autorizado. No obstante, no puede asegurarse la existencia de un mercado secundario para las Obligaciones Negociables ni la liquidez de las mismas en un mercado secundario, si dicho mercado existiese. La Sociedad no puede garantizar:</w:t>
      </w:r>
    </w:p>
    <w:p w:rsidR="00965A08" w:rsidRPr="006D6E05" w:rsidRDefault="00965A08" w:rsidP="00D639C6">
      <w:pPr>
        <w:pStyle w:val="Textoindependiente3"/>
        <w:widowControl w:val="0"/>
        <w:numPr>
          <w:ilvl w:val="0"/>
          <w:numId w:val="18"/>
        </w:numPr>
        <w:suppressLineNumbers/>
        <w:suppressAutoHyphens/>
        <w:jc w:val="both"/>
        <w:rPr>
          <w:b w:val="0"/>
          <w:bCs/>
          <w:szCs w:val="22"/>
          <w:lang w:val="es-AR"/>
        </w:rPr>
      </w:pPr>
      <w:r w:rsidRPr="006D6E05">
        <w:rPr>
          <w:b w:val="0"/>
          <w:szCs w:val="22"/>
          <w:lang w:val="es-AR"/>
        </w:rPr>
        <w:t xml:space="preserve">El futuro desarrollo de un mercado secundario para las Obligaciones Negociables; ni </w:t>
      </w:r>
    </w:p>
    <w:p w:rsidR="00965A08" w:rsidRPr="006D6E05" w:rsidRDefault="00965A08" w:rsidP="00D639C6">
      <w:pPr>
        <w:pStyle w:val="Textoindependiente3"/>
        <w:widowControl w:val="0"/>
        <w:numPr>
          <w:ilvl w:val="0"/>
          <w:numId w:val="18"/>
        </w:numPr>
        <w:suppressLineNumbers/>
        <w:suppressAutoHyphens/>
        <w:jc w:val="both"/>
        <w:rPr>
          <w:b w:val="0"/>
          <w:bCs/>
          <w:szCs w:val="22"/>
          <w:lang w:val="es-AR"/>
        </w:rPr>
      </w:pPr>
      <w:r w:rsidRPr="006D6E05">
        <w:rPr>
          <w:b w:val="0"/>
          <w:szCs w:val="22"/>
          <w:lang w:val="es-AR"/>
        </w:rPr>
        <w:t>En caso de desarrollarse dicho mercado, que el mismo proveerá a los tenedores de Obligaciones Negociables un nivel de liquidez satisfactorio.</w:t>
      </w:r>
    </w:p>
    <w:p w:rsidR="00965A08" w:rsidRPr="006D6E05" w:rsidRDefault="00965A08" w:rsidP="000F2EFF">
      <w:pPr>
        <w:pStyle w:val="Textoindependiente3"/>
        <w:widowControl w:val="0"/>
        <w:suppressLineNumbers/>
        <w:rPr>
          <w:b w:val="0"/>
          <w:bCs/>
          <w:szCs w:val="22"/>
          <w:lang w:val="es-AR"/>
        </w:rPr>
      </w:pPr>
    </w:p>
    <w:p w:rsidR="00965A08" w:rsidRPr="006D6E05" w:rsidRDefault="00965A08" w:rsidP="000F2EFF">
      <w:pPr>
        <w:pStyle w:val="Textoindependiente3"/>
        <w:widowControl w:val="0"/>
        <w:suppressLineNumbers/>
        <w:jc w:val="both"/>
        <w:rPr>
          <w:b w:val="0"/>
          <w:bCs/>
          <w:szCs w:val="22"/>
          <w:lang w:val="es-AR"/>
        </w:rPr>
      </w:pPr>
      <w:r w:rsidRPr="006D6E05">
        <w:rPr>
          <w:b w:val="0"/>
          <w:szCs w:val="22"/>
          <w:lang w:val="es-AR"/>
        </w:rPr>
        <w:t>Asimismo, la liquidez y mercado de negociación de las Obligaciones Negociables podrán verse seriamente afectados por:</w:t>
      </w:r>
    </w:p>
    <w:p w:rsidR="00965A08" w:rsidRPr="006D6E05" w:rsidRDefault="00965A08" w:rsidP="00D639C6">
      <w:pPr>
        <w:pStyle w:val="Textoindependiente3"/>
        <w:widowControl w:val="0"/>
        <w:numPr>
          <w:ilvl w:val="0"/>
          <w:numId w:val="19"/>
        </w:numPr>
        <w:suppressLineNumbers/>
        <w:suppressAutoHyphens/>
        <w:jc w:val="both"/>
        <w:rPr>
          <w:b w:val="0"/>
          <w:bCs/>
          <w:szCs w:val="22"/>
          <w:lang w:val="es-AR"/>
        </w:rPr>
      </w:pPr>
      <w:r w:rsidRPr="006D6E05">
        <w:rPr>
          <w:b w:val="0"/>
          <w:szCs w:val="22"/>
          <w:lang w:val="es-AR"/>
        </w:rPr>
        <w:t>Cambios en la tasa de interés;</w:t>
      </w:r>
    </w:p>
    <w:p w:rsidR="00965A08" w:rsidRPr="006D6E05" w:rsidRDefault="00965A08" w:rsidP="00D639C6">
      <w:pPr>
        <w:pStyle w:val="Textoindependiente3"/>
        <w:widowControl w:val="0"/>
        <w:numPr>
          <w:ilvl w:val="0"/>
          <w:numId w:val="19"/>
        </w:numPr>
        <w:suppressLineNumbers/>
        <w:suppressAutoHyphens/>
        <w:jc w:val="both"/>
        <w:rPr>
          <w:b w:val="0"/>
          <w:bCs/>
          <w:szCs w:val="22"/>
          <w:lang w:val="es-AR"/>
        </w:rPr>
      </w:pPr>
      <w:r w:rsidRPr="006D6E05">
        <w:rPr>
          <w:b w:val="0"/>
          <w:szCs w:val="22"/>
          <w:lang w:val="es-AR"/>
        </w:rPr>
        <w:t>Caídas y volatilidad en el mercado de Obligaciones Negociables similares, incluyendo caídas y volatilidad en el mercado de Obligaciones Negociables valores de otros emisores privados de mercados emergentes; o</w:t>
      </w:r>
    </w:p>
    <w:p w:rsidR="00965A08" w:rsidRPr="006D6E05" w:rsidRDefault="00965A08" w:rsidP="00D639C6">
      <w:pPr>
        <w:pStyle w:val="Textoindependiente3"/>
        <w:widowControl w:val="0"/>
        <w:numPr>
          <w:ilvl w:val="0"/>
          <w:numId w:val="19"/>
        </w:numPr>
        <w:suppressLineNumbers/>
        <w:suppressAutoHyphens/>
        <w:jc w:val="both"/>
        <w:rPr>
          <w:b w:val="0"/>
          <w:bCs/>
          <w:szCs w:val="22"/>
          <w:lang w:val="es-AR"/>
        </w:rPr>
      </w:pPr>
      <w:r w:rsidRPr="006D6E05">
        <w:rPr>
          <w:b w:val="0"/>
          <w:szCs w:val="22"/>
          <w:lang w:val="es-AR"/>
        </w:rPr>
        <w:t>Las influencias de las condiciones económicas, políticas y de mercado imperantes en la Argentina y, en diverso grado, por las de otros países con mercados emergentes, en el mercado para los valores negociables emitidos por sociedades argentinas. Aunque las condiciones económicas son diferentes en cada país, el valor de las Obligaciones Negociables emitidas también podría ser afectado en forma adversa por acontecimientos económicos, políticos y/o de mercado en uno o más de los otros países con mercados emergentes. No es posible asegurar que los mercados financieros y bursátiles no serán afectados en forma adversa por los acontecimientos de la Argentina y/o de otros países con mercados emergentes, o que tales efectos no afectarán en forma adversa el valor de las Obligaciones Negociables; o</w:t>
      </w:r>
    </w:p>
    <w:p w:rsidR="00965A08" w:rsidRPr="006D6E05" w:rsidRDefault="00965A08" w:rsidP="00D639C6">
      <w:pPr>
        <w:pStyle w:val="Textoindependiente3"/>
        <w:widowControl w:val="0"/>
        <w:numPr>
          <w:ilvl w:val="0"/>
          <w:numId w:val="19"/>
        </w:numPr>
        <w:suppressLineNumbers/>
        <w:suppressAutoHyphens/>
        <w:jc w:val="both"/>
        <w:rPr>
          <w:b w:val="0"/>
          <w:bCs/>
          <w:szCs w:val="22"/>
          <w:lang w:val="es-AR"/>
        </w:rPr>
      </w:pPr>
      <w:r w:rsidRPr="006D6E05">
        <w:rPr>
          <w:b w:val="0"/>
          <w:szCs w:val="22"/>
          <w:lang w:val="es-AR"/>
        </w:rPr>
        <w:t>La posibilidad de que los resultados operativos de la Sociedad no cumplan en uno o más períodos futuros con las expectativas de analistas o inversores de Obligaciones Negociables.</w:t>
      </w:r>
    </w:p>
    <w:p w:rsidR="00965A08" w:rsidRPr="000D1BAC" w:rsidRDefault="00965A08" w:rsidP="000F2EFF">
      <w:pPr>
        <w:widowControl w:val="0"/>
        <w:jc w:val="both"/>
        <w:rPr>
          <w:sz w:val="22"/>
          <w:szCs w:val="22"/>
        </w:rPr>
      </w:pPr>
    </w:p>
    <w:p w:rsidR="00965A08" w:rsidRPr="000D1BAC" w:rsidRDefault="00965A08" w:rsidP="00D639C6">
      <w:pPr>
        <w:numPr>
          <w:ilvl w:val="0"/>
          <w:numId w:val="17"/>
        </w:numPr>
        <w:tabs>
          <w:tab w:val="left" w:pos="360"/>
        </w:tabs>
        <w:ind w:left="0" w:firstLine="0"/>
        <w:jc w:val="both"/>
        <w:rPr>
          <w:sz w:val="22"/>
          <w:szCs w:val="22"/>
        </w:rPr>
      </w:pPr>
      <w:r w:rsidRPr="000D1BAC">
        <w:rPr>
          <w:sz w:val="22"/>
          <w:szCs w:val="22"/>
        </w:rPr>
        <w:t>La Sociedad podría rescatar las Obligaciones Negociables antes de su vencimiento</w:t>
      </w:r>
    </w:p>
    <w:p w:rsidR="00965A08" w:rsidRPr="000D1BAC" w:rsidRDefault="00965A08" w:rsidP="000F2EFF">
      <w:pPr>
        <w:tabs>
          <w:tab w:val="left" w:pos="360"/>
        </w:tabs>
        <w:jc w:val="both"/>
        <w:rPr>
          <w:sz w:val="22"/>
          <w:szCs w:val="22"/>
        </w:rPr>
      </w:pPr>
    </w:p>
    <w:p w:rsidR="00965A08" w:rsidRPr="000D1BAC" w:rsidRDefault="00965A08" w:rsidP="000F2EFF">
      <w:pPr>
        <w:tabs>
          <w:tab w:val="left" w:pos="360"/>
        </w:tabs>
        <w:jc w:val="both"/>
        <w:rPr>
          <w:sz w:val="22"/>
          <w:szCs w:val="22"/>
        </w:rPr>
      </w:pPr>
      <w:r w:rsidRPr="000D1BAC">
        <w:rPr>
          <w:sz w:val="22"/>
          <w:szCs w:val="22"/>
        </w:rPr>
        <w:t>Las Obligaciones Negociables podrán ser rescatadas a opción de la Sociedad en caso de producirse ciertos cambios en el régimen fiscal argentino. En consecuencia, un inversor podrá no estar en posición de reinvertir los fondos provenientes del rescate en un título similar a una tasa de interés efectiva como la de las Obligaciones Negociables.</w:t>
      </w:r>
    </w:p>
    <w:p w:rsidR="00965A08" w:rsidRPr="006D6E05" w:rsidRDefault="00965A08" w:rsidP="000F2EFF">
      <w:pPr>
        <w:pStyle w:val="Textoindependiente3"/>
        <w:widowControl w:val="0"/>
        <w:suppressLineNumbers/>
        <w:tabs>
          <w:tab w:val="left" w:pos="360"/>
        </w:tabs>
        <w:rPr>
          <w:szCs w:val="22"/>
          <w:lang w:val="es-AR"/>
        </w:rPr>
      </w:pPr>
    </w:p>
    <w:p w:rsidR="00965A08" w:rsidRPr="000D1BAC" w:rsidRDefault="00965A08" w:rsidP="00D639C6">
      <w:pPr>
        <w:numPr>
          <w:ilvl w:val="0"/>
          <w:numId w:val="17"/>
        </w:numPr>
        <w:tabs>
          <w:tab w:val="left" w:pos="360"/>
        </w:tabs>
        <w:ind w:left="0" w:firstLine="0"/>
        <w:jc w:val="both"/>
        <w:rPr>
          <w:sz w:val="22"/>
          <w:szCs w:val="22"/>
        </w:rPr>
      </w:pPr>
      <w:r w:rsidRPr="000D1BAC">
        <w:rPr>
          <w:sz w:val="22"/>
          <w:szCs w:val="22"/>
        </w:rPr>
        <w:t xml:space="preserve">En caso de concurso preventivo o acuerdo preventivo extrajudicial los tenedores de las Obligaciones Negociables votarán en forma diferente a los demás acreedores quirografarios. </w:t>
      </w:r>
    </w:p>
    <w:p w:rsidR="00965A08" w:rsidRPr="000D1BAC" w:rsidRDefault="00965A08" w:rsidP="000F2EFF">
      <w:pPr>
        <w:widowControl w:val="0"/>
        <w:suppressLineNumbers/>
        <w:jc w:val="both"/>
        <w:rPr>
          <w:bCs/>
          <w:color w:val="000000"/>
          <w:sz w:val="22"/>
          <w:szCs w:val="22"/>
        </w:rPr>
      </w:pPr>
    </w:p>
    <w:p w:rsidR="00965A08" w:rsidRPr="006D6E05" w:rsidRDefault="00965A08" w:rsidP="000F2EFF">
      <w:pPr>
        <w:pStyle w:val="Textoindependiente"/>
        <w:rPr>
          <w:rFonts w:ascii="Times New Roman" w:hAnsi="Times New Roman"/>
          <w:b/>
          <w:sz w:val="22"/>
          <w:szCs w:val="22"/>
          <w:lang w:val="es-AR"/>
        </w:rPr>
      </w:pPr>
      <w:r w:rsidRPr="006D6E05">
        <w:rPr>
          <w:rFonts w:ascii="Times New Roman" w:hAnsi="Times New Roman"/>
          <w:sz w:val="22"/>
          <w:szCs w:val="22"/>
          <w:lang w:val="es-AR"/>
        </w:rPr>
        <w:t xml:space="preserve">En caso que la Sociedad se encontrara sujeta a procesos judiciales de concurso preventivo, acuerdo preventivos extrajudiciales y/o similares, las normas vigentes que regulan las Obligaciones Negociables (incluyendo, sin limitación las disposiciones de la Ley de Obligaciones Negociables), y los términos y condiciones de las Obligaciones Negociables emitidas estarán sujetos a las disposiciones previstas por la Ley de Concursos y demás normas aplicables a procesos de reestructuración empresariales, y consecuentemente, algunas disposiciones de las Obligaciones Negociables no se aplicarán. </w:t>
      </w:r>
    </w:p>
    <w:p w:rsidR="00965A08" w:rsidRPr="006D6E05" w:rsidRDefault="00965A08" w:rsidP="000F2EFF">
      <w:pPr>
        <w:pStyle w:val="Textoindependiente"/>
        <w:rPr>
          <w:rFonts w:ascii="Times New Roman" w:hAnsi="Times New Roman"/>
          <w:b/>
          <w:sz w:val="22"/>
          <w:szCs w:val="22"/>
          <w:lang w:val="es-AR"/>
        </w:rPr>
      </w:pPr>
    </w:p>
    <w:p w:rsidR="00965A08" w:rsidRPr="006D6E05" w:rsidRDefault="00965A08" w:rsidP="000F2EFF">
      <w:pPr>
        <w:pStyle w:val="Textoindependiente"/>
        <w:rPr>
          <w:rFonts w:ascii="Times New Roman" w:hAnsi="Times New Roman"/>
          <w:b/>
          <w:sz w:val="22"/>
          <w:szCs w:val="22"/>
          <w:lang w:val="es-AR"/>
        </w:rPr>
      </w:pPr>
      <w:r w:rsidRPr="006D6E05">
        <w:rPr>
          <w:rFonts w:ascii="Times New Roman" w:hAnsi="Times New Roman"/>
          <w:sz w:val="22"/>
          <w:szCs w:val="22"/>
          <w:lang w:val="es-AR"/>
        </w:rPr>
        <w:t xml:space="preserve">La normativa de la Ley de Concursos establece un procedimiento de votación diferencial al de los restantes acreedores quirografarios a los efectos del cómputo de las mayorías requeridas por la Ley de Quiebras, la cual es igual a la mayoría absoluta de acreedores que representen 2/3 partes del capital quirografario. Conforme este sistema diferencial, el poder de negociación de los titulares de las Obligaciones Negociables puede ser significativamente menor que el de los demás acreedores financieros de la Sociedad. </w:t>
      </w:r>
    </w:p>
    <w:p w:rsidR="00965A08" w:rsidRPr="006D6E05" w:rsidRDefault="00965A08" w:rsidP="000F2EFF">
      <w:pPr>
        <w:pStyle w:val="Textoindependiente"/>
        <w:rPr>
          <w:rFonts w:ascii="Times New Roman" w:hAnsi="Times New Roman"/>
          <w:b/>
          <w:sz w:val="22"/>
          <w:szCs w:val="22"/>
          <w:lang w:val="es-AR"/>
        </w:rPr>
      </w:pPr>
    </w:p>
    <w:p w:rsidR="00965A08" w:rsidRPr="006D6E05" w:rsidRDefault="00965A08" w:rsidP="000F2EFF">
      <w:pPr>
        <w:pStyle w:val="Textoindependiente"/>
        <w:rPr>
          <w:rFonts w:ascii="Times New Roman" w:hAnsi="Times New Roman"/>
          <w:b/>
          <w:sz w:val="22"/>
          <w:szCs w:val="22"/>
          <w:lang w:val="es-AR"/>
        </w:rPr>
      </w:pPr>
      <w:r w:rsidRPr="006D6E05">
        <w:rPr>
          <w:rFonts w:ascii="Times New Roman" w:hAnsi="Times New Roman"/>
          <w:sz w:val="22"/>
          <w:szCs w:val="22"/>
          <w:lang w:val="es-AR"/>
        </w:rPr>
        <w:t>En particular, la Ley de Concursos</w:t>
      </w:r>
      <w:r w:rsidRPr="006D6E05">
        <w:rPr>
          <w:rFonts w:ascii="Times New Roman" w:hAnsi="Times New Roman"/>
          <w:iCs/>
          <w:sz w:val="22"/>
          <w:szCs w:val="22"/>
          <w:lang w:val="es-AR"/>
        </w:rPr>
        <w:t xml:space="preserve"> </w:t>
      </w:r>
      <w:r w:rsidRPr="006D6E05">
        <w:rPr>
          <w:rFonts w:ascii="Times New Roman" w:hAnsi="Times New Roman"/>
          <w:sz w:val="22"/>
          <w:szCs w:val="22"/>
          <w:lang w:val="es-AR"/>
        </w:rPr>
        <w:t xml:space="preserve">establece que en el caso de títulos emitidos en serie, tal como las Obligaciones Negociables, los titulares de las mismas que representen créditos contra el concursado participarán de la obtención de conformidades para la aprobación de una propuesta concordataria y/o de un acuerdo de reestructuración de dichos créditos conforme un sistema que difiere de la forma del cómputo de las mayorías para los demás acreedores quirografarios. </w:t>
      </w:r>
    </w:p>
    <w:p w:rsidR="00965A08" w:rsidRPr="000D1BAC" w:rsidRDefault="00965A08" w:rsidP="000F2EFF">
      <w:pPr>
        <w:widowControl w:val="0"/>
        <w:suppressLineNumbers/>
        <w:jc w:val="both"/>
        <w:rPr>
          <w:bCs/>
          <w:color w:val="000000"/>
          <w:sz w:val="22"/>
          <w:szCs w:val="22"/>
        </w:rPr>
      </w:pPr>
    </w:p>
    <w:p w:rsidR="00965A08" w:rsidRPr="006D6E05" w:rsidRDefault="00965A08" w:rsidP="000F2EFF">
      <w:pPr>
        <w:pStyle w:val="Textoindependiente"/>
        <w:rPr>
          <w:rFonts w:ascii="Times New Roman" w:hAnsi="Times New Roman"/>
          <w:b/>
          <w:sz w:val="22"/>
          <w:szCs w:val="22"/>
          <w:lang w:val="es-AR"/>
        </w:rPr>
      </w:pPr>
      <w:r w:rsidRPr="006D6E05">
        <w:rPr>
          <w:rFonts w:ascii="Times New Roman" w:hAnsi="Times New Roman"/>
          <w:sz w:val="22"/>
          <w:szCs w:val="22"/>
          <w:lang w:val="es-AR"/>
        </w:rPr>
        <w:t xml:space="preserve">En adición a ello, ciertos precedentes jurisprudenciales han sostenido que aquellos titulares de las Obligaciones Negociables que no asistan a la asamblea para expresar su voto o se abstengan de votar, no serán computados a los efectos de los cálculos que corresponden realizar para calcular dichas mayorías. </w:t>
      </w:r>
    </w:p>
    <w:p w:rsidR="00965A08" w:rsidRPr="000D1BAC" w:rsidRDefault="00965A08" w:rsidP="000F2EFF">
      <w:pPr>
        <w:widowControl w:val="0"/>
        <w:suppressLineNumbers/>
        <w:jc w:val="both"/>
        <w:rPr>
          <w:color w:val="000000"/>
          <w:sz w:val="22"/>
          <w:szCs w:val="22"/>
        </w:rPr>
      </w:pPr>
    </w:p>
    <w:p w:rsidR="00965A08" w:rsidRPr="000D1BAC" w:rsidRDefault="00965A08" w:rsidP="000F2EFF">
      <w:pPr>
        <w:widowControl w:val="0"/>
        <w:suppressLineNumbers/>
        <w:jc w:val="both"/>
        <w:rPr>
          <w:b/>
          <w:bCs/>
          <w:sz w:val="22"/>
          <w:szCs w:val="22"/>
        </w:rPr>
      </w:pPr>
      <w:r w:rsidRPr="000D1BAC">
        <w:rPr>
          <w:color w:val="000000"/>
          <w:sz w:val="22"/>
          <w:szCs w:val="22"/>
        </w:rPr>
        <w:t>La consecuencia del régimen de obtención de mayorías antes descripto y de los precedentes judiciales mencionados hace que en caso que la Sociedad entre en un proceso concursal o de reestructuración de sus pasivos, el poder de negociación de los tenedores de las Obligaciones Negociables en relación al de los restantes acreedores financieros y comerciales puede verse disminuido.</w:t>
      </w:r>
    </w:p>
    <w:p w:rsidR="00965A08" w:rsidRPr="006D6E05" w:rsidRDefault="00965A08" w:rsidP="00D639C6">
      <w:pPr>
        <w:pStyle w:val="NormalWeb"/>
        <w:numPr>
          <w:ilvl w:val="0"/>
          <w:numId w:val="21"/>
        </w:numPr>
        <w:ind w:right="-170"/>
        <w:jc w:val="center"/>
        <w:rPr>
          <w:caps/>
          <w:sz w:val="22"/>
          <w:szCs w:val="22"/>
          <w:u w:val="single"/>
          <w:lang w:val="es-AR"/>
        </w:rPr>
      </w:pPr>
      <w:r w:rsidRPr="006D6E05">
        <w:rPr>
          <w:b/>
          <w:bCs/>
          <w:caps/>
          <w:sz w:val="22"/>
          <w:szCs w:val="22"/>
          <w:u w:val="single"/>
          <w:lang w:val="es-AR"/>
        </w:rPr>
        <w:t>Encubrimiento y lavado de activos de origen delictivo</w:t>
      </w:r>
    </w:p>
    <w:p w:rsidR="00965A08" w:rsidRPr="006D6E05" w:rsidRDefault="00965A08" w:rsidP="009A2770">
      <w:pPr>
        <w:tabs>
          <w:tab w:val="left" w:pos="851"/>
          <w:tab w:val="left" w:pos="2552"/>
        </w:tabs>
        <w:adjustRightInd w:val="0"/>
        <w:jc w:val="both"/>
        <w:rPr>
          <w:iCs/>
          <w:sz w:val="22"/>
          <w:szCs w:val="22"/>
        </w:rPr>
      </w:pPr>
      <w:r w:rsidRPr="006D6E05">
        <w:rPr>
          <w:iCs/>
          <w:sz w:val="22"/>
          <w:szCs w:val="22"/>
        </w:rPr>
        <w:t>El artículo 303 del Código Penal tipifica el delito de lavado de activos, que se configura cuando una persona física o jurídica convierta, transfiera, administre, venda, grave, disimule o de cualquier otro modo ponga en circulación en el mercado, bienes provenientes de un ilícito penal, con la consecuencia posible de que el origen de los bienes originarios o los subrogantes adquieran la apariencia de un origen lícito, o los recibiere con el fin de hacerlos aplicar en una operación de las previstas y siempre que su valor supere la suma de pesos trescientos mil ($ 300.000).</w:t>
      </w:r>
    </w:p>
    <w:p w:rsidR="00965A08" w:rsidRPr="006D6E05" w:rsidRDefault="00965A08" w:rsidP="009A2770">
      <w:pPr>
        <w:tabs>
          <w:tab w:val="left" w:pos="851"/>
          <w:tab w:val="left" w:pos="2552"/>
        </w:tabs>
        <w:adjustRightInd w:val="0"/>
        <w:jc w:val="both"/>
        <w:rPr>
          <w:iCs/>
          <w:sz w:val="20"/>
          <w:szCs w:val="20"/>
        </w:rPr>
      </w:pPr>
    </w:p>
    <w:p w:rsidR="00965A08" w:rsidRPr="006D6E05" w:rsidRDefault="00965A08" w:rsidP="009A2770">
      <w:pPr>
        <w:tabs>
          <w:tab w:val="left" w:pos="851"/>
          <w:tab w:val="left" w:pos="2552"/>
        </w:tabs>
        <w:adjustRightInd w:val="0"/>
        <w:jc w:val="both"/>
        <w:rPr>
          <w:iCs/>
          <w:sz w:val="22"/>
          <w:szCs w:val="22"/>
        </w:rPr>
      </w:pPr>
      <w:r w:rsidRPr="006D6E05">
        <w:rPr>
          <w:iCs/>
          <w:sz w:val="22"/>
          <w:szCs w:val="22"/>
        </w:rPr>
        <w:t>El art. 306 del mismo Código tipifica el delito de financiamiento del terrorismo:</w:t>
      </w:r>
    </w:p>
    <w:p w:rsidR="00965A08" w:rsidRPr="006D6E05" w:rsidRDefault="00965A08" w:rsidP="009A2770">
      <w:pPr>
        <w:tabs>
          <w:tab w:val="left" w:pos="851"/>
          <w:tab w:val="left" w:pos="2552"/>
        </w:tabs>
        <w:adjustRightInd w:val="0"/>
        <w:jc w:val="both"/>
        <w:rPr>
          <w:i/>
          <w:iCs/>
          <w:sz w:val="20"/>
          <w:szCs w:val="20"/>
        </w:rPr>
      </w:pPr>
      <w:r w:rsidRPr="006D6E05">
        <w:rPr>
          <w:i/>
          <w:iCs/>
          <w:sz w:val="20"/>
          <w:szCs w:val="20"/>
        </w:rPr>
        <w:t>“1. Será reprimido con prisión de CINCO (5) a QUINCE (15) años y multa de DOS (2) a DIEZ (10) veces del monto de la operación, el que directa o indirectamente recolectare o proveyere bienes o dinero, con la intención de que se utilicen, o a sabiendas de que serán utilizados, en todo o en parte: a) Para financiar la comisión de un delito con la finalidad establecida en el artículo 41 quinquies; b) Por una organización que cometa o intente cometer delitos con la finalidad establecida en el artículo 41 quinquies; c) Por un individuo que cometa, intente cometer o participe de cualquier modo en la comisión de delitos con la finalidad establecida en el artículo 41 quinquies.</w:t>
      </w:r>
    </w:p>
    <w:p w:rsidR="00965A08" w:rsidRPr="006D6E05" w:rsidRDefault="00965A08" w:rsidP="009A2770">
      <w:pPr>
        <w:tabs>
          <w:tab w:val="left" w:pos="851"/>
          <w:tab w:val="left" w:pos="2552"/>
        </w:tabs>
        <w:adjustRightInd w:val="0"/>
        <w:jc w:val="both"/>
        <w:rPr>
          <w:i/>
          <w:iCs/>
          <w:sz w:val="20"/>
          <w:szCs w:val="20"/>
        </w:rPr>
      </w:pPr>
      <w:r w:rsidRPr="006D6E05">
        <w:rPr>
          <w:i/>
          <w:iCs/>
          <w:sz w:val="20"/>
          <w:szCs w:val="20"/>
        </w:rPr>
        <w:t>2. Las penas establecidas se aplicarán independientemente del acaecimiento del delito al que se destinara el financiamiento y, si éste se cometiere, aún si los bienes o el dinero no fueran utilizados para su comisión.</w:t>
      </w:r>
    </w:p>
    <w:p w:rsidR="00965A08" w:rsidRPr="006D6E05" w:rsidRDefault="00965A08" w:rsidP="009A2770">
      <w:pPr>
        <w:tabs>
          <w:tab w:val="left" w:pos="851"/>
          <w:tab w:val="left" w:pos="2552"/>
        </w:tabs>
        <w:adjustRightInd w:val="0"/>
        <w:jc w:val="both"/>
        <w:rPr>
          <w:i/>
          <w:iCs/>
          <w:sz w:val="20"/>
          <w:szCs w:val="20"/>
        </w:rPr>
      </w:pPr>
      <w:r w:rsidRPr="006D6E05">
        <w:rPr>
          <w:i/>
          <w:iCs/>
          <w:sz w:val="20"/>
          <w:szCs w:val="20"/>
        </w:rPr>
        <w:t>3. Si la escala penal prevista para el delito que se financia o pretende financiar fuera menor que la establecida en este artículo, se aplicará al caso la escala penal del delito que se trate. 4. Las disposiciones de este Artículo regirán aun cuando el ilícito penal que se pretende financiar tuviere lugar fuera del ámbito de aplicación espacial de este Código, o cuando en el caso del inciso b) y c) la organización o el individuo se encontraren fuera del territorio nacional, en tanto el hecho también hubiera estado sancionado con pena en la jurisdicción competente para su juzgamiento”.</w:t>
      </w:r>
    </w:p>
    <w:p w:rsidR="00965A08" w:rsidRPr="006D6E05" w:rsidRDefault="00965A08" w:rsidP="009A2770">
      <w:pPr>
        <w:tabs>
          <w:tab w:val="left" w:pos="851"/>
          <w:tab w:val="left" w:pos="2552"/>
        </w:tabs>
        <w:adjustRightInd w:val="0"/>
        <w:jc w:val="both"/>
        <w:rPr>
          <w:iCs/>
          <w:sz w:val="20"/>
          <w:szCs w:val="20"/>
        </w:rPr>
      </w:pPr>
      <w:r w:rsidRPr="006D6E05">
        <w:rPr>
          <w:i/>
          <w:iCs/>
          <w:sz w:val="20"/>
          <w:szCs w:val="20"/>
        </w:rPr>
        <w:t>El artículo 41 quinquies del Código Penal refiere a los delitos que hubieren sido cometidos “con la finalidad de aterrorizar a la población u obligar a las autoridades públicas nacionales o gobiernos extranjeros o agentes de una organización internacional a realizar un acto o abstenerse de hacerlo</w:t>
      </w:r>
      <w:r w:rsidRPr="006D6E05">
        <w:rPr>
          <w:iCs/>
          <w:sz w:val="20"/>
          <w:szCs w:val="20"/>
        </w:rPr>
        <w:t>”.</w:t>
      </w:r>
    </w:p>
    <w:p w:rsidR="00965A08" w:rsidRPr="006D6E05" w:rsidRDefault="00965A08" w:rsidP="009A2770">
      <w:pPr>
        <w:tabs>
          <w:tab w:val="left" w:pos="851"/>
          <w:tab w:val="left" w:pos="2552"/>
        </w:tabs>
        <w:adjustRightInd w:val="0"/>
        <w:jc w:val="both"/>
        <w:rPr>
          <w:iCs/>
          <w:sz w:val="20"/>
          <w:szCs w:val="20"/>
        </w:rPr>
      </w:pPr>
    </w:p>
    <w:p w:rsidR="00965A08" w:rsidRPr="006D6E05" w:rsidRDefault="00965A08" w:rsidP="009A2770">
      <w:pPr>
        <w:tabs>
          <w:tab w:val="left" w:pos="851"/>
          <w:tab w:val="left" w:pos="2552"/>
        </w:tabs>
        <w:adjustRightInd w:val="0"/>
        <w:jc w:val="both"/>
        <w:rPr>
          <w:iCs/>
          <w:sz w:val="22"/>
          <w:szCs w:val="22"/>
        </w:rPr>
      </w:pPr>
      <w:r w:rsidRPr="006D6E05">
        <w:rPr>
          <w:iCs/>
          <w:sz w:val="22"/>
          <w:szCs w:val="22"/>
        </w:rPr>
        <w:t>Para detectar y prevenir estos delitos la ley 25.246 - texto conforme a las leyes 26.087, 26.119, 26.268 y 26.683 - atribuye ciertas responsabilidades especiales a diversas personas físicas y jurídicas del sector privado (bancos, compañías financieras, casas de cambio, agentes de bolsa, fiduciarios, escribanos, profesionales en ciencias económicas, etc.). Esas obligaciones consisten, básicamente, en adoptar políticas, procedimientos, estructuras y soportes técnicos adecuados tendientes a la prevención del lavado de activos y del financiamiento del terrorismo, tales como “conocer al cliente” (identificar, documentar ese conocimiento, registrar, monitorear y analizar las operaciones) y adoptar una actitud de alerta para no ser utilizados en estas maniobras delictivas. Además impone a los sujetos obligados el deber de poner a disposición de la Unidad de Información Financiera (UIF) la documentación recabada de sus clientes y de llevar a conocimiento de la Unidad de Información Financiera (UIF), las conductas o actividades de las personas físicas o jurídicas, a través de las cuales pudiere inferirse la existencia de una situación atípica que fuera susceptible de configurar un hecho u operación sospechosa, de lavado de activos o financiación de terrorismo.</w:t>
      </w:r>
    </w:p>
    <w:p w:rsidR="00965A08" w:rsidRPr="006D6E05" w:rsidRDefault="00965A08" w:rsidP="009A2770">
      <w:pPr>
        <w:tabs>
          <w:tab w:val="left" w:pos="851"/>
          <w:tab w:val="left" w:pos="2552"/>
        </w:tabs>
        <w:adjustRightInd w:val="0"/>
        <w:jc w:val="both"/>
        <w:rPr>
          <w:iCs/>
          <w:sz w:val="22"/>
          <w:szCs w:val="22"/>
        </w:rPr>
      </w:pPr>
    </w:p>
    <w:p w:rsidR="00965A08" w:rsidRPr="006D6E05" w:rsidRDefault="00965A08" w:rsidP="009A2770">
      <w:pPr>
        <w:tabs>
          <w:tab w:val="left" w:pos="851"/>
          <w:tab w:val="left" w:pos="2552"/>
        </w:tabs>
        <w:adjustRightInd w:val="0"/>
        <w:jc w:val="both"/>
        <w:rPr>
          <w:iCs/>
          <w:sz w:val="22"/>
          <w:szCs w:val="22"/>
        </w:rPr>
      </w:pPr>
      <w:r w:rsidRPr="006D6E05">
        <w:rPr>
          <w:iCs/>
          <w:sz w:val="22"/>
          <w:szCs w:val="22"/>
        </w:rPr>
        <w:t>Para mejor cumplir dichas responsabilidades, las entidades financieras y los agentes de bolsa y de otros mercados deben adoptar políticas, estructuras y procedimientos para tal fin, así como designar un funcionario de máximo nivel como la persona responsable de ejecutar las políticas y procedimientos establecidos por la dirección de la empresa y centralizar las informaciones que requieran el BCRA o la UIF. Además, las entidades financieras deben informar a la UIF cualquier transacción que por carecer de justificación económica o jurídica, ser innecesariamente compleja, o por sus propias características o de las personas intervinientes, ya sea realizada en oportunidades aisladas o en forma reiterada y de acuerdo a un análisis ponderado, realizado según su idoneidad y experiencia, parezca sospechosa de constituir una acción de lavado de activos o financiamiento del terrorismo.</w:t>
      </w:r>
    </w:p>
    <w:p w:rsidR="00965A08" w:rsidRPr="006D6E05" w:rsidRDefault="00965A08" w:rsidP="009A2770">
      <w:pPr>
        <w:tabs>
          <w:tab w:val="left" w:pos="851"/>
          <w:tab w:val="left" w:pos="2552"/>
        </w:tabs>
        <w:adjustRightInd w:val="0"/>
        <w:jc w:val="both"/>
        <w:rPr>
          <w:iCs/>
          <w:sz w:val="22"/>
          <w:szCs w:val="22"/>
        </w:rPr>
      </w:pPr>
    </w:p>
    <w:p w:rsidR="00965A08" w:rsidRPr="006D6E05" w:rsidRDefault="00965A08" w:rsidP="009A2770">
      <w:pPr>
        <w:tabs>
          <w:tab w:val="left" w:pos="851"/>
          <w:tab w:val="left" w:pos="2552"/>
        </w:tabs>
        <w:adjustRightInd w:val="0"/>
        <w:jc w:val="both"/>
        <w:rPr>
          <w:iCs/>
          <w:sz w:val="22"/>
          <w:szCs w:val="22"/>
        </w:rPr>
      </w:pPr>
      <w:r w:rsidRPr="006D6E05">
        <w:rPr>
          <w:iCs/>
          <w:sz w:val="22"/>
          <w:szCs w:val="22"/>
        </w:rPr>
        <w:t>El Emisor cumple con todas las disposiciones de la ley mencionada y con la normativa aplicable sobre lavado de dinero y financiamiento del terrorismo, establecidas por resoluciones de la UIF que reglamentan las obligaciones emergentes del art. 21 a) y b) de la ley 25.246 que son aplicables a cada uno de ellos conforme a la actividad que desarrollan (en especial las resoluciones 11/2011, 229/2011, 140/12, 68/13, 3/14</w:t>
      </w:r>
      <w:r w:rsidR="00FF0EFC" w:rsidRPr="006D6E05">
        <w:rPr>
          <w:iCs/>
          <w:sz w:val="22"/>
          <w:szCs w:val="22"/>
        </w:rPr>
        <w:t>,</w:t>
      </w:r>
      <w:r w:rsidRPr="006D6E05">
        <w:rPr>
          <w:iCs/>
          <w:sz w:val="22"/>
          <w:szCs w:val="22"/>
        </w:rPr>
        <w:t xml:space="preserve"> </w:t>
      </w:r>
      <w:r w:rsidR="00FF0EFC" w:rsidRPr="000D1BAC">
        <w:rPr>
          <w:color w:val="0D0D0D"/>
          <w:sz w:val="22"/>
          <w:szCs w:val="22"/>
        </w:rPr>
        <w:t xml:space="preserve">141/2016, 21/2018 </w:t>
      </w:r>
      <w:r w:rsidRPr="006D6E05">
        <w:rPr>
          <w:iCs/>
          <w:sz w:val="22"/>
          <w:szCs w:val="22"/>
        </w:rPr>
        <w:t>y complementarias). Asimismo, se da cumplimiento a las disposiciones del Título XI de las Normas de la CNV.</w:t>
      </w:r>
      <w:r w:rsidRPr="006D6E05" w:rsidDel="00C91A66">
        <w:rPr>
          <w:iCs/>
          <w:sz w:val="22"/>
          <w:szCs w:val="22"/>
        </w:rPr>
        <w:t xml:space="preserve"> </w:t>
      </w:r>
    </w:p>
    <w:p w:rsidR="00965A08" w:rsidRPr="006D6E05" w:rsidRDefault="00965A08" w:rsidP="009A2770">
      <w:pPr>
        <w:tabs>
          <w:tab w:val="left" w:pos="851"/>
          <w:tab w:val="left" w:pos="2552"/>
        </w:tabs>
        <w:adjustRightInd w:val="0"/>
        <w:jc w:val="both"/>
        <w:rPr>
          <w:iCs/>
          <w:sz w:val="22"/>
          <w:szCs w:val="22"/>
        </w:rPr>
      </w:pPr>
    </w:p>
    <w:p w:rsidR="00965A08" w:rsidRPr="006D6E05" w:rsidRDefault="00965A08" w:rsidP="009A2770">
      <w:pPr>
        <w:tabs>
          <w:tab w:val="left" w:pos="851"/>
          <w:tab w:val="left" w:pos="2552"/>
        </w:tabs>
        <w:adjustRightInd w:val="0"/>
        <w:jc w:val="both"/>
        <w:rPr>
          <w:iCs/>
          <w:sz w:val="22"/>
          <w:szCs w:val="22"/>
        </w:rPr>
      </w:pPr>
      <w:r w:rsidRPr="006D6E05">
        <w:rPr>
          <w:iCs/>
          <w:sz w:val="22"/>
          <w:szCs w:val="22"/>
        </w:rPr>
        <w:t>Por su parte, los Colocadores deberán aplicar las medidas necesarias para una correcta identificación y conocimiento del cliente, registro de operaciones, manteniendo estructuras y sistemas para una adecuada política de prevención de lavado de activos y financiamiento del terrorismo y, de corresponder, para reportar las transacciones sospechosas a las autoridades competentes en debida forma y tiempo y proceder al bloqueo de los fondos en caso de serle requerido por disposición legal expresa.</w:t>
      </w:r>
    </w:p>
    <w:p w:rsidR="00965A08" w:rsidRPr="006D6E05" w:rsidRDefault="00965A08" w:rsidP="009A2770">
      <w:pPr>
        <w:tabs>
          <w:tab w:val="left" w:pos="851"/>
          <w:tab w:val="left" w:pos="2552"/>
        </w:tabs>
        <w:adjustRightInd w:val="0"/>
        <w:jc w:val="both"/>
        <w:rPr>
          <w:iCs/>
          <w:sz w:val="22"/>
          <w:szCs w:val="22"/>
        </w:rPr>
      </w:pPr>
    </w:p>
    <w:p w:rsidR="00965A08" w:rsidRPr="006D6E05" w:rsidRDefault="00965A08" w:rsidP="009A2770">
      <w:pPr>
        <w:tabs>
          <w:tab w:val="left" w:pos="851"/>
          <w:tab w:val="left" w:pos="2552"/>
        </w:tabs>
        <w:adjustRightInd w:val="0"/>
        <w:jc w:val="both"/>
        <w:rPr>
          <w:iCs/>
          <w:sz w:val="22"/>
          <w:szCs w:val="22"/>
        </w:rPr>
      </w:pPr>
      <w:r w:rsidRPr="006D6E05">
        <w:rPr>
          <w:iCs/>
          <w:sz w:val="22"/>
          <w:szCs w:val="22"/>
        </w:rPr>
        <w:t>Los adquirentes de las Obligaciones Negociables asumirán la obligación de aportar la información y documentación que se les requiera respecto del origen de los fondos y su legitimidad.</w:t>
      </w:r>
    </w:p>
    <w:p w:rsidR="00965A08" w:rsidRPr="006D6E05" w:rsidRDefault="00965A08" w:rsidP="009A2770">
      <w:pPr>
        <w:tabs>
          <w:tab w:val="left" w:pos="851"/>
          <w:tab w:val="left" w:pos="2552"/>
        </w:tabs>
        <w:adjustRightInd w:val="0"/>
        <w:jc w:val="both"/>
        <w:rPr>
          <w:iCs/>
          <w:sz w:val="22"/>
          <w:szCs w:val="22"/>
        </w:rPr>
      </w:pPr>
    </w:p>
    <w:p w:rsidR="00965A08" w:rsidRPr="006D6E05" w:rsidRDefault="00965A08" w:rsidP="009A2770">
      <w:pPr>
        <w:tabs>
          <w:tab w:val="left" w:pos="851"/>
        </w:tabs>
        <w:jc w:val="both"/>
        <w:rPr>
          <w:sz w:val="22"/>
          <w:szCs w:val="22"/>
        </w:rPr>
      </w:pPr>
      <w:r w:rsidRPr="006D6E05">
        <w:rPr>
          <w:sz w:val="22"/>
          <w:szCs w:val="22"/>
        </w:rPr>
        <w:t xml:space="preserve">Para un análisis más puntual del régimen los inversores pueden recurrir a sus asesores legales y/o consultar la normativa aplicable en el sitio web </w:t>
      </w:r>
      <w:r w:rsidR="001C7803" w:rsidRPr="006D6E05">
        <w:rPr>
          <w:sz w:val="22"/>
          <w:szCs w:val="22"/>
        </w:rPr>
        <w:t>del Ministerio de Hacienda y Finanzas Públicas (</w:t>
      </w:r>
      <w:r w:rsidR="00FF0EFC" w:rsidRPr="006D6E05">
        <w:rPr>
          <w:sz w:val="22"/>
          <w:szCs w:val="22"/>
        </w:rPr>
        <w:t>https://www.argentina.gob.ar/finanzas</w:t>
      </w:r>
      <w:r w:rsidR="001C7803" w:rsidRPr="006D6E05">
        <w:rPr>
          <w:sz w:val="22"/>
          <w:szCs w:val="22"/>
        </w:rPr>
        <w:t>)</w:t>
      </w:r>
      <w:r w:rsidRPr="006D6E05">
        <w:rPr>
          <w:sz w:val="22"/>
          <w:szCs w:val="22"/>
        </w:rPr>
        <w:t xml:space="preserve"> y/o de la UIF (</w:t>
      </w:r>
      <w:r w:rsidR="001C7803" w:rsidRPr="006D6E05">
        <w:rPr>
          <w:sz w:val="22"/>
          <w:szCs w:val="22"/>
        </w:rPr>
        <w:t>https://www.argentina.gob.ar/uif</w:t>
      </w:r>
      <w:r w:rsidRPr="006D6E05">
        <w:rPr>
          <w:sz w:val="22"/>
          <w:szCs w:val="22"/>
        </w:rPr>
        <w:t>) y/o de la CNV (http:/cnv.gob.ar).</w:t>
      </w:r>
    </w:p>
    <w:p w:rsidR="00965A08" w:rsidRPr="006D6E05" w:rsidRDefault="00965A08" w:rsidP="009A2770">
      <w:pPr>
        <w:tabs>
          <w:tab w:val="left" w:pos="851"/>
        </w:tabs>
        <w:jc w:val="both"/>
        <w:rPr>
          <w:sz w:val="20"/>
          <w:szCs w:val="20"/>
        </w:rPr>
      </w:pPr>
    </w:p>
    <w:p w:rsidR="00965A08" w:rsidRPr="000D1BAC" w:rsidRDefault="00965A08" w:rsidP="00C91A66">
      <w:pPr>
        <w:jc w:val="center"/>
        <w:outlineLvl w:val="0"/>
        <w:rPr>
          <w:b/>
          <w:sz w:val="22"/>
          <w:szCs w:val="22"/>
        </w:rPr>
      </w:pPr>
      <w:r w:rsidRPr="000D1BAC">
        <w:rPr>
          <w:b/>
          <w:sz w:val="22"/>
          <w:szCs w:val="22"/>
        </w:rPr>
        <w:t>TRANSPARENCIA DEL MERCADO</w:t>
      </w:r>
    </w:p>
    <w:p w:rsidR="00965A08" w:rsidRPr="000D1BAC" w:rsidRDefault="00965A08" w:rsidP="00C91A66">
      <w:pPr>
        <w:jc w:val="both"/>
        <w:outlineLvl w:val="0"/>
        <w:rPr>
          <w:b/>
          <w:sz w:val="22"/>
          <w:szCs w:val="22"/>
        </w:rPr>
      </w:pPr>
    </w:p>
    <w:p w:rsidR="00965A08" w:rsidRPr="006D6E05" w:rsidRDefault="00965A08" w:rsidP="00C91A66">
      <w:pPr>
        <w:tabs>
          <w:tab w:val="left" w:pos="2552"/>
        </w:tabs>
        <w:adjustRightInd w:val="0"/>
        <w:jc w:val="both"/>
        <w:rPr>
          <w:iCs/>
          <w:sz w:val="22"/>
          <w:szCs w:val="22"/>
        </w:rPr>
      </w:pPr>
      <w:r w:rsidRPr="000D1BAC">
        <w:rPr>
          <w:sz w:val="22"/>
          <w:szCs w:val="22"/>
        </w:rPr>
        <w:t>La ley 26.733 introdujo modificaciones en el Código Penal con el propósito de penar conductas, entre otras, vinculadas a la transparencia del mercado de capitales. Se reprime el uso de información privilegiada con penas que alcanzan los ocho años de prisión, según el caso. La reforma también sanciona la manipulación de precios mediante el falseamiento de información, el ofrecimiento de valores negociables o instrumentos financieros mediando ocultamiento de información veraz relevante, la emisión de valores negociables y la intermediación financiera sin autorización emitida por la autoridad de supervisión competente. La norma establece que cuando se trate de personas jurídicas que hagan oferta pública de valores negociables, las sanciones deberán ser aplicadas cuidando de no perjudicar a los accionistas o titulares de los títulos respectivos a quienes no quepa atribuir responsabilidad en el hecho delictivo.</w:t>
      </w:r>
      <w:r w:rsidRPr="006D6E05">
        <w:rPr>
          <w:iCs/>
          <w:sz w:val="22"/>
          <w:szCs w:val="22"/>
        </w:rPr>
        <w:t xml:space="preserve"> </w:t>
      </w:r>
    </w:p>
    <w:p w:rsidR="00965A08" w:rsidRPr="006D6E05" w:rsidRDefault="00965A08" w:rsidP="00C91A66">
      <w:pPr>
        <w:tabs>
          <w:tab w:val="left" w:pos="2552"/>
        </w:tabs>
        <w:adjustRightInd w:val="0"/>
        <w:jc w:val="both"/>
        <w:rPr>
          <w:iCs/>
          <w:sz w:val="22"/>
          <w:szCs w:val="22"/>
        </w:rPr>
      </w:pPr>
    </w:p>
    <w:p w:rsidR="00965A08" w:rsidRPr="006D6E05" w:rsidRDefault="00965A08" w:rsidP="00C91A66">
      <w:pPr>
        <w:tabs>
          <w:tab w:val="left" w:pos="2552"/>
        </w:tabs>
        <w:adjustRightInd w:val="0"/>
        <w:jc w:val="both"/>
        <w:rPr>
          <w:iCs/>
          <w:sz w:val="22"/>
          <w:szCs w:val="22"/>
        </w:rPr>
      </w:pPr>
      <w:r w:rsidRPr="006D6E05">
        <w:rPr>
          <w:iCs/>
          <w:sz w:val="22"/>
          <w:szCs w:val="22"/>
        </w:rPr>
        <w:t xml:space="preserve">Por su parte, el Título XII de las Normas de la CNV dispone sobre la transparencia en el ámbito de la oferta pública, prohibiendo en general, todo acto u omisión, de cualquier naturaleza, que afecte o pueda afectar la transparencia en el ámbito de la oferta pública. </w:t>
      </w:r>
    </w:p>
    <w:p w:rsidR="00965A08" w:rsidRPr="006D6E05" w:rsidRDefault="00965A08" w:rsidP="00C91A66">
      <w:pPr>
        <w:tabs>
          <w:tab w:val="left" w:pos="851"/>
        </w:tabs>
        <w:jc w:val="both"/>
        <w:rPr>
          <w:sz w:val="22"/>
          <w:szCs w:val="22"/>
        </w:rPr>
      </w:pPr>
    </w:p>
    <w:p w:rsidR="00965A08" w:rsidRPr="006D6E05" w:rsidRDefault="00965A08" w:rsidP="00E97161">
      <w:pPr>
        <w:widowControl w:val="0"/>
        <w:jc w:val="both"/>
        <w:rPr>
          <w:b/>
          <w:bCs/>
          <w:smallCaps/>
          <w:sz w:val="22"/>
          <w:szCs w:val="22"/>
        </w:rPr>
      </w:pPr>
      <w:r w:rsidRPr="000D1BAC">
        <w:rPr>
          <w:sz w:val="22"/>
          <w:szCs w:val="22"/>
        </w:rPr>
        <w:t>Para un análisis más exhaustivo del régimen de lavado de dinero vigente al día de la fecha, se sugiere a los inversores consultar con sus asesores legales y dar una lectura completa al Capítulo xii, Título XI, Libro Segundo del Código Penal Argentino y a la normativa emitida por la UIF, a cuyo efecto los interesados podrán consultar</w:t>
      </w:r>
      <w:r w:rsidR="00F96848" w:rsidRPr="000D1BAC">
        <w:rPr>
          <w:sz w:val="22"/>
          <w:szCs w:val="22"/>
        </w:rPr>
        <w:t xml:space="preserve"> el sitio web </w:t>
      </w:r>
      <w:r w:rsidR="00F96848" w:rsidRPr="006D6E05">
        <w:rPr>
          <w:sz w:val="22"/>
          <w:szCs w:val="22"/>
        </w:rPr>
        <w:t>del Ministerio de</w:t>
      </w:r>
      <w:r w:rsidRPr="000D1BAC">
        <w:rPr>
          <w:sz w:val="22"/>
          <w:szCs w:val="22"/>
        </w:rPr>
        <w:t xml:space="preserve"> </w:t>
      </w:r>
      <w:r w:rsidR="00FF0EFC" w:rsidRPr="000D1BAC">
        <w:rPr>
          <w:sz w:val="22"/>
          <w:szCs w:val="22"/>
        </w:rPr>
        <w:t xml:space="preserve">Hacienda y </w:t>
      </w:r>
      <w:r w:rsidR="00F96848" w:rsidRPr="000D1BAC">
        <w:rPr>
          <w:sz w:val="22"/>
          <w:szCs w:val="22"/>
        </w:rPr>
        <w:t xml:space="preserve">Finanzas: </w:t>
      </w:r>
      <w:r w:rsidR="00FF0EFC" w:rsidRPr="000D1BAC">
        <w:rPr>
          <w:sz w:val="22"/>
          <w:szCs w:val="22"/>
        </w:rPr>
        <w:t>https://www.argentina.gob.ar/finanzas</w:t>
      </w:r>
      <w:r w:rsidR="00F96848" w:rsidRPr="000D1BAC">
        <w:rPr>
          <w:sz w:val="22"/>
          <w:szCs w:val="22"/>
        </w:rPr>
        <w:t xml:space="preserve">/, </w:t>
      </w:r>
      <w:r w:rsidR="00891214" w:rsidRPr="000D1BAC">
        <w:rPr>
          <w:color w:val="0D0D0D"/>
          <w:sz w:val="22"/>
          <w:szCs w:val="22"/>
        </w:rPr>
        <w:t xml:space="preserve">Infoleg: </w:t>
      </w:r>
      <w:hyperlink r:id="rId12" w:history="1">
        <w:r w:rsidR="00891214" w:rsidRPr="000D1BAC">
          <w:rPr>
            <w:color w:val="0D0D0D"/>
            <w:sz w:val="22"/>
            <w:szCs w:val="22"/>
          </w:rPr>
          <w:t>http://www.infoleg.gov.ar</w:t>
        </w:r>
      </w:hyperlink>
      <w:r w:rsidR="00891214" w:rsidRPr="000D1BAC">
        <w:rPr>
          <w:color w:val="0D0D0D"/>
          <w:sz w:val="22"/>
          <w:szCs w:val="22"/>
        </w:rPr>
        <w:t xml:space="preserve">, Banco Central de la República Argentina: http://www.bcra.gov.ar/, Unidad de Información Financiera: </w:t>
      </w:r>
      <w:hyperlink r:id="rId13" w:history="1">
        <w:r w:rsidR="00891214" w:rsidRPr="000D1BAC">
          <w:rPr>
            <w:color w:val="0D0D0D"/>
            <w:sz w:val="22"/>
            <w:szCs w:val="22"/>
          </w:rPr>
          <w:t>http://www.argentina.gob.ar/uif</w:t>
        </w:r>
      </w:hyperlink>
      <w:r w:rsidR="00891214" w:rsidRPr="000D1BAC">
        <w:rPr>
          <w:color w:val="0D0D0D"/>
          <w:sz w:val="22"/>
          <w:szCs w:val="22"/>
        </w:rPr>
        <w:t>.</w:t>
      </w:r>
      <w:r w:rsidR="00A228DA" w:rsidRPr="006D6E05">
        <w:rPr>
          <w:sz w:val="22"/>
          <w:szCs w:val="22"/>
        </w:rPr>
        <w:t xml:space="preserve"> </w:t>
      </w:r>
      <w:r w:rsidRPr="000D1BAC">
        <w:rPr>
          <w:sz w:val="22"/>
          <w:szCs w:val="22"/>
        </w:rPr>
        <w:t xml:space="preserve">o en </w:t>
      </w:r>
      <w:hyperlink r:id="rId14" w:history="1">
        <w:r w:rsidR="00A47CB1" w:rsidRPr="00A47CB1">
          <w:rPr>
            <w:rStyle w:val="Hipervnculo"/>
            <w:sz w:val="22"/>
            <w:szCs w:val="22"/>
          </w:rPr>
          <w:t>www.cnv.gov.ar</w:t>
        </w:r>
      </w:hyperlink>
      <w:r w:rsidRPr="000D1BAC">
        <w:rPr>
          <w:sz w:val="22"/>
          <w:szCs w:val="22"/>
        </w:rPr>
        <w:t>.</w:t>
      </w:r>
    </w:p>
    <w:p w:rsidR="00965A08" w:rsidRPr="006D6E05" w:rsidRDefault="00965A08" w:rsidP="007D3F9B">
      <w:pPr>
        <w:tabs>
          <w:tab w:val="left" w:pos="2552"/>
        </w:tabs>
        <w:adjustRightInd w:val="0"/>
        <w:jc w:val="both"/>
        <w:rPr>
          <w:iCs/>
          <w:sz w:val="20"/>
          <w:szCs w:val="20"/>
        </w:rPr>
      </w:pPr>
    </w:p>
    <w:p w:rsidR="00965A08" w:rsidRPr="000D1BAC" w:rsidRDefault="00965A08" w:rsidP="00D639C6">
      <w:pPr>
        <w:numPr>
          <w:ilvl w:val="0"/>
          <w:numId w:val="21"/>
        </w:numPr>
        <w:jc w:val="center"/>
        <w:outlineLvl w:val="0"/>
        <w:rPr>
          <w:b/>
          <w:sz w:val="22"/>
          <w:szCs w:val="22"/>
          <w:u w:val="single"/>
        </w:rPr>
      </w:pPr>
      <w:r w:rsidRPr="000D1BAC">
        <w:rPr>
          <w:b/>
          <w:sz w:val="22"/>
          <w:szCs w:val="22"/>
          <w:u w:val="single"/>
        </w:rPr>
        <w:t>CONDICIONES GENERALES DEL PROGRAMA GLOBAL DE OBLIGACIONES NEGOCIABLES PYME</w:t>
      </w:r>
    </w:p>
    <w:p w:rsidR="00965A08" w:rsidRPr="000D1BAC" w:rsidRDefault="00965A08" w:rsidP="00777508">
      <w:pPr>
        <w:ind w:left="1080"/>
        <w:outlineLvl w:val="0"/>
        <w:rPr>
          <w:b/>
          <w:sz w:val="22"/>
          <w:szCs w:val="22"/>
          <w:u w:val="single"/>
        </w:rPr>
      </w:pPr>
    </w:p>
    <w:p w:rsidR="00965A08" w:rsidRPr="006D6E05" w:rsidRDefault="00965A08" w:rsidP="00777508">
      <w:pPr>
        <w:pStyle w:val="Textoindependiente3"/>
        <w:jc w:val="both"/>
        <w:rPr>
          <w:b w:val="0"/>
          <w:i/>
          <w:iCs/>
          <w:szCs w:val="22"/>
          <w:lang w:val="es-AR"/>
        </w:rPr>
      </w:pPr>
      <w:r w:rsidRPr="006D6E05">
        <w:rPr>
          <w:b w:val="0"/>
          <w:bCs/>
          <w:i/>
          <w:iCs/>
          <w:szCs w:val="22"/>
          <w:lang w:val="es-AR"/>
        </w:rPr>
        <w:t xml:space="preserve">A continuación se detallan los términos y condiciones generales de las Obligaciones Negociables que podrán ser emitidas por la Sociedad en el marco del Programa. Dichos términos y condiciones generales serán aplicables a las Obligaciones Negociables que se emitan bajo el Programa, sin perjuicio de lo </w:t>
      </w:r>
      <w:r w:rsidR="00E20C0A" w:rsidRPr="00E20C0A">
        <w:rPr>
          <w:b w:val="0"/>
          <w:bCs/>
          <w:i/>
          <w:iCs/>
          <w:szCs w:val="22"/>
          <w:lang w:val="es-AR"/>
        </w:rPr>
        <w:t>cual,</w:t>
      </w:r>
      <w:r w:rsidRPr="006D6E05">
        <w:rPr>
          <w:b w:val="0"/>
          <w:bCs/>
          <w:i/>
          <w:iCs/>
          <w:szCs w:val="22"/>
          <w:lang w:val="es-AR"/>
        </w:rPr>
        <w:t xml:space="preserve"> en los Suplementos de Prospecto correspondientes, se detallarán los términos y condiciones específicos de las Obligaciones Negociables de la Serie y/o Clase en cuestión, los cuales complementarán los presentes términos y condiciones generales con relación a las Obligaciones Negociables de dicha Serie y/o Clase. </w:t>
      </w:r>
    </w:p>
    <w:p w:rsidR="00965A08" w:rsidRPr="000D1BAC" w:rsidRDefault="00965A08" w:rsidP="00777508">
      <w:pPr>
        <w:jc w:val="both"/>
        <w:rPr>
          <w:sz w:val="22"/>
          <w:szCs w:val="22"/>
        </w:rPr>
      </w:pPr>
    </w:p>
    <w:p w:rsidR="00DF2E82" w:rsidRPr="000D1BAC" w:rsidRDefault="00965A08" w:rsidP="00777508">
      <w:pPr>
        <w:pStyle w:val="Sangradetextonormal"/>
        <w:ind w:firstLine="0"/>
        <w:rPr>
          <w:sz w:val="22"/>
          <w:szCs w:val="22"/>
        </w:rPr>
      </w:pPr>
      <w:r w:rsidRPr="000D1BAC">
        <w:rPr>
          <w:b/>
          <w:sz w:val="22"/>
          <w:szCs w:val="22"/>
        </w:rPr>
        <w:t xml:space="preserve">1.- </w:t>
      </w:r>
      <w:r w:rsidRPr="000D1BAC">
        <w:rPr>
          <w:b/>
          <w:sz w:val="22"/>
          <w:szCs w:val="22"/>
          <w:u w:val="single"/>
        </w:rPr>
        <w:t>Monto</w:t>
      </w:r>
      <w:r w:rsidR="00DF2E82" w:rsidRPr="000D1BAC">
        <w:rPr>
          <w:b/>
          <w:sz w:val="22"/>
          <w:szCs w:val="22"/>
          <w:u w:val="single"/>
        </w:rPr>
        <w:t xml:space="preserve"> y moneda:</w:t>
      </w:r>
      <w:r w:rsidRPr="000D1BAC">
        <w:rPr>
          <w:sz w:val="22"/>
          <w:szCs w:val="22"/>
        </w:rPr>
        <w:t xml:space="preserve"> hasta $</w:t>
      </w:r>
      <w:r w:rsidR="003E6800" w:rsidRPr="000D1BAC">
        <w:rPr>
          <w:sz w:val="22"/>
          <w:szCs w:val="22"/>
        </w:rPr>
        <w:t xml:space="preserve"> </w:t>
      </w:r>
      <w:r w:rsidR="000F21E6" w:rsidRPr="000D1BAC">
        <w:rPr>
          <w:sz w:val="22"/>
          <w:szCs w:val="22"/>
        </w:rPr>
        <w:t>2</w:t>
      </w:r>
      <w:r w:rsidR="007B2859" w:rsidRPr="000D1BAC">
        <w:rPr>
          <w:sz w:val="22"/>
          <w:szCs w:val="22"/>
        </w:rPr>
        <w:t>00.000.000</w:t>
      </w:r>
      <w:r w:rsidRPr="000D1BAC">
        <w:rPr>
          <w:sz w:val="22"/>
          <w:szCs w:val="22"/>
        </w:rPr>
        <w:t xml:space="preserve"> (pesos </w:t>
      </w:r>
      <w:r w:rsidR="000F21E6" w:rsidRPr="000D1BAC">
        <w:rPr>
          <w:sz w:val="22"/>
          <w:szCs w:val="22"/>
        </w:rPr>
        <w:t>dos</w:t>
      </w:r>
      <w:r w:rsidR="007B2859" w:rsidRPr="000D1BAC">
        <w:rPr>
          <w:sz w:val="22"/>
          <w:szCs w:val="22"/>
        </w:rPr>
        <w:t>cien</w:t>
      </w:r>
      <w:r w:rsidR="000F21E6" w:rsidRPr="000D1BAC">
        <w:rPr>
          <w:sz w:val="22"/>
          <w:szCs w:val="22"/>
        </w:rPr>
        <w:t>tos</w:t>
      </w:r>
      <w:r w:rsidR="00B9746F" w:rsidRPr="000D1BAC">
        <w:rPr>
          <w:sz w:val="22"/>
          <w:szCs w:val="22"/>
        </w:rPr>
        <w:t xml:space="preserve"> </w:t>
      </w:r>
      <w:r w:rsidRPr="000D1BAC">
        <w:rPr>
          <w:sz w:val="22"/>
          <w:szCs w:val="22"/>
        </w:rPr>
        <w:t xml:space="preserve">millones) en todo momento en circulación durante la vigencia del programa. </w:t>
      </w:r>
    </w:p>
    <w:p w:rsidR="00DF2E82" w:rsidRPr="000D1BAC" w:rsidRDefault="00DF2E82" w:rsidP="00777508">
      <w:pPr>
        <w:pStyle w:val="Sangradetextonormal"/>
        <w:ind w:firstLine="0"/>
        <w:rPr>
          <w:sz w:val="22"/>
          <w:szCs w:val="22"/>
        </w:rPr>
      </w:pPr>
    </w:p>
    <w:p w:rsidR="00965A08" w:rsidRPr="000D1BAC" w:rsidRDefault="00DF2E82" w:rsidP="00777508">
      <w:pPr>
        <w:pStyle w:val="Sangradetextonormal"/>
        <w:ind w:firstLine="0"/>
        <w:rPr>
          <w:sz w:val="22"/>
          <w:szCs w:val="22"/>
        </w:rPr>
      </w:pPr>
      <w:r w:rsidRPr="000D1BAC">
        <w:rPr>
          <w:b/>
          <w:sz w:val="22"/>
          <w:szCs w:val="22"/>
        </w:rPr>
        <w:t>2.-</w:t>
      </w:r>
      <w:r w:rsidRPr="000D1BAC">
        <w:rPr>
          <w:b/>
          <w:sz w:val="22"/>
          <w:szCs w:val="22"/>
          <w:u w:val="single"/>
        </w:rPr>
        <w:t xml:space="preserve"> Plazo:</w:t>
      </w:r>
      <w:r w:rsidRPr="000D1BAC">
        <w:rPr>
          <w:sz w:val="22"/>
          <w:szCs w:val="22"/>
        </w:rPr>
        <w:t xml:space="preserve"> </w:t>
      </w:r>
      <w:r w:rsidR="00965A08" w:rsidRPr="000D1BAC">
        <w:rPr>
          <w:sz w:val="22"/>
          <w:szCs w:val="22"/>
        </w:rPr>
        <w:t>El Programa Global tiene un plazo de cinco (5) años a contar desde su autorización por la Comisión Nacional de Valores</w:t>
      </w:r>
      <w:r w:rsidRPr="000D1BAC">
        <w:rPr>
          <w:sz w:val="22"/>
          <w:szCs w:val="22"/>
        </w:rPr>
        <w:t>, prorrogable por Asamblea de Accionistas de la Emisora. En las emisiones particulares será el indicado en el Suplemento de Emisión de cada Serie o Clase</w:t>
      </w:r>
      <w:r w:rsidR="00965A08" w:rsidRPr="000D1BAC">
        <w:rPr>
          <w:sz w:val="22"/>
          <w:szCs w:val="22"/>
        </w:rPr>
        <w:t>.</w:t>
      </w:r>
    </w:p>
    <w:p w:rsidR="00DF2E82" w:rsidRPr="000D1BAC" w:rsidRDefault="00DF2E82" w:rsidP="00777508">
      <w:pPr>
        <w:pStyle w:val="Sangradetextonormal"/>
        <w:ind w:firstLine="0"/>
        <w:rPr>
          <w:b/>
          <w:sz w:val="22"/>
          <w:szCs w:val="22"/>
        </w:rPr>
      </w:pPr>
    </w:p>
    <w:p w:rsidR="00965A08" w:rsidRPr="000D1BAC" w:rsidRDefault="00DF2E82" w:rsidP="00777508">
      <w:pPr>
        <w:pStyle w:val="Sangradetextonormal"/>
        <w:ind w:firstLine="0"/>
        <w:rPr>
          <w:sz w:val="22"/>
          <w:szCs w:val="22"/>
        </w:rPr>
      </w:pPr>
      <w:r w:rsidRPr="000D1BAC">
        <w:rPr>
          <w:b/>
          <w:sz w:val="22"/>
          <w:szCs w:val="22"/>
        </w:rPr>
        <w:t>3</w:t>
      </w:r>
      <w:r w:rsidR="00965A08" w:rsidRPr="000D1BAC">
        <w:rPr>
          <w:b/>
          <w:sz w:val="22"/>
          <w:szCs w:val="22"/>
        </w:rPr>
        <w:t xml:space="preserve">.- </w:t>
      </w:r>
      <w:r w:rsidR="00965A08" w:rsidRPr="000D1BAC">
        <w:rPr>
          <w:b/>
          <w:sz w:val="22"/>
          <w:szCs w:val="22"/>
          <w:u w:val="single"/>
        </w:rPr>
        <w:t>Series y Clases</w:t>
      </w:r>
      <w:r w:rsidR="00965A08" w:rsidRPr="000D1BAC">
        <w:rPr>
          <w:b/>
          <w:sz w:val="22"/>
          <w:szCs w:val="22"/>
        </w:rPr>
        <w:t>:</w:t>
      </w:r>
      <w:r w:rsidR="00965A08" w:rsidRPr="000D1BAC">
        <w:rPr>
          <w:sz w:val="22"/>
          <w:szCs w:val="22"/>
        </w:rPr>
        <w:t xml:space="preserve"> las </w:t>
      </w:r>
      <w:r w:rsidR="00F57EE0" w:rsidRPr="000D1BAC">
        <w:rPr>
          <w:sz w:val="22"/>
          <w:szCs w:val="22"/>
        </w:rPr>
        <w:t>O</w:t>
      </w:r>
      <w:r w:rsidR="00965A08" w:rsidRPr="000D1BAC">
        <w:rPr>
          <w:sz w:val="22"/>
          <w:szCs w:val="22"/>
        </w:rPr>
        <w:t xml:space="preserve">bligaciones </w:t>
      </w:r>
      <w:r w:rsidR="00F57EE0" w:rsidRPr="000D1BAC">
        <w:rPr>
          <w:sz w:val="22"/>
          <w:szCs w:val="22"/>
        </w:rPr>
        <w:t>N</w:t>
      </w:r>
      <w:r w:rsidR="00965A08" w:rsidRPr="000D1BAC">
        <w:rPr>
          <w:sz w:val="22"/>
          <w:szCs w:val="22"/>
        </w:rPr>
        <w:t>egociables podrán emitirse en series pudiendo estas emitirse en una o más Clases por hasta el valor nominal que complete el total a emitir.</w:t>
      </w:r>
      <w:r w:rsidR="00965A08" w:rsidRPr="000D1BAC">
        <w:rPr>
          <w:sz w:val="22"/>
        </w:rPr>
        <w:t xml:space="preserve"> Las Obligaciones Negociables que se emitan en una misma Clase otorgarán los mismos derechos.</w:t>
      </w:r>
    </w:p>
    <w:p w:rsidR="00DF2E82" w:rsidRPr="000D1BAC" w:rsidRDefault="00DF2E82" w:rsidP="00777508">
      <w:pPr>
        <w:pStyle w:val="Sangradetextonormal"/>
        <w:ind w:firstLine="0"/>
        <w:rPr>
          <w:b/>
          <w:sz w:val="22"/>
          <w:szCs w:val="22"/>
        </w:rPr>
      </w:pPr>
    </w:p>
    <w:p w:rsidR="00DF2E82" w:rsidRPr="000D1BAC" w:rsidRDefault="00DF2E82" w:rsidP="00777508">
      <w:pPr>
        <w:pStyle w:val="Sangradetextonormal"/>
        <w:ind w:firstLine="0"/>
        <w:rPr>
          <w:sz w:val="22"/>
          <w:szCs w:val="22"/>
        </w:rPr>
      </w:pPr>
      <w:r w:rsidRPr="000D1BAC">
        <w:rPr>
          <w:b/>
          <w:sz w:val="22"/>
          <w:szCs w:val="22"/>
        </w:rPr>
        <w:t>4</w:t>
      </w:r>
      <w:r w:rsidR="00965A08" w:rsidRPr="000D1BAC">
        <w:rPr>
          <w:b/>
          <w:sz w:val="22"/>
          <w:szCs w:val="22"/>
        </w:rPr>
        <w:t xml:space="preserve">.- </w:t>
      </w:r>
      <w:r w:rsidR="00965A08" w:rsidRPr="000D1BAC">
        <w:rPr>
          <w:b/>
          <w:sz w:val="22"/>
          <w:szCs w:val="22"/>
          <w:u w:val="single"/>
        </w:rPr>
        <w:t>Valor</w:t>
      </w:r>
      <w:r w:rsidR="00223F3B" w:rsidRPr="000D1BAC">
        <w:rPr>
          <w:b/>
          <w:sz w:val="22"/>
          <w:szCs w:val="22"/>
          <w:u w:val="single"/>
        </w:rPr>
        <w:t xml:space="preserve"> </w:t>
      </w:r>
      <w:r w:rsidR="00965A08" w:rsidRPr="000D1BAC">
        <w:rPr>
          <w:b/>
          <w:sz w:val="22"/>
          <w:szCs w:val="22"/>
          <w:u w:val="single"/>
        </w:rPr>
        <w:t>nominal unitario (y unidad mínima de negociación)</w:t>
      </w:r>
      <w:r w:rsidR="00965A08" w:rsidRPr="000D1BAC">
        <w:rPr>
          <w:b/>
          <w:sz w:val="22"/>
          <w:szCs w:val="22"/>
        </w:rPr>
        <w:t xml:space="preserve">: </w:t>
      </w:r>
      <w:r w:rsidR="00965A08" w:rsidRPr="000D1BAC">
        <w:rPr>
          <w:sz w:val="22"/>
          <w:szCs w:val="22"/>
        </w:rPr>
        <w:t>un peso ($ 1)</w:t>
      </w:r>
      <w:r w:rsidRPr="000D1BAC">
        <w:rPr>
          <w:sz w:val="22"/>
          <w:szCs w:val="22"/>
        </w:rPr>
        <w:t xml:space="preserve"> salvo que en alguna Serie o Clase se establezca lo contrario</w:t>
      </w:r>
      <w:r w:rsidR="00965A08" w:rsidRPr="000D1BAC">
        <w:rPr>
          <w:sz w:val="22"/>
          <w:szCs w:val="22"/>
        </w:rPr>
        <w:t>.</w:t>
      </w:r>
    </w:p>
    <w:p w:rsidR="00965A08" w:rsidRPr="000D1BAC" w:rsidRDefault="00965A08" w:rsidP="00777508">
      <w:pPr>
        <w:pStyle w:val="Sangradetextonormal"/>
        <w:ind w:firstLine="0"/>
        <w:rPr>
          <w:sz w:val="22"/>
          <w:szCs w:val="22"/>
        </w:rPr>
      </w:pPr>
      <w:r w:rsidRPr="000D1BAC">
        <w:rPr>
          <w:sz w:val="22"/>
          <w:szCs w:val="22"/>
        </w:rPr>
        <w:t xml:space="preserve"> </w:t>
      </w:r>
    </w:p>
    <w:p w:rsidR="00965A08" w:rsidRPr="000D1BAC" w:rsidRDefault="00DF2E82" w:rsidP="00777508">
      <w:pPr>
        <w:jc w:val="both"/>
        <w:rPr>
          <w:sz w:val="22"/>
        </w:rPr>
      </w:pPr>
      <w:r w:rsidRPr="000D1BAC">
        <w:rPr>
          <w:b/>
          <w:sz w:val="22"/>
          <w:szCs w:val="22"/>
        </w:rPr>
        <w:t>5</w:t>
      </w:r>
      <w:r w:rsidR="00965A08" w:rsidRPr="000D1BAC">
        <w:rPr>
          <w:b/>
          <w:sz w:val="22"/>
          <w:szCs w:val="22"/>
        </w:rPr>
        <w:t xml:space="preserve">.- </w:t>
      </w:r>
      <w:r w:rsidR="00965A08" w:rsidRPr="000D1BAC">
        <w:rPr>
          <w:b/>
          <w:sz w:val="22"/>
          <w:szCs w:val="22"/>
          <w:u w:val="single"/>
        </w:rPr>
        <w:t>Tasa de Interés:</w:t>
      </w:r>
      <w:r w:rsidR="00965A08" w:rsidRPr="000D1BAC">
        <w:rPr>
          <w:sz w:val="22"/>
          <w:szCs w:val="22"/>
        </w:rPr>
        <w:t xml:space="preserve"> Las tasas de interés y las fórmulas de tasa de interés aplicables a cualquier Serie de las ON se indicarán en las condiciones de emisión de cada Serie o Clase y en el Prospecto o Suplemento de Prospecto correspondiente. El interés se computará sobre la base de un año de 365 días salvo que</w:t>
      </w:r>
      <w:r w:rsidR="00965A08" w:rsidRPr="000D1BAC">
        <w:rPr>
          <w:sz w:val="22"/>
        </w:rPr>
        <w:t xml:space="preserve"> se indique una base distinta en cada Serie o Clase. Las ON podrán ser a tasa fija o a tasa flotante. Para determinar la tasa flotante podrá tomarse como referencia cualquier parámetro objetivo disponible en el mercado local o internacional admitido por el BCRA. Las ON podrán ser emitidas con un descuento de colocación original y no devengar intereses. </w:t>
      </w:r>
    </w:p>
    <w:p w:rsidR="00DF2E82" w:rsidRPr="000D1BAC" w:rsidRDefault="00DF2E82" w:rsidP="00777508">
      <w:pPr>
        <w:jc w:val="both"/>
        <w:rPr>
          <w:sz w:val="22"/>
        </w:rPr>
      </w:pPr>
    </w:p>
    <w:p w:rsidR="00965A08" w:rsidRPr="000D1BAC" w:rsidRDefault="00DF2E82" w:rsidP="00777508">
      <w:pPr>
        <w:jc w:val="both"/>
        <w:rPr>
          <w:sz w:val="22"/>
        </w:rPr>
      </w:pPr>
      <w:r w:rsidRPr="000D1BAC">
        <w:rPr>
          <w:b/>
          <w:bCs/>
          <w:sz w:val="22"/>
        </w:rPr>
        <w:t>6</w:t>
      </w:r>
      <w:r w:rsidR="00965A08" w:rsidRPr="000D1BAC">
        <w:rPr>
          <w:b/>
          <w:bCs/>
          <w:sz w:val="22"/>
        </w:rPr>
        <w:t xml:space="preserve">.- </w:t>
      </w:r>
      <w:r w:rsidR="00965A08" w:rsidRPr="000D1BAC">
        <w:rPr>
          <w:b/>
          <w:bCs/>
          <w:sz w:val="22"/>
          <w:u w:val="single"/>
        </w:rPr>
        <w:t>Amortización:</w:t>
      </w:r>
      <w:r w:rsidR="00965A08" w:rsidRPr="000D1BAC">
        <w:rPr>
          <w:sz w:val="22"/>
        </w:rPr>
        <w:t xml:space="preserve"> S</w:t>
      </w:r>
      <w:r w:rsidR="00965A08" w:rsidRPr="000D1BAC">
        <w:rPr>
          <w:sz w:val="22"/>
          <w:szCs w:val="20"/>
        </w:rPr>
        <w:t>egún lo que se especifique en el Suplemento de Prospecto correspondiente.</w:t>
      </w:r>
    </w:p>
    <w:p w:rsidR="00DF2E82" w:rsidRPr="000D1BAC" w:rsidRDefault="00DF2E82" w:rsidP="00777508">
      <w:pPr>
        <w:jc w:val="both"/>
        <w:rPr>
          <w:b/>
          <w:sz w:val="22"/>
        </w:rPr>
      </w:pPr>
    </w:p>
    <w:p w:rsidR="00965A08" w:rsidRPr="000D1BAC" w:rsidRDefault="00DF2E82" w:rsidP="00777508">
      <w:pPr>
        <w:jc w:val="both"/>
        <w:rPr>
          <w:sz w:val="22"/>
        </w:rPr>
      </w:pPr>
      <w:r w:rsidRPr="000D1BAC">
        <w:rPr>
          <w:b/>
          <w:sz w:val="22"/>
        </w:rPr>
        <w:t>7</w:t>
      </w:r>
      <w:r w:rsidR="00965A08" w:rsidRPr="000D1BAC">
        <w:rPr>
          <w:b/>
          <w:sz w:val="22"/>
        </w:rPr>
        <w:t xml:space="preserve">.- </w:t>
      </w:r>
      <w:r w:rsidR="00965A08" w:rsidRPr="000D1BAC">
        <w:rPr>
          <w:b/>
          <w:sz w:val="22"/>
          <w:u w:val="single"/>
        </w:rPr>
        <w:t>Pagos de Servicios:</w:t>
      </w:r>
      <w:r w:rsidR="00965A08" w:rsidRPr="000D1BAC">
        <w:rPr>
          <w:sz w:val="22"/>
        </w:rPr>
        <w:t xml:space="preserve"> Los intereses y/o amortizaciones (“Servicios”) respecto de las ON serán pagaderos en las fechas que se estipulen en las condiciones de emisión de cada Serie o Clase y en el Suplemento de Prospecto correspondiente. Si la fecha fijada para el pago fuera un día inhábil, quedará pospuesta al siguiente Día Hábil, sin que se devenguen intereses sobre dicho pago por el o los días que se posponga el vencimiento. Las obligaciones de pago se considerarán cumplidas y liberadas en la medida en que el Emisor –o el Fiduciario en su caso- ponga a disposición de los inversores, o del agente de pago de existir éste, o de la Caja de Valores S.A. en cuanto a las ON allí depositadas, los fondos correspondientes. Se entenderá por “Día Hábil” cualquier día lunes a viernes, salvo aquellos en los que los bancos están obligados a cerrar en la ciudad de Buenos Aires.</w:t>
      </w:r>
    </w:p>
    <w:p w:rsidR="00DF2E82" w:rsidRPr="000D1BAC" w:rsidRDefault="00DF2E82" w:rsidP="00777508">
      <w:pPr>
        <w:jc w:val="both"/>
        <w:rPr>
          <w:b/>
          <w:sz w:val="22"/>
        </w:rPr>
      </w:pPr>
    </w:p>
    <w:p w:rsidR="00965A08" w:rsidRPr="000D1BAC" w:rsidRDefault="00DF2E82" w:rsidP="00777508">
      <w:pPr>
        <w:jc w:val="both"/>
        <w:rPr>
          <w:sz w:val="22"/>
        </w:rPr>
      </w:pPr>
      <w:r w:rsidRPr="000D1BAC">
        <w:rPr>
          <w:b/>
          <w:sz w:val="22"/>
        </w:rPr>
        <w:t>8</w:t>
      </w:r>
      <w:r w:rsidR="00965A08" w:rsidRPr="000D1BAC">
        <w:rPr>
          <w:b/>
          <w:sz w:val="22"/>
        </w:rPr>
        <w:t xml:space="preserve">.- </w:t>
      </w:r>
      <w:r w:rsidR="00965A08" w:rsidRPr="000D1BAC">
        <w:rPr>
          <w:b/>
          <w:sz w:val="22"/>
          <w:u w:val="single"/>
        </w:rPr>
        <w:t>Intereses moratorios:</w:t>
      </w:r>
      <w:r w:rsidR="00965A08" w:rsidRPr="000D1BAC">
        <w:rPr>
          <w:sz w:val="22"/>
        </w:rPr>
        <w:t xml:space="preserve"> Cuando existan importes adeudados que no hayan sido cancelados en su respectiva fecha de vencimiento, se devengarán sobre el importe adeudado intereses moratorios a una tasa equivalente a una vez y media la última tasa de interés fijada, o la tasa que se determine en cada Serie. </w:t>
      </w:r>
    </w:p>
    <w:p w:rsidR="00DF2E82" w:rsidRPr="000D1BAC" w:rsidRDefault="00DF2E82" w:rsidP="00117B18">
      <w:pPr>
        <w:jc w:val="both"/>
        <w:rPr>
          <w:b/>
          <w:sz w:val="22"/>
        </w:rPr>
      </w:pPr>
    </w:p>
    <w:p w:rsidR="00965A08" w:rsidRPr="000D1BAC" w:rsidRDefault="00DF2E82" w:rsidP="00117B18">
      <w:pPr>
        <w:jc w:val="both"/>
        <w:rPr>
          <w:sz w:val="22"/>
        </w:rPr>
      </w:pPr>
      <w:r w:rsidRPr="000D1BAC">
        <w:rPr>
          <w:b/>
          <w:sz w:val="22"/>
        </w:rPr>
        <w:t>9</w:t>
      </w:r>
      <w:r w:rsidR="00965A08" w:rsidRPr="000D1BAC">
        <w:rPr>
          <w:b/>
          <w:sz w:val="22"/>
        </w:rPr>
        <w:t>.-</w:t>
      </w:r>
      <w:r w:rsidR="00965A08" w:rsidRPr="000D1BAC">
        <w:rPr>
          <w:b/>
          <w:sz w:val="22"/>
          <w:u w:val="single"/>
        </w:rPr>
        <w:t xml:space="preserve"> Reembolso anticipado a opción del Emisor:</w:t>
      </w:r>
      <w:r w:rsidR="00965A08" w:rsidRPr="000D1BAC">
        <w:rPr>
          <w:sz w:val="22"/>
        </w:rPr>
        <w:t xml:space="preserve"> </w:t>
      </w:r>
      <w:r w:rsidR="00965A08" w:rsidRPr="000D1BAC">
        <w:rPr>
          <w:sz w:val="22"/>
          <w:szCs w:val="22"/>
        </w:rPr>
        <w:t>Salvo que en una Serie se especifique lo contrario,</w:t>
      </w:r>
      <w:r w:rsidR="00965A08" w:rsidRPr="000D1BAC">
        <w:rPr>
          <w:sz w:val="22"/>
        </w:rPr>
        <w:t xml:space="preserve"> el Emisor podrá reembolsar anticipadamente la totalidad o una parte de las ON de dicha Serie que se encuentren en circulación, al valor residual con más los intereses devengados hasta la fecha de pago del Valor de Reembolso (conforme dicho término se define más adelante). El importe a pagar a los obligacionistas será el que resulte de sumar al valor residual - total o parcial, según el caso - los intereses devengados conforme a las condiciones de emisión hasta el día de pago (el “Valor de Reembolso”). La decisión será publicada en el boletín diario de</w:t>
      </w:r>
      <w:r w:rsidR="00A228DA" w:rsidRPr="000D1BAC">
        <w:rPr>
          <w:sz w:val="22"/>
        </w:rPr>
        <w:t xml:space="preserve">l mercado en el que las ON se listen </w:t>
      </w:r>
      <w:r w:rsidR="00965A08" w:rsidRPr="000D1BAC">
        <w:rPr>
          <w:sz w:val="22"/>
        </w:rPr>
        <w:t>y en la AIF. Tal publicación constituirá notificación suficiente para los obligacionistas. El Valor de Reembolso se pagará en un plazo no mayor a treinta (30) días desde la publicación del aviso correspondiente.</w:t>
      </w:r>
    </w:p>
    <w:p w:rsidR="00DA2E13" w:rsidRPr="000D1BAC" w:rsidRDefault="00DA2E13" w:rsidP="00117B18">
      <w:pPr>
        <w:jc w:val="both"/>
        <w:rPr>
          <w:sz w:val="22"/>
        </w:rPr>
      </w:pPr>
    </w:p>
    <w:p w:rsidR="00965A08" w:rsidRPr="000D1BAC" w:rsidRDefault="00DF2E82" w:rsidP="00117B18">
      <w:pPr>
        <w:jc w:val="both"/>
        <w:rPr>
          <w:sz w:val="22"/>
          <w:szCs w:val="22"/>
        </w:rPr>
      </w:pPr>
      <w:r w:rsidRPr="000D1BAC">
        <w:rPr>
          <w:b/>
          <w:bCs/>
          <w:spacing w:val="-2"/>
          <w:sz w:val="22"/>
          <w:szCs w:val="22"/>
        </w:rPr>
        <w:t>10</w:t>
      </w:r>
      <w:r w:rsidR="00965A08" w:rsidRPr="000D1BAC">
        <w:rPr>
          <w:b/>
          <w:bCs/>
          <w:spacing w:val="-2"/>
          <w:sz w:val="22"/>
          <w:szCs w:val="22"/>
        </w:rPr>
        <w:t xml:space="preserve">.- </w:t>
      </w:r>
      <w:r w:rsidR="00965A08" w:rsidRPr="000D1BAC">
        <w:rPr>
          <w:b/>
          <w:bCs/>
          <w:spacing w:val="-2"/>
          <w:sz w:val="22"/>
          <w:szCs w:val="22"/>
          <w:u w:val="single"/>
        </w:rPr>
        <w:t>Reembolso anticipado a opción de los Obligacionistas:</w:t>
      </w:r>
      <w:r w:rsidR="00965A08" w:rsidRPr="000D1BAC">
        <w:rPr>
          <w:b/>
          <w:bCs/>
          <w:spacing w:val="-2"/>
          <w:sz w:val="22"/>
          <w:szCs w:val="22"/>
        </w:rPr>
        <w:t xml:space="preserve"> </w:t>
      </w:r>
      <w:r w:rsidR="00965A08" w:rsidRPr="000D1BAC">
        <w:rPr>
          <w:sz w:val="22"/>
          <w:szCs w:val="22"/>
        </w:rPr>
        <w:t>Las Obligaciones Negociables no serán rescatables total o parcialmente a opción de los Obligacionistas de las mismas con anterioridad a su fecha de vencimiento, ni los Obligacionistas tendrán derecho a solicitar al Emisor la adquisición de las mismas de otra manera con anterioridad a dicha fecha, excepto en el caso que así se especifique en el Suplemento de Prospecto correspondientes y de conformidad con los términos y condiciones especificados en el mismo.</w:t>
      </w:r>
    </w:p>
    <w:p w:rsidR="00DF2E82" w:rsidRPr="000D1BAC" w:rsidRDefault="00DF2E82" w:rsidP="00117B18">
      <w:pPr>
        <w:jc w:val="both"/>
        <w:rPr>
          <w:b/>
          <w:bCs/>
          <w:spacing w:val="-2"/>
          <w:sz w:val="22"/>
          <w:szCs w:val="22"/>
        </w:rPr>
      </w:pPr>
    </w:p>
    <w:p w:rsidR="00965A08" w:rsidRPr="000D1BAC" w:rsidRDefault="00965A08" w:rsidP="00117B18">
      <w:pPr>
        <w:jc w:val="both"/>
        <w:rPr>
          <w:sz w:val="22"/>
          <w:szCs w:val="22"/>
        </w:rPr>
      </w:pPr>
      <w:r w:rsidRPr="000D1BAC">
        <w:rPr>
          <w:b/>
          <w:bCs/>
          <w:spacing w:val="-2"/>
          <w:sz w:val="22"/>
          <w:szCs w:val="22"/>
        </w:rPr>
        <w:t>1</w:t>
      </w:r>
      <w:r w:rsidR="00DF2E82" w:rsidRPr="000D1BAC">
        <w:rPr>
          <w:b/>
          <w:bCs/>
          <w:spacing w:val="-2"/>
          <w:sz w:val="22"/>
          <w:szCs w:val="22"/>
        </w:rPr>
        <w:t>1</w:t>
      </w:r>
      <w:r w:rsidRPr="000D1BAC">
        <w:rPr>
          <w:b/>
          <w:bCs/>
          <w:spacing w:val="-2"/>
          <w:sz w:val="22"/>
          <w:szCs w:val="22"/>
        </w:rPr>
        <w:t>.-</w:t>
      </w:r>
      <w:r w:rsidRPr="000D1BAC">
        <w:rPr>
          <w:b/>
          <w:bCs/>
          <w:spacing w:val="-2"/>
          <w:sz w:val="22"/>
          <w:szCs w:val="22"/>
          <w:u w:val="single"/>
        </w:rPr>
        <w:t xml:space="preserve"> Reembolso anticipado por razones impositivas:</w:t>
      </w:r>
      <w:r w:rsidRPr="000D1BAC">
        <w:rPr>
          <w:sz w:val="22"/>
          <w:szCs w:val="22"/>
        </w:rPr>
        <w:t xml:space="preserve"> Salvo que en una Serie se especifique lo contrario, las Obligaciones Negociables de cualquier Serie y/o Clase podrán ser rescatadas a opción del Emisor en su totalidad, pero no parcialmente, en caso que tuvieran lugar ciertos cambios impositivos que generen en el Emisor la obligación de pagar montos adicionales bajo las Obligaciones Negociables, conforme surja de un dictamen emanado de un asesor impositivo de reconocido prestigio. En tal supuesto, se procederá como se indica en el apartado “Reembolso anticipado a Opción del Emisor”.</w:t>
      </w:r>
    </w:p>
    <w:p w:rsidR="00DF2E82" w:rsidRPr="000D1BAC" w:rsidRDefault="00DF2E82" w:rsidP="00117B18">
      <w:pPr>
        <w:jc w:val="both"/>
        <w:rPr>
          <w:b/>
          <w:sz w:val="22"/>
        </w:rPr>
      </w:pPr>
    </w:p>
    <w:p w:rsidR="00965A08" w:rsidRPr="000D1BAC" w:rsidRDefault="00965A08" w:rsidP="00117B18">
      <w:pPr>
        <w:jc w:val="both"/>
        <w:rPr>
          <w:b/>
          <w:sz w:val="22"/>
        </w:rPr>
      </w:pPr>
      <w:r w:rsidRPr="000D1BAC">
        <w:rPr>
          <w:b/>
          <w:sz w:val="22"/>
        </w:rPr>
        <w:t>1</w:t>
      </w:r>
      <w:r w:rsidR="00DF2E82" w:rsidRPr="000D1BAC">
        <w:rPr>
          <w:b/>
          <w:sz w:val="22"/>
        </w:rPr>
        <w:t>2</w:t>
      </w:r>
      <w:r w:rsidRPr="000D1BAC">
        <w:rPr>
          <w:b/>
          <w:sz w:val="22"/>
        </w:rPr>
        <w:t xml:space="preserve">.- </w:t>
      </w:r>
      <w:r w:rsidRPr="000D1BAC">
        <w:rPr>
          <w:b/>
          <w:sz w:val="22"/>
          <w:szCs w:val="22"/>
          <w:u w:val="single"/>
        </w:rPr>
        <w:t>Adquisición de las Obligaciones Negociables por parte del Emisor</w:t>
      </w:r>
      <w:r w:rsidRPr="000D1BAC">
        <w:rPr>
          <w:b/>
          <w:sz w:val="22"/>
          <w:szCs w:val="22"/>
        </w:rPr>
        <w:t xml:space="preserve">: </w:t>
      </w:r>
      <w:r w:rsidRPr="000D1BAC">
        <w:rPr>
          <w:sz w:val="22"/>
          <w:szCs w:val="22"/>
        </w:rPr>
        <w:t>Salvo que en una Serie se especifique lo contrario, el Emisor podrá, de acuerdo con las normas vigentes, en cualquier momento y de cualquier forma, comprar o de cualquier otra forma adquirir las ON en circulación y realizar con respecto a ellas, cualquier acto jurídico legalmente permitido, pudiendo en tal caso el Emisor, sin carácter limitativo, mantenerlas en cartera, transferirlas a terceros o cancelarlas.</w:t>
      </w:r>
    </w:p>
    <w:p w:rsidR="00DF2E82" w:rsidRPr="000D1BAC" w:rsidRDefault="00DF2E82" w:rsidP="00117B18">
      <w:pPr>
        <w:jc w:val="both"/>
        <w:rPr>
          <w:b/>
          <w:sz w:val="22"/>
        </w:rPr>
      </w:pPr>
    </w:p>
    <w:p w:rsidR="00965A08" w:rsidRPr="000D1BAC" w:rsidRDefault="00965A08" w:rsidP="00117B18">
      <w:pPr>
        <w:jc w:val="both"/>
        <w:rPr>
          <w:sz w:val="22"/>
        </w:rPr>
      </w:pPr>
      <w:r w:rsidRPr="000D1BAC">
        <w:rPr>
          <w:b/>
          <w:sz w:val="22"/>
        </w:rPr>
        <w:t>1</w:t>
      </w:r>
      <w:r w:rsidR="00DF2E82" w:rsidRPr="000D1BAC">
        <w:rPr>
          <w:b/>
          <w:sz w:val="22"/>
        </w:rPr>
        <w:t>3</w:t>
      </w:r>
      <w:r w:rsidRPr="000D1BAC">
        <w:rPr>
          <w:b/>
          <w:sz w:val="22"/>
        </w:rPr>
        <w:t>.-</w:t>
      </w:r>
      <w:r w:rsidRPr="000D1BAC">
        <w:rPr>
          <w:b/>
          <w:sz w:val="22"/>
          <w:u w:val="single"/>
        </w:rPr>
        <w:t xml:space="preserve"> Forma de las Obligaciones Negociables:</w:t>
      </w:r>
      <w:r w:rsidRPr="000D1BAC">
        <w:rPr>
          <w:sz w:val="22"/>
        </w:rPr>
        <w:t xml:space="preserve"> </w:t>
      </w:r>
      <w:r w:rsidR="00DF2E82" w:rsidRPr="000D1BAC">
        <w:rPr>
          <w:sz w:val="22"/>
        </w:rPr>
        <w:t>Las Obligaciones Negociables podrán ser emitidas bajo la forma escritural o estar representadas por un Certificado Global a ser depositado en Caja de Valores S.A. (“CVSA”), de acuerdo a lo establecido por la Ley de Nominatividad de los Títulos Valores Privados Nº 24.587</w:t>
      </w:r>
      <w:r w:rsidRPr="000D1BAC">
        <w:rPr>
          <w:sz w:val="22"/>
        </w:rPr>
        <w:t xml:space="preserve">. Los obligacionistas no tendrán derecho a exigir la entrega de láminas individuales, por lo que todas las transferencias se realizarán a través del sistema de depósito colectivo. La Caja de Valores S.A. se encuentra autorizada a percibir de los depositantes aranceles por la administración del depósito colectivo y por los pagos de los servicios; estos aranceles estarán a cargo de los depositantes. </w:t>
      </w:r>
    </w:p>
    <w:p w:rsidR="00DF2E82" w:rsidRPr="000D1BAC" w:rsidRDefault="00DF2E82" w:rsidP="00117B18">
      <w:pPr>
        <w:jc w:val="both"/>
        <w:rPr>
          <w:b/>
          <w:sz w:val="22"/>
        </w:rPr>
      </w:pPr>
    </w:p>
    <w:p w:rsidR="00DF2E82" w:rsidRPr="000D1BAC" w:rsidRDefault="00965A08" w:rsidP="00117B18">
      <w:pPr>
        <w:jc w:val="both"/>
        <w:rPr>
          <w:b/>
          <w:sz w:val="22"/>
          <w:u w:val="single"/>
        </w:rPr>
      </w:pPr>
      <w:r w:rsidRPr="000D1BAC">
        <w:rPr>
          <w:b/>
          <w:sz w:val="22"/>
        </w:rPr>
        <w:t>1</w:t>
      </w:r>
      <w:r w:rsidR="00DF2E82" w:rsidRPr="000D1BAC">
        <w:rPr>
          <w:b/>
          <w:sz w:val="22"/>
        </w:rPr>
        <w:t>4</w:t>
      </w:r>
      <w:r w:rsidRPr="000D1BAC">
        <w:rPr>
          <w:b/>
          <w:sz w:val="22"/>
        </w:rPr>
        <w:t>.-</w:t>
      </w:r>
      <w:r w:rsidRPr="006D6E05">
        <w:rPr>
          <w:b/>
          <w:sz w:val="22"/>
          <w:u w:val="single"/>
        </w:rPr>
        <w:t xml:space="preserve"> </w:t>
      </w:r>
      <w:r w:rsidR="00DF2E82" w:rsidRPr="006D6E05">
        <w:rPr>
          <w:b/>
          <w:sz w:val="22"/>
          <w:u w:val="single"/>
        </w:rPr>
        <w:t>Descripción del Proceso de Colocación</w:t>
      </w:r>
      <w:r w:rsidR="00DF2E82" w:rsidRPr="000D1BAC">
        <w:rPr>
          <w:b/>
          <w:sz w:val="22"/>
          <w:u w:val="single"/>
        </w:rPr>
        <w:t xml:space="preserve"> </w:t>
      </w:r>
    </w:p>
    <w:p w:rsidR="00AA71E9" w:rsidRPr="000D1BAC" w:rsidRDefault="00965A08" w:rsidP="008F483A">
      <w:pPr>
        <w:pStyle w:val="Prrafodelista"/>
        <w:numPr>
          <w:ilvl w:val="0"/>
          <w:numId w:val="25"/>
        </w:numPr>
        <w:jc w:val="both"/>
      </w:pPr>
      <w:r w:rsidRPr="000D1BAC">
        <w:rPr>
          <w:rFonts w:ascii="Times New Roman" w:hAnsi="Times New Roman"/>
          <w:b/>
          <w:u w:val="single"/>
        </w:rPr>
        <w:t>Forma de colocación</w:t>
      </w:r>
      <w:r w:rsidR="00AA71E9" w:rsidRPr="000D1BAC">
        <w:rPr>
          <w:rFonts w:ascii="Times New Roman" w:hAnsi="Times New Roman"/>
          <w:b/>
          <w:u w:val="single"/>
        </w:rPr>
        <w:t>:</w:t>
      </w:r>
      <w:r w:rsidR="00DF2E82" w:rsidRPr="000D1BAC">
        <w:rPr>
          <w:rFonts w:ascii="Times New Roman" w:hAnsi="Times New Roman"/>
        </w:rPr>
        <w:t xml:space="preserve"> De conformidad con la Resolución General CNV N° 662/2016, las Obligaciones Negociables serán colocadas mediante oferta pública en el país por el método que establezca la Emisora, de acuerdo a los procedimientos previstos por la Comisión Nacional de Valores, a través de al menos un mercado de valores autorizado por la CNV donde listen y/o negocien las Obligaciones Negociables.</w:t>
      </w:r>
    </w:p>
    <w:p w:rsidR="00AA71E9" w:rsidRPr="000D1BAC" w:rsidRDefault="00AA71E9" w:rsidP="00AA71E9">
      <w:pPr>
        <w:pStyle w:val="Prrafodelista"/>
        <w:numPr>
          <w:ilvl w:val="0"/>
          <w:numId w:val="25"/>
        </w:numPr>
        <w:ind w:right="-1"/>
        <w:jc w:val="both"/>
        <w:rPr>
          <w:rFonts w:ascii="Times New Roman" w:hAnsi="Times New Roman"/>
        </w:rPr>
      </w:pPr>
      <w:r w:rsidRPr="000D1BAC">
        <w:rPr>
          <w:rFonts w:ascii="Times New Roman" w:hAnsi="Times New Roman"/>
          <w:b/>
          <w:u w:val="single"/>
        </w:rPr>
        <w:t>Gastos de Emisión</w:t>
      </w:r>
      <w:r w:rsidRPr="000D1BAC">
        <w:rPr>
          <w:rFonts w:ascii="Times New Roman" w:hAnsi="Times New Roman"/>
          <w:b/>
        </w:rPr>
        <w:t xml:space="preserve">: </w:t>
      </w:r>
      <w:r w:rsidRPr="000D1BAC">
        <w:rPr>
          <w:rFonts w:ascii="Times New Roman" w:hAnsi="Times New Roman"/>
        </w:rPr>
        <w:t>Los gastos relacionados con la emisión y colocación de Obligaciones Negociables serán determinados en los Suplementos de Prospecto de cada Serie o Clase.</w:t>
      </w:r>
    </w:p>
    <w:p w:rsidR="00965A08" w:rsidRPr="000D1BAC" w:rsidRDefault="00AA71E9" w:rsidP="008F483A">
      <w:pPr>
        <w:pStyle w:val="Prrafodelista"/>
        <w:numPr>
          <w:ilvl w:val="0"/>
          <w:numId w:val="25"/>
        </w:numPr>
        <w:jc w:val="both"/>
      </w:pPr>
      <w:r w:rsidRPr="000D1BAC">
        <w:rPr>
          <w:rFonts w:ascii="Times New Roman" w:hAnsi="Times New Roman"/>
          <w:b/>
          <w:u w:val="single"/>
        </w:rPr>
        <w:t>Listado y negociación:</w:t>
      </w:r>
      <w:r w:rsidRPr="000D1BAC">
        <w:rPr>
          <w:rFonts w:ascii="Times New Roman" w:hAnsi="Times New Roman"/>
          <w:b/>
        </w:rPr>
        <w:t xml:space="preserve"> </w:t>
      </w:r>
      <w:r w:rsidRPr="000D1BAC">
        <w:rPr>
          <w:rFonts w:ascii="Times New Roman" w:hAnsi="Times New Roman"/>
        </w:rPr>
        <w:t>Las ON podrán listarse en Bolsas y Mercados Argentinos S.A., en el Mercado Abierto Electrónico y/o cualquier otro mercado autorizado.</w:t>
      </w:r>
    </w:p>
    <w:p w:rsidR="00DF2E82" w:rsidRPr="000D1BAC" w:rsidRDefault="00DF2E82" w:rsidP="00117B18">
      <w:pPr>
        <w:jc w:val="both"/>
        <w:rPr>
          <w:b/>
          <w:sz w:val="22"/>
        </w:rPr>
      </w:pPr>
    </w:p>
    <w:p w:rsidR="00AA71E9" w:rsidRPr="000D1BAC" w:rsidRDefault="00965A08" w:rsidP="00AA71E9">
      <w:pPr>
        <w:rPr>
          <w:sz w:val="22"/>
        </w:rPr>
      </w:pPr>
      <w:r w:rsidRPr="000D1BAC">
        <w:rPr>
          <w:b/>
          <w:sz w:val="22"/>
        </w:rPr>
        <w:t>1</w:t>
      </w:r>
      <w:r w:rsidR="00DF2E82" w:rsidRPr="000D1BAC">
        <w:rPr>
          <w:b/>
          <w:sz w:val="22"/>
        </w:rPr>
        <w:t>5</w:t>
      </w:r>
      <w:r w:rsidRPr="000D1BAC">
        <w:rPr>
          <w:b/>
          <w:sz w:val="22"/>
        </w:rPr>
        <w:t xml:space="preserve">.- </w:t>
      </w:r>
      <w:r w:rsidRPr="000D1BAC">
        <w:rPr>
          <w:b/>
          <w:sz w:val="22"/>
          <w:u w:val="single"/>
        </w:rPr>
        <w:t>Precio de Oferta</w:t>
      </w:r>
      <w:r w:rsidRPr="000D1BAC">
        <w:rPr>
          <w:b/>
          <w:sz w:val="22"/>
        </w:rPr>
        <w:t>:</w:t>
      </w:r>
      <w:r w:rsidRPr="000D1BAC">
        <w:rPr>
          <w:sz w:val="22"/>
        </w:rPr>
        <w:t xml:space="preserve"> </w:t>
      </w:r>
      <w:r w:rsidR="00AA71E9" w:rsidRPr="000D1BAC">
        <w:rPr>
          <w:sz w:val="22"/>
        </w:rPr>
        <w:t>100 % de su valor nominal salvo que en una Clase y/o Serie se especifique lo contrario.</w:t>
      </w:r>
      <w:r w:rsidR="00AA71E9" w:rsidRPr="000D1BAC" w:rsidDel="00F57EE0">
        <w:rPr>
          <w:sz w:val="22"/>
        </w:rPr>
        <w:t xml:space="preserve"> </w:t>
      </w:r>
    </w:p>
    <w:p w:rsidR="00AA71E9" w:rsidRPr="000D1BAC" w:rsidRDefault="00AA71E9" w:rsidP="00AA71E9">
      <w:pPr>
        <w:rPr>
          <w:sz w:val="22"/>
        </w:rPr>
      </w:pPr>
    </w:p>
    <w:p w:rsidR="00965A08" w:rsidRPr="000D1BAC" w:rsidRDefault="00965A08" w:rsidP="008F483A">
      <w:pPr>
        <w:jc w:val="both"/>
        <w:rPr>
          <w:b/>
          <w:sz w:val="22"/>
        </w:rPr>
      </w:pPr>
      <w:r w:rsidRPr="000D1BAC">
        <w:rPr>
          <w:b/>
          <w:sz w:val="22"/>
        </w:rPr>
        <w:t>1</w:t>
      </w:r>
      <w:r w:rsidR="00AA71E9" w:rsidRPr="000D1BAC">
        <w:rPr>
          <w:b/>
          <w:sz w:val="22"/>
        </w:rPr>
        <w:t>6</w:t>
      </w:r>
      <w:r w:rsidRPr="000D1BAC">
        <w:rPr>
          <w:b/>
          <w:sz w:val="22"/>
        </w:rPr>
        <w:t xml:space="preserve">.- </w:t>
      </w:r>
      <w:r w:rsidRPr="000D1BAC">
        <w:rPr>
          <w:b/>
          <w:sz w:val="22"/>
          <w:u w:val="single"/>
        </w:rPr>
        <w:t>Aspectos impositivos:</w:t>
      </w:r>
      <w:r w:rsidRPr="000D1BAC">
        <w:rPr>
          <w:sz w:val="22"/>
        </w:rPr>
        <w:t xml:space="preserve"> </w:t>
      </w:r>
      <w:r w:rsidR="00AA71E9" w:rsidRPr="000D1BAC">
        <w:rPr>
          <w:sz w:val="22"/>
        </w:rPr>
        <w:t xml:space="preserve">Las Obligaciones Negociables están sujetas al régimen fiscal regulado por los artículos 35 a 38 de la Ley de Obligaciones Negociables N° 23.576. </w:t>
      </w:r>
      <w:r w:rsidR="002628B8" w:rsidRPr="000D1BAC">
        <w:rPr>
          <w:rStyle w:val="xcharacterstyle2"/>
          <w:rFonts w:ascii="Times New Roman" w:hAnsi="Times New Roman"/>
          <w:color w:val="000000"/>
          <w:sz w:val="22"/>
          <w:szCs w:val="22"/>
        </w:rPr>
        <w:t>Todos los pagos relacionados con las Obligaciones Negociables serán efectuados por el Emisor sin retención o deducción por o a cuenta de cualesquiera impuestos, derechos, gravámenes, tasas (los "Tributos") o gastos de transferencia de cualquier naturaleza, presentes o futuros,</w:t>
      </w:r>
      <w:r w:rsidR="002628B8" w:rsidRPr="000D1BAC">
        <w:rPr>
          <w:color w:val="0D0D0D"/>
          <w:sz w:val="22"/>
          <w:szCs w:val="22"/>
        </w:rPr>
        <w:t xml:space="preserve"> </w:t>
      </w:r>
      <w:r w:rsidR="002628B8" w:rsidRPr="006D6E05">
        <w:rPr>
          <w:color w:val="0D0D0D"/>
          <w:sz w:val="22"/>
          <w:szCs w:val="22"/>
        </w:rPr>
        <w:t>excepto que el Emisor esté legalmente obligado a actuar como agente de retención de cualquier Tributo que pudiere recaer sobre los pagos de servicios bajo las ON cuyo pago corresponda a los obligacionistas con motivo de la titularidad o disposición de las ON, en cuyo caso las sumas adeudadas a los obligacionistas serán abonadas previa deducción o retención del Tributo</w:t>
      </w:r>
      <w:r w:rsidR="00AA71E9" w:rsidRPr="006D6E05">
        <w:rPr>
          <w:color w:val="0D0D0D"/>
          <w:sz w:val="22"/>
          <w:szCs w:val="22"/>
        </w:rPr>
        <w:t>.</w:t>
      </w:r>
      <w:r w:rsidR="002628B8" w:rsidRPr="006D6E05">
        <w:rPr>
          <w:color w:val="0D0D0D"/>
          <w:sz w:val="22"/>
          <w:szCs w:val="22"/>
        </w:rPr>
        <w:t xml:space="preserve"> </w:t>
      </w:r>
    </w:p>
    <w:p w:rsidR="00AA71E9" w:rsidRPr="000D1BAC" w:rsidRDefault="00AA71E9" w:rsidP="00AA71E9">
      <w:pPr>
        <w:ind w:right="-170"/>
        <w:jc w:val="both"/>
        <w:rPr>
          <w:b/>
          <w:sz w:val="22"/>
        </w:rPr>
      </w:pPr>
    </w:p>
    <w:p w:rsidR="00965A08" w:rsidRPr="000D1BAC" w:rsidRDefault="00965A08" w:rsidP="00AA71E9">
      <w:pPr>
        <w:ind w:right="-170"/>
        <w:jc w:val="both"/>
        <w:rPr>
          <w:color w:val="000000"/>
          <w:sz w:val="22"/>
        </w:rPr>
      </w:pPr>
      <w:r w:rsidRPr="000D1BAC">
        <w:rPr>
          <w:b/>
          <w:sz w:val="22"/>
        </w:rPr>
        <w:t>1</w:t>
      </w:r>
      <w:r w:rsidR="00AA71E9" w:rsidRPr="000D1BAC">
        <w:rPr>
          <w:b/>
          <w:sz w:val="22"/>
        </w:rPr>
        <w:t>7</w:t>
      </w:r>
      <w:r w:rsidRPr="000D1BAC">
        <w:rPr>
          <w:b/>
          <w:sz w:val="22"/>
        </w:rPr>
        <w:t xml:space="preserve">.- </w:t>
      </w:r>
      <w:r w:rsidRPr="000D1BAC">
        <w:rPr>
          <w:b/>
          <w:sz w:val="22"/>
          <w:u w:val="single"/>
        </w:rPr>
        <w:t>Garantía</w:t>
      </w:r>
      <w:r w:rsidRPr="000D1BAC">
        <w:rPr>
          <w:b/>
          <w:sz w:val="22"/>
        </w:rPr>
        <w:t>:</w:t>
      </w:r>
      <w:r w:rsidRPr="000D1BAC">
        <w:rPr>
          <w:sz w:val="22"/>
        </w:rPr>
        <w:t xml:space="preserve"> Se emitirán con o sin garantía</w:t>
      </w:r>
      <w:r w:rsidR="00AA71E9" w:rsidRPr="000D1BAC">
        <w:rPr>
          <w:sz w:val="22"/>
        </w:rPr>
        <w:t>, conforme se establezca para cada Clase y/o Serie y según se defina en cada Suplemento de Precio</w:t>
      </w:r>
      <w:r w:rsidRPr="000D1BAC">
        <w:rPr>
          <w:sz w:val="22"/>
        </w:rPr>
        <w:t>. Podrán estar subordinadas en forma total o parcial a otros pasivos.</w:t>
      </w:r>
      <w:r w:rsidRPr="000D1BAC">
        <w:rPr>
          <w:color w:val="000000"/>
          <w:sz w:val="22"/>
        </w:rPr>
        <w:t xml:space="preserve"> </w:t>
      </w:r>
    </w:p>
    <w:p w:rsidR="00AA71E9" w:rsidRPr="000D1BAC" w:rsidRDefault="00AA71E9" w:rsidP="00AA71E9">
      <w:pPr>
        <w:ind w:right="-170"/>
        <w:jc w:val="both"/>
        <w:rPr>
          <w:b/>
          <w:sz w:val="22"/>
        </w:rPr>
      </w:pPr>
    </w:p>
    <w:p w:rsidR="00965A08" w:rsidRPr="000D1BAC" w:rsidRDefault="00965A08" w:rsidP="00117B18">
      <w:pPr>
        <w:jc w:val="both"/>
        <w:rPr>
          <w:sz w:val="22"/>
        </w:rPr>
      </w:pPr>
      <w:r w:rsidRPr="000D1BAC">
        <w:rPr>
          <w:b/>
          <w:sz w:val="22"/>
        </w:rPr>
        <w:t>1</w:t>
      </w:r>
      <w:r w:rsidR="00AA71E9" w:rsidRPr="000D1BAC">
        <w:rPr>
          <w:b/>
          <w:sz w:val="22"/>
        </w:rPr>
        <w:t>8</w:t>
      </w:r>
      <w:r w:rsidRPr="000D1BAC">
        <w:rPr>
          <w:b/>
          <w:sz w:val="22"/>
        </w:rPr>
        <w:t xml:space="preserve">.- </w:t>
      </w:r>
      <w:r w:rsidRPr="000D1BAC">
        <w:rPr>
          <w:b/>
          <w:sz w:val="22"/>
          <w:u w:val="single"/>
        </w:rPr>
        <w:t>Eventos de Incumplimiento</w:t>
      </w:r>
      <w:r w:rsidRPr="000D1BAC">
        <w:rPr>
          <w:b/>
          <w:sz w:val="22"/>
        </w:rPr>
        <w:t xml:space="preserve">: I. </w:t>
      </w:r>
      <w:r w:rsidRPr="000D1BAC">
        <w:rPr>
          <w:sz w:val="22"/>
        </w:rPr>
        <w:t xml:space="preserve">Un Evento de Incumplimiento será cualquiera de los siguientes hechos (salvo que para una Serie el respectivo Suplemento de Prospecto lo establezca de otro modo y/o se agreguen nuevos eventos): (a) </w:t>
      </w:r>
      <w:r w:rsidRPr="000D1BAC">
        <w:rPr>
          <w:sz w:val="22"/>
          <w:szCs w:val="22"/>
        </w:rPr>
        <w:t>falta de pago de los intereses y/o capital adeudados respecto de las ON cuando los mismos resulten vencidos y exigibles, y dicha falta de pago persistiera por un período de cinco (5) Días Hábiles</w:t>
      </w:r>
      <w:r w:rsidRPr="000D1BAC">
        <w:rPr>
          <w:sz w:val="22"/>
        </w:rPr>
        <w:t xml:space="preserve">; o (b) Si el Emisor no cumpliera ni observara debidamente cualquier término o compromisos establecidos en las condiciones de emisión de las ON y dicha falta de cumplimiento u observancia continuara sin ser reparada cinco (5) Días Hábiles después de que cualquier inversor haya cursado aviso por escrito al Emisor y, en caso de corresponder, al fiduciario de la garantía; (c) </w:t>
      </w:r>
      <w:r w:rsidRPr="000D1BAC">
        <w:rPr>
          <w:sz w:val="22"/>
          <w:szCs w:val="22"/>
        </w:rPr>
        <w:t>si un tribunal de jurisdicción competente hubiera dictado una sentencia definitiva, mandamiento u orden contra la Sociedad, para el pago de dinero por un monto superior a dos millones quinientos mil pesos ($ 2.500.000) (o su equivalente en otras monedas) y hubieran transcurrido diez (10) Días Hábiles desde la notificación de dicha sentencia definitiva, mandamiento u orden sin que se los haya cumplido, apelado o suspendido</w:t>
      </w:r>
      <w:r w:rsidRPr="000D1BAC">
        <w:rPr>
          <w:sz w:val="22"/>
        </w:rPr>
        <w:t xml:space="preserve">; (d) El Emisor solicitara la formación de concurso preventivo de acreedores o la declaración de su propia quiebra, o iniciara procedimientos para un acuerdo preventivo extrajudicial en los términos de la legislación concursal; (e) Fuera solicitada la quiebra del Emisor y la misma no </w:t>
      </w:r>
      <w:r w:rsidRPr="000D1BAC">
        <w:rPr>
          <w:sz w:val="22"/>
          <w:szCs w:val="22"/>
        </w:rPr>
        <w:t xml:space="preserve">fuera desistida, rechazada o levantada en el término de diez (10) Días Hábiles de ser notificado; (f) conforme a laudo del Tribunal Arbitral, si cualquier declaración, garantía o certificación realizada por el Emisor (o cualquiera de sus funcionarios debidamente autorizados) en las condiciones de emisión de las ON o en cualquier documento entregado por el Emisor conforme a las condiciones de emisión resultara haber sido incorrecta, incompleta o engañosa, en cualquier aspecto importante, en el momento de su realización, ello siempre que sea probable que la misma tenga un efecto adverso sustancial sobre la capacidad del Emisor para cumplir con sus obligaciones bajo las ON o sobre la legalidad, validez o ejecutabilidad de las ON; (g) si </w:t>
      </w:r>
      <w:r w:rsidR="006106DB" w:rsidRPr="000D1BAC">
        <w:rPr>
          <w:sz w:val="22"/>
          <w:szCs w:val="22"/>
        </w:rPr>
        <w:t>e</w:t>
      </w:r>
      <w:r w:rsidRPr="000D1BAC">
        <w:rPr>
          <w:sz w:val="22"/>
          <w:szCs w:val="22"/>
        </w:rPr>
        <w:t>l</w:t>
      </w:r>
      <w:r w:rsidR="006106DB" w:rsidRPr="000D1BAC">
        <w:rPr>
          <w:sz w:val="22"/>
          <w:szCs w:val="22"/>
        </w:rPr>
        <w:t xml:space="preserve"> mercado</w:t>
      </w:r>
      <w:r w:rsidRPr="000D1BAC">
        <w:rPr>
          <w:sz w:val="22"/>
          <w:szCs w:val="22"/>
        </w:rPr>
        <w:t xml:space="preserve"> donde se listen las Obligaciones Negociables cancelara la autorización de </w:t>
      </w:r>
      <w:r w:rsidR="006106DB" w:rsidRPr="000D1BAC">
        <w:rPr>
          <w:sz w:val="22"/>
          <w:szCs w:val="22"/>
        </w:rPr>
        <w:t>listado</w:t>
      </w:r>
      <w:r w:rsidRPr="000D1BAC">
        <w:rPr>
          <w:sz w:val="22"/>
          <w:szCs w:val="22"/>
        </w:rPr>
        <w:t xml:space="preserve">; o (h) si el Emisor figurara en la Central de Riesgo del BCRA en situación irregular (clasificaciones 4 o 5). </w:t>
      </w:r>
      <w:r w:rsidRPr="000D1BAC">
        <w:rPr>
          <w:b/>
          <w:sz w:val="22"/>
          <w:szCs w:val="22"/>
        </w:rPr>
        <w:t>II.</w:t>
      </w:r>
      <w:r w:rsidRPr="000D1BAC">
        <w:rPr>
          <w:sz w:val="22"/>
          <w:szCs w:val="22"/>
        </w:rPr>
        <w:t xml:space="preserve"> Entonces, en cada uno de esos casos, cualquier titular o titulares de ON de una Serie que en ese momento se encuentren en circulación que represente un veinte por ciento (20%) del capital total no amortizado de la serie deberá/n cursar intimación al Emisor para que formule las explicaciones correspondientes (salvo concurso o quiebra de la Sociedad) y en su caso dé cumplimiento a su obligación dentro de los cinco (5) Días Hábiles de ser intimada. Incumplida esta intimación se declarará la caducidad de plazos mediante envío de aviso por escrito que el/los Obligacionistas requirente/s deben enviar al Emisor, quien lo deberá publicar inmediatamente en </w:t>
      </w:r>
      <w:r w:rsidR="006106DB" w:rsidRPr="000D1BAC">
        <w:rPr>
          <w:sz w:val="22"/>
          <w:szCs w:val="22"/>
        </w:rPr>
        <w:t>los sistemas de información de los mercados donde las ON se listen</w:t>
      </w:r>
      <w:r w:rsidRPr="000D1BAC">
        <w:rPr>
          <w:sz w:val="22"/>
          <w:szCs w:val="22"/>
        </w:rPr>
        <w:t xml:space="preserve"> y en la AIF, y, en caso de corresponder, al fiduciario de la garantía. La fecha de caducidad de plazo será la fecha de envío del aviso a la Sociedad. Ante la declaración de caducidad de plazos, en cualquiera de los supuestos precedentes, el capital se tornará inmediatamente vencido y exigible junto con los intereses devengados hasta el efectivo pago, sin ninguna otra acción o aviso de cualquier naturaleza a menos que con anterioridad a la fecha de entrega del aviso se hubieran remediado todos los Eventos</w:t>
      </w:r>
      <w:r w:rsidRPr="000D1BAC">
        <w:rPr>
          <w:sz w:val="22"/>
        </w:rPr>
        <w:t xml:space="preserve"> de Incumplimiento que lo hubieran motivado, y no se verificaran otras nuevas. Si en cualquier momento con posterioridad a que el capital de las ON de una Serie haya sido declarado vencido y exigible, y antes de que se haya obtenido o registrado una venta de bienes en virtud de una sentencia o mandamiento para el pago del dinero adeudado, el Emisor abonara una suma suficiente para pagar todos los montos vencidos de capital e intereses respecto de la totalidad de las ON de dicha Serie que se hayan tornado vencidos, con más los intereses moratorios, y se hayan reparado cualesquiera otros incumplimientos referidos a esas ON, entonces la declaración de caducidad quedará sin efecto. </w:t>
      </w:r>
    </w:p>
    <w:p w:rsidR="000D1BAC" w:rsidRDefault="000D1BAC" w:rsidP="00117B18">
      <w:pPr>
        <w:pStyle w:val="Piedepgina"/>
        <w:rPr>
          <w:rFonts w:ascii="Times New Roman" w:hAnsi="Times New Roman"/>
          <w:b/>
          <w:sz w:val="22"/>
          <w:lang w:val="es-AR"/>
        </w:rPr>
      </w:pPr>
    </w:p>
    <w:p w:rsidR="00965A08" w:rsidRPr="006D6E05" w:rsidRDefault="00965A08" w:rsidP="00117B18">
      <w:pPr>
        <w:pStyle w:val="Piedepgina"/>
        <w:rPr>
          <w:rFonts w:ascii="Times New Roman" w:hAnsi="Times New Roman"/>
          <w:sz w:val="22"/>
          <w:lang w:val="es-AR"/>
        </w:rPr>
      </w:pPr>
      <w:r w:rsidRPr="006D6E05">
        <w:rPr>
          <w:rFonts w:ascii="Times New Roman" w:hAnsi="Times New Roman"/>
          <w:b/>
          <w:sz w:val="22"/>
          <w:lang w:val="es-AR"/>
        </w:rPr>
        <w:t>1</w:t>
      </w:r>
      <w:r w:rsidR="00AA71E9" w:rsidRPr="006D6E05">
        <w:rPr>
          <w:rFonts w:ascii="Times New Roman" w:hAnsi="Times New Roman"/>
          <w:b/>
          <w:sz w:val="22"/>
          <w:lang w:val="es-AR"/>
        </w:rPr>
        <w:t>9</w:t>
      </w:r>
      <w:r w:rsidRPr="006D6E05">
        <w:rPr>
          <w:rFonts w:ascii="Times New Roman" w:hAnsi="Times New Roman"/>
          <w:b/>
          <w:sz w:val="22"/>
          <w:lang w:val="es-AR"/>
        </w:rPr>
        <w:t xml:space="preserve">.- </w:t>
      </w:r>
      <w:r w:rsidRPr="006D6E05">
        <w:rPr>
          <w:rFonts w:ascii="Times New Roman" w:hAnsi="Times New Roman"/>
          <w:b/>
          <w:sz w:val="22"/>
          <w:u w:val="single"/>
          <w:lang w:val="es-AR"/>
        </w:rPr>
        <w:t>Compromisos generales del Emisor:</w:t>
      </w:r>
      <w:r w:rsidRPr="006D6E05">
        <w:rPr>
          <w:rFonts w:ascii="Times New Roman" w:hAnsi="Times New Roman"/>
          <w:sz w:val="22"/>
          <w:u w:val="single"/>
          <w:lang w:val="es-AR"/>
        </w:rPr>
        <w:t xml:space="preserve"> </w:t>
      </w:r>
      <w:r w:rsidRPr="006D6E05">
        <w:rPr>
          <w:rFonts w:ascii="Times New Roman" w:hAnsi="Times New Roman"/>
          <w:sz w:val="22"/>
          <w:lang w:val="es-AR"/>
        </w:rPr>
        <w:t xml:space="preserve">En la medida en que permanezca pendiente el pago de cualquier servicio con relación a las ON bajo el Programa Global, el Emisor se compromete a cumplir los siguientes compromisos, sin perjuicio de los que se omitan o establezcan con relación a cada Serie y/o Clase: (a) </w:t>
      </w:r>
      <w:r w:rsidRPr="006D6E05">
        <w:rPr>
          <w:rFonts w:ascii="Times New Roman" w:hAnsi="Times New Roman"/>
          <w:sz w:val="22"/>
          <w:u w:val="single"/>
          <w:lang w:val="es-AR"/>
        </w:rPr>
        <w:t>Conservación de Propiedades:</w:t>
      </w:r>
      <w:r w:rsidRPr="006D6E05">
        <w:rPr>
          <w:rFonts w:ascii="Times New Roman" w:hAnsi="Times New Roman"/>
          <w:sz w:val="22"/>
          <w:lang w:val="es-AR"/>
        </w:rPr>
        <w:t xml:space="preserve"> el Emisor hará que todas sus propiedades utilizadas en o útiles para el desarrollo de sus actividades sean mantenidas en buenas condiciones de mantenimiento y funcionamiento, con excepción de aquellas manutenciones, reparaciones, renovaciones, reemplazos y mejoras cuya falta u omisión no pudiera tener un efecto significativamente adverso sobre las operaciones, actividades, situación (financiera o económica) del Emisor, consideradas como un todo; (b) </w:t>
      </w:r>
      <w:r w:rsidRPr="006D6E05">
        <w:rPr>
          <w:rFonts w:ascii="Times New Roman" w:hAnsi="Times New Roman"/>
          <w:sz w:val="22"/>
          <w:u w:val="single"/>
          <w:lang w:val="es-AR"/>
        </w:rPr>
        <w:t>Pago de Impuestos y otros Reclamos:</w:t>
      </w:r>
      <w:r w:rsidRPr="006D6E05">
        <w:rPr>
          <w:rFonts w:ascii="Times New Roman" w:hAnsi="Times New Roman"/>
          <w:sz w:val="22"/>
          <w:lang w:val="es-AR"/>
        </w:rPr>
        <w:t xml:space="preserve"> El Emisor pagará o extinguirá, o hará que sea pagada o extinguida antes de que entre en mora (i) todos los impuestos, tasas, contribuciones y cánones que graven a el Emisor o a sus ingresos, utilidades o activos y todos aquellos otros exigidos, y (ii) reclamos legítimos de naturaleza laboral, por prestación de servicios o provisión de materiales que, en caso de no ser cancelados podrían tener un efecto significativamente adverso sobre las operaciones, actividades y situación (financiera o económica) del Emisor. (c) </w:t>
      </w:r>
      <w:r w:rsidRPr="006D6E05">
        <w:rPr>
          <w:rFonts w:ascii="Times New Roman" w:hAnsi="Times New Roman"/>
          <w:sz w:val="22"/>
          <w:u w:val="single"/>
          <w:lang w:val="es-AR"/>
        </w:rPr>
        <w:t>Seguros:</w:t>
      </w:r>
      <w:r w:rsidRPr="006D6E05">
        <w:rPr>
          <w:rFonts w:ascii="Times New Roman" w:hAnsi="Times New Roman"/>
          <w:sz w:val="22"/>
          <w:lang w:val="es-AR"/>
        </w:rPr>
        <w:t xml:space="preserve"> El Emisor deberá contratar y mantener pagos todos los seguros que resulten pertinentes conforme a su actividad. (d) </w:t>
      </w:r>
      <w:r w:rsidRPr="006D6E05">
        <w:rPr>
          <w:rFonts w:ascii="Times New Roman" w:hAnsi="Times New Roman"/>
          <w:sz w:val="22"/>
          <w:u w:val="single"/>
          <w:lang w:val="es-AR"/>
        </w:rPr>
        <w:t>Mantenimiento de Libros y Registros:</w:t>
      </w:r>
      <w:r w:rsidRPr="006D6E05">
        <w:rPr>
          <w:rFonts w:ascii="Times New Roman" w:hAnsi="Times New Roman"/>
          <w:sz w:val="22"/>
          <w:lang w:val="es-AR"/>
        </w:rPr>
        <w:t xml:space="preserve"> El Emisor mantendrá sus libros y registros de conformidad con los principios contables generalmente aceptados en la Argentina. (e) </w:t>
      </w:r>
      <w:r w:rsidRPr="006D6E05">
        <w:rPr>
          <w:rFonts w:ascii="Times New Roman" w:hAnsi="Times New Roman"/>
          <w:sz w:val="22"/>
          <w:u w:val="single"/>
          <w:lang w:val="es-AR"/>
        </w:rPr>
        <w:t>Cumplimiento de Leyes y Contratos</w:t>
      </w:r>
      <w:r w:rsidRPr="006D6E05">
        <w:rPr>
          <w:rFonts w:ascii="Times New Roman" w:hAnsi="Times New Roman"/>
          <w:sz w:val="22"/>
          <w:lang w:val="es-AR"/>
        </w:rPr>
        <w:t>: El Emisor cumplirá con (</w:t>
      </w:r>
      <w:r w:rsidRPr="006D6E05">
        <w:rPr>
          <w:rFonts w:ascii="Times New Roman" w:hAnsi="Times New Roman"/>
          <w:i/>
          <w:sz w:val="22"/>
          <w:lang w:val="es-AR"/>
        </w:rPr>
        <w:t>i</w:t>
      </w:r>
      <w:r w:rsidRPr="006D6E05">
        <w:rPr>
          <w:rFonts w:ascii="Times New Roman" w:hAnsi="Times New Roman"/>
          <w:sz w:val="22"/>
          <w:lang w:val="es-AR"/>
        </w:rPr>
        <w:t>) todas las leyes, decretos, resoluciones y normas de la Argentina o de cualquier órgano gubernamental o subdivisión política que posea jurisdicción sobre el Emisor, y (</w:t>
      </w:r>
      <w:r w:rsidRPr="006D6E05">
        <w:rPr>
          <w:rFonts w:ascii="Times New Roman" w:hAnsi="Times New Roman"/>
          <w:i/>
          <w:sz w:val="22"/>
          <w:lang w:val="es-AR"/>
        </w:rPr>
        <w:t>ii</w:t>
      </w:r>
      <w:r w:rsidRPr="006D6E05">
        <w:rPr>
          <w:rFonts w:ascii="Times New Roman" w:hAnsi="Times New Roman"/>
          <w:sz w:val="22"/>
          <w:lang w:val="es-AR"/>
        </w:rPr>
        <w:t xml:space="preserve">) todos los compromisos y demás obligaciones contenidas en contratos significativos respecto de los cuales el Emisor sea parte, excepto cuando el incumplimiento no pudiera razonablemente tener un efecto significativamente adverso sobre las operaciones, actividades o situación (financiera o económica) </w:t>
      </w:r>
      <w:r w:rsidR="003A7E00" w:rsidRPr="006D6E05">
        <w:rPr>
          <w:rFonts w:ascii="Times New Roman" w:hAnsi="Times New Roman"/>
          <w:sz w:val="22"/>
          <w:lang w:val="es-AR"/>
        </w:rPr>
        <w:t>del</w:t>
      </w:r>
      <w:r w:rsidRPr="006D6E05">
        <w:rPr>
          <w:rFonts w:ascii="Times New Roman" w:hAnsi="Times New Roman"/>
          <w:sz w:val="22"/>
          <w:lang w:val="es-AR"/>
        </w:rPr>
        <w:t xml:space="preserve"> Emisor. </w:t>
      </w:r>
    </w:p>
    <w:p w:rsidR="00AA71E9" w:rsidRPr="000D1BAC" w:rsidRDefault="00AA71E9" w:rsidP="00117B18">
      <w:pPr>
        <w:jc w:val="both"/>
        <w:rPr>
          <w:b/>
          <w:sz w:val="22"/>
        </w:rPr>
      </w:pPr>
    </w:p>
    <w:p w:rsidR="00965A08" w:rsidRPr="000D1BAC" w:rsidRDefault="00AA71E9" w:rsidP="00117B18">
      <w:pPr>
        <w:jc w:val="both"/>
        <w:rPr>
          <w:sz w:val="22"/>
        </w:rPr>
      </w:pPr>
      <w:r w:rsidRPr="000D1BAC">
        <w:rPr>
          <w:b/>
          <w:sz w:val="22"/>
        </w:rPr>
        <w:t>20</w:t>
      </w:r>
      <w:r w:rsidR="00965A08" w:rsidRPr="000D1BAC">
        <w:rPr>
          <w:b/>
          <w:sz w:val="22"/>
        </w:rPr>
        <w:t xml:space="preserve">.- </w:t>
      </w:r>
      <w:r w:rsidR="00965A08" w:rsidRPr="000D1BAC">
        <w:rPr>
          <w:b/>
          <w:sz w:val="22"/>
          <w:u w:val="single"/>
        </w:rPr>
        <w:t>Avisos:</w:t>
      </w:r>
      <w:r w:rsidR="00965A08" w:rsidRPr="000D1BAC">
        <w:rPr>
          <w:sz w:val="22"/>
        </w:rPr>
        <w:t xml:space="preserve"> Salvo que en las condiciones de emisión de una Serie se dispusiera de otro modo, todos los avisos relacionados con las ON deberán cursarse mediante publicación por un día en l</w:t>
      </w:r>
      <w:r w:rsidR="006106DB" w:rsidRPr="000D1BAC">
        <w:rPr>
          <w:sz w:val="22"/>
        </w:rPr>
        <w:t>os sistemas de información de los mercados donde las ON</w:t>
      </w:r>
      <w:r w:rsidR="00965A08" w:rsidRPr="000D1BAC">
        <w:rPr>
          <w:sz w:val="22"/>
        </w:rPr>
        <w:t xml:space="preserve"> se listen</w:t>
      </w:r>
      <w:r w:rsidR="001F3350" w:rsidRPr="000D1BAC">
        <w:rPr>
          <w:sz w:val="22"/>
        </w:rPr>
        <w:t>,</w:t>
      </w:r>
      <w:r w:rsidR="00965A08" w:rsidRPr="000D1BAC">
        <w:rPr>
          <w:sz w:val="22"/>
        </w:rPr>
        <w:t xml:space="preserve"> en la Autopista de la Información Financiera de la CNV (</w:t>
      </w:r>
      <w:hyperlink r:id="rId15" w:history="1">
        <w:r w:rsidR="00965A08" w:rsidRPr="000D1BAC">
          <w:rPr>
            <w:rStyle w:val="Hipervnculo"/>
            <w:sz w:val="22"/>
          </w:rPr>
          <w:t>www.cnv.gob.ar</w:t>
        </w:r>
      </w:hyperlink>
      <w:r w:rsidR="00965A08" w:rsidRPr="000D1BAC">
        <w:rPr>
          <w:sz w:val="22"/>
        </w:rPr>
        <w:t>) (“AIF”)</w:t>
      </w:r>
      <w:r w:rsidR="001F3350" w:rsidRPr="000D1BAC">
        <w:rPr>
          <w:sz w:val="22"/>
        </w:rPr>
        <w:t xml:space="preserve"> y en el sitio web del </w:t>
      </w:r>
      <w:r w:rsidR="000E0A0A" w:rsidRPr="000D1BAC">
        <w:rPr>
          <w:sz w:val="22"/>
        </w:rPr>
        <w:t>E</w:t>
      </w:r>
      <w:r w:rsidR="001F3350" w:rsidRPr="000D1BAC">
        <w:rPr>
          <w:sz w:val="22"/>
        </w:rPr>
        <w:t>misor</w:t>
      </w:r>
      <w:r w:rsidR="00965A08" w:rsidRPr="000D1BAC">
        <w:rPr>
          <w:sz w:val="22"/>
        </w:rPr>
        <w:t xml:space="preserve">. </w:t>
      </w:r>
    </w:p>
    <w:p w:rsidR="00AA71E9" w:rsidRPr="000D1BAC" w:rsidRDefault="00AA71E9" w:rsidP="00117B18">
      <w:pPr>
        <w:jc w:val="both"/>
        <w:rPr>
          <w:b/>
          <w:color w:val="000000"/>
          <w:sz w:val="22"/>
        </w:rPr>
      </w:pPr>
    </w:p>
    <w:p w:rsidR="00AA71E9" w:rsidRPr="000D1BAC" w:rsidRDefault="00965A08" w:rsidP="00117B18">
      <w:pPr>
        <w:jc w:val="both"/>
        <w:rPr>
          <w:color w:val="000000"/>
          <w:sz w:val="22"/>
          <w:u w:val="single"/>
        </w:rPr>
      </w:pPr>
      <w:r w:rsidRPr="000D1BAC">
        <w:rPr>
          <w:b/>
          <w:color w:val="000000"/>
          <w:sz w:val="22"/>
        </w:rPr>
        <w:t>2</w:t>
      </w:r>
      <w:r w:rsidR="00AA71E9" w:rsidRPr="000D1BAC">
        <w:rPr>
          <w:b/>
          <w:color w:val="000000"/>
          <w:sz w:val="22"/>
        </w:rPr>
        <w:t>1</w:t>
      </w:r>
      <w:r w:rsidRPr="000D1BAC">
        <w:rPr>
          <w:b/>
          <w:color w:val="000000"/>
          <w:sz w:val="22"/>
        </w:rPr>
        <w:t xml:space="preserve">.- </w:t>
      </w:r>
      <w:r w:rsidRPr="000D1BAC">
        <w:rPr>
          <w:b/>
          <w:color w:val="000000"/>
          <w:sz w:val="22"/>
          <w:u w:val="single"/>
        </w:rPr>
        <w:t>Asamblea de Obligacionistas</w:t>
      </w:r>
      <w:r w:rsidRPr="000D1BAC">
        <w:rPr>
          <w:b/>
          <w:color w:val="000000"/>
          <w:sz w:val="22"/>
        </w:rPr>
        <w:t xml:space="preserve">: </w:t>
      </w:r>
      <w:r w:rsidR="00AA71E9" w:rsidRPr="000D1BAC">
        <w:rPr>
          <w:color w:val="000000"/>
          <w:sz w:val="22"/>
        </w:rPr>
        <w:t>La convocatoria y celebración de las asambleas de obligacionistas se regirán por lo dispuesto en el artículo 14 y concordantes de la Ley Nº 23.576. También serán de aplicación las disposiciones del Art. 237 de la Ley Nº 19.550, los Arts. 354 y 355 de la Ley Nº 19.550 en función de la aplicación del Art. 14 de la Ley Nº 23.576 con las especificaciones que se determinen para cada Serie y/o Clase.</w:t>
      </w:r>
    </w:p>
    <w:p w:rsidR="00965A08" w:rsidRPr="000D1BAC" w:rsidRDefault="00965A08" w:rsidP="00117B18">
      <w:pPr>
        <w:jc w:val="both"/>
        <w:rPr>
          <w:sz w:val="22"/>
        </w:rPr>
      </w:pPr>
    </w:p>
    <w:p w:rsidR="00965A08" w:rsidRPr="000D1BAC" w:rsidRDefault="00965A08" w:rsidP="00117B18">
      <w:pPr>
        <w:jc w:val="both"/>
        <w:rPr>
          <w:sz w:val="22"/>
          <w:szCs w:val="22"/>
        </w:rPr>
      </w:pPr>
      <w:r w:rsidRPr="000D1BAC">
        <w:rPr>
          <w:b/>
          <w:bCs/>
          <w:spacing w:val="-2"/>
          <w:sz w:val="22"/>
          <w:szCs w:val="22"/>
        </w:rPr>
        <w:t>2</w:t>
      </w:r>
      <w:r w:rsidR="00AA71E9" w:rsidRPr="000D1BAC">
        <w:rPr>
          <w:b/>
          <w:bCs/>
          <w:spacing w:val="-2"/>
          <w:sz w:val="22"/>
          <w:szCs w:val="22"/>
        </w:rPr>
        <w:t>2</w:t>
      </w:r>
      <w:r w:rsidRPr="000D1BAC">
        <w:rPr>
          <w:b/>
          <w:bCs/>
          <w:spacing w:val="-2"/>
          <w:sz w:val="22"/>
          <w:szCs w:val="22"/>
        </w:rPr>
        <w:t xml:space="preserve">.- </w:t>
      </w:r>
      <w:r w:rsidRPr="000D1BAC">
        <w:rPr>
          <w:b/>
          <w:bCs/>
          <w:spacing w:val="-2"/>
          <w:sz w:val="22"/>
          <w:szCs w:val="22"/>
          <w:u w:val="single"/>
        </w:rPr>
        <w:t>Otras emisiones de Obligaciones Negociables:</w:t>
      </w:r>
      <w:r w:rsidRPr="000D1BAC">
        <w:rPr>
          <w:b/>
          <w:bCs/>
          <w:spacing w:val="-2"/>
          <w:sz w:val="22"/>
          <w:szCs w:val="22"/>
        </w:rPr>
        <w:t xml:space="preserve"> </w:t>
      </w:r>
      <w:r w:rsidRPr="000D1BAC">
        <w:rPr>
          <w:sz w:val="22"/>
          <w:szCs w:val="22"/>
        </w:rPr>
        <w:t>Salvo que en una Serie se especifique lo contrario, la Sociedad, sin el consentimiento de los Obligacionistas de Obligaciones Negociables emitidas bajo cualquier Serie y/o Clase en circulación, podrá en cualquier momento emitir nuevas Obligaciones Negociables que tengan términos y condiciones acordes a valores de mercado y sean similares a las Obligaciones Negociables de cualquier Serie y/o Clase en circulación.</w:t>
      </w:r>
    </w:p>
    <w:p w:rsidR="00AA71E9" w:rsidRPr="000D1BAC" w:rsidRDefault="00AA71E9" w:rsidP="00117B18">
      <w:pPr>
        <w:jc w:val="both"/>
        <w:rPr>
          <w:sz w:val="22"/>
          <w:szCs w:val="22"/>
        </w:rPr>
      </w:pPr>
    </w:p>
    <w:p w:rsidR="00965A08" w:rsidRPr="000D1BAC" w:rsidRDefault="00965A08" w:rsidP="00117B18">
      <w:pPr>
        <w:jc w:val="both"/>
        <w:rPr>
          <w:sz w:val="22"/>
        </w:rPr>
      </w:pPr>
      <w:r w:rsidRPr="000D1BAC">
        <w:rPr>
          <w:b/>
          <w:sz w:val="22"/>
        </w:rPr>
        <w:t>2</w:t>
      </w:r>
      <w:r w:rsidR="00AA71E9" w:rsidRPr="000D1BAC">
        <w:rPr>
          <w:b/>
          <w:sz w:val="22"/>
        </w:rPr>
        <w:t>3</w:t>
      </w:r>
      <w:r w:rsidRPr="000D1BAC">
        <w:rPr>
          <w:b/>
          <w:sz w:val="22"/>
        </w:rPr>
        <w:t xml:space="preserve">.- </w:t>
      </w:r>
      <w:r w:rsidRPr="000D1BAC">
        <w:rPr>
          <w:b/>
          <w:sz w:val="22"/>
          <w:u w:val="single"/>
        </w:rPr>
        <w:t>Destino de los fondos:</w:t>
      </w:r>
      <w:r w:rsidRPr="000D1BAC">
        <w:rPr>
          <w:sz w:val="22"/>
        </w:rPr>
        <w:t xml:space="preserve"> Los fondos obtenidos por la colocación de las ON podrán tener cualquiera de </w:t>
      </w:r>
      <w:r w:rsidR="00223F3B" w:rsidRPr="000D1BAC">
        <w:rPr>
          <w:sz w:val="22"/>
        </w:rPr>
        <w:t>los destinos</w:t>
      </w:r>
      <w:r w:rsidRPr="000D1BAC">
        <w:rPr>
          <w:sz w:val="22"/>
        </w:rPr>
        <w:t xml:space="preserve"> indicados en el artículo 36 de la ley N° 23.576.</w:t>
      </w:r>
    </w:p>
    <w:p w:rsidR="00AA71E9" w:rsidRPr="000D1BAC" w:rsidRDefault="00AA71E9" w:rsidP="00117B18">
      <w:pPr>
        <w:jc w:val="both"/>
        <w:rPr>
          <w:sz w:val="22"/>
        </w:rPr>
      </w:pPr>
    </w:p>
    <w:p w:rsidR="00965A08" w:rsidRPr="000D1BAC" w:rsidRDefault="00965A08" w:rsidP="00117B18">
      <w:pPr>
        <w:pStyle w:val="Sangradetextonormal"/>
        <w:ind w:firstLine="0"/>
        <w:rPr>
          <w:sz w:val="22"/>
        </w:rPr>
      </w:pPr>
      <w:r w:rsidRPr="000D1BAC">
        <w:rPr>
          <w:b/>
          <w:sz w:val="22"/>
        </w:rPr>
        <w:t>2</w:t>
      </w:r>
      <w:r w:rsidR="00AA71E9" w:rsidRPr="000D1BAC">
        <w:rPr>
          <w:b/>
          <w:sz w:val="22"/>
        </w:rPr>
        <w:t>4</w:t>
      </w:r>
      <w:r w:rsidRPr="000D1BAC">
        <w:rPr>
          <w:b/>
          <w:sz w:val="22"/>
        </w:rPr>
        <w:t xml:space="preserve">- </w:t>
      </w:r>
      <w:r w:rsidRPr="000D1BAC">
        <w:rPr>
          <w:b/>
          <w:sz w:val="22"/>
          <w:u w:val="single"/>
        </w:rPr>
        <w:t>Resolución de conflictos por el Tribunal Arbitral:</w:t>
      </w:r>
      <w:r w:rsidRPr="000D1BAC">
        <w:rPr>
          <w:sz w:val="22"/>
        </w:rPr>
        <w:t xml:space="preserve"> Todo conflicto que se suscite entre los obligacionistas y el Emisor y/o el Organizador y/o el Agente Colocador relativo al Programa Global, el presente Prospecto, los Suplementos de Prospecto bajo el Programa, las condiciones de emisión de una Serie y/o Clase de ON, su suscripción, y todos los actos y documentos relacionados, será resuelto de conformidad con lo dispuesto por el artículo 46 de la Ley 26.831.</w:t>
      </w:r>
      <w:r w:rsidRPr="000D1BAC" w:rsidDel="00E830AE">
        <w:rPr>
          <w:sz w:val="22"/>
        </w:rPr>
        <w:t xml:space="preserve"> </w:t>
      </w:r>
    </w:p>
    <w:p w:rsidR="00965A08" w:rsidRPr="006D6E05" w:rsidRDefault="00965A08">
      <w:pPr>
        <w:jc w:val="center"/>
        <w:outlineLvl w:val="0"/>
        <w:rPr>
          <w:b/>
          <w:sz w:val="22"/>
          <w:u w:val="single"/>
        </w:rPr>
      </w:pPr>
    </w:p>
    <w:p w:rsidR="00965A08" w:rsidRPr="006D6E05" w:rsidRDefault="00965A08" w:rsidP="00D639C6">
      <w:pPr>
        <w:numPr>
          <w:ilvl w:val="0"/>
          <w:numId w:val="21"/>
        </w:numPr>
        <w:jc w:val="center"/>
        <w:outlineLvl w:val="0"/>
        <w:rPr>
          <w:b/>
          <w:sz w:val="22"/>
          <w:u w:val="single"/>
        </w:rPr>
      </w:pPr>
      <w:r w:rsidRPr="006D6E05">
        <w:rPr>
          <w:b/>
          <w:sz w:val="22"/>
          <w:u w:val="single"/>
        </w:rPr>
        <w:t>LAS ON COMO TÍTULOS EJECUTIVOS. LEGITIMACION PROCESAL</w:t>
      </w:r>
    </w:p>
    <w:p w:rsidR="00965A08" w:rsidRPr="006D6E05" w:rsidRDefault="00965A08">
      <w:pPr>
        <w:jc w:val="both"/>
        <w:rPr>
          <w:sz w:val="22"/>
        </w:rPr>
      </w:pPr>
    </w:p>
    <w:p w:rsidR="00965A08" w:rsidRPr="006D6E05" w:rsidRDefault="00965A08" w:rsidP="00AA2865">
      <w:pPr>
        <w:jc w:val="both"/>
        <w:rPr>
          <w:sz w:val="22"/>
          <w:szCs w:val="20"/>
        </w:rPr>
      </w:pPr>
      <w:r w:rsidRPr="006D6E05">
        <w:rPr>
          <w:sz w:val="22"/>
          <w:szCs w:val="20"/>
        </w:rPr>
        <w:t>Conforme a las disposiciones de la Ley de Obligaciones Negociables las ON son títulos ejecutivos.</w:t>
      </w:r>
    </w:p>
    <w:p w:rsidR="00965A08" w:rsidRPr="006D6E05" w:rsidRDefault="00965A08" w:rsidP="008B0A1E">
      <w:pPr>
        <w:jc w:val="both"/>
        <w:rPr>
          <w:sz w:val="16"/>
          <w:szCs w:val="16"/>
        </w:rPr>
      </w:pPr>
    </w:p>
    <w:p w:rsidR="00965A08" w:rsidRPr="006D6E05" w:rsidRDefault="00965A08" w:rsidP="008B0A1E">
      <w:pPr>
        <w:jc w:val="both"/>
        <w:rPr>
          <w:sz w:val="22"/>
          <w:szCs w:val="22"/>
        </w:rPr>
      </w:pPr>
      <w:r w:rsidRPr="006D6E05">
        <w:rPr>
          <w:sz w:val="22"/>
          <w:szCs w:val="22"/>
        </w:rPr>
        <w:t>A efectos de la legitimación procesal cuando las ON sean emitidas bajo la forma escritural o estén documentadas en certificados globales, será de aplicación lo dispuesto en el artículo</w:t>
      </w:r>
      <w:r w:rsidRPr="006D6E05">
        <w:rPr>
          <w:rStyle w:val="msoins0"/>
          <w:sz w:val="22"/>
          <w:szCs w:val="22"/>
        </w:rPr>
        <w:t xml:space="preserve"> 131 de la ley 26.831</w:t>
      </w:r>
      <w:r w:rsidRPr="006D6E05">
        <w:rPr>
          <w:sz w:val="22"/>
          <w:szCs w:val="22"/>
        </w:rPr>
        <w:t>, el cual establece:</w:t>
      </w:r>
    </w:p>
    <w:p w:rsidR="00965A08" w:rsidRPr="006D6E05" w:rsidRDefault="00965A08" w:rsidP="008B0A1E">
      <w:pPr>
        <w:jc w:val="both"/>
        <w:rPr>
          <w:sz w:val="16"/>
          <w:szCs w:val="16"/>
        </w:rPr>
      </w:pPr>
    </w:p>
    <w:p w:rsidR="00965A08" w:rsidRPr="006D6E05" w:rsidRDefault="00965A08" w:rsidP="008B0A1E">
      <w:pPr>
        <w:jc w:val="both"/>
        <w:rPr>
          <w:sz w:val="22"/>
          <w:szCs w:val="22"/>
        </w:rPr>
      </w:pPr>
      <w:r w:rsidRPr="006D6E05">
        <w:rPr>
          <w:rStyle w:val="msoins0"/>
          <w:sz w:val="22"/>
          <w:szCs w:val="22"/>
        </w:rPr>
        <w:t>“</w:t>
      </w:r>
      <w:r w:rsidRPr="006D6E05">
        <w:rPr>
          <w:rStyle w:val="msoins0"/>
          <w:i/>
          <w:iCs/>
          <w:sz w:val="22"/>
          <w:szCs w:val="22"/>
        </w:rPr>
        <w:t>Se podrán expedir comprobantes de los valores negociables representados en certificados globales a favor de las personas que tengan una participación en los mismos, a los efectos y con el alcance indicados en el inciso e) del artículo 129. El bloqueo de la cuenta sólo afectará a los valores negociables a los que refiera el comprobante. Los comprobantes serán emitidos por la entidad del país o del exterior que administre el sistema de depósito colectivo en el cual se encuentren inscriptos los certificados globales. Cuando entidades administradoras de sistemas de depósito colectivo tengan participaciones en certificados globales inscriptos en sistemas de depósito colectivo administrados por otra entidad, los comprobantes podrán ser emitidos directamente por las primeras. En caso de certificados globales de deuda el fiduciario, si lo hubiere, tendrá la legitimación del referido inciso e) con la mera acreditación de su designación.”</w:t>
      </w:r>
    </w:p>
    <w:p w:rsidR="00965A08" w:rsidRPr="006D6E05" w:rsidRDefault="00965A08" w:rsidP="008B0A1E">
      <w:pPr>
        <w:jc w:val="both"/>
        <w:rPr>
          <w:rStyle w:val="msoins0"/>
          <w:i/>
          <w:iCs/>
          <w:sz w:val="16"/>
          <w:szCs w:val="16"/>
        </w:rPr>
      </w:pPr>
    </w:p>
    <w:p w:rsidR="00965A08" w:rsidRPr="006D6E05" w:rsidRDefault="00965A08" w:rsidP="008B0A1E">
      <w:pPr>
        <w:jc w:val="both"/>
        <w:rPr>
          <w:rStyle w:val="msoins0"/>
          <w:i/>
          <w:iCs/>
          <w:sz w:val="22"/>
          <w:szCs w:val="22"/>
        </w:rPr>
      </w:pPr>
      <w:r w:rsidRPr="006D6E05">
        <w:rPr>
          <w:rStyle w:val="msoins0"/>
          <w:sz w:val="22"/>
          <w:szCs w:val="22"/>
        </w:rPr>
        <w:t>El artículo 129 inciso e) de la misma ley dispone: “</w:t>
      </w:r>
      <w:r w:rsidRPr="006D6E05">
        <w:rPr>
          <w:rStyle w:val="msoins0"/>
          <w:i/>
          <w:iCs/>
          <w:sz w:val="22"/>
          <w:szCs w:val="22"/>
        </w:rPr>
        <w:t>e) Se podrán expedir comprobantes del saldo de cuenta a efectos de legitimar al titular para reclamar judicialmente o ante jurisdicción arbitral en su caso, incluso mediante acción ejecutiva si correspondiere, presentar solicitudes de verificación de crédito o participar en procesos universales para lo que será suficiente título dicho comprobante, sin necesidad de autenticación u otro requisito. Su expedición importará el bloqueo de la cuenta respectiva, sólo para inscribir actos de disposición por su titular, por un plazo de treinta (30) días hábiles salvo que el titular devuelva el comprobante o dentro de dicho plazo se reciba una orden de prórroga del bloqueo del juez o Tribunal competente ante el cual el comprobante se hubiera hecho valer. Los comprobantes deberán mencionar estas circunstancias.”</w:t>
      </w:r>
    </w:p>
    <w:p w:rsidR="00965A08" w:rsidRPr="006D6E05" w:rsidRDefault="00965A08">
      <w:pPr>
        <w:pStyle w:val="Ttulo1"/>
        <w:tabs>
          <w:tab w:val="clear" w:pos="720"/>
        </w:tabs>
        <w:rPr>
          <w:rFonts w:eastAsia="Times New Roman"/>
          <w:sz w:val="22"/>
          <w:u w:val="single"/>
          <w:lang w:val="es-AR"/>
        </w:rPr>
      </w:pPr>
      <w:bookmarkStart w:id="15" w:name="_Toc477323978"/>
      <w:bookmarkStart w:id="16" w:name="_Toc514140297"/>
      <w:bookmarkStart w:id="17" w:name="_Toc515343381"/>
      <w:bookmarkEnd w:id="15"/>
    </w:p>
    <w:p w:rsidR="00965A08" w:rsidRPr="000D1BAC" w:rsidRDefault="00965A08" w:rsidP="00561C4D"/>
    <w:p w:rsidR="00965A08" w:rsidRPr="000D1BAC" w:rsidRDefault="00965A08" w:rsidP="00561C4D"/>
    <w:p w:rsidR="00965A08" w:rsidRPr="006D6E05" w:rsidRDefault="00965A08" w:rsidP="00D639C6">
      <w:pPr>
        <w:pStyle w:val="Ttulo1"/>
        <w:numPr>
          <w:ilvl w:val="0"/>
          <w:numId w:val="21"/>
        </w:numPr>
        <w:tabs>
          <w:tab w:val="clear" w:pos="720"/>
        </w:tabs>
        <w:ind w:left="0" w:firstLine="0"/>
        <w:rPr>
          <w:rFonts w:eastAsia="Times New Roman"/>
          <w:sz w:val="22"/>
          <w:u w:val="single"/>
          <w:lang w:val="es-AR"/>
        </w:rPr>
      </w:pPr>
      <w:r w:rsidRPr="006D6E05">
        <w:rPr>
          <w:rFonts w:eastAsia="Times New Roman"/>
          <w:sz w:val="22"/>
          <w:u w:val="single"/>
          <w:lang w:val="es-AR"/>
        </w:rPr>
        <w:t>EL EMISOR</w:t>
      </w:r>
      <w:bookmarkEnd w:id="16"/>
      <w:bookmarkEnd w:id="17"/>
    </w:p>
    <w:p w:rsidR="00965A08" w:rsidRPr="006D6E05" w:rsidRDefault="00965A08">
      <w:pPr>
        <w:jc w:val="both"/>
        <w:rPr>
          <w:sz w:val="22"/>
        </w:rPr>
      </w:pPr>
    </w:p>
    <w:p w:rsidR="00965A08" w:rsidRPr="006D6E05" w:rsidRDefault="00A679C8" w:rsidP="00846E63">
      <w:pPr>
        <w:jc w:val="both"/>
        <w:rPr>
          <w:sz w:val="22"/>
          <w:szCs w:val="22"/>
        </w:rPr>
      </w:pPr>
      <w:r w:rsidRPr="006D6E05">
        <w:rPr>
          <w:b/>
          <w:sz w:val="22"/>
        </w:rPr>
        <w:t>ACTUAL</w:t>
      </w:r>
      <w:r w:rsidR="00965A08" w:rsidRPr="006D6E05">
        <w:rPr>
          <w:b/>
          <w:sz w:val="22"/>
        </w:rPr>
        <w:t xml:space="preserve"> S.A. </w:t>
      </w:r>
      <w:r w:rsidR="00965A08" w:rsidRPr="006D6E05">
        <w:rPr>
          <w:sz w:val="22"/>
        </w:rPr>
        <w:t>fue f</w:t>
      </w:r>
      <w:r w:rsidR="00965A08" w:rsidRPr="006D6E05">
        <w:rPr>
          <w:sz w:val="22"/>
          <w:szCs w:val="22"/>
        </w:rPr>
        <w:t xml:space="preserve">undada en el año </w:t>
      </w:r>
      <w:r w:rsidRPr="006D6E05">
        <w:rPr>
          <w:sz w:val="22"/>
          <w:szCs w:val="22"/>
        </w:rPr>
        <w:t>1990</w:t>
      </w:r>
      <w:r w:rsidR="00965A08" w:rsidRPr="006D6E05">
        <w:rPr>
          <w:sz w:val="22"/>
          <w:szCs w:val="22"/>
        </w:rPr>
        <w:t xml:space="preserve">. Inscripta en </w:t>
      </w:r>
      <w:r w:rsidRPr="006D6E05">
        <w:rPr>
          <w:sz w:val="22"/>
          <w:szCs w:val="22"/>
        </w:rPr>
        <w:t>Registro Público de Comercio de la Provincia de Neuquén</w:t>
      </w:r>
      <w:r w:rsidR="00965A08" w:rsidRPr="006D6E05">
        <w:rPr>
          <w:sz w:val="22"/>
          <w:szCs w:val="22"/>
        </w:rPr>
        <w:t xml:space="preserve"> el </w:t>
      </w:r>
      <w:r w:rsidRPr="006D6E05">
        <w:rPr>
          <w:sz w:val="22"/>
          <w:szCs w:val="22"/>
        </w:rPr>
        <w:t>bajo el número 284, Folios 1203/1205, Tomo VII de Sociedades Anónimas, Año 1990</w:t>
      </w:r>
      <w:r w:rsidR="00965A08" w:rsidRPr="006D6E05">
        <w:rPr>
          <w:sz w:val="22"/>
          <w:szCs w:val="22"/>
        </w:rPr>
        <w:t>.</w:t>
      </w:r>
      <w:r w:rsidRPr="006D6E05">
        <w:rPr>
          <w:sz w:val="22"/>
          <w:szCs w:val="22"/>
        </w:rPr>
        <w:t xml:space="preserve"> </w:t>
      </w:r>
      <w:r w:rsidR="00965A08" w:rsidRPr="006D6E05">
        <w:rPr>
          <w:sz w:val="22"/>
          <w:szCs w:val="22"/>
        </w:rPr>
        <w:t xml:space="preserve">Actualmente con sede social </w:t>
      </w:r>
      <w:r w:rsidR="00E83D65" w:rsidRPr="006D6E05">
        <w:rPr>
          <w:sz w:val="22"/>
          <w:szCs w:val="22"/>
        </w:rPr>
        <w:t xml:space="preserve">en </w:t>
      </w:r>
      <w:r w:rsidRPr="000D1BAC">
        <w:rPr>
          <w:sz w:val="22"/>
          <w:szCs w:val="22"/>
        </w:rPr>
        <w:t xml:space="preserve">San Luis 357, Neuquén, Provincia de Neuquén, Teléfono/Fax: 0299-4430185. Correo electrónico: </w:t>
      </w:r>
      <w:hyperlink r:id="rId16" w:history="1">
        <w:r w:rsidR="0074145C" w:rsidRPr="006D6E05">
          <w:rPr>
            <w:rStyle w:val="Hipervnculo"/>
            <w:sz w:val="22"/>
            <w:szCs w:val="22"/>
          </w:rPr>
          <w:t>fmalara@actualnqn.com.ar</w:t>
        </w:r>
      </w:hyperlink>
      <w:r w:rsidRPr="006D6E05">
        <w:rPr>
          <w:sz w:val="22"/>
          <w:szCs w:val="22"/>
        </w:rPr>
        <w:t>.</w:t>
      </w:r>
      <w:r w:rsidRPr="000D1BAC">
        <w:rPr>
          <w:sz w:val="22"/>
          <w:szCs w:val="22"/>
        </w:rPr>
        <w:t xml:space="preserve"> </w:t>
      </w:r>
    </w:p>
    <w:p w:rsidR="00965A08" w:rsidRPr="006D6E05" w:rsidRDefault="00965A08" w:rsidP="00117B18">
      <w:pPr>
        <w:jc w:val="both"/>
        <w:rPr>
          <w:sz w:val="22"/>
          <w:szCs w:val="22"/>
        </w:rPr>
      </w:pPr>
    </w:p>
    <w:p w:rsidR="00965A08" w:rsidRPr="006D6E05" w:rsidRDefault="00965A08" w:rsidP="00117B18">
      <w:pPr>
        <w:jc w:val="both"/>
        <w:rPr>
          <w:sz w:val="22"/>
          <w:szCs w:val="22"/>
        </w:rPr>
      </w:pPr>
    </w:p>
    <w:p w:rsidR="00965A08" w:rsidRPr="006D6E05" w:rsidRDefault="00965A08" w:rsidP="00117B18">
      <w:pPr>
        <w:jc w:val="both"/>
        <w:rPr>
          <w:b/>
          <w:sz w:val="22"/>
          <w:szCs w:val="22"/>
        </w:rPr>
      </w:pPr>
      <w:r w:rsidRPr="006D6E05">
        <w:rPr>
          <w:b/>
          <w:sz w:val="22"/>
          <w:szCs w:val="22"/>
        </w:rPr>
        <w:t>HISTORIA</w:t>
      </w:r>
    </w:p>
    <w:p w:rsidR="00965A08" w:rsidRPr="006D6E05" w:rsidRDefault="00965A08" w:rsidP="00117B18">
      <w:pPr>
        <w:jc w:val="both"/>
        <w:rPr>
          <w:sz w:val="22"/>
          <w:szCs w:val="22"/>
        </w:rPr>
      </w:pPr>
    </w:p>
    <w:p w:rsidR="00A679C8" w:rsidRPr="000D1BAC" w:rsidRDefault="00A679C8" w:rsidP="00A679C8">
      <w:pPr>
        <w:jc w:val="both"/>
        <w:rPr>
          <w:bCs/>
          <w:sz w:val="22"/>
          <w:szCs w:val="22"/>
        </w:rPr>
      </w:pPr>
      <w:r w:rsidRPr="000D1BAC">
        <w:rPr>
          <w:bCs/>
          <w:sz w:val="22"/>
          <w:szCs w:val="22"/>
        </w:rPr>
        <w:t xml:space="preserve">Actual nace en Neuquén en noviembre de 1990 por iniciativa de un grupo de importantes comerciantes de la zona que se asocian con el objetivo de financiar parte de sus ventas. </w:t>
      </w:r>
    </w:p>
    <w:p w:rsidR="00A679C8" w:rsidRPr="000D1BAC" w:rsidRDefault="00A679C8" w:rsidP="00A679C8">
      <w:pPr>
        <w:jc w:val="both"/>
        <w:rPr>
          <w:bCs/>
          <w:sz w:val="22"/>
          <w:szCs w:val="22"/>
        </w:rPr>
      </w:pPr>
    </w:p>
    <w:p w:rsidR="00A679C8" w:rsidRPr="000D1BAC" w:rsidRDefault="00A679C8" w:rsidP="00A679C8">
      <w:pPr>
        <w:jc w:val="both"/>
        <w:rPr>
          <w:bCs/>
          <w:sz w:val="22"/>
          <w:szCs w:val="22"/>
        </w:rPr>
      </w:pPr>
      <w:r w:rsidRPr="000D1BAC">
        <w:rPr>
          <w:bCs/>
          <w:sz w:val="22"/>
          <w:szCs w:val="22"/>
        </w:rPr>
        <w:t>La evolución que fue tomando la economía en la zona hizo que en el año 1996 iniciasen la operación como una tarjeta de crédito propietaria y en el año 2005 amplían el negocio por medio de un convenio celebrado con Cabal, por el cual sus usuarios pueden realizar compras en todos los comercios de la Red Cabal en Argentina, sin perder la identidad de marca propia.</w:t>
      </w:r>
    </w:p>
    <w:p w:rsidR="00A679C8" w:rsidRPr="000D1BAC" w:rsidRDefault="00A679C8" w:rsidP="00A679C8">
      <w:pPr>
        <w:jc w:val="both"/>
        <w:rPr>
          <w:bCs/>
          <w:sz w:val="22"/>
          <w:szCs w:val="22"/>
        </w:rPr>
      </w:pPr>
    </w:p>
    <w:p w:rsidR="00A679C8" w:rsidRPr="000D1BAC" w:rsidRDefault="00A679C8" w:rsidP="00A679C8">
      <w:pPr>
        <w:jc w:val="both"/>
        <w:rPr>
          <w:bCs/>
          <w:sz w:val="22"/>
          <w:szCs w:val="22"/>
        </w:rPr>
      </w:pPr>
      <w:r w:rsidRPr="000D1BAC">
        <w:rPr>
          <w:bCs/>
          <w:sz w:val="22"/>
          <w:szCs w:val="22"/>
        </w:rPr>
        <w:t xml:space="preserve">En el año 2006 los socios fundadores deciden la venta del paquete accionario de la compañía, siendo actualmente Grupo FIMAES S.A. y Grupo Cohen S.A. los nuevos accionistas mayoritarios. Durante el año 2007 Actual S.A. cambia totalmente el horizonte del negocio y encara un importante crecimiento en el marco de un consistente esfuerzo de toda la organización, con el fin de profundizar la relación con sus clientes, mejorando sustancialmente la calidad de servicio y la capacidad de respuesta a los cambios que fue experimentado el mercado. Tal lo mencionado, el accionista principal del Emisor es el Grupo Fimaes S.A., un grupo económico que detenta participaciones accionarias en un conjunto de empresas y unidades de negocios, unificados en el amplio universo de las finanzas y de los productos estructurados para el mercado de capitales. En su interior se distinguen, por un lado, un grupo de participaciones que se concretan en empresas cuyo eje central de actividad se orienta hacia la asesoría financiera, la organización, estructuración, administración y negociación de activos financieros, propios y de terceros; luego, un segundo conjunto de participaciones, en el cual se encuentra la Emisora, se despliega en empresas especializadas en la originación de activos propios, construidos tanto desde la esfera del consumo como de la inversión productiva. </w:t>
      </w:r>
    </w:p>
    <w:p w:rsidR="00A679C8" w:rsidRPr="000D1BAC" w:rsidRDefault="00A679C8" w:rsidP="00A679C8">
      <w:pPr>
        <w:jc w:val="both"/>
        <w:rPr>
          <w:bCs/>
          <w:sz w:val="22"/>
          <w:szCs w:val="22"/>
        </w:rPr>
      </w:pPr>
    </w:p>
    <w:p w:rsidR="00A679C8" w:rsidRPr="000D1BAC" w:rsidRDefault="00A679C8" w:rsidP="00A679C8">
      <w:pPr>
        <w:jc w:val="both"/>
        <w:rPr>
          <w:bCs/>
          <w:sz w:val="22"/>
          <w:szCs w:val="22"/>
        </w:rPr>
      </w:pPr>
      <w:r w:rsidRPr="000D1BAC">
        <w:rPr>
          <w:bCs/>
          <w:sz w:val="22"/>
          <w:szCs w:val="22"/>
        </w:rPr>
        <w:t xml:space="preserve">Cabe destacar dos hechos en la vida de la empresa que marcan esta nueva etapa. La apertura de sucursales y el cambio de imagen de la marca. </w:t>
      </w:r>
    </w:p>
    <w:p w:rsidR="00A679C8" w:rsidRPr="000D1BAC" w:rsidRDefault="00A679C8" w:rsidP="00A679C8">
      <w:pPr>
        <w:jc w:val="both"/>
        <w:rPr>
          <w:bCs/>
          <w:sz w:val="22"/>
          <w:szCs w:val="22"/>
        </w:rPr>
      </w:pPr>
    </w:p>
    <w:p w:rsidR="00A679C8" w:rsidRPr="000D1BAC" w:rsidRDefault="00A679C8" w:rsidP="00A679C8">
      <w:pPr>
        <w:jc w:val="both"/>
        <w:rPr>
          <w:bCs/>
          <w:sz w:val="22"/>
          <w:szCs w:val="22"/>
        </w:rPr>
      </w:pPr>
      <w:r w:rsidRPr="000D1BAC">
        <w:rPr>
          <w:bCs/>
          <w:sz w:val="22"/>
          <w:szCs w:val="22"/>
        </w:rPr>
        <w:t xml:space="preserve">Por último, cabe mencionar que adicional al negocio de tarjeta de créditos, desde hace seis años la Empresa brinda servicios de procesamiento al Banco de la Provincia del Neuquén S. A. de las distintas Tarjetas Sociales que operan en la Provincia (más de 70.000 tarjetas) y que durante el año 2007 comenzó a procesar una tarjeta de crédito localizada en la Provincia de Entre Ríos. Todas estas tareas son llevadas adelante como consecuencia de la capacidad de trabajo del importante centro de cómputos que cuenta la Sociedad y debido a que es propietaria de un Software para llevar adelante la operación. </w:t>
      </w:r>
    </w:p>
    <w:p w:rsidR="00A679C8" w:rsidRPr="000D1BAC" w:rsidRDefault="00A679C8" w:rsidP="00A679C8">
      <w:pPr>
        <w:jc w:val="both"/>
        <w:rPr>
          <w:bCs/>
          <w:sz w:val="22"/>
          <w:szCs w:val="22"/>
        </w:rPr>
      </w:pPr>
    </w:p>
    <w:p w:rsidR="00965A08" w:rsidRPr="006D6E05" w:rsidRDefault="00965A08" w:rsidP="00117B18">
      <w:pPr>
        <w:jc w:val="both"/>
        <w:rPr>
          <w:sz w:val="22"/>
          <w:szCs w:val="22"/>
        </w:rPr>
      </w:pPr>
    </w:p>
    <w:p w:rsidR="00E94093" w:rsidRPr="006D6E05" w:rsidRDefault="00965A08" w:rsidP="00117B18">
      <w:pPr>
        <w:jc w:val="both"/>
        <w:rPr>
          <w:b/>
          <w:sz w:val="22"/>
          <w:szCs w:val="22"/>
        </w:rPr>
      </w:pPr>
      <w:r w:rsidRPr="006D6E05">
        <w:rPr>
          <w:b/>
          <w:sz w:val="22"/>
          <w:szCs w:val="22"/>
        </w:rPr>
        <w:t>VISION</w:t>
      </w:r>
    </w:p>
    <w:p w:rsidR="00965A08" w:rsidRPr="006D6E05" w:rsidRDefault="00965A08" w:rsidP="00117B18">
      <w:pPr>
        <w:jc w:val="both"/>
        <w:rPr>
          <w:sz w:val="22"/>
          <w:szCs w:val="22"/>
        </w:rPr>
      </w:pPr>
    </w:p>
    <w:p w:rsidR="003048AD" w:rsidRPr="000D1BAC" w:rsidRDefault="003048AD" w:rsidP="003048AD">
      <w:pPr>
        <w:jc w:val="both"/>
        <w:rPr>
          <w:bCs/>
          <w:sz w:val="22"/>
          <w:szCs w:val="22"/>
        </w:rPr>
      </w:pPr>
      <w:r w:rsidRPr="000D1BAC">
        <w:rPr>
          <w:bCs/>
          <w:sz w:val="22"/>
          <w:szCs w:val="22"/>
        </w:rPr>
        <w:t xml:space="preserve">Ser considerados como una tarjeta local en las localidades donde Actual se encuentra instalado, sumándole además a los usuarios la posibilidad de utilizar la misma a nivel nacional, brindar a los clientes y comercios adheridos un modelo de gestión y servicios de alta calidad, capacitando constantemente a sus colaboradores para que alcancen un alto grado de profesionalidad, de manera tal de ayudarlos a crecer en lo personal y lograr junto a ellos los objetivos </w:t>
      </w:r>
    </w:p>
    <w:p w:rsidR="00965A08" w:rsidRPr="006D6E05" w:rsidRDefault="00965A08" w:rsidP="00117B18">
      <w:pPr>
        <w:jc w:val="both"/>
        <w:rPr>
          <w:sz w:val="22"/>
          <w:szCs w:val="22"/>
        </w:rPr>
      </w:pPr>
    </w:p>
    <w:p w:rsidR="00965A08" w:rsidRPr="006D6E05" w:rsidRDefault="00965A08" w:rsidP="00117B18">
      <w:pPr>
        <w:jc w:val="both"/>
        <w:rPr>
          <w:b/>
          <w:sz w:val="22"/>
          <w:szCs w:val="22"/>
        </w:rPr>
      </w:pPr>
      <w:r w:rsidRPr="006D6E05">
        <w:rPr>
          <w:b/>
          <w:sz w:val="22"/>
          <w:szCs w:val="22"/>
        </w:rPr>
        <w:t xml:space="preserve">MISION </w:t>
      </w:r>
    </w:p>
    <w:p w:rsidR="003048AD" w:rsidRPr="006D6E05" w:rsidRDefault="003048AD" w:rsidP="00117B18">
      <w:pPr>
        <w:jc w:val="both"/>
        <w:rPr>
          <w:b/>
          <w:sz w:val="22"/>
          <w:szCs w:val="22"/>
        </w:rPr>
      </w:pPr>
    </w:p>
    <w:p w:rsidR="003048AD" w:rsidRPr="006D6E05" w:rsidRDefault="00E94093" w:rsidP="003E6800">
      <w:pPr>
        <w:jc w:val="both"/>
        <w:rPr>
          <w:sz w:val="22"/>
          <w:szCs w:val="22"/>
        </w:rPr>
      </w:pPr>
      <w:r w:rsidRPr="000D1BAC">
        <w:rPr>
          <w:bCs/>
          <w:sz w:val="22"/>
          <w:szCs w:val="22"/>
        </w:rPr>
        <w:t>Tarjeta Actual busca permanentemente consolidar equipos de trabajo en cada sucursal, dándole a cada uno de sus colaboradores posibilidad de crecimiento, desarrollo y el merecido reconocimiento por sus tareas.</w:t>
      </w:r>
      <w:r w:rsidRPr="000D1BAC">
        <w:rPr>
          <w:bCs/>
          <w:sz w:val="22"/>
          <w:szCs w:val="22"/>
        </w:rPr>
        <w:br/>
      </w:r>
      <w:r w:rsidRPr="000D1BAC">
        <w:rPr>
          <w:bCs/>
          <w:sz w:val="22"/>
          <w:szCs w:val="22"/>
        </w:rPr>
        <w:br/>
        <w:t>Por otro lado, busca como parte esencial del negocio la vinculación con el comercio de la zona, escuchándolo, conociendo sus necesidades y armando planes a medida, todo esto como parte de la</w:t>
      </w:r>
      <w:r w:rsidRPr="000D1BAC">
        <w:rPr>
          <w:sz w:val="22"/>
          <w:szCs w:val="22"/>
        </w:rPr>
        <w:t xml:space="preserve"> actividad diaria.</w:t>
      </w:r>
      <w:r w:rsidRPr="000D1BAC">
        <w:rPr>
          <w:sz w:val="22"/>
          <w:szCs w:val="22"/>
        </w:rPr>
        <w:br/>
      </w:r>
      <w:r w:rsidRPr="000D1BAC">
        <w:rPr>
          <w:sz w:val="22"/>
          <w:szCs w:val="22"/>
        </w:rPr>
        <w:br/>
        <w:t xml:space="preserve">La mayor fortaleza de Tarjeta Actual es la de su esencia, traducida en la sencillez de una filosofía que tiene como prioridad la atención </w:t>
      </w:r>
      <w:r w:rsidR="00B95A07" w:rsidRPr="000D1BAC">
        <w:rPr>
          <w:sz w:val="22"/>
          <w:szCs w:val="22"/>
        </w:rPr>
        <w:t>cálida</w:t>
      </w:r>
      <w:r w:rsidRPr="000D1BAC">
        <w:rPr>
          <w:sz w:val="22"/>
          <w:szCs w:val="22"/>
        </w:rPr>
        <w:t xml:space="preserve"> y personalizada, la preocupación por el bienestar de la gente y el crecimiento en cada región. Esto significa entender y responder, ante todo, a las necesidades propias de cada zona, tanto en función de los usuarios de tarjeta y de los propios colaboradores, como de los comercios y empresas que forman parte de su sistema.</w:t>
      </w:r>
    </w:p>
    <w:p w:rsidR="00965A08" w:rsidRPr="006D6E05" w:rsidRDefault="00965A08" w:rsidP="00117B18">
      <w:pPr>
        <w:jc w:val="both"/>
        <w:rPr>
          <w:sz w:val="22"/>
          <w:szCs w:val="22"/>
        </w:rPr>
      </w:pPr>
    </w:p>
    <w:p w:rsidR="00965A08" w:rsidRPr="006D6E05" w:rsidRDefault="00965A08" w:rsidP="00117B18">
      <w:pPr>
        <w:jc w:val="both"/>
        <w:rPr>
          <w:sz w:val="22"/>
          <w:szCs w:val="22"/>
        </w:rPr>
      </w:pPr>
    </w:p>
    <w:p w:rsidR="00965A08" w:rsidRPr="006D6E05" w:rsidRDefault="00965A08" w:rsidP="00117B18">
      <w:pPr>
        <w:jc w:val="both"/>
        <w:rPr>
          <w:b/>
          <w:sz w:val="22"/>
          <w:szCs w:val="22"/>
        </w:rPr>
      </w:pPr>
      <w:r w:rsidRPr="006D6E05">
        <w:rPr>
          <w:b/>
          <w:sz w:val="22"/>
          <w:szCs w:val="22"/>
        </w:rPr>
        <w:t>ACCIONISTAS</w:t>
      </w:r>
    </w:p>
    <w:p w:rsidR="00965A08" w:rsidRPr="006D6E05" w:rsidRDefault="00965A08" w:rsidP="00117B18">
      <w:pPr>
        <w:jc w:val="both"/>
        <w:rPr>
          <w:sz w:val="22"/>
          <w:szCs w:val="22"/>
        </w:rPr>
      </w:pPr>
    </w:p>
    <w:p w:rsidR="00965A08" w:rsidRPr="006D6E05" w:rsidRDefault="00965A08" w:rsidP="00117B18">
      <w:pPr>
        <w:jc w:val="both"/>
        <w:rPr>
          <w:sz w:val="22"/>
          <w:szCs w:val="22"/>
        </w:rPr>
      </w:pPr>
      <w:r w:rsidRPr="006D6E05">
        <w:rPr>
          <w:sz w:val="22"/>
          <w:szCs w:val="22"/>
        </w:rPr>
        <w:t xml:space="preserve">La composición accionaría actual de </w:t>
      </w:r>
      <w:r w:rsidR="003048AD" w:rsidRPr="006D6E05">
        <w:rPr>
          <w:sz w:val="22"/>
          <w:szCs w:val="22"/>
        </w:rPr>
        <w:t xml:space="preserve">ACTUAL </w:t>
      </w:r>
      <w:r w:rsidRPr="006D6E05">
        <w:rPr>
          <w:sz w:val="22"/>
          <w:szCs w:val="22"/>
        </w:rPr>
        <w:t xml:space="preserve">S.A., es la siguiente: </w:t>
      </w:r>
    </w:p>
    <w:p w:rsidR="003048AD" w:rsidRPr="006D6E05" w:rsidRDefault="003048AD" w:rsidP="00117B18">
      <w:pPr>
        <w:jc w:val="both"/>
        <w:rPr>
          <w:sz w:val="22"/>
          <w:szCs w:val="22"/>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417"/>
        <w:gridCol w:w="2127"/>
        <w:gridCol w:w="1842"/>
      </w:tblGrid>
      <w:tr w:rsidR="003048AD" w:rsidRPr="000D1BAC" w:rsidTr="006D6E05">
        <w:trPr>
          <w:trHeight w:val="458"/>
        </w:trPr>
        <w:tc>
          <w:tcPr>
            <w:tcW w:w="2552" w:type="dxa"/>
            <w:shd w:val="clear" w:color="auto" w:fill="95B3D7" w:themeFill="accent1" w:themeFillTint="99"/>
            <w:vAlign w:val="center"/>
            <w:hideMark/>
          </w:tcPr>
          <w:p w:rsidR="003048AD" w:rsidRPr="006D6E05" w:rsidRDefault="003048AD" w:rsidP="003048AD">
            <w:pPr>
              <w:spacing w:line="260" w:lineRule="exact"/>
              <w:jc w:val="center"/>
              <w:rPr>
                <w:b/>
                <w:bCs/>
                <w:i/>
                <w:iCs/>
                <w:sz w:val="20"/>
                <w:szCs w:val="20"/>
              </w:rPr>
            </w:pPr>
            <w:r w:rsidRPr="006D6E05">
              <w:rPr>
                <w:b/>
                <w:bCs/>
                <w:sz w:val="20"/>
                <w:szCs w:val="20"/>
              </w:rPr>
              <w:t>NOMBRE - TITULAR</w:t>
            </w:r>
          </w:p>
        </w:tc>
        <w:tc>
          <w:tcPr>
            <w:tcW w:w="1417" w:type="dxa"/>
            <w:shd w:val="clear" w:color="auto" w:fill="95B3D7" w:themeFill="accent1" w:themeFillTint="99"/>
            <w:vAlign w:val="center"/>
            <w:hideMark/>
          </w:tcPr>
          <w:p w:rsidR="003048AD" w:rsidRPr="006D6E05" w:rsidRDefault="003048AD" w:rsidP="003048AD">
            <w:pPr>
              <w:spacing w:line="260" w:lineRule="exact"/>
              <w:jc w:val="center"/>
              <w:rPr>
                <w:b/>
                <w:bCs/>
                <w:i/>
                <w:iCs/>
                <w:sz w:val="20"/>
                <w:szCs w:val="20"/>
              </w:rPr>
            </w:pPr>
            <w:r w:rsidRPr="006D6E05">
              <w:rPr>
                <w:b/>
                <w:bCs/>
                <w:sz w:val="20"/>
                <w:szCs w:val="20"/>
              </w:rPr>
              <w:t>CANTIDAD ACCIONES</w:t>
            </w:r>
          </w:p>
        </w:tc>
        <w:tc>
          <w:tcPr>
            <w:tcW w:w="2127" w:type="dxa"/>
            <w:shd w:val="clear" w:color="auto" w:fill="95B3D7" w:themeFill="accent1" w:themeFillTint="99"/>
            <w:vAlign w:val="center"/>
            <w:hideMark/>
          </w:tcPr>
          <w:p w:rsidR="003048AD" w:rsidRPr="006D6E05" w:rsidRDefault="003048AD" w:rsidP="003048AD">
            <w:pPr>
              <w:spacing w:line="260" w:lineRule="exact"/>
              <w:jc w:val="center"/>
              <w:rPr>
                <w:b/>
                <w:bCs/>
                <w:i/>
                <w:iCs/>
                <w:sz w:val="20"/>
                <w:szCs w:val="20"/>
              </w:rPr>
            </w:pPr>
            <w:r w:rsidRPr="006D6E05">
              <w:rPr>
                <w:b/>
                <w:bCs/>
                <w:sz w:val="20"/>
                <w:szCs w:val="20"/>
              </w:rPr>
              <w:t>% PARTICIPACION</w:t>
            </w:r>
          </w:p>
        </w:tc>
        <w:tc>
          <w:tcPr>
            <w:tcW w:w="1842" w:type="dxa"/>
            <w:shd w:val="clear" w:color="auto" w:fill="95B3D7" w:themeFill="accent1" w:themeFillTint="99"/>
            <w:vAlign w:val="center"/>
            <w:hideMark/>
          </w:tcPr>
          <w:p w:rsidR="003048AD" w:rsidRPr="006D6E05" w:rsidRDefault="003048AD" w:rsidP="003048AD">
            <w:pPr>
              <w:spacing w:line="260" w:lineRule="exact"/>
              <w:jc w:val="center"/>
              <w:rPr>
                <w:b/>
                <w:bCs/>
                <w:i/>
                <w:iCs/>
                <w:sz w:val="20"/>
                <w:szCs w:val="20"/>
              </w:rPr>
            </w:pPr>
            <w:r w:rsidRPr="006D6E05">
              <w:rPr>
                <w:b/>
                <w:bCs/>
                <w:sz w:val="20"/>
                <w:szCs w:val="20"/>
              </w:rPr>
              <w:t>CUIT</w:t>
            </w:r>
          </w:p>
        </w:tc>
      </w:tr>
      <w:tr w:rsidR="003048AD" w:rsidRPr="000D1BAC" w:rsidTr="006D6E05">
        <w:trPr>
          <w:trHeight w:val="259"/>
        </w:trPr>
        <w:tc>
          <w:tcPr>
            <w:tcW w:w="2552" w:type="dxa"/>
            <w:noWrap/>
            <w:vAlign w:val="center"/>
            <w:hideMark/>
          </w:tcPr>
          <w:p w:rsidR="003048AD" w:rsidRPr="006D6E05" w:rsidRDefault="003048AD" w:rsidP="003048AD">
            <w:pPr>
              <w:spacing w:line="260" w:lineRule="exact"/>
              <w:rPr>
                <w:sz w:val="20"/>
                <w:szCs w:val="20"/>
              </w:rPr>
            </w:pPr>
            <w:r w:rsidRPr="006D6E05">
              <w:rPr>
                <w:sz w:val="20"/>
                <w:szCs w:val="20"/>
              </w:rPr>
              <w:t>ADMISTRADOR FIDUCIARIO S.A.</w:t>
            </w:r>
          </w:p>
        </w:tc>
        <w:tc>
          <w:tcPr>
            <w:tcW w:w="1417" w:type="dxa"/>
            <w:noWrap/>
            <w:vAlign w:val="center"/>
            <w:hideMark/>
          </w:tcPr>
          <w:p w:rsidR="003048AD" w:rsidRPr="006D6E05" w:rsidRDefault="003048AD" w:rsidP="003048AD">
            <w:pPr>
              <w:spacing w:line="260" w:lineRule="exact"/>
              <w:jc w:val="right"/>
              <w:rPr>
                <w:sz w:val="20"/>
                <w:szCs w:val="20"/>
              </w:rPr>
            </w:pPr>
            <w:r w:rsidRPr="006D6E05">
              <w:rPr>
                <w:sz w:val="20"/>
                <w:szCs w:val="20"/>
              </w:rPr>
              <w:t>16.920,00</w:t>
            </w:r>
          </w:p>
        </w:tc>
        <w:tc>
          <w:tcPr>
            <w:tcW w:w="2127" w:type="dxa"/>
            <w:noWrap/>
            <w:vAlign w:val="center"/>
            <w:hideMark/>
          </w:tcPr>
          <w:p w:rsidR="003048AD" w:rsidRPr="006D6E05" w:rsidRDefault="003048AD" w:rsidP="003048AD">
            <w:pPr>
              <w:spacing w:line="260" w:lineRule="exact"/>
              <w:jc w:val="right"/>
              <w:rPr>
                <w:sz w:val="20"/>
                <w:szCs w:val="20"/>
              </w:rPr>
            </w:pPr>
            <w:r w:rsidRPr="006D6E05">
              <w:rPr>
                <w:sz w:val="20"/>
                <w:szCs w:val="20"/>
              </w:rPr>
              <w:t>14,10%</w:t>
            </w:r>
          </w:p>
        </w:tc>
        <w:tc>
          <w:tcPr>
            <w:tcW w:w="1842" w:type="dxa"/>
            <w:noWrap/>
            <w:vAlign w:val="center"/>
            <w:hideMark/>
          </w:tcPr>
          <w:p w:rsidR="003048AD" w:rsidRPr="006D6E05" w:rsidRDefault="003048AD" w:rsidP="003048AD">
            <w:pPr>
              <w:spacing w:line="260" w:lineRule="exact"/>
              <w:jc w:val="center"/>
              <w:rPr>
                <w:sz w:val="20"/>
                <w:szCs w:val="20"/>
              </w:rPr>
            </w:pPr>
            <w:r w:rsidRPr="006D6E05">
              <w:rPr>
                <w:sz w:val="20"/>
                <w:szCs w:val="20"/>
              </w:rPr>
              <w:t>33-70881151-9</w:t>
            </w:r>
          </w:p>
        </w:tc>
      </w:tr>
      <w:tr w:rsidR="003048AD" w:rsidRPr="000D1BAC" w:rsidTr="006D6E05">
        <w:trPr>
          <w:trHeight w:val="259"/>
        </w:trPr>
        <w:tc>
          <w:tcPr>
            <w:tcW w:w="2552" w:type="dxa"/>
            <w:noWrap/>
            <w:vAlign w:val="center"/>
            <w:hideMark/>
          </w:tcPr>
          <w:p w:rsidR="003048AD" w:rsidRPr="006D6E05" w:rsidRDefault="003048AD" w:rsidP="003048AD">
            <w:pPr>
              <w:spacing w:line="260" w:lineRule="exact"/>
              <w:rPr>
                <w:sz w:val="20"/>
                <w:szCs w:val="20"/>
              </w:rPr>
            </w:pPr>
            <w:r w:rsidRPr="006D6E05">
              <w:rPr>
                <w:sz w:val="20"/>
                <w:szCs w:val="20"/>
              </w:rPr>
              <w:t>JUAN CARLOS STORANI</w:t>
            </w:r>
          </w:p>
        </w:tc>
        <w:tc>
          <w:tcPr>
            <w:tcW w:w="1417" w:type="dxa"/>
            <w:noWrap/>
            <w:vAlign w:val="center"/>
            <w:hideMark/>
          </w:tcPr>
          <w:p w:rsidR="003048AD" w:rsidRPr="006D6E05" w:rsidRDefault="003048AD" w:rsidP="003048AD">
            <w:pPr>
              <w:spacing w:line="260" w:lineRule="exact"/>
              <w:jc w:val="right"/>
              <w:rPr>
                <w:sz w:val="20"/>
                <w:szCs w:val="20"/>
              </w:rPr>
            </w:pPr>
            <w:r w:rsidRPr="006D6E05">
              <w:rPr>
                <w:sz w:val="20"/>
                <w:szCs w:val="20"/>
              </w:rPr>
              <w:t>19.080,00</w:t>
            </w:r>
          </w:p>
        </w:tc>
        <w:tc>
          <w:tcPr>
            <w:tcW w:w="2127" w:type="dxa"/>
            <w:noWrap/>
            <w:vAlign w:val="center"/>
            <w:hideMark/>
          </w:tcPr>
          <w:p w:rsidR="003048AD" w:rsidRPr="006D6E05" w:rsidRDefault="003048AD" w:rsidP="003048AD">
            <w:pPr>
              <w:spacing w:line="260" w:lineRule="exact"/>
              <w:jc w:val="right"/>
              <w:rPr>
                <w:sz w:val="20"/>
                <w:szCs w:val="20"/>
              </w:rPr>
            </w:pPr>
            <w:r w:rsidRPr="006D6E05">
              <w:rPr>
                <w:sz w:val="20"/>
                <w:szCs w:val="20"/>
              </w:rPr>
              <w:t>15,90%</w:t>
            </w:r>
          </w:p>
        </w:tc>
        <w:tc>
          <w:tcPr>
            <w:tcW w:w="1842" w:type="dxa"/>
            <w:noWrap/>
            <w:vAlign w:val="center"/>
            <w:hideMark/>
          </w:tcPr>
          <w:p w:rsidR="003048AD" w:rsidRPr="006D6E05" w:rsidRDefault="003048AD" w:rsidP="003048AD">
            <w:pPr>
              <w:spacing w:line="260" w:lineRule="exact"/>
              <w:jc w:val="center"/>
              <w:rPr>
                <w:sz w:val="20"/>
                <w:szCs w:val="20"/>
              </w:rPr>
            </w:pPr>
            <w:r w:rsidRPr="006D6E05">
              <w:rPr>
                <w:sz w:val="20"/>
                <w:szCs w:val="20"/>
              </w:rPr>
              <w:t>20-16487607-2</w:t>
            </w:r>
          </w:p>
        </w:tc>
      </w:tr>
      <w:tr w:rsidR="003048AD" w:rsidRPr="000D1BAC" w:rsidTr="006D6E05">
        <w:trPr>
          <w:trHeight w:val="259"/>
        </w:trPr>
        <w:tc>
          <w:tcPr>
            <w:tcW w:w="2552" w:type="dxa"/>
            <w:noWrap/>
            <w:vAlign w:val="center"/>
            <w:hideMark/>
          </w:tcPr>
          <w:p w:rsidR="003048AD" w:rsidRPr="006D6E05" w:rsidRDefault="00AA71E9" w:rsidP="003048AD">
            <w:pPr>
              <w:spacing w:line="260" w:lineRule="exact"/>
              <w:rPr>
                <w:sz w:val="20"/>
                <w:szCs w:val="20"/>
              </w:rPr>
            </w:pPr>
            <w:r w:rsidRPr="006D6E05">
              <w:rPr>
                <w:sz w:val="20"/>
                <w:szCs w:val="20"/>
              </w:rPr>
              <w:t>MARIANO CÉSAR BERGESIO</w:t>
            </w:r>
          </w:p>
        </w:tc>
        <w:tc>
          <w:tcPr>
            <w:tcW w:w="1417" w:type="dxa"/>
            <w:noWrap/>
            <w:vAlign w:val="center"/>
            <w:hideMark/>
          </w:tcPr>
          <w:p w:rsidR="003048AD" w:rsidRPr="006D6E05" w:rsidRDefault="003048AD" w:rsidP="003048AD">
            <w:pPr>
              <w:spacing w:line="260" w:lineRule="exact"/>
              <w:jc w:val="right"/>
              <w:rPr>
                <w:sz w:val="20"/>
                <w:szCs w:val="20"/>
              </w:rPr>
            </w:pPr>
            <w:r w:rsidRPr="006D6E05">
              <w:rPr>
                <w:sz w:val="20"/>
                <w:szCs w:val="20"/>
              </w:rPr>
              <w:t>21.780,00</w:t>
            </w:r>
          </w:p>
        </w:tc>
        <w:tc>
          <w:tcPr>
            <w:tcW w:w="2127" w:type="dxa"/>
            <w:noWrap/>
            <w:vAlign w:val="center"/>
            <w:hideMark/>
          </w:tcPr>
          <w:p w:rsidR="003048AD" w:rsidRPr="006D6E05" w:rsidRDefault="003048AD" w:rsidP="003048AD">
            <w:pPr>
              <w:spacing w:line="260" w:lineRule="exact"/>
              <w:jc w:val="right"/>
              <w:rPr>
                <w:sz w:val="20"/>
                <w:szCs w:val="20"/>
              </w:rPr>
            </w:pPr>
            <w:r w:rsidRPr="006D6E05">
              <w:rPr>
                <w:sz w:val="20"/>
                <w:szCs w:val="20"/>
              </w:rPr>
              <w:t>18,15%</w:t>
            </w:r>
          </w:p>
        </w:tc>
        <w:tc>
          <w:tcPr>
            <w:tcW w:w="1842" w:type="dxa"/>
            <w:noWrap/>
            <w:vAlign w:val="center"/>
            <w:hideMark/>
          </w:tcPr>
          <w:p w:rsidR="003048AD" w:rsidRPr="006D6E05" w:rsidRDefault="00AA71E9" w:rsidP="003048AD">
            <w:pPr>
              <w:spacing w:line="260" w:lineRule="exact"/>
              <w:jc w:val="center"/>
              <w:rPr>
                <w:sz w:val="20"/>
                <w:szCs w:val="20"/>
              </w:rPr>
            </w:pPr>
            <w:r w:rsidRPr="006D6E05">
              <w:rPr>
                <w:sz w:val="20"/>
                <w:szCs w:val="20"/>
              </w:rPr>
              <w:t>20-28034123-2</w:t>
            </w:r>
          </w:p>
        </w:tc>
      </w:tr>
      <w:tr w:rsidR="003048AD" w:rsidRPr="000D1BAC" w:rsidTr="006D6E05">
        <w:trPr>
          <w:trHeight w:val="259"/>
        </w:trPr>
        <w:tc>
          <w:tcPr>
            <w:tcW w:w="2552" w:type="dxa"/>
            <w:tcBorders>
              <w:bottom w:val="single" w:sz="4" w:space="0" w:color="auto"/>
            </w:tcBorders>
            <w:noWrap/>
            <w:vAlign w:val="center"/>
            <w:hideMark/>
          </w:tcPr>
          <w:p w:rsidR="003048AD" w:rsidRPr="006D6E05" w:rsidRDefault="003048AD" w:rsidP="003048AD">
            <w:pPr>
              <w:spacing w:line="260" w:lineRule="exact"/>
              <w:rPr>
                <w:sz w:val="20"/>
                <w:szCs w:val="20"/>
              </w:rPr>
            </w:pPr>
            <w:r w:rsidRPr="006D6E05">
              <w:rPr>
                <w:sz w:val="20"/>
                <w:szCs w:val="20"/>
              </w:rPr>
              <w:t>GRUPO FIMAES SA</w:t>
            </w:r>
          </w:p>
        </w:tc>
        <w:tc>
          <w:tcPr>
            <w:tcW w:w="1417" w:type="dxa"/>
            <w:tcBorders>
              <w:bottom w:val="single" w:sz="4" w:space="0" w:color="auto"/>
            </w:tcBorders>
            <w:noWrap/>
            <w:vAlign w:val="center"/>
            <w:hideMark/>
          </w:tcPr>
          <w:p w:rsidR="003048AD" w:rsidRPr="006D6E05" w:rsidRDefault="003E5479" w:rsidP="00240A04">
            <w:pPr>
              <w:spacing w:line="260" w:lineRule="exact"/>
              <w:jc w:val="right"/>
              <w:rPr>
                <w:sz w:val="20"/>
                <w:szCs w:val="20"/>
              </w:rPr>
            </w:pPr>
            <w:r>
              <w:rPr>
                <w:sz w:val="20"/>
                <w:szCs w:val="20"/>
              </w:rPr>
              <w:t>62</w:t>
            </w:r>
            <w:r w:rsidR="003048AD" w:rsidRPr="006D6E05">
              <w:rPr>
                <w:sz w:val="20"/>
                <w:szCs w:val="20"/>
              </w:rPr>
              <w:t>.220,00</w:t>
            </w:r>
          </w:p>
        </w:tc>
        <w:tc>
          <w:tcPr>
            <w:tcW w:w="2127" w:type="dxa"/>
            <w:tcBorders>
              <w:bottom w:val="single" w:sz="4" w:space="0" w:color="auto"/>
            </w:tcBorders>
            <w:noWrap/>
            <w:vAlign w:val="center"/>
            <w:hideMark/>
          </w:tcPr>
          <w:p w:rsidR="003048AD" w:rsidRPr="006D6E05" w:rsidRDefault="003E5479" w:rsidP="003E5479">
            <w:pPr>
              <w:spacing w:line="260" w:lineRule="exact"/>
              <w:jc w:val="right"/>
              <w:rPr>
                <w:sz w:val="20"/>
                <w:szCs w:val="20"/>
              </w:rPr>
            </w:pPr>
            <w:r>
              <w:rPr>
                <w:sz w:val="20"/>
                <w:szCs w:val="20"/>
              </w:rPr>
              <w:t>51</w:t>
            </w:r>
            <w:r w:rsidR="003048AD" w:rsidRPr="006D6E05">
              <w:rPr>
                <w:sz w:val="20"/>
                <w:szCs w:val="20"/>
              </w:rPr>
              <w:t>,</w:t>
            </w:r>
            <w:r>
              <w:rPr>
                <w:sz w:val="20"/>
                <w:szCs w:val="20"/>
              </w:rPr>
              <w:t>8</w:t>
            </w:r>
            <w:r w:rsidR="003048AD" w:rsidRPr="006D6E05">
              <w:rPr>
                <w:sz w:val="20"/>
                <w:szCs w:val="20"/>
              </w:rPr>
              <w:t>5%</w:t>
            </w:r>
          </w:p>
        </w:tc>
        <w:tc>
          <w:tcPr>
            <w:tcW w:w="1842" w:type="dxa"/>
            <w:tcBorders>
              <w:bottom w:val="single" w:sz="4" w:space="0" w:color="auto"/>
            </w:tcBorders>
            <w:noWrap/>
            <w:vAlign w:val="center"/>
            <w:hideMark/>
          </w:tcPr>
          <w:p w:rsidR="003048AD" w:rsidRPr="006D6E05" w:rsidRDefault="003048AD" w:rsidP="003048AD">
            <w:pPr>
              <w:spacing w:line="260" w:lineRule="exact"/>
              <w:jc w:val="center"/>
              <w:rPr>
                <w:sz w:val="20"/>
                <w:szCs w:val="20"/>
              </w:rPr>
            </w:pPr>
            <w:r w:rsidRPr="006D6E05">
              <w:rPr>
                <w:sz w:val="20"/>
                <w:szCs w:val="20"/>
              </w:rPr>
              <w:t>30-71110666-5</w:t>
            </w:r>
          </w:p>
        </w:tc>
      </w:tr>
      <w:tr w:rsidR="003048AD" w:rsidRPr="000D1BAC" w:rsidTr="006D6E05">
        <w:trPr>
          <w:trHeight w:val="259"/>
        </w:trPr>
        <w:tc>
          <w:tcPr>
            <w:tcW w:w="2552" w:type="dxa"/>
            <w:shd w:val="clear" w:color="auto" w:fill="95B3D7" w:themeFill="accent1" w:themeFillTint="99"/>
            <w:noWrap/>
            <w:hideMark/>
          </w:tcPr>
          <w:p w:rsidR="003048AD" w:rsidRPr="006D6E05" w:rsidRDefault="003048AD" w:rsidP="003048AD">
            <w:pPr>
              <w:spacing w:line="260" w:lineRule="exact"/>
              <w:jc w:val="both"/>
              <w:rPr>
                <w:sz w:val="20"/>
                <w:szCs w:val="20"/>
              </w:rPr>
            </w:pPr>
          </w:p>
        </w:tc>
        <w:tc>
          <w:tcPr>
            <w:tcW w:w="1417" w:type="dxa"/>
            <w:shd w:val="clear" w:color="auto" w:fill="95B3D7" w:themeFill="accent1" w:themeFillTint="99"/>
            <w:noWrap/>
            <w:hideMark/>
          </w:tcPr>
          <w:p w:rsidR="003048AD" w:rsidRPr="006D6E05" w:rsidRDefault="003048AD" w:rsidP="003048AD">
            <w:pPr>
              <w:spacing w:line="260" w:lineRule="exact"/>
              <w:jc w:val="right"/>
              <w:rPr>
                <w:b/>
                <w:bCs/>
                <w:sz w:val="20"/>
                <w:szCs w:val="20"/>
              </w:rPr>
            </w:pPr>
            <w:r w:rsidRPr="006D6E05">
              <w:rPr>
                <w:b/>
                <w:bCs/>
                <w:sz w:val="20"/>
                <w:szCs w:val="20"/>
              </w:rPr>
              <w:t>120.000,00</w:t>
            </w:r>
          </w:p>
        </w:tc>
        <w:tc>
          <w:tcPr>
            <w:tcW w:w="2127" w:type="dxa"/>
            <w:shd w:val="clear" w:color="auto" w:fill="95B3D7" w:themeFill="accent1" w:themeFillTint="99"/>
            <w:noWrap/>
            <w:hideMark/>
          </w:tcPr>
          <w:p w:rsidR="003048AD" w:rsidRPr="006D6E05" w:rsidRDefault="003048AD" w:rsidP="003048AD">
            <w:pPr>
              <w:spacing w:line="260" w:lineRule="exact"/>
              <w:jc w:val="right"/>
              <w:rPr>
                <w:b/>
                <w:bCs/>
                <w:sz w:val="20"/>
                <w:szCs w:val="20"/>
              </w:rPr>
            </w:pPr>
            <w:r w:rsidRPr="006D6E05">
              <w:rPr>
                <w:b/>
                <w:bCs/>
                <w:sz w:val="20"/>
                <w:szCs w:val="20"/>
              </w:rPr>
              <w:t>100,00%</w:t>
            </w:r>
          </w:p>
        </w:tc>
        <w:tc>
          <w:tcPr>
            <w:tcW w:w="1842" w:type="dxa"/>
            <w:shd w:val="clear" w:color="auto" w:fill="95B3D7" w:themeFill="accent1" w:themeFillTint="99"/>
            <w:noWrap/>
            <w:hideMark/>
          </w:tcPr>
          <w:p w:rsidR="003048AD" w:rsidRPr="006D6E05" w:rsidRDefault="003048AD" w:rsidP="003048AD">
            <w:pPr>
              <w:spacing w:line="260" w:lineRule="exact"/>
              <w:jc w:val="both"/>
              <w:rPr>
                <w:sz w:val="20"/>
                <w:szCs w:val="20"/>
              </w:rPr>
            </w:pPr>
          </w:p>
        </w:tc>
      </w:tr>
    </w:tbl>
    <w:p w:rsidR="00965A08" w:rsidRPr="006D6E05" w:rsidRDefault="00965A08" w:rsidP="00EF62CE">
      <w:pPr>
        <w:jc w:val="both"/>
        <w:rPr>
          <w:sz w:val="22"/>
          <w:szCs w:val="22"/>
        </w:rPr>
      </w:pPr>
    </w:p>
    <w:p w:rsidR="00965A08" w:rsidRPr="006D6E05" w:rsidRDefault="00965A08" w:rsidP="009F45DE">
      <w:pPr>
        <w:jc w:val="both"/>
        <w:rPr>
          <w:sz w:val="22"/>
          <w:szCs w:val="22"/>
        </w:rPr>
      </w:pPr>
      <w:bookmarkStart w:id="18" w:name="_Toc512943736"/>
      <w:bookmarkStart w:id="19" w:name="_Toc514043032"/>
      <w:bookmarkStart w:id="20" w:name="_Toc515349539"/>
      <w:bookmarkStart w:id="21" w:name="_Toc515349778"/>
      <w:bookmarkStart w:id="22" w:name="_Toc519937298"/>
    </w:p>
    <w:p w:rsidR="00965A08" w:rsidRPr="006D6E05" w:rsidRDefault="003048AD" w:rsidP="00EF62CE">
      <w:pPr>
        <w:jc w:val="both"/>
        <w:rPr>
          <w:b/>
          <w:sz w:val="22"/>
          <w:szCs w:val="22"/>
        </w:rPr>
      </w:pPr>
      <w:r w:rsidRPr="006D6E05">
        <w:rPr>
          <w:b/>
          <w:sz w:val="22"/>
          <w:szCs w:val="22"/>
        </w:rPr>
        <w:t>ÓRGANO DE ADMINISTRACIÓN</w:t>
      </w:r>
    </w:p>
    <w:p w:rsidR="00965A08" w:rsidRPr="006D6E05" w:rsidRDefault="00965A08" w:rsidP="00EF62CE">
      <w:pPr>
        <w:jc w:val="both"/>
        <w:rPr>
          <w:sz w:val="22"/>
          <w:szCs w:val="22"/>
        </w:rPr>
      </w:pPr>
    </w:p>
    <w:tbl>
      <w:tblPr>
        <w:tblW w:w="9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1"/>
        <w:gridCol w:w="3819"/>
        <w:gridCol w:w="3701"/>
      </w:tblGrid>
      <w:tr w:rsidR="00F7438E" w:rsidRPr="000D1BAC" w:rsidTr="008F483A">
        <w:trPr>
          <w:trHeight w:val="324"/>
        </w:trPr>
        <w:tc>
          <w:tcPr>
            <w:tcW w:w="2071" w:type="dxa"/>
          </w:tcPr>
          <w:p w:rsidR="00F7438E" w:rsidRPr="006D6E05" w:rsidRDefault="00F7438E" w:rsidP="00F7438E">
            <w:pPr>
              <w:spacing w:after="200" w:line="276" w:lineRule="auto"/>
              <w:rPr>
                <w:rFonts w:ascii="Garamond" w:eastAsia="Calibri" w:hAnsi="Garamond"/>
                <w:b/>
                <w:bCs/>
                <w:sz w:val="22"/>
                <w:szCs w:val="22"/>
                <w:lang w:eastAsia="en-US"/>
              </w:rPr>
            </w:pPr>
            <w:r w:rsidRPr="006D6E05">
              <w:rPr>
                <w:rFonts w:ascii="Garamond" w:eastAsia="Calibri" w:hAnsi="Garamond"/>
                <w:b/>
                <w:bCs/>
                <w:sz w:val="22"/>
                <w:szCs w:val="22"/>
                <w:lang w:eastAsia="en-US"/>
              </w:rPr>
              <w:t>Presidente</w:t>
            </w:r>
          </w:p>
        </w:tc>
        <w:tc>
          <w:tcPr>
            <w:tcW w:w="3819" w:type="dxa"/>
          </w:tcPr>
          <w:p w:rsidR="00F7438E" w:rsidRPr="006D6E05" w:rsidRDefault="00240A04" w:rsidP="00F7438E">
            <w:pPr>
              <w:spacing w:after="200" w:line="276" w:lineRule="auto"/>
              <w:rPr>
                <w:rFonts w:ascii="Garamond" w:eastAsia="Calibri" w:hAnsi="Garamond"/>
                <w:sz w:val="22"/>
                <w:szCs w:val="22"/>
                <w:lang w:eastAsia="en-US"/>
              </w:rPr>
            </w:pPr>
            <w:r w:rsidRPr="006D6E05">
              <w:rPr>
                <w:rFonts w:ascii="Garamond" w:eastAsia="Calibri" w:hAnsi="Garamond"/>
                <w:color w:val="000000"/>
                <w:sz w:val="22"/>
                <w:szCs w:val="22"/>
                <w:lang w:eastAsia="en-US"/>
              </w:rPr>
              <w:t>Mariano Cesar Bergesio</w:t>
            </w:r>
          </w:p>
        </w:tc>
        <w:tc>
          <w:tcPr>
            <w:tcW w:w="3701" w:type="dxa"/>
          </w:tcPr>
          <w:p w:rsidR="00F7438E" w:rsidRPr="006D6E05" w:rsidRDefault="00F7438E" w:rsidP="00AA71E9">
            <w:pPr>
              <w:spacing w:after="200" w:line="276" w:lineRule="auto"/>
              <w:rPr>
                <w:rFonts w:ascii="Garamond" w:eastAsia="Calibri" w:hAnsi="Garamond"/>
                <w:color w:val="000000"/>
                <w:sz w:val="22"/>
                <w:szCs w:val="22"/>
                <w:lang w:eastAsia="en-US"/>
              </w:rPr>
            </w:pPr>
            <w:r w:rsidRPr="006D6E05">
              <w:rPr>
                <w:rFonts w:ascii="Garamond" w:eastAsia="Calibri" w:hAnsi="Garamond"/>
                <w:color w:val="000000"/>
                <w:sz w:val="22"/>
                <w:szCs w:val="22"/>
                <w:lang w:eastAsia="en-US"/>
              </w:rPr>
              <w:t>Hasta asamblea que trate Estados Contables al 31/01/20</w:t>
            </w:r>
            <w:r w:rsidR="00240A04" w:rsidRPr="006D6E05">
              <w:rPr>
                <w:rFonts w:ascii="Garamond" w:eastAsia="Calibri" w:hAnsi="Garamond"/>
                <w:color w:val="000000"/>
                <w:sz w:val="22"/>
                <w:szCs w:val="22"/>
                <w:lang w:eastAsia="en-US"/>
              </w:rPr>
              <w:t>19</w:t>
            </w:r>
          </w:p>
        </w:tc>
      </w:tr>
      <w:tr w:rsidR="00F7438E" w:rsidRPr="000D1BAC" w:rsidTr="008F483A">
        <w:trPr>
          <w:trHeight w:val="324"/>
        </w:trPr>
        <w:tc>
          <w:tcPr>
            <w:tcW w:w="2071" w:type="dxa"/>
          </w:tcPr>
          <w:p w:rsidR="00F7438E" w:rsidRPr="006D6E05" w:rsidRDefault="00F7438E" w:rsidP="00F7438E">
            <w:pPr>
              <w:spacing w:after="200" w:line="276" w:lineRule="auto"/>
              <w:rPr>
                <w:rFonts w:ascii="Garamond" w:eastAsia="Calibri" w:hAnsi="Garamond"/>
                <w:b/>
                <w:bCs/>
                <w:sz w:val="22"/>
                <w:szCs w:val="22"/>
                <w:lang w:eastAsia="en-US"/>
              </w:rPr>
            </w:pPr>
            <w:r w:rsidRPr="006D6E05">
              <w:rPr>
                <w:rFonts w:ascii="Garamond" w:eastAsia="Calibri" w:hAnsi="Garamond"/>
                <w:b/>
                <w:bCs/>
                <w:sz w:val="22"/>
                <w:szCs w:val="22"/>
                <w:lang w:eastAsia="en-US"/>
              </w:rPr>
              <w:t>Vicepresidente</w:t>
            </w:r>
          </w:p>
        </w:tc>
        <w:tc>
          <w:tcPr>
            <w:tcW w:w="3819" w:type="dxa"/>
          </w:tcPr>
          <w:p w:rsidR="00F7438E" w:rsidRPr="006D6E05" w:rsidRDefault="00240A04" w:rsidP="00F7438E">
            <w:pPr>
              <w:spacing w:after="200" w:line="276" w:lineRule="auto"/>
              <w:rPr>
                <w:rFonts w:ascii="Garamond" w:eastAsia="Calibri" w:hAnsi="Garamond"/>
                <w:sz w:val="22"/>
                <w:szCs w:val="22"/>
                <w:lang w:eastAsia="en-US"/>
              </w:rPr>
            </w:pPr>
            <w:r w:rsidRPr="006D6E05">
              <w:rPr>
                <w:rFonts w:ascii="Garamond" w:eastAsia="Calibri" w:hAnsi="Garamond"/>
                <w:color w:val="000000"/>
                <w:sz w:val="22"/>
                <w:szCs w:val="22"/>
                <w:lang w:eastAsia="en-US"/>
              </w:rPr>
              <w:t>Gian Mauro Spagnolo</w:t>
            </w:r>
            <w:r w:rsidRPr="006D6E05" w:rsidDel="00240A04">
              <w:rPr>
                <w:rFonts w:ascii="Garamond" w:eastAsia="Calibri" w:hAnsi="Garamond"/>
                <w:color w:val="000000"/>
                <w:sz w:val="22"/>
                <w:szCs w:val="22"/>
                <w:lang w:eastAsia="en-US"/>
              </w:rPr>
              <w:t xml:space="preserve"> </w:t>
            </w:r>
          </w:p>
        </w:tc>
        <w:tc>
          <w:tcPr>
            <w:tcW w:w="3701" w:type="dxa"/>
          </w:tcPr>
          <w:p w:rsidR="00F7438E" w:rsidRPr="006D6E05" w:rsidRDefault="00F7438E" w:rsidP="00240A04">
            <w:pPr>
              <w:spacing w:after="200" w:line="276" w:lineRule="auto"/>
              <w:rPr>
                <w:rFonts w:ascii="Garamond" w:eastAsia="Calibri" w:hAnsi="Garamond"/>
                <w:color w:val="000000"/>
                <w:sz w:val="22"/>
                <w:szCs w:val="22"/>
                <w:lang w:eastAsia="en-US"/>
              </w:rPr>
            </w:pPr>
            <w:r w:rsidRPr="006D6E05">
              <w:rPr>
                <w:rFonts w:ascii="Garamond" w:eastAsia="Calibri" w:hAnsi="Garamond"/>
                <w:color w:val="000000"/>
                <w:sz w:val="22"/>
                <w:szCs w:val="22"/>
                <w:lang w:eastAsia="en-US"/>
              </w:rPr>
              <w:t>Hasta asamblea que trate Estados Contables al 31/01/20</w:t>
            </w:r>
            <w:r w:rsidR="00240A04" w:rsidRPr="006D6E05">
              <w:rPr>
                <w:rFonts w:ascii="Garamond" w:eastAsia="Calibri" w:hAnsi="Garamond"/>
                <w:color w:val="000000"/>
                <w:sz w:val="22"/>
                <w:szCs w:val="22"/>
                <w:lang w:eastAsia="en-US"/>
              </w:rPr>
              <w:t>19</w:t>
            </w:r>
          </w:p>
        </w:tc>
      </w:tr>
      <w:tr w:rsidR="00F7438E" w:rsidRPr="000D1BAC" w:rsidTr="008F483A">
        <w:trPr>
          <w:trHeight w:val="324"/>
        </w:trPr>
        <w:tc>
          <w:tcPr>
            <w:tcW w:w="2071" w:type="dxa"/>
          </w:tcPr>
          <w:p w:rsidR="00F7438E" w:rsidRPr="006D6E05" w:rsidRDefault="00F7438E" w:rsidP="00F7438E">
            <w:pPr>
              <w:spacing w:after="200" w:line="276" w:lineRule="auto"/>
              <w:rPr>
                <w:rFonts w:ascii="Garamond" w:eastAsia="Calibri" w:hAnsi="Garamond"/>
                <w:b/>
                <w:bCs/>
                <w:sz w:val="22"/>
                <w:szCs w:val="22"/>
                <w:lang w:eastAsia="en-US"/>
              </w:rPr>
            </w:pPr>
            <w:r w:rsidRPr="006D6E05">
              <w:rPr>
                <w:rFonts w:ascii="Garamond" w:eastAsia="Calibri" w:hAnsi="Garamond"/>
                <w:b/>
                <w:bCs/>
                <w:sz w:val="22"/>
                <w:szCs w:val="22"/>
                <w:lang w:eastAsia="en-US"/>
              </w:rPr>
              <w:t>Director titular</w:t>
            </w:r>
          </w:p>
        </w:tc>
        <w:tc>
          <w:tcPr>
            <w:tcW w:w="3819" w:type="dxa"/>
          </w:tcPr>
          <w:p w:rsidR="00F7438E" w:rsidRPr="006D6E05" w:rsidRDefault="00F7438E" w:rsidP="00F7438E">
            <w:pPr>
              <w:spacing w:after="200" w:line="276" w:lineRule="auto"/>
              <w:rPr>
                <w:rFonts w:ascii="Garamond" w:eastAsia="Calibri" w:hAnsi="Garamond"/>
                <w:sz w:val="22"/>
                <w:szCs w:val="22"/>
                <w:lang w:eastAsia="en-US"/>
              </w:rPr>
            </w:pPr>
            <w:r w:rsidRPr="006D6E05">
              <w:rPr>
                <w:rFonts w:ascii="Garamond" w:eastAsia="Calibri" w:hAnsi="Garamond"/>
                <w:color w:val="000000"/>
                <w:sz w:val="22"/>
                <w:szCs w:val="22"/>
                <w:lang w:eastAsia="en-US"/>
              </w:rPr>
              <w:t>Silvio Becher</w:t>
            </w:r>
          </w:p>
        </w:tc>
        <w:tc>
          <w:tcPr>
            <w:tcW w:w="3701" w:type="dxa"/>
          </w:tcPr>
          <w:p w:rsidR="00F7438E" w:rsidRPr="006D6E05" w:rsidRDefault="00F7438E" w:rsidP="00240A04">
            <w:pPr>
              <w:spacing w:after="200" w:line="276" w:lineRule="auto"/>
              <w:rPr>
                <w:rFonts w:ascii="Garamond" w:eastAsia="Calibri" w:hAnsi="Garamond"/>
                <w:color w:val="000000"/>
                <w:sz w:val="22"/>
                <w:szCs w:val="22"/>
                <w:lang w:eastAsia="en-US"/>
              </w:rPr>
            </w:pPr>
            <w:r w:rsidRPr="006D6E05">
              <w:rPr>
                <w:rFonts w:ascii="Garamond" w:eastAsia="Calibri" w:hAnsi="Garamond"/>
                <w:color w:val="000000"/>
                <w:sz w:val="22"/>
                <w:szCs w:val="22"/>
                <w:lang w:eastAsia="en-US"/>
              </w:rPr>
              <w:t>Hasta asamblea que trate Estados Contables al 31/01/201</w:t>
            </w:r>
            <w:r w:rsidR="00240A04" w:rsidRPr="006D6E05">
              <w:rPr>
                <w:rFonts w:ascii="Garamond" w:eastAsia="Calibri" w:hAnsi="Garamond"/>
                <w:color w:val="000000"/>
                <w:sz w:val="22"/>
                <w:szCs w:val="22"/>
                <w:lang w:eastAsia="en-US"/>
              </w:rPr>
              <w:t>9</w:t>
            </w:r>
          </w:p>
        </w:tc>
      </w:tr>
      <w:tr w:rsidR="00F7438E" w:rsidRPr="000D1BAC" w:rsidTr="008F483A">
        <w:trPr>
          <w:trHeight w:val="342"/>
        </w:trPr>
        <w:tc>
          <w:tcPr>
            <w:tcW w:w="2071" w:type="dxa"/>
          </w:tcPr>
          <w:p w:rsidR="00F7438E" w:rsidRPr="006D6E05" w:rsidRDefault="00F7438E" w:rsidP="00F7438E">
            <w:pPr>
              <w:spacing w:after="200" w:line="276" w:lineRule="auto"/>
              <w:rPr>
                <w:rFonts w:ascii="Garamond" w:eastAsia="Calibri" w:hAnsi="Garamond"/>
                <w:b/>
                <w:bCs/>
                <w:sz w:val="22"/>
                <w:szCs w:val="22"/>
                <w:lang w:eastAsia="en-US"/>
              </w:rPr>
            </w:pPr>
            <w:r w:rsidRPr="006D6E05">
              <w:rPr>
                <w:rFonts w:ascii="Garamond" w:eastAsia="Calibri" w:hAnsi="Garamond"/>
                <w:b/>
                <w:bCs/>
                <w:sz w:val="22"/>
                <w:szCs w:val="22"/>
                <w:lang w:eastAsia="en-US"/>
              </w:rPr>
              <w:t>Director titular</w:t>
            </w:r>
          </w:p>
        </w:tc>
        <w:tc>
          <w:tcPr>
            <w:tcW w:w="3819" w:type="dxa"/>
          </w:tcPr>
          <w:p w:rsidR="00F7438E" w:rsidRPr="006D6E05" w:rsidRDefault="00F7438E" w:rsidP="00F7438E">
            <w:pPr>
              <w:spacing w:after="200" w:line="276" w:lineRule="auto"/>
              <w:rPr>
                <w:rFonts w:ascii="Garamond" w:eastAsia="Calibri" w:hAnsi="Garamond"/>
                <w:sz w:val="22"/>
                <w:szCs w:val="22"/>
                <w:lang w:eastAsia="en-US"/>
              </w:rPr>
            </w:pPr>
            <w:r w:rsidRPr="006D6E05">
              <w:rPr>
                <w:rFonts w:ascii="Garamond" w:eastAsia="Calibri" w:hAnsi="Garamond"/>
                <w:color w:val="000000"/>
                <w:sz w:val="22"/>
                <w:szCs w:val="22"/>
                <w:lang w:eastAsia="en-US"/>
              </w:rPr>
              <w:t>Juan Carlos Storani</w:t>
            </w:r>
          </w:p>
        </w:tc>
        <w:tc>
          <w:tcPr>
            <w:tcW w:w="3701" w:type="dxa"/>
          </w:tcPr>
          <w:p w:rsidR="00F7438E" w:rsidRPr="006D6E05" w:rsidRDefault="00F7438E" w:rsidP="00240A04">
            <w:pPr>
              <w:spacing w:after="200" w:line="276" w:lineRule="auto"/>
              <w:rPr>
                <w:rFonts w:ascii="Garamond" w:eastAsia="Calibri" w:hAnsi="Garamond"/>
                <w:color w:val="000000"/>
                <w:sz w:val="22"/>
                <w:szCs w:val="22"/>
                <w:lang w:eastAsia="en-US"/>
              </w:rPr>
            </w:pPr>
            <w:r w:rsidRPr="006D6E05">
              <w:rPr>
                <w:rFonts w:ascii="Garamond" w:eastAsia="Calibri" w:hAnsi="Garamond"/>
                <w:color w:val="000000"/>
                <w:sz w:val="22"/>
                <w:szCs w:val="22"/>
                <w:lang w:eastAsia="en-US"/>
              </w:rPr>
              <w:t>Hasta asamblea que trate Estados Contables al 31/01/201</w:t>
            </w:r>
            <w:r w:rsidR="00240A04" w:rsidRPr="006D6E05">
              <w:rPr>
                <w:rFonts w:ascii="Garamond" w:eastAsia="Calibri" w:hAnsi="Garamond"/>
                <w:color w:val="000000"/>
                <w:sz w:val="22"/>
                <w:szCs w:val="22"/>
                <w:lang w:eastAsia="en-US"/>
              </w:rPr>
              <w:t>9</w:t>
            </w:r>
          </w:p>
        </w:tc>
      </w:tr>
    </w:tbl>
    <w:p w:rsidR="00965A08" w:rsidRPr="006D6E05" w:rsidRDefault="00965A08" w:rsidP="00EF62CE">
      <w:pPr>
        <w:jc w:val="both"/>
        <w:rPr>
          <w:sz w:val="22"/>
          <w:szCs w:val="22"/>
        </w:rPr>
      </w:pPr>
    </w:p>
    <w:bookmarkEnd w:id="18"/>
    <w:bookmarkEnd w:id="19"/>
    <w:bookmarkEnd w:id="20"/>
    <w:bookmarkEnd w:id="21"/>
    <w:bookmarkEnd w:id="22"/>
    <w:p w:rsidR="00965A08" w:rsidRPr="00E9084F" w:rsidRDefault="00965A08">
      <w:pPr>
        <w:jc w:val="both"/>
        <w:rPr>
          <w:sz w:val="22"/>
          <w:szCs w:val="22"/>
        </w:rPr>
      </w:pPr>
      <w:r w:rsidRPr="000D1BAC">
        <w:rPr>
          <w:bCs/>
          <w:sz w:val="22"/>
          <w:szCs w:val="22"/>
        </w:rPr>
        <w:t xml:space="preserve">De acuerdo al Estatuto de </w:t>
      </w:r>
      <w:r w:rsidR="003048AD" w:rsidRPr="000D1BAC">
        <w:rPr>
          <w:bCs/>
          <w:sz w:val="22"/>
          <w:szCs w:val="22"/>
        </w:rPr>
        <w:t xml:space="preserve">ACTUAL </w:t>
      </w:r>
      <w:r w:rsidRPr="000D1BAC">
        <w:rPr>
          <w:bCs/>
          <w:sz w:val="22"/>
          <w:szCs w:val="22"/>
        </w:rPr>
        <w:t>S.A. los directores permanecen en su cargo hasta la renovación del mandato a ser tratada en la próxima asamblea de accionistas.</w:t>
      </w:r>
      <w:r w:rsidR="00E9084F" w:rsidRPr="00E9084F">
        <w:rPr>
          <w:sz w:val="22"/>
          <w:szCs w:val="22"/>
        </w:rPr>
        <w:t xml:space="preserve"> </w:t>
      </w:r>
      <w:r w:rsidR="00E9084F">
        <w:rPr>
          <w:sz w:val="22"/>
          <w:szCs w:val="22"/>
        </w:rPr>
        <w:t xml:space="preserve">De acuerdo a lo establecido en la Asamblea General Ordinaria N° 25 de Actual S.A de fecha 07 de mayo de 2018, se ha aprobado la remuneración del Directorio por la suma de $ 2.586.379,59. </w:t>
      </w:r>
    </w:p>
    <w:p w:rsidR="00760191" w:rsidRPr="000D1BAC" w:rsidRDefault="00760191" w:rsidP="00596078">
      <w:pPr>
        <w:jc w:val="both"/>
        <w:rPr>
          <w:sz w:val="22"/>
          <w:szCs w:val="22"/>
        </w:rPr>
      </w:pPr>
    </w:p>
    <w:p w:rsidR="00965A08" w:rsidRPr="000D1BAC" w:rsidRDefault="00965A08" w:rsidP="00EF62CE">
      <w:pPr>
        <w:jc w:val="both"/>
        <w:rPr>
          <w:sz w:val="22"/>
          <w:szCs w:val="22"/>
        </w:rPr>
      </w:pPr>
    </w:p>
    <w:p w:rsidR="00965A08" w:rsidRPr="000D1BAC" w:rsidRDefault="00965A08" w:rsidP="00EF62CE">
      <w:pPr>
        <w:jc w:val="both"/>
        <w:rPr>
          <w:b/>
          <w:sz w:val="22"/>
          <w:szCs w:val="22"/>
        </w:rPr>
      </w:pPr>
      <w:r w:rsidRPr="000D1BAC">
        <w:rPr>
          <w:b/>
          <w:sz w:val="22"/>
          <w:szCs w:val="22"/>
        </w:rPr>
        <w:t>Antecedentes de los miembros del directorio:</w:t>
      </w:r>
    </w:p>
    <w:p w:rsidR="00760191" w:rsidRPr="000D1BAC" w:rsidRDefault="00760191" w:rsidP="00EF62CE">
      <w:pPr>
        <w:jc w:val="both"/>
        <w:rPr>
          <w:b/>
          <w:sz w:val="22"/>
          <w:szCs w:val="22"/>
        </w:rPr>
      </w:pPr>
    </w:p>
    <w:p w:rsidR="00AA71E9" w:rsidRPr="006D6E05" w:rsidRDefault="00AA71E9" w:rsidP="003048AD">
      <w:pPr>
        <w:jc w:val="both"/>
        <w:rPr>
          <w:bCs/>
          <w:color w:val="000000"/>
          <w:sz w:val="22"/>
          <w:szCs w:val="22"/>
          <w:lang w:eastAsia="en-US"/>
        </w:rPr>
      </w:pPr>
      <w:r w:rsidRPr="006D6E05">
        <w:rPr>
          <w:b/>
          <w:bCs/>
          <w:color w:val="000000"/>
          <w:sz w:val="22"/>
          <w:szCs w:val="22"/>
          <w:lang w:eastAsia="en-US"/>
        </w:rPr>
        <w:t>Mariano Cesar Bergesio:</w:t>
      </w:r>
      <w:r w:rsidRPr="006D6E05">
        <w:rPr>
          <w:bCs/>
          <w:color w:val="000000"/>
          <w:lang w:eastAsia="en-US"/>
        </w:rPr>
        <w:t xml:space="preserve"> </w:t>
      </w:r>
      <w:r w:rsidR="00240A04" w:rsidRPr="006D6E05">
        <w:rPr>
          <w:bCs/>
          <w:color w:val="000000"/>
          <w:sz w:val="22"/>
          <w:lang w:eastAsia="en-US"/>
        </w:rPr>
        <w:t>Empresario, con amplia trayectoria en la prestación de servicios de Outsourcing de cobranzas. En el año 2005 fundó el estudio Bergesio S.A. una empresa líder en la gestión de cobranzas judiciales y extrajudiciales. Ha presidido el directorio de la institución por más de 10 años. DNI: 28.034.123. CUIT 20-28034123-2. Domicilio: Corrientes 587 Piso 2, Ciudad Autónoma de Buenos Aires.</w:t>
      </w:r>
    </w:p>
    <w:p w:rsidR="00AA71E9" w:rsidRPr="006D6E05" w:rsidRDefault="00AA71E9" w:rsidP="003048AD">
      <w:pPr>
        <w:jc w:val="both"/>
        <w:rPr>
          <w:bCs/>
          <w:color w:val="000000"/>
          <w:sz w:val="22"/>
          <w:szCs w:val="22"/>
          <w:lang w:eastAsia="en-US"/>
        </w:rPr>
      </w:pPr>
    </w:p>
    <w:p w:rsidR="00017441" w:rsidRDefault="00017441" w:rsidP="00017441">
      <w:pPr>
        <w:jc w:val="both"/>
        <w:rPr>
          <w:bCs/>
          <w:color w:val="000000"/>
          <w:sz w:val="22"/>
          <w:szCs w:val="22"/>
          <w:lang w:eastAsia="en-US"/>
        </w:rPr>
      </w:pPr>
      <w:r w:rsidRPr="006D6E05">
        <w:rPr>
          <w:b/>
          <w:bCs/>
          <w:color w:val="000000"/>
          <w:sz w:val="22"/>
          <w:szCs w:val="22"/>
          <w:lang w:eastAsia="en-US"/>
        </w:rPr>
        <w:t xml:space="preserve">Mauro Spagnolo: </w:t>
      </w:r>
      <w:r w:rsidRPr="000D1BAC">
        <w:rPr>
          <w:bCs/>
          <w:color w:val="000000"/>
          <w:sz w:val="22"/>
          <w:szCs w:val="22"/>
          <w:lang w:eastAsia="en-US"/>
        </w:rPr>
        <w:t>Se recibió de Licenciado en Ciencias Políticas en la Universidad de Buenos Aires. Durante 2017/2018 realizó un Posgrado en Management en la Universidad del CEMA. Antecedentes Laborales: Becario e Investigador en Universidad de Buenos Aires, Becario de Investigación en Universidad Torcuato Di Tella. DNI: 18.780.779. CUIT: 20-18780779-5. Domicilio: 25 de Mayo 195, piso 5º, Ciudad de Buenos Aires</w:t>
      </w:r>
      <w:r w:rsidR="00C2484E">
        <w:rPr>
          <w:bCs/>
          <w:color w:val="000000"/>
          <w:sz w:val="22"/>
          <w:szCs w:val="22"/>
          <w:lang w:eastAsia="en-US"/>
        </w:rPr>
        <w:t>.</w:t>
      </w:r>
    </w:p>
    <w:p w:rsidR="00185B8D" w:rsidRPr="000D1BAC" w:rsidRDefault="00185B8D" w:rsidP="00017441">
      <w:pPr>
        <w:jc w:val="both"/>
        <w:rPr>
          <w:bCs/>
          <w:color w:val="000000"/>
          <w:sz w:val="22"/>
          <w:szCs w:val="22"/>
          <w:lang w:eastAsia="en-US"/>
        </w:rPr>
      </w:pPr>
    </w:p>
    <w:p w:rsidR="003048AD" w:rsidRPr="000D1BAC" w:rsidRDefault="003048AD" w:rsidP="003048AD">
      <w:pPr>
        <w:jc w:val="both"/>
        <w:rPr>
          <w:bCs/>
          <w:color w:val="000000"/>
          <w:sz w:val="22"/>
          <w:szCs w:val="22"/>
          <w:lang w:eastAsia="en-US"/>
        </w:rPr>
      </w:pPr>
      <w:r w:rsidRPr="006D6E05">
        <w:rPr>
          <w:b/>
          <w:bCs/>
          <w:color w:val="000000"/>
          <w:sz w:val="22"/>
          <w:szCs w:val="22"/>
          <w:lang w:eastAsia="en-US"/>
        </w:rPr>
        <w:t xml:space="preserve">Silvio Becher: </w:t>
      </w:r>
      <w:r w:rsidRPr="006D6E05">
        <w:rPr>
          <w:bCs/>
          <w:color w:val="000000"/>
          <w:sz w:val="22"/>
          <w:szCs w:val="22"/>
          <w:lang w:eastAsia="en-US"/>
        </w:rPr>
        <w:t xml:space="preserve">Se recibió de </w:t>
      </w:r>
      <w:r w:rsidRPr="000D1BAC">
        <w:rPr>
          <w:bCs/>
          <w:color w:val="000000"/>
          <w:sz w:val="22"/>
          <w:szCs w:val="22"/>
          <w:lang w:eastAsia="en-US"/>
        </w:rPr>
        <w:t>Contador Público Nacional (Universidad Nacional de La Plata), es Licenciado en Economía (U.N.L.P.) y posee un Doctorado en Ciencias de la Administración (U.B.). Especialista en asesoría de dirección en temas económicos y financieros. Socio fundador de Becher Lichtenstein &amp; Asociados, Firma Miembro en Argentina de BDO Internacional, una de las principales organizaciones internacionales de servicios profesionales de auditoría, consultoría y asesoramiento tributario con sede central en Bruselas, Bélgica. Ex Ministro de Economía de la Provincia de Buenos Aires. Ex Vicepresidente del Banco de la Provincia de Buenos Aires. Fue Miembro Titular del Comité de Estudios Económicos del Colegio de Graduados en Ciencias Económicas. DNI: 4.160.400. CUIT: 20-04160400-0. Domicilio: 25 de Mayo 195, piso 7º, Ciudad de Buenos Aires.</w:t>
      </w:r>
    </w:p>
    <w:p w:rsidR="00760191" w:rsidRPr="000D1BAC" w:rsidRDefault="00760191" w:rsidP="003048AD">
      <w:pPr>
        <w:jc w:val="both"/>
        <w:rPr>
          <w:bCs/>
          <w:color w:val="000000"/>
          <w:sz w:val="22"/>
          <w:szCs w:val="22"/>
          <w:lang w:eastAsia="en-US"/>
        </w:rPr>
      </w:pPr>
    </w:p>
    <w:p w:rsidR="00760191" w:rsidRPr="000D1BAC" w:rsidRDefault="00760191" w:rsidP="00760191">
      <w:pPr>
        <w:jc w:val="both"/>
        <w:rPr>
          <w:bCs/>
          <w:color w:val="000000"/>
          <w:sz w:val="22"/>
          <w:szCs w:val="22"/>
          <w:lang w:eastAsia="en-US"/>
        </w:rPr>
      </w:pPr>
    </w:p>
    <w:p w:rsidR="005341A7" w:rsidRPr="006D6E05" w:rsidRDefault="00760191" w:rsidP="00041393">
      <w:pPr>
        <w:jc w:val="both"/>
      </w:pPr>
      <w:r w:rsidRPr="006D6E05">
        <w:rPr>
          <w:b/>
          <w:bCs/>
          <w:color w:val="000000"/>
          <w:sz w:val="22"/>
          <w:szCs w:val="22"/>
          <w:lang w:eastAsia="en-US"/>
        </w:rPr>
        <w:t xml:space="preserve">Juan Carlos Storani: </w:t>
      </w:r>
      <w:r w:rsidRPr="006D6E05">
        <w:rPr>
          <w:bCs/>
          <w:color w:val="000000"/>
          <w:sz w:val="22"/>
          <w:szCs w:val="22"/>
          <w:lang w:eastAsia="en-US"/>
        </w:rPr>
        <w:t xml:space="preserve">Se recibió de Abogado en la Universidad de Buenos Aires y posee una Maestría en Relaciones Internacionales en la Universidad Nacional de La Plata. Es socio del estudio jurídico Storani, </w:t>
      </w:r>
      <w:r w:rsidRPr="000D1BAC">
        <w:rPr>
          <w:bCs/>
          <w:color w:val="000000"/>
          <w:sz w:val="22"/>
          <w:szCs w:val="22"/>
          <w:lang w:eastAsia="en-US"/>
        </w:rPr>
        <w:t>Socio Gerente Arandanberrie S.R.L. y Presidente de Lanaria S.A. DNI: 16.487.607. CUIT: 20-16487607-2. Domicilio: 25 de Mayo 195, piso 8º, Ciudad de Buenos Aires.</w:t>
      </w:r>
    </w:p>
    <w:p w:rsidR="003048AD" w:rsidRPr="006D6E05" w:rsidRDefault="003048AD" w:rsidP="008F483A">
      <w:pPr>
        <w:pStyle w:val="Prrafodelista1"/>
        <w:spacing w:before="120"/>
        <w:ind w:left="0"/>
        <w:jc w:val="both"/>
        <w:rPr>
          <w:sz w:val="22"/>
          <w:szCs w:val="22"/>
          <w:lang w:val="es-AR"/>
        </w:rPr>
      </w:pPr>
    </w:p>
    <w:p w:rsidR="00965A08" w:rsidRPr="006D6E05" w:rsidRDefault="003048AD" w:rsidP="008F483A">
      <w:pPr>
        <w:pStyle w:val="Prrafodelista1"/>
        <w:spacing w:before="120"/>
        <w:ind w:left="0"/>
        <w:jc w:val="both"/>
        <w:rPr>
          <w:b/>
          <w:sz w:val="22"/>
          <w:szCs w:val="22"/>
          <w:lang w:val="es-AR"/>
        </w:rPr>
      </w:pPr>
      <w:r w:rsidRPr="006D6E05">
        <w:rPr>
          <w:b/>
          <w:sz w:val="22"/>
          <w:szCs w:val="22"/>
          <w:lang w:val="es-AR"/>
        </w:rPr>
        <w:t>ÓRGANO DE FISCALIZACIÓN</w:t>
      </w:r>
    </w:p>
    <w:p w:rsidR="00965A08" w:rsidRPr="006D6E05" w:rsidRDefault="00965A08" w:rsidP="00EF62CE">
      <w:pPr>
        <w:jc w:val="both"/>
        <w:rPr>
          <w:i/>
          <w:sz w:val="22"/>
          <w:szCs w:val="22"/>
        </w:rPr>
      </w:pPr>
    </w:p>
    <w:tbl>
      <w:tblPr>
        <w:tblW w:w="91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20"/>
        <w:gridCol w:w="2719"/>
        <w:gridCol w:w="3692"/>
      </w:tblGrid>
      <w:tr w:rsidR="006764B7" w:rsidRPr="000D1BAC" w:rsidTr="008F483A">
        <w:trPr>
          <w:trHeight w:val="172"/>
        </w:trPr>
        <w:tc>
          <w:tcPr>
            <w:tcW w:w="2720" w:type="dxa"/>
            <w:shd w:val="clear" w:color="auto" w:fill="C6D9F1"/>
            <w:vAlign w:val="center"/>
          </w:tcPr>
          <w:p w:rsidR="006764B7" w:rsidRPr="006D6E05" w:rsidRDefault="006764B7" w:rsidP="006A214D">
            <w:pPr>
              <w:jc w:val="center"/>
              <w:rPr>
                <w:i/>
              </w:rPr>
            </w:pPr>
            <w:r w:rsidRPr="006D6E05">
              <w:rPr>
                <w:b/>
                <w:bCs/>
                <w:iCs/>
                <w:color w:val="000000"/>
                <w:sz w:val="22"/>
                <w:szCs w:val="22"/>
              </w:rPr>
              <w:t>NOMBRE</w:t>
            </w:r>
          </w:p>
        </w:tc>
        <w:tc>
          <w:tcPr>
            <w:tcW w:w="2719" w:type="dxa"/>
            <w:shd w:val="clear" w:color="auto" w:fill="C6D9F1"/>
            <w:vAlign w:val="center"/>
          </w:tcPr>
          <w:p w:rsidR="006764B7" w:rsidRPr="006D6E05" w:rsidRDefault="006764B7" w:rsidP="006A214D">
            <w:pPr>
              <w:jc w:val="center"/>
              <w:rPr>
                <w:i/>
              </w:rPr>
            </w:pPr>
            <w:r w:rsidRPr="000D1BAC">
              <w:rPr>
                <w:b/>
                <w:bCs/>
                <w:iCs/>
                <w:color w:val="000000"/>
                <w:sz w:val="22"/>
                <w:szCs w:val="22"/>
              </w:rPr>
              <w:t>CARGO</w:t>
            </w:r>
          </w:p>
        </w:tc>
        <w:tc>
          <w:tcPr>
            <w:tcW w:w="3692" w:type="dxa"/>
            <w:shd w:val="clear" w:color="auto" w:fill="C6D9F1"/>
          </w:tcPr>
          <w:p w:rsidR="006764B7" w:rsidRPr="000D1BAC" w:rsidRDefault="006764B7" w:rsidP="006A214D">
            <w:pPr>
              <w:jc w:val="center"/>
              <w:rPr>
                <w:b/>
                <w:bCs/>
                <w:iCs/>
                <w:color w:val="000000"/>
                <w:sz w:val="22"/>
                <w:szCs w:val="22"/>
              </w:rPr>
            </w:pPr>
            <w:r w:rsidRPr="000D1BAC">
              <w:rPr>
                <w:b/>
                <w:bCs/>
                <w:iCs/>
                <w:color w:val="000000"/>
                <w:sz w:val="22"/>
                <w:szCs w:val="22"/>
              </w:rPr>
              <w:t>VENCIMIENTO</w:t>
            </w:r>
          </w:p>
        </w:tc>
      </w:tr>
      <w:tr w:rsidR="006764B7" w:rsidRPr="000D1BAC" w:rsidTr="008F483A">
        <w:trPr>
          <w:trHeight w:val="681"/>
        </w:trPr>
        <w:tc>
          <w:tcPr>
            <w:tcW w:w="2720" w:type="dxa"/>
            <w:vAlign w:val="center"/>
          </w:tcPr>
          <w:p w:rsidR="006764B7" w:rsidRPr="006D6E05" w:rsidRDefault="006764B7">
            <w:pPr>
              <w:rPr>
                <w:i/>
              </w:rPr>
            </w:pPr>
            <w:r w:rsidRPr="000D1BAC">
              <w:t>Adrián Gonzalo Cristal</w:t>
            </w:r>
          </w:p>
        </w:tc>
        <w:tc>
          <w:tcPr>
            <w:tcW w:w="2719" w:type="dxa"/>
            <w:vAlign w:val="center"/>
          </w:tcPr>
          <w:p w:rsidR="006764B7" w:rsidRPr="006D6E05" w:rsidRDefault="006764B7" w:rsidP="006A214D">
            <w:pPr>
              <w:jc w:val="center"/>
              <w:rPr>
                <w:i/>
              </w:rPr>
            </w:pPr>
            <w:r w:rsidRPr="000D1BAC">
              <w:rPr>
                <w:bCs/>
                <w:iCs/>
                <w:color w:val="000000"/>
                <w:sz w:val="22"/>
                <w:szCs w:val="22"/>
              </w:rPr>
              <w:t>Síndico titular</w:t>
            </w:r>
          </w:p>
        </w:tc>
        <w:tc>
          <w:tcPr>
            <w:tcW w:w="3692" w:type="dxa"/>
          </w:tcPr>
          <w:p w:rsidR="006764B7" w:rsidRPr="000D1BAC" w:rsidRDefault="006764B7" w:rsidP="006A214D">
            <w:pPr>
              <w:jc w:val="center"/>
              <w:rPr>
                <w:bCs/>
                <w:iCs/>
                <w:color w:val="000000"/>
                <w:sz w:val="22"/>
                <w:szCs w:val="22"/>
              </w:rPr>
            </w:pPr>
            <w:r w:rsidRPr="006D6E05">
              <w:rPr>
                <w:bCs/>
                <w:iCs/>
                <w:color w:val="000000"/>
                <w:sz w:val="22"/>
                <w:szCs w:val="22"/>
              </w:rPr>
              <w:t>Hasta asamblea que trate Estados Contables al 31/01/2019</w:t>
            </w:r>
          </w:p>
        </w:tc>
      </w:tr>
      <w:tr w:rsidR="006764B7" w:rsidRPr="000D1BAC" w:rsidTr="008F483A">
        <w:trPr>
          <w:trHeight w:val="670"/>
        </w:trPr>
        <w:tc>
          <w:tcPr>
            <w:tcW w:w="2720" w:type="dxa"/>
            <w:vAlign w:val="center"/>
          </w:tcPr>
          <w:p w:rsidR="006764B7" w:rsidRPr="006D6E05" w:rsidRDefault="006764B7">
            <w:pPr>
              <w:rPr>
                <w:i/>
              </w:rPr>
            </w:pPr>
            <w:r w:rsidRPr="000D1BAC">
              <w:t>Guido Nicolás Almoño</w:t>
            </w:r>
          </w:p>
        </w:tc>
        <w:tc>
          <w:tcPr>
            <w:tcW w:w="2719" w:type="dxa"/>
            <w:vAlign w:val="center"/>
          </w:tcPr>
          <w:p w:rsidR="006764B7" w:rsidRPr="006D6E05" w:rsidRDefault="006764B7" w:rsidP="006A214D">
            <w:pPr>
              <w:jc w:val="center"/>
              <w:rPr>
                <w:i/>
              </w:rPr>
            </w:pPr>
            <w:r w:rsidRPr="000D1BAC">
              <w:rPr>
                <w:bCs/>
                <w:iCs/>
                <w:color w:val="000000"/>
                <w:sz w:val="22"/>
                <w:szCs w:val="22"/>
              </w:rPr>
              <w:t>Síndico suplente</w:t>
            </w:r>
          </w:p>
        </w:tc>
        <w:tc>
          <w:tcPr>
            <w:tcW w:w="3692" w:type="dxa"/>
          </w:tcPr>
          <w:p w:rsidR="006764B7" w:rsidRPr="000D1BAC" w:rsidRDefault="006764B7" w:rsidP="006A214D">
            <w:pPr>
              <w:jc w:val="center"/>
              <w:rPr>
                <w:bCs/>
                <w:iCs/>
                <w:color w:val="000000"/>
                <w:sz w:val="22"/>
                <w:szCs w:val="22"/>
              </w:rPr>
            </w:pPr>
            <w:r w:rsidRPr="006D6E05">
              <w:rPr>
                <w:bCs/>
                <w:iCs/>
                <w:color w:val="000000"/>
                <w:sz w:val="22"/>
                <w:szCs w:val="22"/>
              </w:rPr>
              <w:t>Hasta asamblea que trate Estados Contables al 31/01/2019</w:t>
            </w:r>
          </w:p>
        </w:tc>
      </w:tr>
    </w:tbl>
    <w:p w:rsidR="00965A08" w:rsidRPr="006D6E05" w:rsidRDefault="00965A08" w:rsidP="00EF62CE">
      <w:pPr>
        <w:jc w:val="both"/>
        <w:rPr>
          <w:sz w:val="22"/>
          <w:szCs w:val="22"/>
        </w:rPr>
      </w:pPr>
    </w:p>
    <w:p w:rsidR="00965A08" w:rsidRDefault="00965A08" w:rsidP="00EF62CE">
      <w:pPr>
        <w:jc w:val="both"/>
        <w:rPr>
          <w:sz w:val="22"/>
          <w:szCs w:val="22"/>
        </w:rPr>
      </w:pPr>
      <w:r w:rsidRPr="006D6E05">
        <w:rPr>
          <w:sz w:val="22"/>
          <w:szCs w:val="22"/>
        </w:rPr>
        <w:t xml:space="preserve">Todos los síndicos han constituido domicilio especial en </w:t>
      </w:r>
      <w:r w:rsidR="00E80C5E" w:rsidRPr="006D6E05">
        <w:rPr>
          <w:sz w:val="22"/>
          <w:szCs w:val="22"/>
        </w:rPr>
        <w:t>25 de mayo 195</w:t>
      </w:r>
      <w:r w:rsidR="001A7790" w:rsidRPr="006D6E05">
        <w:rPr>
          <w:sz w:val="22"/>
          <w:szCs w:val="22"/>
        </w:rPr>
        <w:t>, Piso 5º, Ciudad de Buenos Aires</w:t>
      </w:r>
      <w:r w:rsidRPr="006D6E05">
        <w:rPr>
          <w:sz w:val="22"/>
          <w:szCs w:val="22"/>
        </w:rPr>
        <w:t xml:space="preserve">, y fueron designados en la asamblea ordinaria de accionistas del </w:t>
      </w:r>
      <w:r w:rsidR="00CC3DCB" w:rsidRPr="006D6E05">
        <w:rPr>
          <w:sz w:val="22"/>
          <w:szCs w:val="22"/>
        </w:rPr>
        <w:t xml:space="preserve">02/05/2016 </w:t>
      </w:r>
      <w:r w:rsidRPr="006D6E05">
        <w:rPr>
          <w:sz w:val="22"/>
          <w:szCs w:val="22"/>
        </w:rPr>
        <w:t>po</w:t>
      </w:r>
      <w:r w:rsidR="001A7790" w:rsidRPr="006D6E05">
        <w:rPr>
          <w:sz w:val="22"/>
          <w:szCs w:val="22"/>
        </w:rPr>
        <w:t>r</w:t>
      </w:r>
      <w:r w:rsidRPr="006D6E05">
        <w:rPr>
          <w:sz w:val="22"/>
          <w:szCs w:val="22"/>
        </w:rPr>
        <w:t xml:space="preserve"> un año.</w:t>
      </w:r>
    </w:p>
    <w:p w:rsidR="00017441" w:rsidRPr="006D6E05" w:rsidRDefault="00017441" w:rsidP="00EF62CE">
      <w:pPr>
        <w:jc w:val="both"/>
        <w:rPr>
          <w:sz w:val="22"/>
          <w:szCs w:val="22"/>
        </w:rPr>
      </w:pPr>
    </w:p>
    <w:p w:rsidR="00965A08" w:rsidRPr="006D6E05" w:rsidRDefault="00965A08" w:rsidP="00EF62CE">
      <w:pPr>
        <w:jc w:val="both"/>
        <w:rPr>
          <w:i/>
          <w:sz w:val="22"/>
          <w:szCs w:val="22"/>
        </w:rPr>
      </w:pPr>
    </w:p>
    <w:p w:rsidR="00965A08" w:rsidRPr="006D6E05" w:rsidRDefault="00965A08" w:rsidP="00EF62CE">
      <w:pPr>
        <w:jc w:val="both"/>
        <w:rPr>
          <w:b/>
          <w:sz w:val="22"/>
          <w:szCs w:val="22"/>
        </w:rPr>
      </w:pPr>
      <w:r w:rsidRPr="006D6E05">
        <w:rPr>
          <w:b/>
          <w:sz w:val="22"/>
          <w:szCs w:val="22"/>
        </w:rPr>
        <w:t>RESPONSABLES DE RELACIONES CON EL MERCADO</w:t>
      </w:r>
    </w:p>
    <w:p w:rsidR="00965A08" w:rsidRPr="006D6E05" w:rsidRDefault="00965A08" w:rsidP="00EF62CE">
      <w:pPr>
        <w:jc w:val="both"/>
        <w:rPr>
          <w:sz w:val="22"/>
          <w:szCs w:val="22"/>
        </w:rPr>
      </w:pPr>
    </w:p>
    <w:p w:rsidR="001A7790" w:rsidRPr="006D6E05" w:rsidRDefault="001A7790" w:rsidP="001A7790">
      <w:pPr>
        <w:jc w:val="both"/>
        <w:rPr>
          <w:sz w:val="22"/>
          <w:szCs w:val="22"/>
        </w:rPr>
      </w:pPr>
      <w:r w:rsidRPr="006D6E05">
        <w:rPr>
          <w:sz w:val="22"/>
          <w:szCs w:val="22"/>
        </w:rPr>
        <w:t xml:space="preserve">En virtud de </w:t>
      </w:r>
      <w:r w:rsidR="00B83F03" w:rsidRPr="006D6E05">
        <w:rPr>
          <w:sz w:val="22"/>
          <w:szCs w:val="22"/>
        </w:rPr>
        <w:t xml:space="preserve">la </w:t>
      </w:r>
      <w:r w:rsidRPr="006D6E05">
        <w:rPr>
          <w:sz w:val="22"/>
          <w:szCs w:val="22"/>
        </w:rPr>
        <w:t>reunión de Directorio</w:t>
      </w:r>
      <w:r w:rsidR="00B83F03" w:rsidRPr="006D6E05">
        <w:rPr>
          <w:sz w:val="22"/>
          <w:szCs w:val="22"/>
        </w:rPr>
        <w:t xml:space="preserve"> </w:t>
      </w:r>
      <w:r w:rsidR="00B83F03" w:rsidRPr="000D1BAC">
        <w:rPr>
          <w:sz w:val="22"/>
          <w:szCs w:val="22"/>
        </w:rPr>
        <w:t xml:space="preserve">de fecha 10 de marzo de 2015, tal como consta en el Acta de Directorio </w:t>
      </w:r>
      <w:r w:rsidR="00E20C0A" w:rsidRPr="000D1BAC">
        <w:rPr>
          <w:sz w:val="22"/>
          <w:szCs w:val="22"/>
        </w:rPr>
        <w:t>Nro.</w:t>
      </w:r>
      <w:r w:rsidR="00B83F03" w:rsidRPr="000D1BAC">
        <w:rPr>
          <w:sz w:val="22"/>
          <w:szCs w:val="22"/>
        </w:rPr>
        <w:t xml:space="preserve"> 136 del libro </w:t>
      </w:r>
      <w:r w:rsidR="00E20C0A" w:rsidRPr="000D1BAC">
        <w:rPr>
          <w:sz w:val="22"/>
          <w:szCs w:val="22"/>
        </w:rPr>
        <w:t>Nro.</w:t>
      </w:r>
      <w:r w:rsidR="00B83F03" w:rsidRPr="000D1BAC">
        <w:rPr>
          <w:sz w:val="22"/>
          <w:szCs w:val="22"/>
        </w:rPr>
        <w:t xml:space="preserve"> 2, </w:t>
      </w:r>
      <w:r w:rsidRPr="006D6E05">
        <w:rPr>
          <w:sz w:val="22"/>
          <w:szCs w:val="22"/>
        </w:rPr>
        <w:t>se resolvió designar para que se desempeñe como responsable de relaciones con el mercado a:</w:t>
      </w:r>
    </w:p>
    <w:p w:rsidR="001A7790" w:rsidRPr="006D6E05" w:rsidRDefault="001A7790" w:rsidP="001A7790">
      <w:pPr>
        <w:jc w:val="both"/>
        <w:rPr>
          <w:sz w:val="22"/>
          <w:szCs w:val="22"/>
        </w:rPr>
      </w:pPr>
    </w:p>
    <w:tbl>
      <w:tblPr>
        <w:tblW w:w="7868" w:type="dxa"/>
        <w:tblInd w:w="55" w:type="dxa"/>
        <w:tblCellMar>
          <w:left w:w="70" w:type="dxa"/>
          <w:right w:w="70" w:type="dxa"/>
        </w:tblCellMar>
        <w:tblLook w:val="00A0" w:firstRow="1" w:lastRow="0" w:firstColumn="1" w:lastColumn="0" w:noHBand="0" w:noVBand="0"/>
      </w:tblPr>
      <w:tblGrid>
        <w:gridCol w:w="3569"/>
        <w:gridCol w:w="1181"/>
        <w:gridCol w:w="3118"/>
      </w:tblGrid>
      <w:tr w:rsidR="00B83F03" w:rsidRPr="000D1BAC" w:rsidTr="008F483A">
        <w:trPr>
          <w:trHeight w:val="315"/>
        </w:trPr>
        <w:tc>
          <w:tcPr>
            <w:tcW w:w="3569" w:type="dxa"/>
            <w:tcBorders>
              <w:top w:val="single" w:sz="4" w:space="0" w:color="auto"/>
              <w:left w:val="single" w:sz="4" w:space="0" w:color="auto"/>
              <w:bottom w:val="single" w:sz="4" w:space="0" w:color="auto"/>
              <w:right w:val="single" w:sz="4" w:space="0" w:color="auto"/>
            </w:tcBorders>
            <w:shd w:val="clear" w:color="auto" w:fill="C5D9F1"/>
            <w:noWrap/>
            <w:vAlign w:val="bottom"/>
            <w:hideMark/>
          </w:tcPr>
          <w:p w:rsidR="00B83F03" w:rsidRPr="006D6E05" w:rsidRDefault="00B83F03" w:rsidP="00220891">
            <w:pPr>
              <w:jc w:val="center"/>
              <w:rPr>
                <w:rFonts w:ascii="new times roman" w:hAnsi="new times roman"/>
                <w:b/>
                <w:bCs/>
                <w:color w:val="000000"/>
              </w:rPr>
            </w:pPr>
            <w:r w:rsidRPr="006D6E05">
              <w:rPr>
                <w:rFonts w:ascii="new times roman" w:hAnsi="new times roman"/>
                <w:b/>
                <w:bCs/>
                <w:color w:val="000000"/>
                <w:sz w:val="22"/>
                <w:szCs w:val="22"/>
              </w:rPr>
              <w:t>NOMBRE</w:t>
            </w:r>
          </w:p>
        </w:tc>
        <w:tc>
          <w:tcPr>
            <w:tcW w:w="1181" w:type="dxa"/>
            <w:tcBorders>
              <w:top w:val="single" w:sz="4" w:space="0" w:color="auto"/>
              <w:left w:val="nil"/>
              <w:bottom w:val="single" w:sz="4" w:space="0" w:color="auto"/>
              <w:right w:val="single" w:sz="4" w:space="0" w:color="auto"/>
            </w:tcBorders>
            <w:shd w:val="clear" w:color="auto" w:fill="C5D9F1"/>
            <w:noWrap/>
            <w:vAlign w:val="bottom"/>
            <w:hideMark/>
          </w:tcPr>
          <w:p w:rsidR="00B83F03" w:rsidRPr="006D6E05" w:rsidRDefault="00B83F03" w:rsidP="00220891">
            <w:pPr>
              <w:jc w:val="center"/>
              <w:rPr>
                <w:rFonts w:ascii="new times roman" w:hAnsi="new times roman"/>
                <w:b/>
                <w:bCs/>
                <w:color w:val="000000"/>
              </w:rPr>
            </w:pPr>
            <w:r w:rsidRPr="006D6E05">
              <w:rPr>
                <w:rFonts w:ascii="new times roman" w:hAnsi="new times roman"/>
                <w:b/>
                <w:bCs/>
                <w:color w:val="000000"/>
                <w:sz w:val="22"/>
                <w:szCs w:val="22"/>
              </w:rPr>
              <w:t>CARGO</w:t>
            </w:r>
          </w:p>
        </w:tc>
        <w:tc>
          <w:tcPr>
            <w:tcW w:w="3118" w:type="dxa"/>
            <w:tcBorders>
              <w:top w:val="single" w:sz="4" w:space="0" w:color="auto"/>
              <w:left w:val="nil"/>
              <w:bottom w:val="single" w:sz="4" w:space="0" w:color="auto"/>
              <w:right w:val="single" w:sz="4" w:space="0" w:color="auto"/>
            </w:tcBorders>
            <w:shd w:val="clear" w:color="auto" w:fill="C5D9F1"/>
            <w:hideMark/>
          </w:tcPr>
          <w:p w:rsidR="00B83F03" w:rsidRPr="006D6E05" w:rsidRDefault="00B83F03" w:rsidP="00220891">
            <w:pPr>
              <w:jc w:val="center"/>
              <w:rPr>
                <w:rFonts w:ascii="new times roman" w:hAnsi="new times roman"/>
                <w:b/>
                <w:bCs/>
                <w:color w:val="000000"/>
              </w:rPr>
            </w:pPr>
            <w:r w:rsidRPr="006D6E05">
              <w:rPr>
                <w:rFonts w:ascii="new times roman" w:hAnsi="new times roman"/>
                <w:b/>
                <w:bCs/>
                <w:color w:val="000000"/>
                <w:sz w:val="22"/>
                <w:szCs w:val="22"/>
              </w:rPr>
              <w:t>Correo Electr</w:t>
            </w:r>
            <w:r w:rsidRPr="006D6E05">
              <w:rPr>
                <w:rFonts w:ascii="new times roman" w:hAnsi="new times roman" w:hint="eastAsia"/>
                <w:b/>
                <w:bCs/>
                <w:color w:val="000000"/>
                <w:sz w:val="22"/>
                <w:szCs w:val="22"/>
              </w:rPr>
              <w:t>ó</w:t>
            </w:r>
            <w:r w:rsidRPr="006D6E05">
              <w:rPr>
                <w:rFonts w:ascii="new times roman" w:hAnsi="new times roman"/>
                <w:b/>
                <w:bCs/>
                <w:color w:val="000000"/>
                <w:sz w:val="22"/>
                <w:szCs w:val="22"/>
              </w:rPr>
              <w:t>nico</w:t>
            </w:r>
          </w:p>
        </w:tc>
      </w:tr>
      <w:tr w:rsidR="00B83F03" w:rsidRPr="000D1BAC" w:rsidTr="008F483A">
        <w:trPr>
          <w:trHeight w:val="315"/>
        </w:trPr>
        <w:tc>
          <w:tcPr>
            <w:tcW w:w="3569" w:type="dxa"/>
            <w:tcBorders>
              <w:top w:val="nil"/>
              <w:left w:val="single" w:sz="4" w:space="0" w:color="auto"/>
              <w:bottom w:val="single" w:sz="4" w:space="0" w:color="auto"/>
              <w:right w:val="single" w:sz="4" w:space="0" w:color="auto"/>
            </w:tcBorders>
            <w:noWrap/>
            <w:vAlign w:val="bottom"/>
            <w:hideMark/>
          </w:tcPr>
          <w:p w:rsidR="00B83F03" w:rsidRPr="006D6E05" w:rsidRDefault="00B83F03" w:rsidP="00220891">
            <w:pPr>
              <w:rPr>
                <w:rFonts w:ascii="new times roman" w:hAnsi="new times roman"/>
                <w:color w:val="000000"/>
              </w:rPr>
            </w:pPr>
            <w:r w:rsidRPr="006D6E05">
              <w:rPr>
                <w:rFonts w:ascii="new times roman" w:hAnsi="new times roman"/>
                <w:color w:val="000000"/>
                <w:sz w:val="22"/>
                <w:szCs w:val="22"/>
              </w:rPr>
              <w:t>Francisco Malara</w:t>
            </w:r>
          </w:p>
        </w:tc>
        <w:tc>
          <w:tcPr>
            <w:tcW w:w="1181" w:type="dxa"/>
            <w:tcBorders>
              <w:top w:val="nil"/>
              <w:left w:val="nil"/>
              <w:bottom w:val="single" w:sz="4" w:space="0" w:color="auto"/>
              <w:right w:val="single" w:sz="4" w:space="0" w:color="auto"/>
            </w:tcBorders>
            <w:noWrap/>
            <w:vAlign w:val="bottom"/>
            <w:hideMark/>
          </w:tcPr>
          <w:p w:rsidR="00B83F03" w:rsidRPr="006D6E05" w:rsidRDefault="00B83F03" w:rsidP="00220891">
            <w:pPr>
              <w:rPr>
                <w:rFonts w:ascii="new times roman" w:hAnsi="new times roman"/>
                <w:color w:val="000000"/>
              </w:rPr>
            </w:pPr>
            <w:r w:rsidRPr="006D6E05">
              <w:rPr>
                <w:rFonts w:ascii="new times roman" w:hAnsi="new times roman"/>
                <w:color w:val="000000"/>
                <w:sz w:val="22"/>
                <w:szCs w:val="22"/>
              </w:rPr>
              <w:t xml:space="preserve"> Titular </w:t>
            </w:r>
          </w:p>
        </w:tc>
        <w:tc>
          <w:tcPr>
            <w:tcW w:w="3118" w:type="dxa"/>
            <w:tcBorders>
              <w:top w:val="nil"/>
              <w:left w:val="nil"/>
              <w:bottom w:val="single" w:sz="4" w:space="0" w:color="auto"/>
              <w:right w:val="single" w:sz="4" w:space="0" w:color="auto"/>
            </w:tcBorders>
            <w:hideMark/>
          </w:tcPr>
          <w:p w:rsidR="00B83F03" w:rsidRPr="006D6E05" w:rsidRDefault="00B83F03" w:rsidP="008F483A">
            <w:pPr>
              <w:rPr>
                <w:color w:val="000000"/>
              </w:rPr>
            </w:pPr>
            <w:r w:rsidRPr="000D1BAC" w:rsidDel="00336FF0">
              <w:t xml:space="preserve"> </w:t>
            </w:r>
            <w:r w:rsidRPr="000D1BAC">
              <w:t>fmalara@tarjetaactual.com.ar</w:t>
            </w:r>
          </w:p>
        </w:tc>
      </w:tr>
    </w:tbl>
    <w:p w:rsidR="001A7790" w:rsidRPr="006D6E05" w:rsidRDefault="001A7790" w:rsidP="001A7790">
      <w:pPr>
        <w:jc w:val="both"/>
        <w:rPr>
          <w:sz w:val="22"/>
          <w:szCs w:val="22"/>
        </w:rPr>
      </w:pPr>
    </w:p>
    <w:p w:rsidR="00965A08" w:rsidRPr="006D6E05" w:rsidRDefault="00965A08" w:rsidP="00EF62CE">
      <w:pPr>
        <w:jc w:val="both"/>
        <w:rPr>
          <w:sz w:val="22"/>
          <w:szCs w:val="22"/>
        </w:rPr>
      </w:pPr>
    </w:p>
    <w:p w:rsidR="001705AF" w:rsidRPr="006D6E05" w:rsidRDefault="00965A08" w:rsidP="00EF62CE">
      <w:pPr>
        <w:jc w:val="both"/>
        <w:rPr>
          <w:b/>
          <w:sz w:val="22"/>
          <w:szCs w:val="22"/>
        </w:rPr>
      </w:pPr>
      <w:r w:rsidRPr="006D6E05">
        <w:rPr>
          <w:b/>
          <w:sz w:val="22"/>
          <w:szCs w:val="22"/>
        </w:rPr>
        <w:t xml:space="preserve">ESTABLECIMIENTOS COMERCIALES </w:t>
      </w:r>
    </w:p>
    <w:p w:rsidR="00E94093" w:rsidRPr="006D6E05" w:rsidRDefault="00E94093" w:rsidP="00EF62CE">
      <w:pPr>
        <w:jc w:val="both"/>
        <w:rPr>
          <w:b/>
          <w:sz w:val="22"/>
          <w:szCs w:val="22"/>
          <w:u w:val="single"/>
        </w:rPr>
      </w:pPr>
    </w:p>
    <w:p w:rsidR="00E94093" w:rsidRPr="000D1BAC" w:rsidRDefault="00E94093" w:rsidP="00E94093">
      <w:pPr>
        <w:jc w:val="both"/>
        <w:rPr>
          <w:sz w:val="22"/>
          <w:szCs w:val="22"/>
        </w:rPr>
      </w:pPr>
      <w:r w:rsidRPr="000D1BAC">
        <w:rPr>
          <w:sz w:val="22"/>
          <w:szCs w:val="22"/>
        </w:rPr>
        <w:t>Para poder estar más cerca de sus clientes, a la Casa Central ubicada en San Luís 352, en pleno centro de la ciudad de Neuquén se han sumado nuevas sucursales:</w:t>
      </w:r>
    </w:p>
    <w:p w:rsidR="00E94093" w:rsidRPr="000D1BAC" w:rsidRDefault="00E94093" w:rsidP="00E94093">
      <w:pPr>
        <w:jc w:val="both"/>
        <w:rPr>
          <w:sz w:val="22"/>
          <w:szCs w:val="22"/>
        </w:rPr>
      </w:pPr>
    </w:p>
    <w:p w:rsidR="00E94093" w:rsidRPr="000D1BAC" w:rsidRDefault="00E94093" w:rsidP="00E94093">
      <w:pPr>
        <w:numPr>
          <w:ilvl w:val="0"/>
          <w:numId w:val="24"/>
        </w:numPr>
        <w:jc w:val="both"/>
        <w:rPr>
          <w:sz w:val="22"/>
          <w:szCs w:val="22"/>
        </w:rPr>
      </w:pPr>
      <w:r w:rsidRPr="000D1BAC">
        <w:rPr>
          <w:sz w:val="22"/>
          <w:szCs w:val="22"/>
        </w:rPr>
        <w:t>El 26 de junio de 2009, apertura del nuevo local en Rio Grande (Tierra del Fuego) en 9 de Julio 737</w:t>
      </w:r>
    </w:p>
    <w:p w:rsidR="00E94093" w:rsidRPr="000D1BAC" w:rsidRDefault="00E94093" w:rsidP="00E94093">
      <w:pPr>
        <w:numPr>
          <w:ilvl w:val="0"/>
          <w:numId w:val="24"/>
        </w:numPr>
        <w:jc w:val="both"/>
        <w:rPr>
          <w:sz w:val="22"/>
          <w:szCs w:val="22"/>
        </w:rPr>
      </w:pPr>
      <w:r w:rsidRPr="000D1BAC">
        <w:rPr>
          <w:sz w:val="22"/>
          <w:szCs w:val="22"/>
        </w:rPr>
        <w:t>El 13 de junio de 2007 en Cipolletti (Río Negro), ubicada en Sarmiento 226.</w:t>
      </w:r>
    </w:p>
    <w:p w:rsidR="00E94093" w:rsidRPr="000D1BAC" w:rsidRDefault="00E94093" w:rsidP="00E94093">
      <w:pPr>
        <w:numPr>
          <w:ilvl w:val="0"/>
          <w:numId w:val="24"/>
        </w:numPr>
        <w:jc w:val="both"/>
        <w:rPr>
          <w:sz w:val="22"/>
          <w:szCs w:val="22"/>
        </w:rPr>
      </w:pPr>
      <w:r w:rsidRPr="000D1BAC">
        <w:rPr>
          <w:sz w:val="22"/>
          <w:szCs w:val="22"/>
        </w:rPr>
        <w:t>El 5 de octubre de 2007 gracias a la alianza con el comercio Enjoy, se inaugura la sucursal en Río Grande (Tierra del Fuego), ubicada en Avda. Belgrano 829 y una segunda Sucursal el 24 de junio de 2009, ubicada en Avda. 9 de Julio 737.</w:t>
      </w:r>
    </w:p>
    <w:p w:rsidR="00E94093" w:rsidRPr="000D1BAC" w:rsidRDefault="00E94093" w:rsidP="00E94093">
      <w:pPr>
        <w:numPr>
          <w:ilvl w:val="0"/>
          <w:numId w:val="24"/>
        </w:numPr>
        <w:jc w:val="both"/>
        <w:rPr>
          <w:sz w:val="22"/>
          <w:szCs w:val="22"/>
        </w:rPr>
      </w:pPr>
      <w:r w:rsidRPr="000D1BAC">
        <w:rPr>
          <w:sz w:val="22"/>
          <w:szCs w:val="22"/>
        </w:rPr>
        <w:t>El 29 de noviembre de 2007 en Gral. Roca (Río Negro), ubicada en Tucumán 486.</w:t>
      </w:r>
    </w:p>
    <w:p w:rsidR="00E94093" w:rsidRPr="000D1BAC" w:rsidRDefault="00E94093" w:rsidP="00E94093">
      <w:pPr>
        <w:numPr>
          <w:ilvl w:val="0"/>
          <w:numId w:val="24"/>
        </w:numPr>
        <w:jc w:val="both"/>
        <w:rPr>
          <w:sz w:val="22"/>
          <w:szCs w:val="22"/>
        </w:rPr>
      </w:pPr>
      <w:r w:rsidRPr="000D1BAC">
        <w:rPr>
          <w:sz w:val="22"/>
          <w:szCs w:val="22"/>
        </w:rPr>
        <w:t>El 7 de noviembre de 2008 con una alianza con el comercio ISY en Río Cuarto (Córdoba), ubicada en Rivadavia 256.</w:t>
      </w:r>
    </w:p>
    <w:p w:rsidR="00E94093" w:rsidRPr="000D1BAC" w:rsidRDefault="00E94093" w:rsidP="00E94093">
      <w:pPr>
        <w:numPr>
          <w:ilvl w:val="0"/>
          <w:numId w:val="24"/>
        </w:numPr>
        <w:jc w:val="both"/>
        <w:rPr>
          <w:sz w:val="22"/>
          <w:szCs w:val="22"/>
        </w:rPr>
      </w:pPr>
      <w:r w:rsidRPr="000D1BAC">
        <w:rPr>
          <w:sz w:val="22"/>
          <w:szCs w:val="22"/>
        </w:rPr>
        <w:t>El 17 de marzo del 2010 se incorpora la Sucursal Ushuaia, gracias a la asociación realizada con Popper en la calle San Martín 740 de la ciudad de Ushuaia, provincia de Tierra del Fuego, con otro punto de atención, cobranza y retiro de efectivo en Cape Horn, San Martín 801.</w:t>
      </w:r>
    </w:p>
    <w:p w:rsidR="00E94093" w:rsidRPr="000D1BAC" w:rsidRDefault="00E94093" w:rsidP="00E94093">
      <w:pPr>
        <w:numPr>
          <w:ilvl w:val="0"/>
          <w:numId w:val="24"/>
        </w:numPr>
        <w:jc w:val="both"/>
        <w:rPr>
          <w:sz w:val="22"/>
          <w:szCs w:val="22"/>
        </w:rPr>
      </w:pPr>
      <w:r w:rsidRPr="000D1BAC">
        <w:rPr>
          <w:sz w:val="22"/>
          <w:szCs w:val="22"/>
        </w:rPr>
        <w:t>El 18 de Agosto del 2010 se incorpora un nuevo local en la calle Colon 46 en Rio Cuarto –provincia de Córdoba</w:t>
      </w:r>
    </w:p>
    <w:p w:rsidR="00E94093" w:rsidRPr="000D1BAC" w:rsidRDefault="00E94093" w:rsidP="00E94093">
      <w:pPr>
        <w:numPr>
          <w:ilvl w:val="0"/>
          <w:numId w:val="24"/>
        </w:numPr>
        <w:jc w:val="both"/>
        <w:rPr>
          <w:sz w:val="22"/>
          <w:szCs w:val="22"/>
        </w:rPr>
      </w:pPr>
      <w:r w:rsidRPr="000D1BAC">
        <w:rPr>
          <w:sz w:val="22"/>
          <w:szCs w:val="22"/>
        </w:rPr>
        <w:t>El 6 de diciembre del 2012 inauguramos la Sucursal Zapala, en Neuquén en la calle Avellaneda 240 Local 18</w:t>
      </w:r>
    </w:p>
    <w:p w:rsidR="00E94093" w:rsidRPr="000D1BAC" w:rsidRDefault="00E94093" w:rsidP="00E94093">
      <w:pPr>
        <w:numPr>
          <w:ilvl w:val="0"/>
          <w:numId w:val="24"/>
        </w:numPr>
        <w:jc w:val="both"/>
        <w:rPr>
          <w:sz w:val="22"/>
          <w:szCs w:val="22"/>
        </w:rPr>
      </w:pPr>
      <w:r w:rsidRPr="000D1BAC">
        <w:rPr>
          <w:sz w:val="22"/>
          <w:szCs w:val="22"/>
        </w:rPr>
        <w:t>En el mes de Octubre se suma la Sucursal Neuquén II en la calle Salta 365 de la ciudad de Neuquén, para el desarrollo de la relación comercial con UPCN</w:t>
      </w:r>
    </w:p>
    <w:p w:rsidR="00E94093" w:rsidRPr="000D1BAC" w:rsidRDefault="00E94093" w:rsidP="00E94093">
      <w:pPr>
        <w:numPr>
          <w:ilvl w:val="0"/>
          <w:numId w:val="24"/>
        </w:numPr>
        <w:jc w:val="both"/>
        <w:rPr>
          <w:sz w:val="22"/>
          <w:szCs w:val="22"/>
        </w:rPr>
      </w:pPr>
      <w:r w:rsidRPr="000D1BAC">
        <w:rPr>
          <w:sz w:val="22"/>
          <w:szCs w:val="22"/>
        </w:rPr>
        <w:t xml:space="preserve">El 20 de Enero del 2014 se inaugura la Sucursal Viedma en la calle Alvarez Barros </w:t>
      </w:r>
      <w:r w:rsidR="00E20C0A" w:rsidRPr="000D1BAC">
        <w:rPr>
          <w:sz w:val="22"/>
          <w:szCs w:val="22"/>
        </w:rPr>
        <w:t>nro.</w:t>
      </w:r>
      <w:r w:rsidRPr="000D1BAC">
        <w:rPr>
          <w:sz w:val="22"/>
          <w:szCs w:val="22"/>
        </w:rPr>
        <w:t xml:space="preserve"> 254 de la ciudad de Viedma, provincia de Río Negro</w:t>
      </w:r>
    </w:p>
    <w:p w:rsidR="001705AF" w:rsidRPr="006D6E05" w:rsidRDefault="001705AF" w:rsidP="00EF62CE">
      <w:pPr>
        <w:jc w:val="both"/>
        <w:rPr>
          <w:sz w:val="22"/>
          <w:szCs w:val="22"/>
        </w:rPr>
      </w:pPr>
    </w:p>
    <w:p w:rsidR="00965A08" w:rsidRPr="006D6E05" w:rsidRDefault="00965A08" w:rsidP="00EF62CE">
      <w:pPr>
        <w:jc w:val="both"/>
        <w:rPr>
          <w:sz w:val="22"/>
          <w:szCs w:val="22"/>
        </w:rPr>
      </w:pPr>
      <w:bookmarkStart w:id="23" w:name="_Toc512943737"/>
      <w:bookmarkStart w:id="24" w:name="_Toc514043033"/>
      <w:bookmarkStart w:id="25" w:name="_Toc515349540"/>
      <w:bookmarkStart w:id="26" w:name="_Toc515349779"/>
      <w:bookmarkStart w:id="27" w:name="_Toc521228427"/>
    </w:p>
    <w:p w:rsidR="00965A08" w:rsidRPr="006D6E05" w:rsidRDefault="00965A08" w:rsidP="00EF62CE">
      <w:pPr>
        <w:jc w:val="both"/>
        <w:rPr>
          <w:b/>
          <w:sz w:val="22"/>
          <w:szCs w:val="22"/>
        </w:rPr>
      </w:pPr>
      <w:r w:rsidRPr="006D6E05">
        <w:rPr>
          <w:b/>
          <w:sz w:val="22"/>
          <w:szCs w:val="22"/>
        </w:rPr>
        <w:t>ACTIVIDAD DE LA EMPRESA</w:t>
      </w:r>
      <w:bookmarkEnd w:id="23"/>
      <w:bookmarkEnd w:id="24"/>
      <w:bookmarkEnd w:id="25"/>
      <w:bookmarkEnd w:id="26"/>
      <w:bookmarkEnd w:id="27"/>
    </w:p>
    <w:p w:rsidR="00965A08" w:rsidRPr="006D6E05" w:rsidRDefault="00965A08" w:rsidP="00EF62CE">
      <w:pPr>
        <w:jc w:val="both"/>
        <w:rPr>
          <w:sz w:val="22"/>
          <w:szCs w:val="22"/>
        </w:rPr>
      </w:pPr>
    </w:p>
    <w:p w:rsidR="00AC5A91" w:rsidRPr="006D6E05" w:rsidRDefault="000A2B98">
      <w:pPr>
        <w:jc w:val="both"/>
        <w:rPr>
          <w:sz w:val="22"/>
          <w:szCs w:val="22"/>
        </w:rPr>
      </w:pPr>
      <w:r w:rsidRPr="006D6E05">
        <w:rPr>
          <w:sz w:val="22"/>
          <w:szCs w:val="22"/>
        </w:rPr>
        <w:t>La sociedad tiene por objeto la prestación del servicio de promoción comercial, dirección financiera y gestión administrativa para el otorgamiento de créditos para consumo en sus distintas modalidades</w:t>
      </w:r>
      <w:r w:rsidR="00AC5A91" w:rsidRPr="006D6E05">
        <w:rPr>
          <w:sz w:val="22"/>
          <w:szCs w:val="22"/>
        </w:rPr>
        <w:t>.</w:t>
      </w:r>
    </w:p>
    <w:p w:rsidR="00965A08" w:rsidRPr="006D6E05" w:rsidRDefault="00AC5A91">
      <w:pPr>
        <w:jc w:val="both"/>
        <w:rPr>
          <w:sz w:val="22"/>
          <w:szCs w:val="22"/>
        </w:rPr>
      </w:pPr>
      <w:r w:rsidRPr="006D6E05">
        <w:rPr>
          <w:sz w:val="22"/>
          <w:szCs w:val="22"/>
        </w:rPr>
        <w:t>Para llevar a cabo su actividad, formula planes de financiación cuya administración ejerce, teniendo plena capacidad jurídica para realizar todos los actos relacionados con el objeto social.</w:t>
      </w:r>
    </w:p>
    <w:p w:rsidR="00965A08" w:rsidRPr="006D6E05" w:rsidRDefault="00965A08" w:rsidP="00F302F0">
      <w:pPr>
        <w:jc w:val="both"/>
        <w:rPr>
          <w:sz w:val="22"/>
          <w:szCs w:val="22"/>
        </w:rPr>
      </w:pPr>
    </w:p>
    <w:p w:rsidR="00965A08" w:rsidRPr="006D6E05" w:rsidRDefault="00965A08" w:rsidP="00EF62CE">
      <w:pPr>
        <w:jc w:val="both"/>
        <w:rPr>
          <w:sz w:val="22"/>
          <w:szCs w:val="22"/>
        </w:rPr>
      </w:pPr>
    </w:p>
    <w:p w:rsidR="00965A08" w:rsidRPr="006D6E05" w:rsidRDefault="00965A08" w:rsidP="00EF62CE">
      <w:pPr>
        <w:jc w:val="both"/>
        <w:rPr>
          <w:b/>
          <w:sz w:val="22"/>
          <w:szCs w:val="22"/>
        </w:rPr>
      </w:pPr>
      <w:r w:rsidRPr="006D6E05">
        <w:rPr>
          <w:b/>
          <w:sz w:val="22"/>
          <w:szCs w:val="22"/>
        </w:rPr>
        <w:t>CARTERA DE CLIENTES Y EVOLUCIÓN DE VENTAS</w:t>
      </w:r>
    </w:p>
    <w:p w:rsidR="006764B7" w:rsidRPr="006D6E05" w:rsidRDefault="006764B7" w:rsidP="00EF62CE">
      <w:pPr>
        <w:jc w:val="both"/>
        <w:rPr>
          <w:b/>
          <w:sz w:val="22"/>
          <w:szCs w:val="22"/>
        </w:rPr>
      </w:pPr>
    </w:p>
    <w:p w:rsidR="006764B7" w:rsidRPr="006D6E05" w:rsidRDefault="00663814" w:rsidP="00EF62CE">
      <w:pPr>
        <w:jc w:val="both"/>
        <w:rPr>
          <w:b/>
          <w:sz w:val="22"/>
          <w:szCs w:val="22"/>
        </w:rPr>
      </w:pPr>
      <w:r w:rsidRPr="00663814">
        <w:rPr>
          <w:noProof/>
          <w:lang w:eastAsia="es-AR"/>
        </w:rPr>
        <w:drawing>
          <wp:inline distT="0" distB="0" distL="0" distR="0" wp14:anchorId="588D3A20" wp14:editId="3CFBBEE2">
            <wp:extent cx="5305425" cy="2276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425" cy="2276475"/>
                    </a:xfrm>
                    <a:prstGeom prst="rect">
                      <a:avLst/>
                    </a:prstGeom>
                    <a:noFill/>
                    <a:ln>
                      <a:noFill/>
                    </a:ln>
                  </pic:spPr>
                </pic:pic>
              </a:graphicData>
            </a:graphic>
          </wp:inline>
        </w:drawing>
      </w:r>
    </w:p>
    <w:p w:rsidR="00965A08" w:rsidRPr="006D6E05" w:rsidRDefault="00965A08" w:rsidP="008F483A">
      <w:pPr>
        <w:pStyle w:val="Ttulo3"/>
        <w:spacing w:line="360" w:lineRule="auto"/>
        <w:rPr>
          <w:rFonts w:ascii="Times New Roman" w:hAnsi="Times New Roman"/>
          <w:bCs/>
          <w:sz w:val="22"/>
          <w:szCs w:val="22"/>
          <w:u w:val="single"/>
          <w:lang w:val="es-AR"/>
        </w:rPr>
      </w:pPr>
    </w:p>
    <w:p w:rsidR="006472FE" w:rsidRPr="006D6E05" w:rsidRDefault="00B50B8E" w:rsidP="00E05397">
      <w:pPr>
        <w:rPr>
          <w:b/>
          <w:bCs/>
          <w:sz w:val="22"/>
          <w:szCs w:val="22"/>
        </w:rPr>
      </w:pPr>
      <w:r w:rsidRPr="006D6E05">
        <w:rPr>
          <w:b/>
          <w:bCs/>
          <w:sz w:val="22"/>
          <w:szCs w:val="22"/>
        </w:rPr>
        <w:t xml:space="preserve">INFORMACIÓN SOBRE OBLIGACIONES NEGOCIABLES EMITIDAS </w:t>
      </w:r>
      <w:r w:rsidR="006472FE" w:rsidRPr="006D6E05">
        <w:rPr>
          <w:b/>
          <w:bCs/>
          <w:sz w:val="22"/>
          <w:szCs w:val="22"/>
        </w:rPr>
        <w:t xml:space="preserve">POR ACTUAL S.A </w:t>
      </w:r>
      <w:r w:rsidRPr="006D6E05">
        <w:rPr>
          <w:b/>
          <w:bCs/>
          <w:sz w:val="22"/>
          <w:szCs w:val="22"/>
        </w:rPr>
        <w:t xml:space="preserve">Y VIGENTES AL </w:t>
      </w:r>
      <w:r w:rsidR="000A55EF">
        <w:rPr>
          <w:b/>
          <w:bCs/>
          <w:sz w:val="22"/>
          <w:szCs w:val="22"/>
        </w:rPr>
        <w:t>11</w:t>
      </w:r>
      <w:r w:rsidRPr="006D6E05">
        <w:rPr>
          <w:b/>
          <w:bCs/>
          <w:sz w:val="22"/>
          <w:szCs w:val="22"/>
        </w:rPr>
        <w:t>-0</w:t>
      </w:r>
      <w:r w:rsidR="000A55EF">
        <w:rPr>
          <w:b/>
          <w:bCs/>
          <w:sz w:val="22"/>
          <w:szCs w:val="22"/>
        </w:rPr>
        <w:t>1</w:t>
      </w:r>
      <w:r w:rsidRPr="006D6E05">
        <w:rPr>
          <w:b/>
          <w:bCs/>
          <w:sz w:val="22"/>
          <w:szCs w:val="22"/>
        </w:rPr>
        <w:t>-201</w:t>
      </w:r>
      <w:r w:rsidR="000A55EF">
        <w:rPr>
          <w:b/>
          <w:bCs/>
          <w:sz w:val="22"/>
          <w:szCs w:val="22"/>
        </w:rPr>
        <w:t>9</w:t>
      </w:r>
      <w:r w:rsidR="006472FE" w:rsidRPr="006D6E05">
        <w:rPr>
          <w:b/>
          <w:bCs/>
          <w:sz w:val="22"/>
          <w:szCs w:val="22"/>
        </w:rPr>
        <w:t>.</w:t>
      </w:r>
    </w:p>
    <w:p w:rsidR="006472FE" w:rsidRPr="006D6E05" w:rsidRDefault="006472FE" w:rsidP="00E05397">
      <w:pPr>
        <w:rPr>
          <w:b/>
          <w:bCs/>
          <w:sz w:val="22"/>
          <w:szCs w:val="22"/>
        </w:rPr>
      </w:pPr>
    </w:p>
    <w:p w:rsidR="006472FE" w:rsidRPr="006D6E05" w:rsidRDefault="000A55EF" w:rsidP="00E05397">
      <w:pPr>
        <w:rPr>
          <w:b/>
          <w:bCs/>
          <w:sz w:val="22"/>
          <w:szCs w:val="22"/>
        </w:rPr>
      </w:pPr>
      <w:r w:rsidRPr="000A55EF">
        <w:rPr>
          <w:noProof/>
          <w:lang w:eastAsia="es-AR"/>
        </w:rPr>
        <w:drawing>
          <wp:inline distT="0" distB="0" distL="0" distR="0" wp14:anchorId="20D6B51A" wp14:editId="67EE677B">
            <wp:extent cx="3133725" cy="2133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3725" cy="2133600"/>
                    </a:xfrm>
                    <a:prstGeom prst="rect">
                      <a:avLst/>
                    </a:prstGeom>
                    <a:noFill/>
                    <a:ln>
                      <a:noFill/>
                    </a:ln>
                  </pic:spPr>
                </pic:pic>
              </a:graphicData>
            </a:graphic>
          </wp:inline>
        </w:drawing>
      </w:r>
    </w:p>
    <w:p w:rsidR="00965A08" w:rsidRPr="006D6E05" w:rsidRDefault="00965A08" w:rsidP="00E05397">
      <w:pPr>
        <w:rPr>
          <w:b/>
          <w:bCs/>
          <w:sz w:val="22"/>
          <w:szCs w:val="22"/>
        </w:rPr>
      </w:pPr>
    </w:p>
    <w:p w:rsidR="0084696C" w:rsidRDefault="0084696C" w:rsidP="00E05397">
      <w:pPr>
        <w:rPr>
          <w:b/>
          <w:bCs/>
          <w:sz w:val="22"/>
          <w:szCs w:val="22"/>
        </w:rPr>
      </w:pPr>
      <w:r>
        <w:rPr>
          <w:b/>
          <w:bCs/>
          <w:sz w:val="22"/>
          <w:szCs w:val="22"/>
        </w:rPr>
        <w:t>CANTIDAD DE EMPLEADOS DE ACTUAL S.A.</w:t>
      </w:r>
    </w:p>
    <w:p w:rsidR="003B3F52" w:rsidRDefault="003B3F52" w:rsidP="00E05397">
      <w:pPr>
        <w:rPr>
          <w:b/>
          <w:bCs/>
          <w:sz w:val="22"/>
          <w:szCs w:val="22"/>
        </w:rPr>
      </w:pPr>
    </w:p>
    <w:p w:rsidR="0084696C" w:rsidRDefault="0084696C" w:rsidP="00E05397">
      <w:pPr>
        <w:rPr>
          <w:b/>
          <w:bCs/>
          <w:sz w:val="22"/>
          <w:szCs w:val="22"/>
        </w:rPr>
      </w:pPr>
      <w:r w:rsidRPr="0084696C">
        <w:rPr>
          <w:noProof/>
          <w:lang w:eastAsia="es-AR"/>
        </w:rPr>
        <w:drawing>
          <wp:inline distT="0" distB="0" distL="0" distR="0" wp14:anchorId="4004CD00" wp14:editId="13394162">
            <wp:extent cx="1695450" cy="6572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5450" cy="657225"/>
                    </a:xfrm>
                    <a:prstGeom prst="rect">
                      <a:avLst/>
                    </a:prstGeom>
                    <a:noFill/>
                    <a:ln>
                      <a:noFill/>
                    </a:ln>
                  </pic:spPr>
                </pic:pic>
              </a:graphicData>
            </a:graphic>
          </wp:inline>
        </w:drawing>
      </w:r>
    </w:p>
    <w:p w:rsidR="0084696C" w:rsidRDefault="0084696C" w:rsidP="00E05397">
      <w:pPr>
        <w:rPr>
          <w:b/>
          <w:bCs/>
          <w:sz w:val="22"/>
          <w:szCs w:val="22"/>
        </w:rPr>
      </w:pPr>
    </w:p>
    <w:p w:rsidR="00965A08" w:rsidRPr="006D6E05" w:rsidRDefault="00965A08" w:rsidP="00E05397">
      <w:pPr>
        <w:rPr>
          <w:b/>
          <w:bCs/>
          <w:sz w:val="22"/>
          <w:szCs w:val="22"/>
        </w:rPr>
      </w:pPr>
      <w:r w:rsidRPr="006D6E05">
        <w:rPr>
          <w:b/>
          <w:bCs/>
          <w:sz w:val="22"/>
          <w:szCs w:val="22"/>
        </w:rPr>
        <w:t xml:space="preserve">INFORMACIÓN CONTABLE DE </w:t>
      </w:r>
      <w:r w:rsidR="00594219" w:rsidRPr="006D6E05">
        <w:rPr>
          <w:b/>
          <w:bCs/>
          <w:sz w:val="22"/>
          <w:szCs w:val="22"/>
        </w:rPr>
        <w:t>ACTUAL</w:t>
      </w:r>
      <w:r w:rsidRPr="006D6E05">
        <w:rPr>
          <w:b/>
          <w:bCs/>
          <w:sz w:val="22"/>
          <w:szCs w:val="22"/>
        </w:rPr>
        <w:t xml:space="preserve"> S.A.</w:t>
      </w:r>
    </w:p>
    <w:p w:rsidR="00A563D5" w:rsidRPr="006D6E05" w:rsidRDefault="00A563D5" w:rsidP="00E05397">
      <w:pPr>
        <w:rPr>
          <w:b/>
          <w:bCs/>
          <w:sz w:val="22"/>
          <w:szCs w:val="22"/>
        </w:rPr>
      </w:pPr>
    </w:p>
    <w:p w:rsidR="00E930B3" w:rsidRPr="006D6E05" w:rsidRDefault="00E930B3" w:rsidP="00E05397">
      <w:pPr>
        <w:rPr>
          <w:b/>
          <w:bCs/>
          <w:sz w:val="22"/>
          <w:szCs w:val="22"/>
        </w:rPr>
      </w:pPr>
      <w:r w:rsidRPr="006D6E05">
        <w:rPr>
          <w:b/>
          <w:bCs/>
          <w:sz w:val="22"/>
          <w:szCs w:val="22"/>
        </w:rPr>
        <w:t>Estado de Situación Patrimonial</w:t>
      </w:r>
    </w:p>
    <w:p w:rsidR="00E930B3" w:rsidRPr="006D6E05" w:rsidRDefault="00E930B3" w:rsidP="00E05397">
      <w:pPr>
        <w:rPr>
          <w:b/>
          <w:bCs/>
          <w:sz w:val="22"/>
          <w:szCs w:val="22"/>
        </w:rPr>
      </w:pPr>
    </w:p>
    <w:p w:rsidR="006764B7" w:rsidRPr="006D6E05" w:rsidRDefault="00D803DC" w:rsidP="00E05397">
      <w:pPr>
        <w:rPr>
          <w:b/>
          <w:bCs/>
          <w:sz w:val="22"/>
          <w:szCs w:val="22"/>
        </w:rPr>
      </w:pPr>
      <w:r w:rsidRPr="000D1BAC">
        <w:rPr>
          <w:noProof/>
          <w:lang w:eastAsia="es-AR"/>
        </w:rPr>
        <w:drawing>
          <wp:inline distT="0" distB="0" distL="0" distR="0" wp14:anchorId="168E11EA" wp14:editId="6351F228">
            <wp:extent cx="5831840" cy="262432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1840" cy="2624328"/>
                    </a:xfrm>
                    <a:prstGeom prst="rect">
                      <a:avLst/>
                    </a:prstGeom>
                    <a:noFill/>
                    <a:ln>
                      <a:noFill/>
                    </a:ln>
                  </pic:spPr>
                </pic:pic>
              </a:graphicData>
            </a:graphic>
          </wp:inline>
        </w:drawing>
      </w:r>
    </w:p>
    <w:p w:rsidR="00965A08" w:rsidRPr="006D6E05" w:rsidRDefault="00965A08">
      <w:pPr>
        <w:rPr>
          <w:b/>
          <w:bCs/>
          <w:sz w:val="22"/>
          <w:szCs w:val="22"/>
        </w:rPr>
      </w:pPr>
    </w:p>
    <w:p w:rsidR="00C74294" w:rsidRPr="000D1BAC" w:rsidRDefault="00D803DC" w:rsidP="00C74294">
      <w:pPr>
        <w:rPr>
          <w:b/>
          <w:bCs/>
          <w:sz w:val="22"/>
          <w:szCs w:val="22"/>
        </w:rPr>
      </w:pPr>
      <w:r w:rsidRPr="000D1BAC">
        <w:rPr>
          <w:noProof/>
          <w:lang w:eastAsia="es-AR"/>
        </w:rPr>
        <w:drawing>
          <wp:inline distT="0" distB="0" distL="0" distR="0" wp14:anchorId="59C3D28E" wp14:editId="48716C40">
            <wp:extent cx="5831840" cy="34905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1840" cy="3490528"/>
                    </a:xfrm>
                    <a:prstGeom prst="rect">
                      <a:avLst/>
                    </a:prstGeom>
                    <a:noFill/>
                    <a:ln>
                      <a:noFill/>
                    </a:ln>
                  </pic:spPr>
                </pic:pic>
              </a:graphicData>
            </a:graphic>
          </wp:inline>
        </w:drawing>
      </w:r>
    </w:p>
    <w:p w:rsidR="00D803DC" w:rsidRPr="000D1BAC" w:rsidRDefault="00D803DC" w:rsidP="000C24BD"/>
    <w:p w:rsidR="00E930B3" w:rsidRPr="006D6E05" w:rsidRDefault="00E930B3" w:rsidP="00E930B3">
      <w:pPr>
        <w:rPr>
          <w:b/>
          <w:bCs/>
          <w:sz w:val="22"/>
          <w:szCs w:val="22"/>
        </w:rPr>
      </w:pPr>
      <w:r w:rsidRPr="006D6E05">
        <w:rPr>
          <w:b/>
          <w:bCs/>
          <w:sz w:val="22"/>
          <w:szCs w:val="22"/>
        </w:rPr>
        <w:t>Estado de Resultados</w:t>
      </w:r>
    </w:p>
    <w:p w:rsidR="00E930B3" w:rsidRPr="000D1BAC" w:rsidRDefault="00E930B3" w:rsidP="000C24BD"/>
    <w:p w:rsidR="000C24BD" w:rsidRPr="000D1BAC" w:rsidRDefault="00D803DC" w:rsidP="000C24BD">
      <w:r w:rsidRPr="000D1BAC">
        <w:rPr>
          <w:noProof/>
          <w:lang w:eastAsia="es-AR"/>
        </w:rPr>
        <w:drawing>
          <wp:inline distT="0" distB="0" distL="0" distR="0" wp14:anchorId="4252A4D9" wp14:editId="778AEB40">
            <wp:extent cx="5831840" cy="26243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1840" cy="2624328"/>
                    </a:xfrm>
                    <a:prstGeom prst="rect">
                      <a:avLst/>
                    </a:prstGeom>
                    <a:noFill/>
                    <a:ln>
                      <a:noFill/>
                    </a:ln>
                  </pic:spPr>
                </pic:pic>
              </a:graphicData>
            </a:graphic>
          </wp:inline>
        </w:drawing>
      </w:r>
    </w:p>
    <w:p w:rsidR="00A563D5" w:rsidRPr="000D1BAC" w:rsidRDefault="00A563D5" w:rsidP="000C24BD"/>
    <w:p w:rsidR="00E930B3" w:rsidRPr="006D6E05" w:rsidRDefault="00E20C0A" w:rsidP="000C24BD">
      <w:pPr>
        <w:rPr>
          <w:b/>
          <w:bCs/>
          <w:sz w:val="22"/>
          <w:szCs w:val="22"/>
        </w:rPr>
      </w:pPr>
      <w:r w:rsidRPr="00E20C0A">
        <w:rPr>
          <w:b/>
          <w:bCs/>
          <w:sz w:val="22"/>
          <w:szCs w:val="22"/>
        </w:rPr>
        <w:t>Índices</w:t>
      </w:r>
    </w:p>
    <w:p w:rsidR="00E930B3" w:rsidRPr="006D6E05" w:rsidRDefault="00E930B3" w:rsidP="000C24BD">
      <w:pPr>
        <w:rPr>
          <w:b/>
          <w:bCs/>
          <w:sz w:val="22"/>
          <w:szCs w:val="22"/>
        </w:rPr>
      </w:pPr>
    </w:p>
    <w:p w:rsidR="00D803DC" w:rsidRPr="000D1BAC" w:rsidRDefault="00D803DC" w:rsidP="000C24BD">
      <w:r w:rsidRPr="000D1BAC">
        <w:rPr>
          <w:noProof/>
          <w:lang w:eastAsia="es-AR"/>
        </w:rPr>
        <w:drawing>
          <wp:inline distT="0" distB="0" distL="0" distR="0" wp14:anchorId="276FEEF6" wp14:editId="0C2F1ED3">
            <wp:extent cx="5831840" cy="8833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1840" cy="883352"/>
                    </a:xfrm>
                    <a:prstGeom prst="rect">
                      <a:avLst/>
                    </a:prstGeom>
                    <a:noFill/>
                    <a:ln>
                      <a:noFill/>
                    </a:ln>
                  </pic:spPr>
                </pic:pic>
              </a:graphicData>
            </a:graphic>
          </wp:inline>
        </w:drawing>
      </w:r>
    </w:p>
    <w:p w:rsidR="00002804" w:rsidRPr="000D1BAC" w:rsidRDefault="00002804" w:rsidP="000C24BD"/>
    <w:p w:rsidR="00A769F9" w:rsidRPr="00AA2865" w:rsidRDefault="00A769F9" w:rsidP="000C24BD">
      <w:pPr>
        <w:rPr>
          <w:b/>
          <w:bCs/>
          <w:sz w:val="22"/>
          <w:szCs w:val="22"/>
        </w:rPr>
      </w:pPr>
      <w:r w:rsidRPr="00AA2865">
        <w:rPr>
          <w:b/>
          <w:bCs/>
          <w:sz w:val="22"/>
          <w:szCs w:val="22"/>
        </w:rPr>
        <w:t>Estado de Situación Patrimonial Trimestral</w:t>
      </w:r>
    </w:p>
    <w:p w:rsidR="00A769F9" w:rsidRDefault="00A769F9" w:rsidP="000C24BD"/>
    <w:p w:rsidR="00A769F9" w:rsidRDefault="00A769F9" w:rsidP="000C24BD">
      <w:r w:rsidRPr="00A769F9">
        <w:rPr>
          <w:noProof/>
          <w:lang w:eastAsia="es-AR"/>
        </w:rPr>
        <w:drawing>
          <wp:inline distT="0" distB="0" distL="0" distR="0" wp14:anchorId="06BE34C3" wp14:editId="49FAC17B">
            <wp:extent cx="5362575" cy="29146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2575" cy="2914650"/>
                    </a:xfrm>
                    <a:prstGeom prst="rect">
                      <a:avLst/>
                    </a:prstGeom>
                    <a:noFill/>
                    <a:ln>
                      <a:noFill/>
                    </a:ln>
                  </pic:spPr>
                </pic:pic>
              </a:graphicData>
            </a:graphic>
          </wp:inline>
        </w:drawing>
      </w:r>
    </w:p>
    <w:p w:rsidR="00A769F9" w:rsidRDefault="00A769F9" w:rsidP="000C24BD"/>
    <w:p w:rsidR="00A769F9" w:rsidRDefault="00A769F9" w:rsidP="000C24BD">
      <w:r w:rsidRPr="00A769F9">
        <w:rPr>
          <w:noProof/>
          <w:lang w:eastAsia="es-AR"/>
        </w:rPr>
        <w:drawing>
          <wp:inline distT="0" distB="0" distL="0" distR="0" wp14:anchorId="33DD5EB5" wp14:editId="4E87031F">
            <wp:extent cx="5362575" cy="38766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75" cy="3876675"/>
                    </a:xfrm>
                    <a:prstGeom prst="rect">
                      <a:avLst/>
                    </a:prstGeom>
                    <a:noFill/>
                    <a:ln>
                      <a:noFill/>
                    </a:ln>
                  </pic:spPr>
                </pic:pic>
              </a:graphicData>
            </a:graphic>
          </wp:inline>
        </w:drawing>
      </w:r>
    </w:p>
    <w:p w:rsidR="00A769F9" w:rsidRDefault="00A769F9" w:rsidP="000C24BD"/>
    <w:p w:rsidR="00A769F9" w:rsidRPr="00AA2865" w:rsidRDefault="00A769F9" w:rsidP="000C24BD">
      <w:pPr>
        <w:rPr>
          <w:b/>
          <w:bCs/>
          <w:sz w:val="22"/>
          <w:szCs w:val="22"/>
        </w:rPr>
      </w:pPr>
      <w:r w:rsidRPr="00AA2865">
        <w:rPr>
          <w:b/>
          <w:bCs/>
          <w:sz w:val="22"/>
          <w:szCs w:val="22"/>
        </w:rPr>
        <w:t>Estado de Resultados Trimestral</w:t>
      </w:r>
    </w:p>
    <w:p w:rsidR="00A769F9" w:rsidRDefault="00A769F9" w:rsidP="000C24BD"/>
    <w:p w:rsidR="00A769F9" w:rsidRDefault="00A769F9" w:rsidP="000C24BD">
      <w:r w:rsidRPr="00A769F9">
        <w:rPr>
          <w:noProof/>
          <w:lang w:eastAsia="es-AR"/>
        </w:rPr>
        <w:drawing>
          <wp:inline distT="0" distB="0" distL="0" distR="0" wp14:anchorId="2C8F8D09" wp14:editId="1A2264C5">
            <wp:extent cx="5362575" cy="2914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575" cy="2914650"/>
                    </a:xfrm>
                    <a:prstGeom prst="rect">
                      <a:avLst/>
                    </a:prstGeom>
                    <a:noFill/>
                    <a:ln>
                      <a:noFill/>
                    </a:ln>
                  </pic:spPr>
                </pic:pic>
              </a:graphicData>
            </a:graphic>
          </wp:inline>
        </w:drawing>
      </w:r>
    </w:p>
    <w:p w:rsidR="00A769F9" w:rsidRDefault="00A769F9" w:rsidP="000C24BD"/>
    <w:p w:rsidR="00AC25A6" w:rsidRPr="000D1BAC" w:rsidRDefault="000C24BD" w:rsidP="000C24BD">
      <w:r w:rsidRPr="000D1BAC">
        <w:t xml:space="preserve">Los EECC pueden consultarse </w:t>
      </w:r>
      <w:r w:rsidR="00002804" w:rsidRPr="000D1BAC">
        <w:t xml:space="preserve">en el sitio web de CNV http://www.cnv.gov.ar </w:t>
      </w:r>
      <w:r w:rsidR="00AC25A6" w:rsidRPr="000D1BAC">
        <w:t>–</w:t>
      </w:r>
      <w:r w:rsidR="00002804" w:rsidRPr="000D1BAC">
        <w:t xml:space="preserve"> </w:t>
      </w:r>
      <w:r w:rsidR="00AC25A6" w:rsidRPr="000D1BAC">
        <w:t>Empresas – Información financiera – Trimestrales/Anuales.</w:t>
      </w:r>
    </w:p>
    <w:p w:rsidR="003B7E94" w:rsidRPr="000D1BAC" w:rsidRDefault="003B7E94" w:rsidP="000C24BD">
      <w:pPr>
        <w:rPr>
          <w:highlight w:val="yellow"/>
          <w:u w:val="double"/>
        </w:rPr>
      </w:pPr>
    </w:p>
    <w:p w:rsidR="003B7E94" w:rsidRPr="000D1BAC" w:rsidRDefault="003B7E94" w:rsidP="000C24BD">
      <w:pPr>
        <w:rPr>
          <w:u w:val="double"/>
        </w:rPr>
      </w:pPr>
    </w:p>
    <w:p w:rsidR="00965A08" w:rsidRPr="006D6E05" w:rsidRDefault="00965A08" w:rsidP="00CA5E0A">
      <w:pPr>
        <w:jc w:val="center"/>
        <w:rPr>
          <w:b/>
          <w:bCs/>
          <w:sz w:val="22"/>
          <w:szCs w:val="22"/>
        </w:rPr>
      </w:pPr>
    </w:p>
    <w:p w:rsidR="00965A08" w:rsidRPr="006D6E05" w:rsidRDefault="00965A08">
      <w:pPr>
        <w:rPr>
          <w:b/>
          <w:bCs/>
          <w:sz w:val="22"/>
          <w:szCs w:val="22"/>
        </w:rPr>
      </w:pPr>
      <w:r w:rsidRPr="006D6E05">
        <w:rPr>
          <w:b/>
          <w:bCs/>
          <w:sz w:val="22"/>
          <w:szCs w:val="22"/>
        </w:rPr>
        <w:t xml:space="preserve">AUDITOR EXTERNO </w:t>
      </w:r>
    </w:p>
    <w:p w:rsidR="00965A08" w:rsidRPr="006D6E05" w:rsidRDefault="00965A08">
      <w:pPr>
        <w:rPr>
          <w:b/>
          <w:bCs/>
          <w:sz w:val="22"/>
          <w:szCs w:val="22"/>
        </w:rPr>
      </w:pPr>
    </w:p>
    <w:p w:rsidR="00965A08" w:rsidRPr="006D6E05" w:rsidRDefault="00DE267D" w:rsidP="003C4E6A">
      <w:pPr>
        <w:jc w:val="both"/>
        <w:rPr>
          <w:snapToGrid w:val="0"/>
          <w:sz w:val="22"/>
          <w:szCs w:val="22"/>
        </w:rPr>
      </w:pPr>
      <w:r w:rsidRPr="006D6E05">
        <w:rPr>
          <w:snapToGrid w:val="0"/>
          <w:sz w:val="22"/>
          <w:szCs w:val="22"/>
        </w:rPr>
        <w:t>En fecha</w:t>
      </w:r>
      <w:r w:rsidR="00C45AD0" w:rsidRPr="006D6E05">
        <w:rPr>
          <w:snapToGrid w:val="0"/>
          <w:sz w:val="22"/>
          <w:szCs w:val="22"/>
        </w:rPr>
        <w:t xml:space="preserve"> 07/05/2018 </w:t>
      </w:r>
      <w:r w:rsidRPr="006D6E05">
        <w:rPr>
          <w:snapToGrid w:val="0"/>
          <w:sz w:val="22"/>
          <w:szCs w:val="22"/>
        </w:rPr>
        <w:t xml:space="preserve">mediante Asamblea General </w:t>
      </w:r>
      <w:r w:rsidR="00C45AD0" w:rsidRPr="006D6E05">
        <w:rPr>
          <w:snapToGrid w:val="0"/>
          <w:sz w:val="22"/>
          <w:szCs w:val="22"/>
        </w:rPr>
        <w:t>Ordinaria</w:t>
      </w:r>
      <w:r w:rsidRPr="006D6E05">
        <w:rPr>
          <w:snapToGrid w:val="0"/>
          <w:sz w:val="22"/>
          <w:szCs w:val="22"/>
        </w:rPr>
        <w:t xml:space="preserve"> se designó como</w:t>
      </w:r>
      <w:r w:rsidR="00965A08" w:rsidRPr="006D6E05">
        <w:rPr>
          <w:snapToGrid w:val="0"/>
          <w:sz w:val="22"/>
          <w:szCs w:val="22"/>
        </w:rPr>
        <w:t xml:space="preserve"> auditor externo</w:t>
      </w:r>
      <w:r w:rsidR="00C45AD0" w:rsidRPr="006D6E05">
        <w:rPr>
          <w:snapToGrid w:val="0"/>
          <w:sz w:val="22"/>
          <w:szCs w:val="22"/>
        </w:rPr>
        <w:t xml:space="preserve"> titular</w:t>
      </w:r>
      <w:r w:rsidR="00965A08" w:rsidRPr="006D6E05">
        <w:rPr>
          <w:snapToGrid w:val="0"/>
          <w:sz w:val="22"/>
          <w:szCs w:val="22"/>
        </w:rPr>
        <w:t xml:space="preserve"> de la sociedad </w:t>
      </w:r>
      <w:r w:rsidRPr="006D6E05">
        <w:rPr>
          <w:snapToGrid w:val="0"/>
          <w:sz w:val="22"/>
          <w:szCs w:val="22"/>
        </w:rPr>
        <w:t>al</w:t>
      </w:r>
      <w:r w:rsidR="00C45AD0" w:rsidRPr="006D6E05">
        <w:rPr>
          <w:snapToGrid w:val="0"/>
          <w:sz w:val="22"/>
          <w:szCs w:val="22"/>
        </w:rPr>
        <w:t xml:space="preserve"> Cdor. Sergio Edgardo Vicente,</w:t>
      </w:r>
      <w:r w:rsidRPr="006D6E05">
        <w:rPr>
          <w:snapToGrid w:val="0"/>
          <w:sz w:val="22"/>
          <w:szCs w:val="22"/>
        </w:rPr>
        <w:t xml:space="preserve"> </w:t>
      </w:r>
      <w:r w:rsidR="00965A08" w:rsidRPr="006D6E05">
        <w:rPr>
          <w:snapToGrid w:val="0"/>
          <w:sz w:val="22"/>
          <w:szCs w:val="22"/>
        </w:rPr>
        <w:t>T</w:t>
      </w:r>
      <w:r w:rsidR="00362DF5" w:rsidRPr="006D6E05">
        <w:rPr>
          <w:snapToGrid w:val="0"/>
          <w:sz w:val="22"/>
          <w:szCs w:val="22"/>
        </w:rPr>
        <w:t>°</w:t>
      </w:r>
      <w:r w:rsidR="00C45AD0" w:rsidRPr="006D6E05">
        <w:rPr>
          <w:snapToGrid w:val="0"/>
          <w:sz w:val="22"/>
          <w:szCs w:val="22"/>
        </w:rPr>
        <w:t xml:space="preserve"> VII</w:t>
      </w:r>
      <w:r w:rsidR="00965A08" w:rsidRPr="006D6E05">
        <w:rPr>
          <w:snapToGrid w:val="0"/>
          <w:sz w:val="22"/>
          <w:szCs w:val="22"/>
        </w:rPr>
        <w:t xml:space="preserve"> Folio </w:t>
      </w:r>
      <w:r w:rsidR="00C45AD0" w:rsidRPr="006D6E05">
        <w:rPr>
          <w:snapToGrid w:val="0"/>
          <w:sz w:val="22"/>
          <w:szCs w:val="22"/>
        </w:rPr>
        <w:t>N</w:t>
      </w:r>
      <w:r w:rsidR="00965A08" w:rsidRPr="006D6E05">
        <w:rPr>
          <w:snapToGrid w:val="0"/>
          <w:sz w:val="22"/>
          <w:szCs w:val="22"/>
        </w:rPr>
        <w:t>°</w:t>
      </w:r>
      <w:r w:rsidR="00C45AD0" w:rsidRPr="006D6E05">
        <w:rPr>
          <w:snapToGrid w:val="0"/>
          <w:sz w:val="22"/>
          <w:szCs w:val="22"/>
        </w:rPr>
        <w:t xml:space="preserve"> 001 del Consejo de Ciencias Económicas de la Provincia de Neuquén, y al Cdor. Julio Antonio Martínez como auditor externo suplente, Tomo 290 F° 85 del Consejo Profesional de Ciencias Económicas de la Ciudad de Buenos Aires, </w:t>
      </w:r>
      <w:r w:rsidR="00965A08" w:rsidRPr="006D6E05">
        <w:rPr>
          <w:snapToGrid w:val="0"/>
          <w:sz w:val="22"/>
          <w:szCs w:val="22"/>
        </w:rPr>
        <w:t>quien</w:t>
      </w:r>
      <w:r w:rsidR="00C45AD0" w:rsidRPr="006D6E05">
        <w:rPr>
          <w:snapToGrid w:val="0"/>
          <w:sz w:val="22"/>
          <w:szCs w:val="22"/>
        </w:rPr>
        <w:t>es</w:t>
      </w:r>
      <w:r w:rsidR="00965A08" w:rsidRPr="006D6E05">
        <w:rPr>
          <w:snapToGrid w:val="0"/>
          <w:sz w:val="22"/>
          <w:szCs w:val="22"/>
        </w:rPr>
        <w:t xml:space="preserve"> cumple</w:t>
      </w:r>
      <w:r w:rsidR="00C45AD0" w:rsidRPr="006D6E05">
        <w:rPr>
          <w:snapToGrid w:val="0"/>
          <w:sz w:val="22"/>
          <w:szCs w:val="22"/>
        </w:rPr>
        <w:t>n</w:t>
      </w:r>
      <w:r w:rsidR="00965A08" w:rsidRPr="006D6E05">
        <w:rPr>
          <w:snapToGrid w:val="0"/>
          <w:sz w:val="22"/>
          <w:szCs w:val="22"/>
        </w:rPr>
        <w:t xml:space="preserve"> con las condiciones de independencia establecidas por la Resolución Técnica N°7 de la Federación Argentina de Consejos Profesionales de Ciencias Económicas y en el art.18 del Cap.</w:t>
      </w:r>
      <w:r w:rsidR="00DA2E13" w:rsidRPr="006D6E05">
        <w:rPr>
          <w:snapToGrid w:val="0"/>
          <w:sz w:val="22"/>
          <w:szCs w:val="22"/>
        </w:rPr>
        <w:t xml:space="preserve"> </w:t>
      </w:r>
      <w:r w:rsidR="00965A08" w:rsidRPr="006D6E05">
        <w:rPr>
          <w:snapToGrid w:val="0"/>
          <w:sz w:val="22"/>
          <w:szCs w:val="22"/>
        </w:rPr>
        <w:t>III de las normas de la CNV.</w:t>
      </w:r>
    </w:p>
    <w:p w:rsidR="00965A08" w:rsidRPr="006D6E05" w:rsidRDefault="00965A08" w:rsidP="003C4E6A">
      <w:pPr>
        <w:jc w:val="both"/>
        <w:rPr>
          <w:snapToGrid w:val="0"/>
          <w:sz w:val="22"/>
          <w:szCs w:val="22"/>
        </w:rPr>
      </w:pPr>
      <w:r w:rsidRPr="006D6E05">
        <w:rPr>
          <w:snapToGrid w:val="0"/>
          <w:sz w:val="22"/>
          <w:szCs w:val="22"/>
        </w:rPr>
        <w:t xml:space="preserve">Debajo se detallan los Auditores Externos de los últimos tres ejercicios económicos: </w:t>
      </w:r>
    </w:p>
    <w:p w:rsidR="00965A08" w:rsidRPr="006D6E05" w:rsidRDefault="00965A08" w:rsidP="003C4E6A">
      <w:pPr>
        <w:jc w:val="both"/>
        <w:rPr>
          <w:snapToGrid w:val="0"/>
          <w:sz w:val="22"/>
          <w:szCs w:val="22"/>
        </w:rPr>
      </w:pPr>
      <w:r w:rsidRPr="006D6E05">
        <w:rPr>
          <w:snapToGrid w:val="0"/>
          <w:sz w:val="22"/>
          <w:szCs w:val="22"/>
        </w:rPr>
        <w:t xml:space="preserve">Ejercicio </w:t>
      </w:r>
      <w:r w:rsidR="00362DF5" w:rsidRPr="006D6E05">
        <w:rPr>
          <w:snapToGrid w:val="0"/>
          <w:sz w:val="22"/>
          <w:szCs w:val="22"/>
        </w:rPr>
        <w:t>2018;2017;2016</w:t>
      </w:r>
      <w:r w:rsidRPr="006D6E05">
        <w:rPr>
          <w:snapToGrid w:val="0"/>
          <w:sz w:val="22"/>
          <w:szCs w:val="22"/>
        </w:rPr>
        <w:t xml:space="preserve">: </w:t>
      </w:r>
      <w:r w:rsidR="00362DF5" w:rsidRPr="006D6E05">
        <w:rPr>
          <w:snapToGrid w:val="0"/>
          <w:sz w:val="22"/>
          <w:szCs w:val="22"/>
        </w:rPr>
        <w:t>Sergio Edgardo Vicente (titular)</w:t>
      </w:r>
      <w:r w:rsidRPr="006D6E05">
        <w:rPr>
          <w:snapToGrid w:val="0"/>
          <w:sz w:val="22"/>
          <w:szCs w:val="22"/>
        </w:rPr>
        <w:t xml:space="preserve">, DNI </w:t>
      </w:r>
      <w:r w:rsidR="00362DF5" w:rsidRPr="006D6E05">
        <w:rPr>
          <w:snapToGrid w:val="0"/>
          <w:sz w:val="22"/>
          <w:szCs w:val="22"/>
        </w:rPr>
        <w:t>22.474.733</w:t>
      </w:r>
      <w:r w:rsidRPr="006D6E05">
        <w:rPr>
          <w:snapToGrid w:val="0"/>
          <w:sz w:val="22"/>
          <w:szCs w:val="22"/>
        </w:rPr>
        <w:t>, Tº</w:t>
      </w:r>
      <w:r w:rsidR="00362DF5" w:rsidRPr="006D6E05">
        <w:rPr>
          <w:snapToGrid w:val="0"/>
          <w:sz w:val="22"/>
          <w:szCs w:val="22"/>
        </w:rPr>
        <w:t xml:space="preserve"> VII</w:t>
      </w:r>
      <w:r w:rsidRPr="006D6E05">
        <w:rPr>
          <w:snapToGrid w:val="0"/>
          <w:sz w:val="22"/>
          <w:szCs w:val="22"/>
        </w:rPr>
        <w:t>, Fº</w:t>
      </w:r>
      <w:r w:rsidR="00362DF5" w:rsidRPr="006D6E05">
        <w:rPr>
          <w:snapToGrid w:val="0"/>
          <w:sz w:val="22"/>
          <w:szCs w:val="22"/>
        </w:rPr>
        <w:t xml:space="preserve"> 001</w:t>
      </w:r>
      <w:r w:rsidRPr="006D6E05">
        <w:rPr>
          <w:snapToGrid w:val="0"/>
          <w:sz w:val="22"/>
          <w:szCs w:val="22"/>
        </w:rPr>
        <w:t>,</w:t>
      </w:r>
      <w:r w:rsidR="00362DF5" w:rsidRPr="006D6E05">
        <w:rPr>
          <w:snapToGrid w:val="0"/>
          <w:sz w:val="22"/>
          <w:szCs w:val="22"/>
        </w:rPr>
        <w:t xml:space="preserve"> Consejo Profesional de Ciencias Económicas de Neuquén. Julio Antonio Martínez (suplente), DNI 25.315.682, T°290 F° 85 Consejo Profesional de Ciencias Económicas de la Ciudad de Buenos Aires.</w:t>
      </w:r>
    </w:p>
    <w:p w:rsidR="00F77959" w:rsidRPr="006D6E05" w:rsidRDefault="00F77959" w:rsidP="002C1003">
      <w:pPr>
        <w:jc w:val="both"/>
        <w:rPr>
          <w:sz w:val="22"/>
          <w:szCs w:val="22"/>
        </w:rPr>
      </w:pPr>
    </w:p>
    <w:p w:rsidR="00965A08" w:rsidRPr="006D6E05" w:rsidRDefault="00965A08" w:rsidP="009403FB">
      <w:pPr>
        <w:jc w:val="both"/>
        <w:rPr>
          <w:sz w:val="22"/>
          <w:szCs w:val="22"/>
        </w:rPr>
      </w:pPr>
    </w:p>
    <w:p w:rsidR="00965A08" w:rsidRPr="006D6E05" w:rsidRDefault="00965A08" w:rsidP="0026682F">
      <w:pPr>
        <w:widowControl w:val="0"/>
        <w:suppressLineNumbers/>
        <w:tabs>
          <w:tab w:val="left" w:pos="0"/>
          <w:tab w:val="left" w:pos="664"/>
        </w:tabs>
        <w:suppressAutoHyphens/>
        <w:ind w:right="40"/>
        <w:jc w:val="both"/>
        <w:rPr>
          <w:noProof/>
          <w:sz w:val="20"/>
          <w:szCs w:val="20"/>
        </w:rPr>
      </w:pPr>
    </w:p>
    <w:p w:rsidR="00965A08" w:rsidRPr="006D6E05" w:rsidRDefault="00965A08" w:rsidP="008F483A">
      <w:pPr>
        <w:pStyle w:val="Encabezado"/>
        <w:widowControl w:val="0"/>
        <w:numPr>
          <w:ilvl w:val="0"/>
          <w:numId w:val="21"/>
        </w:numPr>
        <w:suppressAutoHyphens/>
        <w:jc w:val="center"/>
        <w:outlineLvl w:val="0"/>
        <w:rPr>
          <w:rFonts w:ascii="Times New Roman" w:hAnsi="Times New Roman"/>
          <w:b/>
          <w:color w:val="000000"/>
          <w:sz w:val="22"/>
          <w:lang w:val="es-AR"/>
        </w:rPr>
      </w:pPr>
      <w:r w:rsidRPr="006D6E05">
        <w:rPr>
          <w:rFonts w:ascii="Times New Roman" w:hAnsi="Times New Roman"/>
          <w:b/>
          <w:color w:val="000000"/>
          <w:sz w:val="22"/>
          <w:lang w:val="es-AR"/>
        </w:rPr>
        <w:t>RESOLUCIONES SOCIALES RELATIVAS A LA EMISIÓN</w:t>
      </w:r>
    </w:p>
    <w:p w:rsidR="00965A08" w:rsidRPr="006D6E05" w:rsidRDefault="00965A08" w:rsidP="0026682F">
      <w:pPr>
        <w:jc w:val="both"/>
        <w:rPr>
          <w:b/>
          <w:color w:val="000000"/>
          <w:sz w:val="22"/>
          <w:szCs w:val="20"/>
        </w:rPr>
      </w:pPr>
    </w:p>
    <w:p w:rsidR="005B2EEB" w:rsidRPr="006D6E05" w:rsidRDefault="00965A08" w:rsidP="0026682F">
      <w:pPr>
        <w:jc w:val="both"/>
        <w:rPr>
          <w:sz w:val="22"/>
        </w:rPr>
      </w:pPr>
      <w:r w:rsidRPr="006D6E05">
        <w:rPr>
          <w:color w:val="000000"/>
          <w:sz w:val="22"/>
          <w:szCs w:val="20"/>
        </w:rPr>
        <w:t xml:space="preserve">El ingreso de la Sociedad al régimen de oferta pública y la creación del Programa Global para la emisión de Obligaciones Negociables PyMEs, </w:t>
      </w:r>
      <w:r w:rsidRPr="006D6E05">
        <w:rPr>
          <w:sz w:val="22"/>
        </w:rPr>
        <w:t xml:space="preserve">fue resuelto por la </w:t>
      </w:r>
      <w:r w:rsidR="00DE267D" w:rsidRPr="006D6E05">
        <w:rPr>
          <w:sz w:val="22"/>
        </w:rPr>
        <w:t>Asamblea General</w:t>
      </w:r>
      <w:r w:rsidR="00873E8C" w:rsidRPr="006D6E05">
        <w:rPr>
          <w:sz w:val="22"/>
        </w:rPr>
        <w:t xml:space="preserve"> O</w:t>
      </w:r>
      <w:r w:rsidR="005B2EEB" w:rsidRPr="006D6E05">
        <w:rPr>
          <w:sz w:val="22"/>
        </w:rPr>
        <w:t>rdinaria</w:t>
      </w:r>
      <w:r w:rsidRPr="006D6E05">
        <w:rPr>
          <w:sz w:val="22"/>
        </w:rPr>
        <w:t xml:space="preserve"> celebrada el </w:t>
      </w:r>
      <w:r w:rsidR="00240A04" w:rsidRPr="006D6E05">
        <w:rPr>
          <w:sz w:val="22"/>
        </w:rPr>
        <w:t>28 de agosto de 2018.</w:t>
      </w:r>
    </w:p>
    <w:p w:rsidR="00965A08" w:rsidRPr="006D6E05" w:rsidRDefault="005B2EEB" w:rsidP="0026682F">
      <w:pPr>
        <w:jc w:val="both"/>
        <w:rPr>
          <w:sz w:val="22"/>
        </w:rPr>
      </w:pPr>
      <w:r w:rsidRPr="006D6E05">
        <w:rPr>
          <w:sz w:val="22"/>
        </w:rPr>
        <w:t xml:space="preserve">Luego mediante reunión del Directorio, se determinarán </w:t>
      </w:r>
      <w:r w:rsidR="00DE267D" w:rsidRPr="006D6E05">
        <w:rPr>
          <w:sz w:val="22"/>
        </w:rPr>
        <w:t>las condiciones particulares de cada serie a emitir.</w:t>
      </w:r>
    </w:p>
    <w:p w:rsidR="00965A08" w:rsidRPr="006D6E05" w:rsidRDefault="00965A08" w:rsidP="0026682F">
      <w:pPr>
        <w:jc w:val="center"/>
        <w:outlineLvl w:val="0"/>
        <w:rPr>
          <w:b/>
          <w:sz w:val="22"/>
        </w:rPr>
      </w:pPr>
    </w:p>
    <w:p w:rsidR="00965A08" w:rsidRPr="006D6E05" w:rsidRDefault="00965A08" w:rsidP="006D6E05">
      <w:pPr>
        <w:pStyle w:val="Encabezado"/>
        <w:widowControl w:val="0"/>
        <w:numPr>
          <w:ilvl w:val="0"/>
          <w:numId w:val="21"/>
        </w:numPr>
        <w:suppressAutoHyphens/>
        <w:jc w:val="center"/>
        <w:outlineLvl w:val="0"/>
        <w:rPr>
          <w:b/>
          <w:lang w:val="es-AR"/>
        </w:rPr>
      </w:pPr>
      <w:r w:rsidRPr="006D6E05">
        <w:rPr>
          <w:rFonts w:ascii="Times New Roman" w:hAnsi="Times New Roman"/>
          <w:b/>
          <w:sz w:val="22"/>
          <w:lang w:val="es-AR"/>
        </w:rPr>
        <w:t>COLOCACION</w:t>
      </w:r>
    </w:p>
    <w:p w:rsidR="00965A08" w:rsidRPr="006D6E05" w:rsidRDefault="00965A08">
      <w:pPr>
        <w:suppressLineNumbers/>
        <w:jc w:val="center"/>
        <w:outlineLvl w:val="0"/>
        <w:rPr>
          <w:b/>
          <w:sz w:val="22"/>
        </w:rPr>
      </w:pPr>
    </w:p>
    <w:p w:rsidR="00965A08" w:rsidRPr="000D1BAC" w:rsidRDefault="00965A08" w:rsidP="004972AC">
      <w:pPr>
        <w:widowControl w:val="0"/>
        <w:suppressAutoHyphens/>
        <w:jc w:val="both"/>
        <w:rPr>
          <w:color w:val="000000"/>
          <w:sz w:val="22"/>
          <w:szCs w:val="22"/>
        </w:rPr>
      </w:pPr>
      <w:r w:rsidRPr="000D1BAC">
        <w:rPr>
          <w:sz w:val="22"/>
          <w:szCs w:val="22"/>
        </w:rPr>
        <w:t>Las ON serán colocadas por oferta pública sólo en la República Argentina, conforme con los términos de la Ley</w:t>
      </w:r>
      <w:r w:rsidR="004F374D" w:rsidRPr="000D1BAC">
        <w:rPr>
          <w:sz w:val="22"/>
          <w:szCs w:val="22"/>
        </w:rPr>
        <w:t xml:space="preserve"> 26.831 de Mercado de Capitales, Ley</w:t>
      </w:r>
      <w:r w:rsidRPr="000D1BAC">
        <w:rPr>
          <w:sz w:val="22"/>
          <w:szCs w:val="22"/>
        </w:rPr>
        <w:t xml:space="preserve"> </w:t>
      </w:r>
      <w:r w:rsidR="00F861F5" w:rsidRPr="000D1BAC">
        <w:rPr>
          <w:sz w:val="22"/>
          <w:szCs w:val="22"/>
        </w:rPr>
        <w:t>27.440</w:t>
      </w:r>
      <w:r w:rsidRPr="000D1BAC">
        <w:rPr>
          <w:sz w:val="22"/>
          <w:szCs w:val="22"/>
        </w:rPr>
        <w:t xml:space="preserve"> de </w:t>
      </w:r>
      <w:r w:rsidR="00F861F5" w:rsidRPr="000D1BAC">
        <w:rPr>
          <w:sz w:val="22"/>
          <w:szCs w:val="22"/>
        </w:rPr>
        <w:t>Financiamiento Productivo</w:t>
      </w:r>
      <w:r w:rsidRPr="000D1BAC">
        <w:rPr>
          <w:sz w:val="22"/>
          <w:szCs w:val="22"/>
        </w:rPr>
        <w:t xml:space="preserve"> y de acuerdo al procedimiento establecido en los artículos 1° a 6° y 8° del Capítulo IV del Título VI de las Normas de la CNV. </w:t>
      </w:r>
    </w:p>
    <w:p w:rsidR="00965A08" w:rsidRPr="000D1BAC" w:rsidRDefault="00C22B79" w:rsidP="003B7E94">
      <w:pPr>
        <w:pStyle w:val="Ttulo"/>
        <w:tabs>
          <w:tab w:val="left" w:pos="3905"/>
        </w:tabs>
        <w:jc w:val="both"/>
        <w:rPr>
          <w:b w:val="0"/>
          <w:bCs/>
          <w:sz w:val="22"/>
          <w:szCs w:val="22"/>
          <w:lang w:val="es-AR"/>
        </w:rPr>
      </w:pPr>
      <w:r w:rsidRPr="000D1BAC">
        <w:rPr>
          <w:b w:val="0"/>
          <w:bCs/>
          <w:sz w:val="22"/>
          <w:szCs w:val="22"/>
          <w:lang w:val="es-AR"/>
        </w:rPr>
        <w:tab/>
      </w:r>
    </w:p>
    <w:p w:rsidR="00965A08" w:rsidRPr="000D1BAC" w:rsidRDefault="00965A08" w:rsidP="004972AC">
      <w:pPr>
        <w:pStyle w:val="Ttulo"/>
        <w:jc w:val="both"/>
        <w:rPr>
          <w:b w:val="0"/>
          <w:bCs/>
          <w:sz w:val="22"/>
          <w:szCs w:val="22"/>
          <w:lang w:val="es-AR"/>
        </w:rPr>
      </w:pPr>
      <w:r w:rsidRPr="000D1BAC">
        <w:rPr>
          <w:b w:val="0"/>
          <w:bCs/>
          <w:sz w:val="22"/>
          <w:szCs w:val="22"/>
          <w:lang w:val="es-AR"/>
        </w:rPr>
        <w:t xml:space="preserve">En oportunidad de la emisión de cada Serie, se indicará el método mediante el cual se llevará a cabo la colocación y adjudicación de las ON, el que deberá asegurar transparencia, información plena, igualdad de condiciones y trato entre los inversores. </w:t>
      </w:r>
    </w:p>
    <w:p w:rsidR="00965A08" w:rsidRPr="000D1BAC" w:rsidRDefault="00965A08" w:rsidP="004972AC">
      <w:pPr>
        <w:widowControl w:val="0"/>
        <w:suppressAutoHyphens/>
        <w:jc w:val="both"/>
        <w:rPr>
          <w:sz w:val="22"/>
          <w:szCs w:val="22"/>
        </w:rPr>
      </w:pPr>
    </w:p>
    <w:p w:rsidR="00965A08" w:rsidRPr="000D1BAC" w:rsidRDefault="00965A08" w:rsidP="004972AC">
      <w:pPr>
        <w:autoSpaceDE w:val="0"/>
        <w:autoSpaceDN w:val="0"/>
        <w:adjustRightInd w:val="0"/>
        <w:jc w:val="both"/>
        <w:rPr>
          <w:sz w:val="22"/>
          <w:szCs w:val="22"/>
        </w:rPr>
      </w:pPr>
      <w:r w:rsidRPr="000D1BAC">
        <w:rPr>
          <w:sz w:val="22"/>
          <w:szCs w:val="22"/>
        </w:rPr>
        <w:t>Autorizada la oferta pública por la CNV se publicará un aviso de colocación e</w:t>
      </w:r>
      <w:r w:rsidR="00F861F5" w:rsidRPr="000D1BAC">
        <w:rPr>
          <w:sz w:val="22"/>
          <w:szCs w:val="22"/>
        </w:rPr>
        <w:t>n</w:t>
      </w:r>
      <w:r w:rsidRPr="000D1BAC">
        <w:rPr>
          <w:sz w:val="22"/>
          <w:szCs w:val="22"/>
        </w:rPr>
        <w:t xml:space="preserve"> la Autopista de la Información Financiera (“AIF”) de la CNV y en el boletín diario de la BCBA</w:t>
      </w:r>
      <w:r w:rsidRPr="000D1BAC">
        <w:rPr>
          <w:color w:val="000000"/>
          <w:sz w:val="22"/>
          <w:szCs w:val="22"/>
        </w:rPr>
        <w:t xml:space="preserve"> y/o en algún diario de gran circulación en la República Argentina en el que se indicará, entre otros datos, la fecha de inicio y de finalización del período de colocación,</w:t>
      </w:r>
      <w:r w:rsidRPr="000D1BAC">
        <w:rPr>
          <w:sz w:val="22"/>
          <w:szCs w:val="22"/>
        </w:rPr>
        <w:t xml:space="preserve"> la fecha de emisión e integración, y el domicilio de los Colocadores a efectos de la recepción de las solicitudes de suscripción (el “</w:t>
      </w:r>
      <w:r w:rsidRPr="000D1BAC">
        <w:rPr>
          <w:sz w:val="22"/>
          <w:szCs w:val="22"/>
          <w:u w:val="single"/>
        </w:rPr>
        <w:t>Aviso de Colocación</w:t>
      </w:r>
      <w:r w:rsidRPr="000D1BAC">
        <w:rPr>
          <w:sz w:val="22"/>
          <w:szCs w:val="22"/>
        </w:rPr>
        <w:t>”).</w:t>
      </w:r>
    </w:p>
    <w:p w:rsidR="00965A08" w:rsidRPr="000D1BAC" w:rsidRDefault="00965A08" w:rsidP="004972AC">
      <w:pPr>
        <w:autoSpaceDE w:val="0"/>
        <w:autoSpaceDN w:val="0"/>
        <w:adjustRightInd w:val="0"/>
        <w:jc w:val="both"/>
        <w:rPr>
          <w:sz w:val="22"/>
          <w:szCs w:val="22"/>
        </w:rPr>
      </w:pPr>
    </w:p>
    <w:p w:rsidR="00965A08" w:rsidRPr="000D1BAC" w:rsidRDefault="00965A08" w:rsidP="004972AC">
      <w:pPr>
        <w:autoSpaceDE w:val="0"/>
        <w:autoSpaceDN w:val="0"/>
        <w:adjustRightInd w:val="0"/>
        <w:jc w:val="both"/>
        <w:rPr>
          <w:sz w:val="22"/>
          <w:szCs w:val="22"/>
        </w:rPr>
      </w:pPr>
      <w:r w:rsidRPr="000D1BAC">
        <w:rPr>
          <w:sz w:val="22"/>
          <w:szCs w:val="22"/>
        </w:rPr>
        <w:t xml:space="preserve">El período de colocación incluirá un plazo mínimo de </w:t>
      </w:r>
      <w:r w:rsidR="00C22B79" w:rsidRPr="000D1BAC">
        <w:rPr>
          <w:sz w:val="22"/>
          <w:szCs w:val="22"/>
        </w:rPr>
        <w:t>3</w:t>
      </w:r>
      <w:r w:rsidRPr="000D1BAC">
        <w:rPr>
          <w:sz w:val="22"/>
          <w:szCs w:val="22"/>
        </w:rPr>
        <w:t xml:space="preserve"> (</w:t>
      </w:r>
      <w:r w:rsidR="00C22B79" w:rsidRPr="000D1BAC">
        <w:rPr>
          <w:sz w:val="22"/>
          <w:szCs w:val="22"/>
        </w:rPr>
        <w:t>tres</w:t>
      </w:r>
      <w:r w:rsidRPr="000D1BAC">
        <w:rPr>
          <w:sz w:val="22"/>
          <w:szCs w:val="22"/>
        </w:rPr>
        <w:t>) días hábiles bursátiles para la difusión y un plazo mínimo de 1 (un) día hábil bursátil para la subasta o licitación pública (el “</w:t>
      </w:r>
      <w:r w:rsidRPr="000D1BAC">
        <w:rPr>
          <w:sz w:val="22"/>
          <w:szCs w:val="22"/>
          <w:u w:val="single"/>
        </w:rPr>
        <w:t>Período de Difusión</w:t>
      </w:r>
      <w:r w:rsidRPr="000D1BAC">
        <w:rPr>
          <w:sz w:val="22"/>
          <w:szCs w:val="22"/>
        </w:rPr>
        <w:t>” y el “</w:t>
      </w:r>
      <w:r w:rsidRPr="000D1BAC">
        <w:rPr>
          <w:sz w:val="22"/>
          <w:szCs w:val="22"/>
          <w:u w:val="single"/>
        </w:rPr>
        <w:t>Período de Licitación</w:t>
      </w:r>
      <w:r w:rsidRPr="000D1BAC">
        <w:rPr>
          <w:sz w:val="22"/>
          <w:szCs w:val="22"/>
        </w:rPr>
        <w:t>”, respectivamente, y en su conjunto el “</w:t>
      </w:r>
      <w:r w:rsidRPr="000D1BAC">
        <w:rPr>
          <w:sz w:val="22"/>
          <w:szCs w:val="22"/>
          <w:u w:val="single"/>
        </w:rPr>
        <w:t>Período de Colocación</w:t>
      </w:r>
      <w:r w:rsidRPr="000D1BAC">
        <w:rPr>
          <w:sz w:val="22"/>
          <w:szCs w:val="22"/>
        </w:rPr>
        <w:t>”). El Emisor a su sólo criterio podrá terminar y dejar sin efecto, suspender y/o prorrogar el Período de Difusión y/o el Período de Licitación en cualquier momento, lo cual, en su caso, será informado mediante un aviso complementario a ser publicado en los mismos medios que los utilizados para la publicación del Aviso de Colocación. La terminación, suspensión y/o prórroga del Período de Difusión y/o Período de Licitación, no generará responsabilidad alguna al Emisor y a los Colocadores, ni otorgará a los oferentes derecho a compensación y/o indemnización alguna.</w:t>
      </w:r>
    </w:p>
    <w:p w:rsidR="00965A08" w:rsidRPr="000D1BAC" w:rsidRDefault="00965A08" w:rsidP="004972AC">
      <w:pPr>
        <w:autoSpaceDE w:val="0"/>
        <w:autoSpaceDN w:val="0"/>
        <w:adjustRightInd w:val="0"/>
        <w:jc w:val="both"/>
        <w:rPr>
          <w:sz w:val="22"/>
          <w:szCs w:val="22"/>
        </w:rPr>
      </w:pPr>
    </w:p>
    <w:p w:rsidR="00965A08" w:rsidRPr="006D6E05" w:rsidRDefault="00965A08" w:rsidP="004972AC">
      <w:pPr>
        <w:pStyle w:val="Ttulo"/>
        <w:jc w:val="both"/>
        <w:rPr>
          <w:b w:val="0"/>
          <w:sz w:val="22"/>
          <w:szCs w:val="22"/>
          <w:lang w:val="es-AR"/>
        </w:rPr>
      </w:pPr>
      <w:r w:rsidRPr="006D6E05">
        <w:rPr>
          <w:b w:val="0"/>
          <w:sz w:val="22"/>
          <w:szCs w:val="22"/>
          <w:lang w:val="es-AR"/>
        </w:rPr>
        <w:t xml:space="preserve">Los procedimientos internos que emplearán el/los Colocador/es para la recepción de ofertas y adjudicación de las ON e integración del precio de suscripción estarán disponibles para su verificación por la CNV. A tal fin esos procedimientos serán llevados en el país en base a constancias documentales y medios computarizados fiables, que se informarán a la CNV. </w:t>
      </w:r>
    </w:p>
    <w:p w:rsidR="00594219" w:rsidRPr="006D6E05" w:rsidRDefault="00594219" w:rsidP="004972AC">
      <w:pPr>
        <w:pStyle w:val="Ttulo"/>
        <w:jc w:val="both"/>
        <w:rPr>
          <w:b w:val="0"/>
          <w:sz w:val="22"/>
          <w:szCs w:val="22"/>
          <w:lang w:val="es-AR"/>
        </w:rPr>
      </w:pPr>
    </w:p>
    <w:p w:rsidR="00965A08" w:rsidRPr="006D6E05" w:rsidRDefault="00965A08">
      <w:pPr>
        <w:suppressLineNumbers/>
        <w:jc w:val="center"/>
        <w:outlineLvl w:val="0"/>
        <w:rPr>
          <w:b/>
          <w:sz w:val="22"/>
        </w:rPr>
      </w:pPr>
    </w:p>
    <w:tbl>
      <w:tblPr>
        <w:tblW w:w="0" w:type="auto"/>
        <w:tblLook w:val="00A0" w:firstRow="1" w:lastRow="0" w:firstColumn="1" w:lastColumn="0" w:noHBand="0" w:noVBand="0"/>
      </w:tblPr>
      <w:tblGrid>
        <w:gridCol w:w="4367"/>
        <w:gridCol w:w="4353"/>
      </w:tblGrid>
      <w:tr w:rsidR="002628B8" w:rsidRPr="000D1BAC" w:rsidTr="008F483A">
        <w:trPr>
          <w:trHeight w:val="372"/>
        </w:trPr>
        <w:tc>
          <w:tcPr>
            <w:tcW w:w="8720" w:type="dxa"/>
            <w:gridSpan w:val="2"/>
          </w:tcPr>
          <w:p w:rsidR="002628B8" w:rsidRPr="006D6E05" w:rsidRDefault="002628B8" w:rsidP="007B06B4">
            <w:pPr>
              <w:suppressLineNumbers/>
              <w:jc w:val="center"/>
              <w:outlineLvl w:val="0"/>
              <w:rPr>
                <w:b/>
              </w:rPr>
            </w:pPr>
          </w:p>
        </w:tc>
      </w:tr>
      <w:tr w:rsidR="002628B8" w:rsidRPr="000D1BAC" w:rsidTr="008F483A">
        <w:tc>
          <w:tcPr>
            <w:tcW w:w="8720" w:type="dxa"/>
            <w:gridSpan w:val="2"/>
          </w:tcPr>
          <w:p w:rsidR="002628B8" w:rsidRPr="006D6E05" w:rsidRDefault="002628B8" w:rsidP="007B06B4">
            <w:pPr>
              <w:suppressLineNumbers/>
              <w:jc w:val="center"/>
              <w:outlineLvl w:val="0"/>
              <w:rPr>
                <w:b/>
              </w:rPr>
            </w:pPr>
          </w:p>
        </w:tc>
      </w:tr>
      <w:tr w:rsidR="00965A08" w:rsidRPr="000D1BAC" w:rsidTr="008F483A">
        <w:tc>
          <w:tcPr>
            <w:tcW w:w="8720" w:type="dxa"/>
            <w:gridSpan w:val="2"/>
          </w:tcPr>
          <w:p w:rsidR="00965A08" w:rsidRPr="006D6E05" w:rsidRDefault="00965A08" w:rsidP="006A214D">
            <w:pPr>
              <w:suppressLineNumbers/>
              <w:jc w:val="center"/>
              <w:outlineLvl w:val="0"/>
              <w:rPr>
                <w:b/>
              </w:rPr>
            </w:pPr>
          </w:p>
        </w:tc>
      </w:tr>
      <w:tr w:rsidR="00965A08" w:rsidRPr="000D1BAC" w:rsidTr="008F483A">
        <w:tc>
          <w:tcPr>
            <w:tcW w:w="8720" w:type="dxa"/>
            <w:gridSpan w:val="2"/>
          </w:tcPr>
          <w:p w:rsidR="00965A08" w:rsidRPr="006D6E05" w:rsidRDefault="00594219">
            <w:pPr>
              <w:suppressLineNumbers/>
              <w:jc w:val="center"/>
              <w:rPr>
                <w:b/>
                <w:sz w:val="20"/>
                <w:szCs w:val="20"/>
              </w:rPr>
            </w:pPr>
            <w:r w:rsidRPr="006D6E05" w:rsidDel="00594219">
              <w:rPr>
                <w:b/>
                <w:sz w:val="20"/>
                <w:szCs w:val="20"/>
              </w:rPr>
              <w:t xml:space="preserve"> </w:t>
            </w:r>
          </w:p>
          <w:p w:rsidR="002628B8" w:rsidRPr="006D6E05" w:rsidRDefault="002628B8" w:rsidP="008737FB">
            <w:pPr>
              <w:suppressLineNumbers/>
              <w:jc w:val="center"/>
              <w:rPr>
                <w:b/>
                <w:sz w:val="20"/>
                <w:szCs w:val="20"/>
              </w:rPr>
            </w:pPr>
          </w:p>
          <w:p w:rsidR="002628B8" w:rsidRPr="006D6E05" w:rsidRDefault="002628B8" w:rsidP="008737FB">
            <w:pPr>
              <w:suppressLineNumbers/>
              <w:jc w:val="center"/>
              <w:rPr>
                <w:b/>
                <w:sz w:val="20"/>
                <w:szCs w:val="20"/>
              </w:rPr>
            </w:pPr>
          </w:p>
        </w:tc>
      </w:tr>
      <w:tr w:rsidR="00965A08" w:rsidRPr="000D1BAC" w:rsidTr="008F483A">
        <w:tc>
          <w:tcPr>
            <w:tcW w:w="4367" w:type="dxa"/>
          </w:tcPr>
          <w:p w:rsidR="00965A08" w:rsidRPr="006D6E05" w:rsidRDefault="00965A08" w:rsidP="006A214D">
            <w:pPr>
              <w:suppressLineNumbers/>
              <w:jc w:val="center"/>
              <w:outlineLvl w:val="0"/>
              <w:rPr>
                <w:b/>
              </w:rPr>
            </w:pPr>
          </w:p>
        </w:tc>
        <w:tc>
          <w:tcPr>
            <w:tcW w:w="4353" w:type="dxa"/>
          </w:tcPr>
          <w:p w:rsidR="00965A08" w:rsidRPr="006D6E05" w:rsidRDefault="00965A08" w:rsidP="006A214D">
            <w:pPr>
              <w:suppressLineNumbers/>
              <w:jc w:val="center"/>
              <w:outlineLvl w:val="0"/>
              <w:rPr>
                <w:b/>
              </w:rPr>
            </w:pPr>
          </w:p>
        </w:tc>
      </w:tr>
    </w:tbl>
    <w:p w:rsidR="00DA5C4C" w:rsidRPr="000D1BAC" w:rsidRDefault="00DA5C4C">
      <w:r w:rsidRPr="000D1BAC">
        <w:br w:type="page"/>
      </w:r>
    </w:p>
    <w:tbl>
      <w:tblPr>
        <w:tblW w:w="0" w:type="auto"/>
        <w:tblLook w:val="00A0" w:firstRow="1" w:lastRow="0" w:firstColumn="1" w:lastColumn="0" w:noHBand="0" w:noVBand="0"/>
      </w:tblPr>
      <w:tblGrid>
        <w:gridCol w:w="4367"/>
        <w:gridCol w:w="4353"/>
      </w:tblGrid>
      <w:tr w:rsidR="00965A08" w:rsidRPr="000D1BAC" w:rsidTr="008F483A">
        <w:tc>
          <w:tcPr>
            <w:tcW w:w="4367" w:type="dxa"/>
          </w:tcPr>
          <w:p w:rsidR="00965A08" w:rsidRPr="000D1BAC" w:rsidRDefault="00965A08" w:rsidP="006A214D">
            <w:pPr>
              <w:jc w:val="center"/>
            </w:pPr>
          </w:p>
        </w:tc>
        <w:tc>
          <w:tcPr>
            <w:tcW w:w="4353" w:type="dxa"/>
          </w:tcPr>
          <w:p w:rsidR="00965A08" w:rsidRPr="006D6E05" w:rsidRDefault="00965A08" w:rsidP="006A214D">
            <w:pPr>
              <w:suppressLineNumbers/>
              <w:jc w:val="center"/>
              <w:outlineLvl w:val="0"/>
              <w:rPr>
                <w:b/>
              </w:rPr>
            </w:pPr>
          </w:p>
        </w:tc>
      </w:tr>
      <w:tr w:rsidR="00965A08" w:rsidRPr="000D1BAC" w:rsidTr="008F483A">
        <w:tc>
          <w:tcPr>
            <w:tcW w:w="4367" w:type="dxa"/>
          </w:tcPr>
          <w:p w:rsidR="00965A08" w:rsidRPr="000D1BAC" w:rsidRDefault="00965A08" w:rsidP="006A214D">
            <w:pPr>
              <w:suppressLineNumbers/>
              <w:jc w:val="center"/>
              <w:outlineLvl w:val="0"/>
              <w:rPr>
                <w:b/>
                <w:noProof/>
                <w:lang w:eastAsia="es-AR"/>
              </w:rPr>
            </w:pPr>
          </w:p>
        </w:tc>
        <w:tc>
          <w:tcPr>
            <w:tcW w:w="4353" w:type="dxa"/>
          </w:tcPr>
          <w:p w:rsidR="00965A08" w:rsidRPr="006D6E05" w:rsidRDefault="00965A08" w:rsidP="006A214D">
            <w:pPr>
              <w:suppressLineNumbers/>
              <w:jc w:val="center"/>
              <w:outlineLvl w:val="0"/>
              <w:rPr>
                <w:b/>
              </w:rPr>
            </w:pPr>
          </w:p>
        </w:tc>
      </w:tr>
      <w:tr w:rsidR="00965A08" w:rsidRPr="000D1BAC" w:rsidTr="008F483A">
        <w:tc>
          <w:tcPr>
            <w:tcW w:w="4367" w:type="dxa"/>
          </w:tcPr>
          <w:p w:rsidR="00965A08" w:rsidRPr="000D1BAC" w:rsidRDefault="00965A08" w:rsidP="006A214D">
            <w:pPr>
              <w:suppressLineNumbers/>
              <w:jc w:val="center"/>
              <w:outlineLvl w:val="0"/>
              <w:rPr>
                <w:b/>
                <w:noProof/>
                <w:lang w:eastAsia="es-AR"/>
              </w:rPr>
            </w:pPr>
          </w:p>
        </w:tc>
        <w:tc>
          <w:tcPr>
            <w:tcW w:w="4353" w:type="dxa"/>
          </w:tcPr>
          <w:p w:rsidR="00965A08" w:rsidRPr="006D6E05" w:rsidRDefault="00965A08" w:rsidP="009664A2">
            <w:pPr>
              <w:suppressLineNumbers/>
              <w:jc w:val="center"/>
              <w:outlineLvl w:val="0"/>
              <w:rPr>
                <w:b/>
              </w:rPr>
            </w:pPr>
          </w:p>
        </w:tc>
      </w:tr>
      <w:tr w:rsidR="00965A08" w:rsidRPr="000D1BAC" w:rsidTr="008F483A">
        <w:tc>
          <w:tcPr>
            <w:tcW w:w="4367" w:type="dxa"/>
          </w:tcPr>
          <w:p w:rsidR="00965A08" w:rsidRPr="000D1BAC" w:rsidRDefault="00965A08" w:rsidP="006A214D">
            <w:pPr>
              <w:suppressLineNumbers/>
              <w:jc w:val="center"/>
              <w:outlineLvl w:val="0"/>
              <w:rPr>
                <w:b/>
                <w:noProof/>
                <w:lang w:eastAsia="es-AR"/>
              </w:rPr>
            </w:pPr>
          </w:p>
          <w:p w:rsidR="00965A08" w:rsidRPr="006D6E05" w:rsidRDefault="00965A08" w:rsidP="006A214D">
            <w:pPr>
              <w:suppressLineNumbers/>
              <w:jc w:val="center"/>
              <w:outlineLvl w:val="0"/>
              <w:rPr>
                <w:b/>
              </w:rPr>
            </w:pPr>
          </w:p>
        </w:tc>
        <w:tc>
          <w:tcPr>
            <w:tcW w:w="4353" w:type="dxa"/>
            <w:vAlign w:val="center"/>
          </w:tcPr>
          <w:p w:rsidR="00965A08" w:rsidRPr="006D6E05" w:rsidRDefault="00965A08" w:rsidP="000775CC">
            <w:pPr>
              <w:suppressLineNumbers/>
              <w:jc w:val="center"/>
              <w:outlineLvl w:val="0"/>
              <w:rPr>
                <w:b/>
              </w:rPr>
            </w:pPr>
          </w:p>
        </w:tc>
      </w:tr>
    </w:tbl>
    <w:p w:rsidR="00DA5C4C" w:rsidRPr="006D6E05" w:rsidRDefault="00DA5C4C" w:rsidP="00E04768">
      <w:pPr>
        <w:suppressLineNumbers/>
        <w:jc w:val="center"/>
        <w:rPr>
          <w:b/>
          <w:sz w:val="22"/>
        </w:rPr>
      </w:pPr>
      <w:r w:rsidRPr="000D1BAC">
        <w:rPr>
          <w:rFonts w:ascii="Arial" w:hAnsi="Arial" w:cs="Arial"/>
          <w:noProof/>
          <w:color w:val="000000"/>
          <w:sz w:val="16"/>
          <w:szCs w:val="16"/>
          <w:lang w:eastAsia="es-AR"/>
        </w:rPr>
        <w:drawing>
          <wp:anchor distT="0" distB="0" distL="114300" distR="114300" simplePos="0" relativeHeight="251659776" behindDoc="1" locked="0" layoutInCell="1" allowOverlap="1" wp14:anchorId="7BDAB22A" wp14:editId="0FF1F158">
            <wp:simplePos x="0" y="0"/>
            <wp:positionH relativeFrom="page">
              <wp:posOffset>-41910</wp:posOffset>
            </wp:positionH>
            <wp:positionV relativeFrom="paragraph">
              <wp:posOffset>-1761490</wp:posOffset>
            </wp:positionV>
            <wp:extent cx="7591425" cy="5543550"/>
            <wp:effectExtent l="0" t="0" r="0" b="0"/>
            <wp:wrapNone/>
            <wp:docPr id="3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91425" cy="5543550"/>
                    </a:xfrm>
                    <a:prstGeom prst="rect">
                      <a:avLst/>
                    </a:prstGeom>
                    <a:noFill/>
                  </pic:spPr>
                </pic:pic>
              </a:graphicData>
            </a:graphic>
          </wp:anchor>
        </w:drawing>
      </w: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8F483A">
      <w:pPr>
        <w:suppressLineNumbers/>
        <w:tabs>
          <w:tab w:val="left" w:pos="6690"/>
        </w:tabs>
        <w:rPr>
          <w:b/>
          <w:sz w:val="22"/>
        </w:rPr>
      </w:pPr>
      <w:r w:rsidRPr="006D6E05">
        <w:rPr>
          <w:b/>
          <w:sz w:val="22"/>
        </w:rPr>
        <w:tab/>
      </w: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DA5C4C" w:rsidP="00E04768">
      <w:pPr>
        <w:suppressLineNumbers/>
        <w:jc w:val="center"/>
        <w:rPr>
          <w:b/>
          <w:sz w:val="22"/>
        </w:rPr>
      </w:pPr>
    </w:p>
    <w:p w:rsidR="00DA5C4C" w:rsidRPr="006D6E05" w:rsidRDefault="00EB08ED" w:rsidP="00E04768">
      <w:pPr>
        <w:suppressLineNumbers/>
        <w:jc w:val="center"/>
        <w:rPr>
          <w:b/>
          <w:sz w:val="22"/>
        </w:rPr>
      </w:pPr>
      <w:r w:rsidRPr="000D1BAC">
        <w:rPr>
          <w:rFonts w:ascii="Arial" w:hAnsi="Arial" w:cs="Arial"/>
          <w:noProof/>
          <w:color w:val="000000"/>
          <w:sz w:val="16"/>
          <w:szCs w:val="16"/>
          <w:lang w:eastAsia="es-AR"/>
        </w:rPr>
        <w:drawing>
          <wp:anchor distT="0" distB="0" distL="114300" distR="114300" simplePos="0" relativeHeight="251656704" behindDoc="0" locked="0" layoutInCell="1" allowOverlap="1" wp14:anchorId="18600768" wp14:editId="3708EF57">
            <wp:simplePos x="0" y="0"/>
            <wp:positionH relativeFrom="margin">
              <wp:align>center</wp:align>
            </wp:positionH>
            <wp:positionV relativeFrom="paragraph">
              <wp:posOffset>160020</wp:posOffset>
            </wp:positionV>
            <wp:extent cx="1247775" cy="1055810"/>
            <wp:effectExtent l="0" t="0" r="0" b="0"/>
            <wp:wrapNone/>
            <wp:docPr id="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1055810"/>
                    </a:xfrm>
                    <a:prstGeom prst="rect">
                      <a:avLst/>
                    </a:prstGeom>
                    <a:noFill/>
                  </pic:spPr>
                </pic:pic>
              </a:graphicData>
            </a:graphic>
            <wp14:sizeRelH relativeFrom="margin">
              <wp14:pctWidth>0</wp14:pctWidth>
            </wp14:sizeRelH>
            <wp14:sizeRelV relativeFrom="margin">
              <wp14:pctHeight>0</wp14:pctHeight>
            </wp14:sizeRelV>
          </wp:anchor>
        </w:drawing>
      </w:r>
    </w:p>
    <w:p w:rsidR="00EB08ED" w:rsidRPr="006D6E05" w:rsidRDefault="00EB08ED" w:rsidP="00E04768">
      <w:pPr>
        <w:suppressLineNumbers/>
        <w:jc w:val="center"/>
        <w:rPr>
          <w:b/>
          <w:sz w:val="22"/>
        </w:rPr>
      </w:pPr>
    </w:p>
    <w:p w:rsidR="00EB08ED" w:rsidRPr="006D6E05" w:rsidRDefault="00EB08ED" w:rsidP="00E04768">
      <w:pPr>
        <w:suppressLineNumbers/>
        <w:jc w:val="center"/>
        <w:rPr>
          <w:b/>
          <w:sz w:val="22"/>
        </w:rPr>
      </w:pPr>
    </w:p>
    <w:p w:rsidR="00EB08ED" w:rsidRPr="006D6E05" w:rsidRDefault="00EB08ED" w:rsidP="00E04768">
      <w:pPr>
        <w:suppressLineNumbers/>
        <w:jc w:val="center"/>
        <w:rPr>
          <w:b/>
          <w:sz w:val="22"/>
        </w:rPr>
      </w:pPr>
    </w:p>
    <w:p w:rsidR="00EB08ED" w:rsidRPr="006D6E05" w:rsidRDefault="00EB08ED" w:rsidP="00E04768">
      <w:pPr>
        <w:suppressLineNumbers/>
        <w:jc w:val="center"/>
        <w:rPr>
          <w:b/>
          <w:sz w:val="22"/>
        </w:rPr>
      </w:pPr>
    </w:p>
    <w:p w:rsidR="00EB08ED" w:rsidRPr="006D6E05" w:rsidRDefault="00EB08ED" w:rsidP="00E04768">
      <w:pPr>
        <w:suppressLineNumbers/>
        <w:jc w:val="center"/>
        <w:rPr>
          <w:b/>
          <w:sz w:val="22"/>
        </w:rPr>
      </w:pPr>
    </w:p>
    <w:p w:rsidR="00EB08ED" w:rsidRPr="006D6E05" w:rsidRDefault="00EB08ED" w:rsidP="00E04768">
      <w:pPr>
        <w:suppressLineNumbers/>
        <w:jc w:val="center"/>
        <w:rPr>
          <w:b/>
          <w:sz w:val="22"/>
        </w:rPr>
      </w:pPr>
    </w:p>
    <w:p w:rsidR="00EB08ED" w:rsidRPr="006D6E05" w:rsidRDefault="00EB08ED" w:rsidP="00E04768">
      <w:pPr>
        <w:suppressLineNumbers/>
        <w:jc w:val="center"/>
        <w:rPr>
          <w:b/>
          <w:sz w:val="22"/>
        </w:rPr>
      </w:pPr>
    </w:p>
    <w:p w:rsidR="00EB08ED" w:rsidRPr="006D6E05" w:rsidRDefault="009C5A33" w:rsidP="00E04768">
      <w:pPr>
        <w:suppressLineNumbers/>
        <w:jc w:val="center"/>
        <w:rPr>
          <w:b/>
          <w:sz w:val="22"/>
        </w:rPr>
      </w:pPr>
      <w:r>
        <w:rPr>
          <w:rFonts w:ascii="Arial" w:hAnsi="Arial" w:cs="Arial"/>
          <w:noProof/>
          <w:color w:val="000000"/>
          <w:sz w:val="16"/>
          <w:szCs w:val="16"/>
          <w:lang w:eastAsia="es-AR"/>
        </w:rPr>
        <w:pict>
          <v:shape id="_x0000_s1038" type="#_x0000_t202" style="position:absolute;left:0;text-align:left;margin-left:138.95pt;margin-top:.6pt;width:147.15pt;height:66.45pt;z-index:251669504;visibility:visible;mso-wrap-distance-left:9pt;mso-wrap-distance-top:3.6pt;mso-wrap-distance-right:9pt;mso-wrap-distance-bottom:3.6pt;mso-position-horizontal-relative:margin;mso-position-vertical-relative:text;mso-width-relative:margin;mso-height-relative:margin;v-text-anchor:top" wrapcoords="-123 0 -123 20736 21600 20736 21600 0 -123 0" stroked="f">
            <v:textbox style="mso-next-textbox:#_x0000_s1038">
              <w:txbxContent>
                <w:p w:rsidR="000C397B" w:rsidRPr="008F483A" w:rsidRDefault="000C397B">
                  <w:pPr>
                    <w:jc w:val="center"/>
                    <w:rPr>
                      <w:b/>
                      <w:color w:val="3E5962"/>
                      <w:szCs w:val="20"/>
                    </w:rPr>
                  </w:pPr>
                  <w:r w:rsidRPr="008F483A">
                    <w:rPr>
                      <w:b/>
                      <w:color w:val="3E5962"/>
                      <w:szCs w:val="20"/>
                    </w:rPr>
                    <w:t>EMISOR</w:t>
                  </w:r>
                </w:p>
                <w:p w:rsidR="000C397B" w:rsidRPr="008F483A" w:rsidRDefault="000C397B" w:rsidP="00DA5C4C">
                  <w:pPr>
                    <w:suppressLineNumbers/>
                    <w:jc w:val="center"/>
                    <w:rPr>
                      <w:b/>
                      <w:color w:val="215868" w:themeColor="accent5" w:themeShade="80"/>
                      <w:sz w:val="22"/>
                      <w:szCs w:val="20"/>
                      <w:lang w:val="fr-CH"/>
                    </w:rPr>
                  </w:pPr>
                  <w:r w:rsidRPr="008F483A">
                    <w:rPr>
                      <w:b/>
                      <w:color w:val="215868" w:themeColor="accent5" w:themeShade="80"/>
                      <w:sz w:val="22"/>
                      <w:szCs w:val="20"/>
                    </w:rPr>
                    <w:t>San Luis 357, Neuquén, Provincia de Neuquén</w:t>
                  </w:r>
                  <w:r w:rsidRPr="008F483A" w:rsidDel="00594219">
                    <w:rPr>
                      <w:b/>
                      <w:color w:val="215868" w:themeColor="accent5" w:themeShade="80"/>
                      <w:sz w:val="22"/>
                      <w:szCs w:val="20"/>
                      <w:lang w:val="es-ES"/>
                    </w:rPr>
                    <w:t xml:space="preserve"> </w:t>
                  </w:r>
                </w:p>
                <w:p w:rsidR="000C397B" w:rsidRPr="008F483A" w:rsidRDefault="000C397B" w:rsidP="008F483A">
                  <w:pPr>
                    <w:suppressLineNumbers/>
                    <w:jc w:val="center"/>
                    <w:rPr>
                      <w:b/>
                      <w:color w:val="215868" w:themeColor="accent5" w:themeShade="80"/>
                      <w:sz w:val="22"/>
                      <w:szCs w:val="20"/>
                      <w:lang w:val="fr-CH"/>
                    </w:rPr>
                  </w:pPr>
                  <w:r w:rsidRPr="008F483A">
                    <w:rPr>
                      <w:b/>
                      <w:color w:val="215868" w:themeColor="accent5" w:themeShade="80"/>
                      <w:sz w:val="22"/>
                      <w:szCs w:val="20"/>
                      <w:lang w:val="fr-CH"/>
                    </w:rPr>
                    <w:t>Tel.: (</w:t>
                  </w:r>
                  <w:r w:rsidRPr="008F483A">
                    <w:rPr>
                      <w:b/>
                      <w:color w:val="215868" w:themeColor="accent5" w:themeShade="80"/>
                      <w:sz w:val="22"/>
                      <w:szCs w:val="20"/>
                    </w:rPr>
                    <w:t>0299) 4430185</w:t>
                  </w:r>
                  <w:r w:rsidRPr="008F483A" w:rsidDel="00594219">
                    <w:rPr>
                      <w:b/>
                      <w:color w:val="215868" w:themeColor="accent5" w:themeShade="80"/>
                      <w:sz w:val="22"/>
                      <w:szCs w:val="20"/>
                      <w:lang w:val="fr-CH"/>
                    </w:rPr>
                    <w:t xml:space="preserve"> </w:t>
                  </w:r>
                </w:p>
              </w:txbxContent>
            </v:textbox>
            <w10:wrap type="through" anchorx="margin"/>
          </v:shape>
        </w:pict>
      </w:r>
    </w:p>
    <w:p w:rsidR="00EB08ED" w:rsidRPr="006D6E05" w:rsidRDefault="00EB08ED" w:rsidP="00E04768">
      <w:pPr>
        <w:suppressLineNumbers/>
        <w:jc w:val="center"/>
        <w:rPr>
          <w:b/>
          <w:sz w:val="22"/>
        </w:rPr>
      </w:pPr>
    </w:p>
    <w:p w:rsidR="00EB08ED" w:rsidRPr="006D6E05" w:rsidRDefault="00EB08ED" w:rsidP="00E04768">
      <w:pPr>
        <w:suppressLineNumbers/>
        <w:jc w:val="center"/>
        <w:rPr>
          <w:b/>
          <w:sz w:val="22"/>
        </w:rPr>
      </w:pPr>
    </w:p>
    <w:p w:rsidR="00EB08ED" w:rsidRPr="006D6E05" w:rsidRDefault="00EB08ED" w:rsidP="00E04768">
      <w:pPr>
        <w:suppressLineNumbers/>
        <w:jc w:val="center"/>
        <w:rPr>
          <w:b/>
          <w:sz w:val="22"/>
        </w:rPr>
      </w:pPr>
    </w:p>
    <w:p w:rsidR="00EB08ED" w:rsidRPr="006D6E05" w:rsidRDefault="00EB08ED" w:rsidP="00E04768">
      <w:pPr>
        <w:suppressLineNumbers/>
        <w:jc w:val="center"/>
        <w:rPr>
          <w:b/>
          <w:sz w:val="22"/>
        </w:rPr>
      </w:pPr>
    </w:p>
    <w:p w:rsidR="00EB08ED" w:rsidRPr="006D6E05" w:rsidRDefault="00EB08ED" w:rsidP="00E04768">
      <w:pPr>
        <w:suppressLineNumbers/>
        <w:jc w:val="center"/>
        <w:rPr>
          <w:b/>
          <w:sz w:val="22"/>
        </w:rPr>
      </w:pPr>
    </w:p>
    <w:p w:rsidR="00EB08ED" w:rsidRPr="006D6E05" w:rsidRDefault="00EB08ED" w:rsidP="00E04768">
      <w:pPr>
        <w:suppressLineNumbers/>
        <w:jc w:val="center"/>
        <w:rPr>
          <w:b/>
          <w:sz w:val="22"/>
        </w:rPr>
      </w:pPr>
    </w:p>
    <w:p w:rsidR="00EB08ED" w:rsidRPr="006D6E05" w:rsidRDefault="00EB08ED" w:rsidP="00E04768">
      <w:pPr>
        <w:suppressLineNumbers/>
        <w:jc w:val="center"/>
        <w:rPr>
          <w:b/>
          <w:sz w:val="22"/>
        </w:rPr>
      </w:pPr>
    </w:p>
    <w:p w:rsidR="00EB08ED" w:rsidRPr="006D6E05" w:rsidRDefault="00EB08ED" w:rsidP="00E04768">
      <w:pPr>
        <w:suppressLineNumbers/>
        <w:jc w:val="center"/>
        <w:rPr>
          <w:b/>
          <w:sz w:val="22"/>
        </w:rPr>
      </w:pPr>
      <w:r w:rsidRPr="000D1BAC">
        <w:rPr>
          <w:noProof/>
          <w:lang w:eastAsia="es-AR"/>
        </w:rPr>
        <w:drawing>
          <wp:inline distT="0" distB="0" distL="0" distR="0">
            <wp:extent cx="1438275" cy="7810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781050"/>
                    </a:xfrm>
                    <a:prstGeom prst="rect">
                      <a:avLst/>
                    </a:prstGeom>
                    <a:noFill/>
                    <a:ln>
                      <a:noFill/>
                    </a:ln>
                  </pic:spPr>
                </pic:pic>
              </a:graphicData>
            </a:graphic>
          </wp:inline>
        </w:drawing>
      </w:r>
    </w:p>
    <w:p w:rsidR="00EB08ED" w:rsidRPr="006D6E05" w:rsidRDefault="009C5A33" w:rsidP="00E04768">
      <w:pPr>
        <w:suppressLineNumbers/>
        <w:jc w:val="center"/>
        <w:rPr>
          <w:b/>
          <w:sz w:val="22"/>
        </w:rPr>
      </w:pPr>
      <w:r>
        <w:rPr>
          <w:rFonts w:ascii="Arial" w:hAnsi="Arial" w:cs="Arial"/>
          <w:noProof/>
          <w:color w:val="000000"/>
          <w:sz w:val="16"/>
          <w:szCs w:val="16"/>
          <w:lang w:eastAsia="es-AR"/>
        </w:rPr>
        <w:pict>
          <v:shape id="_x0000_s1039" type="#_x0000_t202" style="position:absolute;left:0;text-align:left;margin-left:127.1pt;margin-top:6.35pt;width:186.1pt;height:21pt;z-index:251672576;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wrapcoords="0 0" filled="f" stroked="f">
            <v:textbox style="mso-next-textbox:#_x0000_s1039">
              <w:txbxContent>
                <w:p w:rsidR="000C397B" w:rsidRPr="00F21E86" w:rsidRDefault="000C397B" w:rsidP="00DA5C4C">
                  <w:pPr>
                    <w:jc w:val="center"/>
                    <w:rPr>
                      <w:b/>
                      <w:color w:val="3E5962"/>
                      <w:sz w:val="20"/>
                      <w:szCs w:val="20"/>
                    </w:rPr>
                  </w:pPr>
                  <w:r w:rsidRPr="00F21E86">
                    <w:rPr>
                      <w:b/>
                      <w:color w:val="3E5962"/>
                      <w:sz w:val="20"/>
                      <w:szCs w:val="20"/>
                    </w:rPr>
                    <w:t>ORGANIZADOR y COLOCADOR</w:t>
                  </w:r>
                </w:p>
              </w:txbxContent>
            </v:textbox>
            <w10:wrap type="through" anchorx="margin"/>
          </v:shape>
        </w:pict>
      </w:r>
    </w:p>
    <w:p w:rsidR="00EB08ED" w:rsidRPr="00A47CB1" w:rsidRDefault="00EB08ED" w:rsidP="00E04768">
      <w:pPr>
        <w:suppressLineNumbers/>
        <w:jc w:val="center"/>
        <w:rPr>
          <w:b/>
          <w:sz w:val="20"/>
        </w:rPr>
      </w:pPr>
    </w:p>
    <w:p w:rsidR="00965A08" w:rsidRPr="00A47CB1" w:rsidRDefault="00A47CB1" w:rsidP="00E04768">
      <w:pPr>
        <w:suppressLineNumbers/>
        <w:jc w:val="center"/>
        <w:rPr>
          <w:b/>
          <w:sz w:val="20"/>
          <w:lang w:val="es-ES_tradnl"/>
        </w:rPr>
      </w:pPr>
      <w:r w:rsidRPr="00A47CB1">
        <w:rPr>
          <w:b/>
          <w:sz w:val="20"/>
          <w:lang w:val="es-ES_tradnl"/>
        </w:rPr>
        <w:t>25 de Mayo 195, Piso 5,</w:t>
      </w:r>
    </w:p>
    <w:p w:rsidR="00A47CB1" w:rsidRPr="00A47CB1" w:rsidRDefault="00A47CB1" w:rsidP="00E04768">
      <w:pPr>
        <w:suppressLineNumbers/>
        <w:jc w:val="center"/>
        <w:rPr>
          <w:b/>
          <w:sz w:val="20"/>
          <w:lang w:val="es-ES_tradnl"/>
        </w:rPr>
      </w:pPr>
      <w:r w:rsidRPr="00A47CB1">
        <w:rPr>
          <w:b/>
          <w:sz w:val="20"/>
          <w:lang w:val="es-ES_tradnl"/>
        </w:rPr>
        <w:t>Ciudad Autónoma de Buenos Aires,</w:t>
      </w:r>
    </w:p>
    <w:p w:rsidR="00A47CB1" w:rsidRPr="00A47CB1" w:rsidRDefault="00A47CB1" w:rsidP="00E04768">
      <w:pPr>
        <w:suppressLineNumbers/>
        <w:jc w:val="center"/>
        <w:rPr>
          <w:b/>
          <w:sz w:val="20"/>
          <w:lang w:val="es-ES_tradnl"/>
        </w:rPr>
      </w:pPr>
      <w:r w:rsidRPr="00A47CB1">
        <w:rPr>
          <w:b/>
          <w:sz w:val="20"/>
          <w:lang w:val="es-ES_tradnl"/>
        </w:rPr>
        <w:t>Tel.: 5219 - 3600</w:t>
      </w:r>
    </w:p>
    <w:sectPr w:rsidR="00A47CB1" w:rsidRPr="00A47CB1" w:rsidSect="008F483A">
      <w:headerReference w:type="default" r:id="rId28"/>
      <w:footerReference w:type="even" r:id="rId29"/>
      <w:footerReference w:type="default" r:id="rId30"/>
      <w:type w:val="continuous"/>
      <w:pgSz w:w="11906" w:h="16839" w:code="9"/>
      <w:pgMar w:top="1417" w:right="1701" w:bottom="1417" w:left="1701" w:header="851" w:footer="737"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97B" w:rsidRDefault="000C397B">
      <w:r>
        <w:separator/>
      </w:r>
    </w:p>
  </w:endnote>
  <w:endnote w:type="continuationSeparator" w:id="0">
    <w:p w:rsidR="000C397B" w:rsidRDefault="000C3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Futura Md BT">
    <w:altName w:val="Lucida Sans Unicode"/>
    <w:charset w:val="00"/>
    <w:family w:val="swiss"/>
    <w:pitch w:val="variable"/>
    <w:sig w:usb0="00000001" w:usb1="1000204A" w:usb2="00000000" w:usb3="00000000" w:csb0="00000011" w:csb1="00000000"/>
  </w:font>
  <w:font w:name="Cocon">
    <w:altName w:val="Arial"/>
    <w:panose1 w:val="00000000000000000000"/>
    <w:charset w:val="00"/>
    <w:family w:val="modern"/>
    <w:notTrueType/>
    <w:pitch w:val="variable"/>
    <w:sig w:usb0="00000001" w:usb1="40000048" w:usb2="00000000" w:usb3="00000000" w:csb0="00000111" w:csb1="00000000"/>
  </w:font>
  <w:font w:name="new times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97B" w:rsidRDefault="000C397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C397B" w:rsidRDefault="000C397B">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97B" w:rsidRDefault="000C397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C5A33">
      <w:rPr>
        <w:rStyle w:val="Nmerodepgina"/>
        <w:noProof/>
      </w:rPr>
      <w:t>2</w:t>
    </w:r>
    <w:r>
      <w:rPr>
        <w:rStyle w:val="Nmerodepgina"/>
      </w:rPr>
      <w:fldChar w:fldCharType="end"/>
    </w:r>
  </w:p>
  <w:p w:rsidR="000C397B" w:rsidRDefault="000C397B">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97B" w:rsidRDefault="000C397B">
      <w:r>
        <w:separator/>
      </w:r>
    </w:p>
  </w:footnote>
  <w:footnote w:type="continuationSeparator" w:id="0">
    <w:p w:rsidR="000C397B" w:rsidRDefault="000C39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97B" w:rsidRDefault="000C397B">
    <w:pPr>
      <w:pStyle w:val="Encabezado"/>
      <w:jc w:val="right"/>
      <w:rPr>
        <w:b/>
        <w:i/>
        <w:lang w:val="es-A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4.5pt" o:bullet="t">
        <v:imagedata r:id="rId1" o:title=""/>
      </v:shape>
    </w:pict>
  </w:numPicBullet>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rPr>
        <w:rFonts w:cs="Times New Roman"/>
      </w:rPr>
    </w:lvl>
  </w:abstractNum>
  <w:abstractNum w:abstractNumId="1" w15:restartNumberingAfterBreak="0">
    <w:nsid w:val="01C506C2"/>
    <w:multiLevelType w:val="multilevel"/>
    <w:tmpl w:val="4896F2A0"/>
    <w:lvl w:ilvl="0">
      <w:start w:val="1"/>
      <w:numFmt w:val="upperRoman"/>
      <w:lvlText w:val="%1."/>
      <w:lvlJc w:val="left"/>
      <w:pPr>
        <w:ind w:left="1080" w:hanging="720"/>
      </w:pPr>
      <w:rPr>
        <w:rFonts w:cs="Times New Roman" w:hint="default"/>
        <w:b/>
      </w:rPr>
    </w:lvl>
    <w:lvl w:ilvl="1">
      <w:start w:val="15"/>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151A2910"/>
    <w:multiLevelType w:val="hybridMultilevel"/>
    <w:tmpl w:val="E4308572"/>
    <w:lvl w:ilvl="0" w:tplc="0C0A0013">
      <w:start w:val="1"/>
      <w:numFmt w:val="upperRoman"/>
      <w:lvlText w:val="%1."/>
      <w:lvlJc w:val="right"/>
      <w:pPr>
        <w:tabs>
          <w:tab w:val="num" w:pos="720"/>
        </w:tabs>
        <w:ind w:left="720" w:hanging="18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76C36E3"/>
    <w:multiLevelType w:val="hybridMultilevel"/>
    <w:tmpl w:val="891A538C"/>
    <w:lvl w:ilvl="0" w:tplc="6220F534">
      <w:start w:val="2011"/>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94408AC"/>
    <w:multiLevelType w:val="hybridMultilevel"/>
    <w:tmpl w:val="E34A493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 w15:restartNumberingAfterBreak="0">
    <w:nsid w:val="1A0B488F"/>
    <w:multiLevelType w:val="multilevel"/>
    <w:tmpl w:val="AD9E0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06F49"/>
    <w:multiLevelType w:val="hybridMultilevel"/>
    <w:tmpl w:val="C358A190"/>
    <w:lvl w:ilvl="0" w:tplc="9768FA28">
      <w:start w:val="1"/>
      <w:numFmt w:val="bullet"/>
      <w:pStyle w:val="bullettext"/>
      <w:lvlText w:val="o"/>
      <w:lvlJc w:val="left"/>
      <w:pPr>
        <w:ind w:left="1068" w:hanging="360"/>
      </w:pPr>
      <w:rPr>
        <w:rFonts w:ascii="Courier New" w:hAnsi="Courier New"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15:restartNumberingAfterBreak="0">
    <w:nsid w:val="20B27DC8"/>
    <w:multiLevelType w:val="multilevel"/>
    <w:tmpl w:val="0C0A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15:restartNumberingAfterBreak="0">
    <w:nsid w:val="36A93F34"/>
    <w:multiLevelType w:val="hybridMultilevel"/>
    <w:tmpl w:val="D986A954"/>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0F1B26"/>
    <w:multiLevelType w:val="hybridMultilevel"/>
    <w:tmpl w:val="29365082"/>
    <w:lvl w:ilvl="0" w:tplc="2C0A000F">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0" w15:restartNumberingAfterBreak="0">
    <w:nsid w:val="3C147A18"/>
    <w:multiLevelType w:val="hybridMultilevel"/>
    <w:tmpl w:val="73E47890"/>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1E29C1"/>
    <w:multiLevelType w:val="hybridMultilevel"/>
    <w:tmpl w:val="062C38B6"/>
    <w:lvl w:ilvl="0" w:tplc="0C0A0013">
      <w:start w:val="1"/>
      <w:numFmt w:val="upperRoman"/>
      <w:lvlText w:val="%1."/>
      <w:lvlJc w:val="right"/>
      <w:pPr>
        <w:tabs>
          <w:tab w:val="num" w:pos="720"/>
        </w:tabs>
        <w:ind w:left="720" w:hanging="18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32B7F84"/>
    <w:multiLevelType w:val="hybridMultilevel"/>
    <w:tmpl w:val="63C60882"/>
    <w:lvl w:ilvl="0" w:tplc="0C0A0001">
      <w:start w:val="1"/>
      <w:numFmt w:val="bullet"/>
      <w:lvlText w:val=""/>
      <w:lvlJc w:val="left"/>
      <w:pPr>
        <w:tabs>
          <w:tab w:val="num" w:pos="1428"/>
        </w:tabs>
        <w:ind w:left="142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3" w15:restartNumberingAfterBreak="0">
    <w:nsid w:val="44971C10"/>
    <w:multiLevelType w:val="hybridMultilevel"/>
    <w:tmpl w:val="8682955C"/>
    <w:lvl w:ilvl="0" w:tplc="BC708C72">
      <w:start w:val="1"/>
      <w:numFmt w:val="lowerLetter"/>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4" w15:restartNumberingAfterBreak="0">
    <w:nsid w:val="4C0771CA"/>
    <w:multiLevelType w:val="hybridMultilevel"/>
    <w:tmpl w:val="EA86AA9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162610"/>
    <w:multiLevelType w:val="hybridMultilevel"/>
    <w:tmpl w:val="F45C1E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C34A14"/>
    <w:multiLevelType w:val="hybridMultilevel"/>
    <w:tmpl w:val="987409D0"/>
    <w:lvl w:ilvl="0" w:tplc="3FF28316">
      <w:numFmt w:val="bullet"/>
      <w:lvlText w:val="-"/>
      <w:lvlJc w:val="left"/>
      <w:pPr>
        <w:tabs>
          <w:tab w:val="num" w:pos="720"/>
        </w:tabs>
        <w:ind w:left="720" w:hanging="360"/>
      </w:pPr>
      <w:rPr>
        <w:rFonts w:ascii="Arial" w:eastAsia="Times New Roman" w:hAnsi="Arial" w:hint="default"/>
      </w:rPr>
    </w:lvl>
    <w:lvl w:ilvl="1" w:tplc="0C0A0001">
      <w:start w:val="1"/>
      <w:numFmt w:val="bullet"/>
      <w:lvlText w:val=""/>
      <w:lvlJc w:val="left"/>
      <w:pPr>
        <w:tabs>
          <w:tab w:val="num" w:pos="1440"/>
        </w:tabs>
        <w:ind w:left="1440" w:hanging="360"/>
      </w:pPr>
      <w:rPr>
        <w:rFonts w:ascii="Symbol" w:hAnsi="Symbol" w:hint="default"/>
      </w:rPr>
    </w:lvl>
    <w:lvl w:ilvl="2" w:tplc="0C0A0001">
      <w:start w:val="1"/>
      <w:numFmt w:val="bullet"/>
      <w:lvlText w:val=""/>
      <w:lvlJc w:val="left"/>
      <w:pPr>
        <w:tabs>
          <w:tab w:val="num" w:pos="1440"/>
        </w:tabs>
        <w:ind w:left="1440"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F666D5"/>
    <w:multiLevelType w:val="hybridMultilevel"/>
    <w:tmpl w:val="40BE059C"/>
    <w:lvl w:ilvl="0" w:tplc="E10E7454">
      <w:start w:val="2011"/>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5E983AE7"/>
    <w:multiLevelType w:val="hybridMultilevel"/>
    <w:tmpl w:val="D3AA99D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62FA6BEE"/>
    <w:multiLevelType w:val="hybridMultilevel"/>
    <w:tmpl w:val="971CA3DC"/>
    <w:lvl w:ilvl="0" w:tplc="3FF28316">
      <w:start w:val="705"/>
      <w:numFmt w:val="bullet"/>
      <w:lvlText w:val="-"/>
      <w:lvlJc w:val="left"/>
      <w:pPr>
        <w:ind w:left="720" w:hanging="360"/>
      </w:pPr>
      <w:rPr>
        <w:rFonts w:ascii="Arial" w:eastAsia="Times New Roman" w:hAnsi="Aria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7124524F"/>
    <w:multiLevelType w:val="hybridMultilevel"/>
    <w:tmpl w:val="AD226342"/>
    <w:lvl w:ilvl="0" w:tplc="2C0A0017">
      <w:start w:val="1"/>
      <w:numFmt w:val="lowerLetter"/>
      <w:lvlText w:val="%1)"/>
      <w:lvlJc w:val="left"/>
      <w:pPr>
        <w:ind w:left="720" w:hanging="360"/>
      </w:pPr>
      <w:rPr>
        <w:rFonts w:cs="Times New Roman" w:hint="default"/>
      </w:rPr>
    </w:lvl>
    <w:lvl w:ilvl="1" w:tplc="2C0A0001">
      <w:start w:val="1"/>
      <w:numFmt w:val="bullet"/>
      <w:lvlText w:val=""/>
      <w:lvlJc w:val="left"/>
      <w:pPr>
        <w:ind w:left="1785" w:hanging="705"/>
      </w:pPr>
      <w:rPr>
        <w:rFonts w:ascii="Symbol" w:hAnsi="Symbol" w:hint="default"/>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21" w15:restartNumberingAfterBreak="0">
    <w:nsid w:val="79115F6B"/>
    <w:multiLevelType w:val="hybridMultilevel"/>
    <w:tmpl w:val="21A6251E"/>
    <w:lvl w:ilvl="0" w:tplc="7DC08F9E">
      <w:start w:val="3"/>
      <w:numFmt w:val="upperRoman"/>
      <w:lvlText w:val="%1."/>
      <w:lvlJc w:val="left"/>
      <w:pPr>
        <w:ind w:left="1080" w:hanging="720"/>
      </w:pPr>
      <w:rPr>
        <w:rFonts w:ascii="Times New Roman" w:hAnsi="Times New Roman" w:cs="Times New Roman" w:hint="default"/>
        <w:b/>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15:restartNumberingAfterBreak="0">
    <w:nsid w:val="7A043D87"/>
    <w:multiLevelType w:val="hybridMultilevel"/>
    <w:tmpl w:val="387C57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7B356A39"/>
    <w:multiLevelType w:val="hybridMultilevel"/>
    <w:tmpl w:val="9614FA70"/>
    <w:lvl w:ilvl="0" w:tplc="3FF28316">
      <w:start w:val="705"/>
      <w:numFmt w:val="bullet"/>
      <w:lvlText w:val="-"/>
      <w:lvlJc w:val="left"/>
      <w:pPr>
        <w:tabs>
          <w:tab w:val="num" w:pos="720"/>
        </w:tabs>
        <w:ind w:left="720" w:hanging="360"/>
      </w:pPr>
      <w:rPr>
        <w:rFonts w:ascii="Arial" w:eastAsia="Times New Roman" w:hAnsi="Aria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D06258B"/>
    <w:multiLevelType w:val="hybridMultilevel"/>
    <w:tmpl w:val="FDFC5DCA"/>
    <w:lvl w:ilvl="0" w:tplc="2C0A0017">
      <w:start w:val="1"/>
      <w:numFmt w:val="lowerLetter"/>
      <w:lvlText w:val="%1)"/>
      <w:lvlJc w:val="left"/>
      <w:pPr>
        <w:ind w:left="1428" w:hanging="360"/>
      </w:pPr>
    </w:lvl>
    <w:lvl w:ilvl="1" w:tplc="2C0A0019" w:tentative="1">
      <w:start w:val="1"/>
      <w:numFmt w:val="lowerLetter"/>
      <w:lvlText w:val="%2."/>
      <w:lvlJc w:val="left"/>
      <w:pPr>
        <w:ind w:left="2148" w:hanging="360"/>
      </w:pPr>
    </w:lvl>
    <w:lvl w:ilvl="2" w:tplc="2C0A001B" w:tentative="1">
      <w:start w:val="1"/>
      <w:numFmt w:val="lowerRoman"/>
      <w:lvlText w:val="%3."/>
      <w:lvlJc w:val="right"/>
      <w:pPr>
        <w:ind w:left="2868" w:hanging="180"/>
      </w:pPr>
    </w:lvl>
    <w:lvl w:ilvl="3" w:tplc="2C0A000F" w:tentative="1">
      <w:start w:val="1"/>
      <w:numFmt w:val="decimal"/>
      <w:lvlText w:val="%4."/>
      <w:lvlJc w:val="left"/>
      <w:pPr>
        <w:ind w:left="3588" w:hanging="360"/>
      </w:pPr>
    </w:lvl>
    <w:lvl w:ilvl="4" w:tplc="2C0A0019" w:tentative="1">
      <w:start w:val="1"/>
      <w:numFmt w:val="lowerLetter"/>
      <w:lvlText w:val="%5."/>
      <w:lvlJc w:val="left"/>
      <w:pPr>
        <w:ind w:left="4308" w:hanging="360"/>
      </w:pPr>
    </w:lvl>
    <w:lvl w:ilvl="5" w:tplc="2C0A001B" w:tentative="1">
      <w:start w:val="1"/>
      <w:numFmt w:val="lowerRoman"/>
      <w:lvlText w:val="%6."/>
      <w:lvlJc w:val="right"/>
      <w:pPr>
        <w:ind w:left="5028" w:hanging="180"/>
      </w:pPr>
    </w:lvl>
    <w:lvl w:ilvl="6" w:tplc="2C0A000F" w:tentative="1">
      <w:start w:val="1"/>
      <w:numFmt w:val="decimal"/>
      <w:lvlText w:val="%7."/>
      <w:lvlJc w:val="left"/>
      <w:pPr>
        <w:ind w:left="5748" w:hanging="360"/>
      </w:pPr>
    </w:lvl>
    <w:lvl w:ilvl="7" w:tplc="2C0A0019" w:tentative="1">
      <w:start w:val="1"/>
      <w:numFmt w:val="lowerLetter"/>
      <w:lvlText w:val="%8."/>
      <w:lvlJc w:val="left"/>
      <w:pPr>
        <w:ind w:left="6468" w:hanging="360"/>
      </w:pPr>
    </w:lvl>
    <w:lvl w:ilvl="8" w:tplc="2C0A001B" w:tentative="1">
      <w:start w:val="1"/>
      <w:numFmt w:val="lowerRoman"/>
      <w:lvlText w:val="%9."/>
      <w:lvlJc w:val="right"/>
      <w:pPr>
        <w:ind w:left="7188" w:hanging="180"/>
      </w:pPr>
    </w:lvl>
  </w:abstractNum>
  <w:num w:numId="1">
    <w:abstractNumId w:val="6"/>
  </w:num>
  <w:num w:numId="2">
    <w:abstractNumId w:val="1"/>
  </w:num>
  <w:num w:numId="3">
    <w:abstractNumId w:val="23"/>
  </w:num>
  <w:num w:numId="4">
    <w:abstractNumId w:val="7"/>
  </w:num>
  <w:num w:numId="5">
    <w:abstractNumId w:val="16"/>
  </w:num>
  <w:num w:numId="6">
    <w:abstractNumId w:val="14"/>
  </w:num>
  <w:num w:numId="7">
    <w:abstractNumId w:val="10"/>
  </w:num>
  <w:num w:numId="8">
    <w:abstractNumId w:val="15"/>
  </w:num>
  <w:num w:numId="9">
    <w:abstractNumId w:val="12"/>
  </w:num>
  <w:num w:numId="10">
    <w:abstractNumId w:val="11"/>
  </w:num>
  <w:num w:numId="11">
    <w:abstractNumId w:val="2"/>
  </w:num>
  <w:num w:numId="12">
    <w:abstractNumId w:val="9"/>
  </w:num>
  <w:num w:numId="13">
    <w:abstractNumId w:val="3"/>
  </w:num>
  <w:num w:numId="14">
    <w:abstractNumId w:val="17"/>
  </w:num>
  <w:num w:numId="15">
    <w:abstractNumId w:val="20"/>
  </w:num>
  <w:num w:numId="16">
    <w:abstractNumId w:val="19"/>
  </w:num>
  <w:num w:numId="17">
    <w:abstractNumId w:val="13"/>
  </w:num>
  <w:num w:numId="18">
    <w:abstractNumId w:val="22"/>
  </w:num>
  <w:num w:numId="19">
    <w:abstractNumId w:val="18"/>
  </w:num>
  <w:num w:numId="20">
    <w:abstractNumId w:val="8"/>
  </w:num>
  <w:num w:numId="21">
    <w:abstractNumId w:val="21"/>
  </w:num>
  <w:num w:numId="22">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5"/>
  </w:num>
  <w:num w:numId="25">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00469A"/>
    <w:rsid w:val="00002804"/>
    <w:rsid w:val="000038E6"/>
    <w:rsid w:val="00003ABD"/>
    <w:rsid w:val="0000469A"/>
    <w:rsid w:val="000101C3"/>
    <w:rsid w:val="00011D33"/>
    <w:rsid w:val="00012A7E"/>
    <w:rsid w:val="00013F22"/>
    <w:rsid w:val="0001454C"/>
    <w:rsid w:val="0001550B"/>
    <w:rsid w:val="00015831"/>
    <w:rsid w:val="0001711F"/>
    <w:rsid w:val="00017441"/>
    <w:rsid w:val="0002027D"/>
    <w:rsid w:val="00022272"/>
    <w:rsid w:val="00022B60"/>
    <w:rsid w:val="000230DF"/>
    <w:rsid w:val="00023304"/>
    <w:rsid w:val="000243E0"/>
    <w:rsid w:val="0002523A"/>
    <w:rsid w:val="00025B9A"/>
    <w:rsid w:val="000304F7"/>
    <w:rsid w:val="00032033"/>
    <w:rsid w:val="00034906"/>
    <w:rsid w:val="00035EB4"/>
    <w:rsid w:val="00036966"/>
    <w:rsid w:val="00041393"/>
    <w:rsid w:val="00042EBB"/>
    <w:rsid w:val="00045411"/>
    <w:rsid w:val="00045761"/>
    <w:rsid w:val="00051B34"/>
    <w:rsid w:val="000532AB"/>
    <w:rsid w:val="000534BF"/>
    <w:rsid w:val="00053651"/>
    <w:rsid w:val="00053F6D"/>
    <w:rsid w:val="00054C5C"/>
    <w:rsid w:val="00056579"/>
    <w:rsid w:val="00057826"/>
    <w:rsid w:val="000601D3"/>
    <w:rsid w:val="00060544"/>
    <w:rsid w:val="00060B32"/>
    <w:rsid w:val="00061B1E"/>
    <w:rsid w:val="00063655"/>
    <w:rsid w:val="0006373D"/>
    <w:rsid w:val="00063F1E"/>
    <w:rsid w:val="000646C2"/>
    <w:rsid w:val="0006499C"/>
    <w:rsid w:val="00064BB9"/>
    <w:rsid w:val="00065CD9"/>
    <w:rsid w:val="000745AD"/>
    <w:rsid w:val="00075AAD"/>
    <w:rsid w:val="000775CC"/>
    <w:rsid w:val="0008147F"/>
    <w:rsid w:val="00081B8F"/>
    <w:rsid w:val="00082D8B"/>
    <w:rsid w:val="0008320B"/>
    <w:rsid w:val="000833F4"/>
    <w:rsid w:val="00083C7F"/>
    <w:rsid w:val="00085C63"/>
    <w:rsid w:val="00087315"/>
    <w:rsid w:val="000876C0"/>
    <w:rsid w:val="00087CC1"/>
    <w:rsid w:val="00090F60"/>
    <w:rsid w:val="0009135A"/>
    <w:rsid w:val="00093F2C"/>
    <w:rsid w:val="00094A1E"/>
    <w:rsid w:val="00096219"/>
    <w:rsid w:val="00096863"/>
    <w:rsid w:val="000A291B"/>
    <w:rsid w:val="000A2B98"/>
    <w:rsid w:val="000A4B5E"/>
    <w:rsid w:val="000A5208"/>
    <w:rsid w:val="000A55EF"/>
    <w:rsid w:val="000B001A"/>
    <w:rsid w:val="000B04A7"/>
    <w:rsid w:val="000B244E"/>
    <w:rsid w:val="000B37EF"/>
    <w:rsid w:val="000B429F"/>
    <w:rsid w:val="000B4783"/>
    <w:rsid w:val="000B64AF"/>
    <w:rsid w:val="000B675D"/>
    <w:rsid w:val="000B738F"/>
    <w:rsid w:val="000B774F"/>
    <w:rsid w:val="000C0305"/>
    <w:rsid w:val="000C1207"/>
    <w:rsid w:val="000C1514"/>
    <w:rsid w:val="000C1C01"/>
    <w:rsid w:val="000C24BD"/>
    <w:rsid w:val="000C3234"/>
    <w:rsid w:val="000C397B"/>
    <w:rsid w:val="000C4A77"/>
    <w:rsid w:val="000C6B08"/>
    <w:rsid w:val="000D067D"/>
    <w:rsid w:val="000D0F10"/>
    <w:rsid w:val="000D1A8E"/>
    <w:rsid w:val="000D1AD2"/>
    <w:rsid w:val="000D1BAC"/>
    <w:rsid w:val="000D3BD3"/>
    <w:rsid w:val="000D447E"/>
    <w:rsid w:val="000D5239"/>
    <w:rsid w:val="000D5E6D"/>
    <w:rsid w:val="000D641C"/>
    <w:rsid w:val="000D6D04"/>
    <w:rsid w:val="000D7CC6"/>
    <w:rsid w:val="000E0A0A"/>
    <w:rsid w:val="000E17A3"/>
    <w:rsid w:val="000E1F40"/>
    <w:rsid w:val="000E3E1E"/>
    <w:rsid w:val="000E52CC"/>
    <w:rsid w:val="000E656A"/>
    <w:rsid w:val="000E6A26"/>
    <w:rsid w:val="000E7B43"/>
    <w:rsid w:val="000F146E"/>
    <w:rsid w:val="000F15DB"/>
    <w:rsid w:val="000F21E6"/>
    <w:rsid w:val="000F2EFF"/>
    <w:rsid w:val="000F321E"/>
    <w:rsid w:val="000F3F04"/>
    <w:rsid w:val="000F4638"/>
    <w:rsid w:val="000F525C"/>
    <w:rsid w:val="000F566F"/>
    <w:rsid w:val="0010149D"/>
    <w:rsid w:val="00102480"/>
    <w:rsid w:val="001032E3"/>
    <w:rsid w:val="00103629"/>
    <w:rsid w:val="001045D6"/>
    <w:rsid w:val="00105694"/>
    <w:rsid w:val="00111CF3"/>
    <w:rsid w:val="001126D3"/>
    <w:rsid w:val="00112B84"/>
    <w:rsid w:val="00113651"/>
    <w:rsid w:val="001138E1"/>
    <w:rsid w:val="00115367"/>
    <w:rsid w:val="00117000"/>
    <w:rsid w:val="00117B18"/>
    <w:rsid w:val="00120D5F"/>
    <w:rsid w:val="00122298"/>
    <w:rsid w:val="001259EE"/>
    <w:rsid w:val="00125AFA"/>
    <w:rsid w:val="00125DF3"/>
    <w:rsid w:val="00126D3A"/>
    <w:rsid w:val="001305F7"/>
    <w:rsid w:val="00131862"/>
    <w:rsid w:val="00134FDA"/>
    <w:rsid w:val="0013525A"/>
    <w:rsid w:val="0013624B"/>
    <w:rsid w:val="001434A5"/>
    <w:rsid w:val="00143D52"/>
    <w:rsid w:val="00146433"/>
    <w:rsid w:val="00150A86"/>
    <w:rsid w:val="00151150"/>
    <w:rsid w:val="00151E34"/>
    <w:rsid w:val="00153FC5"/>
    <w:rsid w:val="00155923"/>
    <w:rsid w:val="0016042E"/>
    <w:rsid w:val="00163A5A"/>
    <w:rsid w:val="00163F0F"/>
    <w:rsid w:val="001654EA"/>
    <w:rsid w:val="0016677F"/>
    <w:rsid w:val="00166FEB"/>
    <w:rsid w:val="00167548"/>
    <w:rsid w:val="001705AF"/>
    <w:rsid w:val="00170A60"/>
    <w:rsid w:val="00171D6D"/>
    <w:rsid w:val="00173196"/>
    <w:rsid w:val="001736DF"/>
    <w:rsid w:val="00174541"/>
    <w:rsid w:val="00174737"/>
    <w:rsid w:val="00174F82"/>
    <w:rsid w:val="00175862"/>
    <w:rsid w:val="0017690C"/>
    <w:rsid w:val="001803E5"/>
    <w:rsid w:val="00180604"/>
    <w:rsid w:val="001806DC"/>
    <w:rsid w:val="00180BD4"/>
    <w:rsid w:val="0018187D"/>
    <w:rsid w:val="001826E2"/>
    <w:rsid w:val="00182D64"/>
    <w:rsid w:val="00183272"/>
    <w:rsid w:val="00185B8D"/>
    <w:rsid w:val="00190EFF"/>
    <w:rsid w:val="001911A0"/>
    <w:rsid w:val="00191BB2"/>
    <w:rsid w:val="00193000"/>
    <w:rsid w:val="001942A9"/>
    <w:rsid w:val="00195BB7"/>
    <w:rsid w:val="00197070"/>
    <w:rsid w:val="001A08A2"/>
    <w:rsid w:val="001A10D6"/>
    <w:rsid w:val="001A307A"/>
    <w:rsid w:val="001A658C"/>
    <w:rsid w:val="001A678D"/>
    <w:rsid w:val="001A68FC"/>
    <w:rsid w:val="001A7790"/>
    <w:rsid w:val="001B0938"/>
    <w:rsid w:val="001B0FBC"/>
    <w:rsid w:val="001B11E1"/>
    <w:rsid w:val="001B1978"/>
    <w:rsid w:val="001B301D"/>
    <w:rsid w:val="001B3B79"/>
    <w:rsid w:val="001B3DBC"/>
    <w:rsid w:val="001B5BA1"/>
    <w:rsid w:val="001B5D8C"/>
    <w:rsid w:val="001C22FB"/>
    <w:rsid w:val="001C394D"/>
    <w:rsid w:val="001C7803"/>
    <w:rsid w:val="001D1CCF"/>
    <w:rsid w:val="001D369A"/>
    <w:rsid w:val="001D4969"/>
    <w:rsid w:val="001D64B5"/>
    <w:rsid w:val="001D66A3"/>
    <w:rsid w:val="001D6B10"/>
    <w:rsid w:val="001E0053"/>
    <w:rsid w:val="001E0C6B"/>
    <w:rsid w:val="001E19BB"/>
    <w:rsid w:val="001E1F6B"/>
    <w:rsid w:val="001E44B7"/>
    <w:rsid w:val="001E4BA8"/>
    <w:rsid w:val="001E5812"/>
    <w:rsid w:val="001E6825"/>
    <w:rsid w:val="001E7401"/>
    <w:rsid w:val="001F1063"/>
    <w:rsid w:val="001F227D"/>
    <w:rsid w:val="001F3350"/>
    <w:rsid w:val="001F3817"/>
    <w:rsid w:val="001F47A0"/>
    <w:rsid w:val="00200536"/>
    <w:rsid w:val="00200F3B"/>
    <w:rsid w:val="002013A2"/>
    <w:rsid w:val="002023C7"/>
    <w:rsid w:val="00202FE8"/>
    <w:rsid w:val="0020437D"/>
    <w:rsid w:val="00204F94"/>
    <w:rsid w:val="00205942"/>
    <w:rsid w:val="00205EA2"/>
    <w:rsid w:val="002062E8"/>
    <w:rsid w:val="00206731"/>
    <w:rsid w:val="00207D74"/>
    <w:rsid w:val="00210FC8"/>
    <w:rsid w:val="002122AD"/>
    <w:rsid w:val="0021476E"/>
    <w:rsid w:val="00220891"/>
    <w:rsid w:val="00223C18"/>
    <w:rsid w:val="00223F3B"/>
    <w:rsid w:val="0022430B"/>
    <w:rsid w:val="00224644"/>
    <w:rsid w:val="00225A1B"/>
    <w:rsid w:val="00226BE9"/>
    <w:rsid w:val="00230C7B"/>
    <w:rsid w:val="00232539"/>
    <w:rsid w:val="002325C9"/>
    <w:rsid w:val="00233E7C"/>
    <w:rsid w:val="00235098"/>
    <w:rsid w:val="002353DC"/>
    <w:rsid w:val="002356CC"/>
    <w:rsid w:val="00240A04"/>
    <w:rsid w:val="0024210F"/>
    <w:rsid w:val="002452CD"/>
    <w:rsid w:val="0024777C"/>
    <w:rsid w:val="00252186"/>
    <w:rsid w:val="002553DE"/>
    <w:rsid w:val="002573D7"/>
    <w:rsid w:val="00260260"/>
    <w:rsid w:val="00260806"/>
    <w:rsid w:val="002628B8"/>
    <w:rsid w:val="002634CE"/>
    <w:rsid w:val="00264A7E"/>
    <w:rsid w:val="0026682F"/>
    <w:rsid w:val="002677A1"/>
    <w:rsid w:val="002703D2"/>
    <w:rsid w:val="002740A3"/>
    <w:rsid w:val="00275B8F"/>
    <w:rsid w:val="002773D2"/>
    <w:rsid w:val="00280059"/>
    <w:rsid w:val="00282568"/>
    <w:rsid w:val="00284988"/>
    <w:rsid w:val="00290040"/>
    <w:rsid w:val="00291823"/>
    <w:rsid w:val="00293B2C"/>
    <w:rsid w:val="002941E0"/>
    <w:rsid w:val="0029513F"/>
    <w:rsid w:val="002971E4"/>
    <w:rsid w:val="002A0FB1"/>
    <w:rsid w:val="002A21AB"/>
    <w:rsid w:val="002A5505"/>
    <w:rsid w:val="002A647E"/>
    <w:rsid w:val="002A6F20"/>
    <w:rsid w:val="002B0CC6"/>
    <w:rsid w:val="002B7102"/>
    <w:rsid w:val="002B7796"/>
    <w:rsid w:val="002B78B6"/>
    <w:rsid w:val="002B7EAC"/>
    <w:rsid w:val="002C1003"/>
    <w:rsid w:val="002C1A29"/>
    <w:rsid w:val="002C67DD"/>
    <w:rsid w:val="002D2238"/>
    <w:rsid w:val="002D3BA0"/>
    <w:rsid w:val="002D53B2"/>
    <w:rsid w:val="002D56BF"/>
    <w:rsid w:val="002D5A0E"/>
    <w:rsid w:val="002D745A"/>
    <w:rsid w:val="002D7EC7"/>
    <w:rsid w:val="002E0C6C"/>
    <w:rsid w:val="002E1009"/>
    <w:rsid w:val="002E1AF8"/>
    <w:rsid w:val="002E238F"/>
    <w:rsid w:val="002E5331"/>
    <w:rsid w:val="002E59A7"/>
    <w:rsid w:val="002E5DA5"/>
    <w:rsid w:val="002E5FA0"/>
    <w:rsid w:val="002F136D"/>
    <w:rsid w:val="002F1D2D"/>
    <w:rsid w:val="002F31C8"/>
    <w:rsid w:val="002F4421"/>
    <w:rsid w:val="002F4ACD"/>
    <w:rsid w:val="002F55AD"/>
    <w:rsid w:val="003001A4"/>
    <w:rsid w:val="00303200"/>
    <w:rsid w:val="003043A1"/>
    <w:rsid w:val="003048AD"/>
    <w:rsid w:val="00307258"/>
    <w:rsid w:val="00307313"/>
    <w:rsid w:val="00310C38"/>
    <w:rsid w:val="00311484"/>
    <w:rsid w:val="003115A5"/>
    <w:rsid w:val="0031356B"/>
    <w:rsid w:val="003170CB"/>
    <w:rsid w:val="00320210"/>
    <w:rsid w:val="0032219F"/>
    <w:rsid w:val="00327613"/>
    <w:rsid w:val="00327954"/>
    <w:rsid w:val="003300FC"/>
    <w:rsid w:val="00330F39"/>
    <w:rsid w:val="0033259B"/>
    <w:rsid w:val="00332926"/>
    <w:rsid w:val="00333061"/>
    <w:rsid w:val="00333E60"/>
    <w:rsid w:val="00334930"/>
    <w:rsid w:val="003357D6"/>
    <w:rsid w:val="003364BE"/>
    <w:rsid w:val="003367C5"/>
    <w:rsid w:val="00336D3B"/>
    <w:rsid w:val="00336FF0"/>
    <w:rsid w:val="003378FF"/>
    <w:rsid w:val="0034104F"/>
    <w:rsid w:val="0034209A"/>
    <w:rsid w:val="003423C7"/>
    <w:rsid w:val="003452C9"/>
    <w:rsid w:val="00346F84"/>
    <w:rsid w:val="00351316"/>
    <w:rsid w:val="003520BF"/>
    <w:rsid w:val="003567D1"/>
    <w:rsid w:val="0035709C"/>
    <w:rsid w:val="00357599"/>
    <w:rsid w:val="003612D9"/>
    <w:rsid w:val="00361494"/>
    <w:rsid w:val="00361F0D"/>
    <w:rsid w:val="00362DF5"/>
    <w:rsid w:val="0036393A"/>
    <w:rsid w:val="003639C7"/>
    <w:rsid w:val="00363CED"/>
    <w:rsid w:val="00365EB4"/>
    <w:rsid w:val="003664C0"/>
    <w:rsid w:val="00367397"/>
    <w:rsid w:val="00367F50"/>
    <w:rsid w:val="003714A6"/>
    <w:rsid w:val="0037251F"/>
    <w:rsid w:val="003731E8"/>
    <w:rsid w:val="0037342F"/>
    <w:rsid w:val="003744FA"/>
    <w:rsid w:val="00374839"/>
    <w:rsid w:val="0037571E"/>
    <w:rsid w:val="00375FD9"/>
    <w:rsid w:val="00376261"/>
    <w:rsid w:val="00380C0B"/>
    <w:rsid w:val="00382202"/>
    <w:rsid w:val="00383752"/>
    <w:rsid w:val="00390B62"/>
    <w:rsid w:val="003922C9"/>
    <w:rsid w:val="0039358B"/>
    <w:rsid w:val="00393973"/>
    <w:rsid w:val="00393BB9"/>
    <w:rsid w:val="00396F85"/>
    <w:rsid w:val="003973D9"/>
    <w:rsid w:val="003A121C"/>
    <w:rsid w:val="003A1569"/>
    <w:rsid w:val="003A220A"/>
    <w:rsid w:val="003A5A67"/>
    <w:rsid w:val="003A6827"/>
    <w:rsid w:val="003A7E00"/>
    <w:rsid w:val="003B2310"/>
    <w:rsid w:val="003B379A"/>
    <w:rsid w:val="003B3B5E"/>
    <w:rsid w:val="003B3BB0"/>
    <w:rsid w:val="003B3F52"/>
    <w:rsid w:val="003B5264"/>
    <w:rsid w:val="003B76C6"/>
    <w:rsid w:val="003B774A"/>
    <w:rsid w:val="003B7E94"/>
    <w:rsid w:val="003C1FCF"/>
    <w:rsid w:val="003C23EF"/>
    <w:rsid w:val="003C32FF"/>
    <w:rsid w:val="003C3D09"/>
    <w:rsid w:val="003C4E6A"/>
    <w:rsid w:val="003C4FE0"/>
    <w:rsid w:val="003C5EB9"/>
    <w:rsid w:val="003C7318"/>
    <w:rsid w:val="003D1DC1"/>
    <w:rsid w:val="003D2FF3"/>
    <w:rsid w:val="003D502B"/>
    <w:rsid w:val="003D58F4"/>
    <w:rsid w:val="003D60C8"/>
    <w:rsid w:val="003D7978"/>
    <w:rsid w:val="003D7D92"/>
    <w:rsid w:val="003E0BDF"/>
    <w:rsid w:val="003E2F4D"/>
    <w:rsid w:val="003E32F0"/>
    <w:rsid w:val="003E3533"/>
    <w:rsid w:val="003E4130"/>
    <w:rsid w:val="003E4796"/>
    <w:rsid w:val="003E5125"/>
    <w:rsid w:val="003E5479"/>
    <w:rsid w:val="003E5510"/>
    <w:rsid w:val="003E59C5"/>
    <w:rsid w:val="003E6800"/>
    <w:rsid w:val="003E6E06"/>
    <w:rsid w:val="003E7E2D"/>
    <w:rsid w:val="003F0A8A"/>
    <w:rsid w:val="003F2709"/>
    <w:rsid w:val="003F4752"/>
    <w:rsid w:val="003F4833"/>
    <w:rsid w:val="003F4CEE"/>
    <w:rsid w:val="003F6603"/>
    <w:rsid w:val="003F680B"/>
    <w:rsid w:val="0040042D"/>
    <w:rsid w:val="00403A0B"/>
    <w:rsid w:val="00405596"/>
    <w:rsid w:val="0041138C"/>
    <w:rsid w:val="00412390"/>
    <w:rsid w:val="00416169"/>
    <w:rsid w:val="00416DB1"/>
    <w:rsid w:val="00416EE6"/>
    <w:rsid w:val="00417071"/>
    <w:rsid w:val="00421BF7"/>
    <w:rsid w:val="00423B98"/>
    <w:rsid w:val="0042466B"/>
    <w:rsid w:val="004277AB"/>
    <w:rsid w:val="00430ED3"/>
    <w:rsid w:val="00431B5D"/>
    <w:rsid w:val="004345A8"/>
    <w:rsid w:val="00436824"/>
    <w:rsid w:val="00440C7F"/>
    <w:rsid w:val="00440D6E"/>
    <w:rsid w:val="004422EF"/>
    <w:rsid w:val="004437EC"/>
    <w:rsid w:val="00444B0F"/>
    <w:rsid w:val="00445122"/>
    <w:rsid w:val="00450748"/>
    <w:rsid w:val="00450946"/>
    <w:rsid w:val="00450950"/>
    <w:rsid w:val="004509A4"/>
    <w:rsid w:val="0045287A"/>
    <w:rsid w:val="0045306D"/>
    <w:rsid w:val="00455606"/>
    <w:rsid w:val="00456EEE"/>
    <w:rsid w:val="00461612"/>
    <w:rsid w:val="0046530D"/>
    <w:rsid w:val="0046560E"/>
    <w:rsid w:val="00465D95"/>
    <w:rsid w:val="00465E89"/>
    <w:rsid w:val="0046619A"/>
    <w:rsid w:val="004702A2"/>
    <w:rsid w:val="00472C9F"/>
    <w:rsid w:val="00473464"/>
    <w:rsid w:val="00475371"/>
    <w:rsid w:val="00476673"/>
    <w:rsid w:val="00476A13"/>
    <w:rsid w:val="00480245"/>
    <w:rsid w:val="0048475B"/>
    <w:rsid w:val="004861ED"/>
    <w:rsid w:val="0048623E"/>
    <w:rsid w:val="00486AB0"/>
    <w:rsid w:val="00486DEA"/>
    <w:rsid w:val="00486F4E"/>
    <w:rsid w:val="00490054"/>
    <w:rsid w:val="00490D65"/>
    <w:rsid w:val="00492545"/>
    <w:rsid w:val="004929C4"/>
    <w:rsid w:val="00492AD5"/>
    <w:rsid w:val="00493159"/>
    <w:rsid w:val="004931AD"/>
    <w:rsid w:val="00495FD5"/>
    <w:rsid w:val="00496DCE"/>
    <w:rsid w:val="004972AC"/>
    <w:rsid w:val="00497442"/>
    <w:rsid w:val="004974BF"/>
    <w:rsid w:val="004A02CC"/>
    <w:rsid w:val="004A0853"/>
    <w:rsid w:val="004A177D"/>
    <w:rsid w:val="004A1E85"/>
    <w:rsid w:val="004A3061"/>
    <w:rsid w:val="004A336F"/>
    <w:rsid w:val="004A4AB9"/>
    <w:rsid w:val="004A5CFA"/>
    <w:rsid w:val="004A6111"/>
    <w:rsid w:val="004A7E47"/>
    <w:rsid w:val="004B2633"/>
    <w:rsid w:val="004B31DE"/>
    <w:rsid w:val="004B3893"/>
    <w:rsid w:val="004B3D0A"/>
    <w:rsid w:val="004B494D"/>
    <w:rsid w:val="004B592E"/>
    <w:rsid w:val="004B59C4"/>
    <w:rsid w:val="004B72DA"/>
    <w:rsid w:val="004B77A4"/>
    <w:rsid w:val="004B7F82"/>
    <w:rsid w:val="004C04D6"/>
    <w:rsid w:val="004C215A"/>
    <w:rsid w:val="004C3412"/>
    <w:rsid w:val="004C3C28"/>
    <w:rsid w:val="004C473A"/>
    <w:rsid w:val="004C6E56"/>
    <w:rsid w:val="004C7A6C"/>
    <w:rsid w:val="004D100F"/>
    <w:rsid w:val="004D3085"/>
    <w:rsid w:val="004E05A0"/>
    <w:rsid w:val="004E0695"/>
    <w:rsid w:val="004E0B32"/>
    <w:rsid w:val="004E4F9C"/>
    <w:rsid w:val="004E7B4E"/>
    <w:rsid w:val="004F374D"/>
    <w:rsid w:val="004F40B8"/>
    <w:rsid w:val="004F42CA"/>
    <w:rsid w:val="004F6497"/>
    <w:rsid w:val="004F681C"/>
    <w:rsid w:val="004F6BA2"/>
    <w:rsid w:val="004F6BD6"/>
    <w:rsid w:val="004F7788"/>
    <w:rsid w:val="0050042F"/>
    <w:rsid w:val="00501879"/>
    <w:rsid w:val="0050249F"/>
    <w:rsid w:val="005036F2"/>
    <w:rsid w:val="0050559C"/>
    <w:rsid w:val="00506235"/>
    <w:rsid w:val="005073B7"/>
    <w:rsid w:val="005102B1"/>
    <w:rsid w:val="0051292A"/>
    <w:rsid w:val="00513A54"/>
    <w:rsid w:val="005167B0"/>
    <w:rsid w:val="005201B3"/>
    <w:rsid w:val="00522DB2"/>
    <w:rsid w:val="00523904"/>
    <w:rsid w:val="00524325"/>
    <w:rsid w:val="0052799E"/>
    <w:rsid w:val="005341A7"/>
    <w:rsid w:val="00536BB3"/>
    <w:rsid w:val="005374A2"/>
    <w:rsid w:val="00537834"/>
    <w:rsid w:val="00540982"/>
    <w:rsid w:val="00540A86"/>
    <w:rsid w:val="00542E20"/>
    <w:rsid w:val="005434CB"/>
    <w:rsid w:val="0054473E"/>
    <w:rsid w:val="005465F8"/>
    <w:rsid w:val="00550CA8"/>
    <w:rsid w:val="00551224"/>
    <w:rsid w:val="00552B9A"/>
    <w:rsid w:val="005531DD"/>
    <w:rsid w:val="0055727F"/>
    <w:rsid w:val="005578C7"/>
    <w:rsid w:val="00560618"/>
    <w:rsid w:val="005611A2"/>
    <w:rsid w:val="00561648"/>
    <w:rsid w:val="00561C4D"/>
    <w:rsid w:val="005720D6"/>
    <w:rsid w:val="005734EE"/>
    <w:rsid w:val="00573944"/>
    <w:rsid w:val="005752E3"/>
    <w:rsid w:val="005775BC"/>
    <w:rsid w:val="00577AB8"/>
    <w:rsid w:val="00583568"/>
    <w:rsid w:val="0058428B"/>
    <w:rsid w:val="00584774"/>
    <w:rsid w:val="0058549E"/>
    <w:rsid w:val="00594034"/>
    <w:rsid w:val="00594219"/>
    <w:rsid w:val="00594C24"/>
    <w:rsid w:val="00594F14"/>
    <w:rsid w:val="00595518"/>
    <w:rsid w:val="00596078"/>
    <w:rsid w:val="005964FE"/>
    <w:rsid w:val="00597298"/>
    <w:rsid w:val="0059784C"/>
    <w:rsid w:val="00597D03"/>
    <w:rsid w:val="005A1C56"/>
    <w:rsid w:val="005A3E17"/>
    <w:rsid w:val="005A47ED"/>
    <w:rsid w:val="005A54E3"/>
    <w:rsid w:val="005A6F2F"/>
    <w:rsid w:val="005A7AB6"/>
    <w:rsid w:val="005B0272"/>
    <w:rsid w:val="005B2EEB"/>
    <w:rsid w:val="005B32FC"/>
    <w:rsid w:val="005B36F7"/>
    <w:rsid w:val="005B3EEC"/>
    <w:rsid w:val="005B5732"/>
    <w:rsid w:val="005B5DA0"/>
    <w:rsid w:val="005B5F3F"/>
    <w:rsid w:val="005C0BA6"/>
    <w:rsid w:val="005C173F"/>
    <w:rsid w:val="005C210E"/>
    <w:rsid w:val="005C241A"/>
    <w:rsid w:val="005C24D6"/>
    <w:rsid w:val="005C3095"/>
    <w:rsid w:val="005C48B2"/>
    <w:rsid w:val="005D0282"/>
    <w:rsid w:val="005D0A3D"/>
    <w:rsid w:val="005D2031"/>
    <w:rsid w:val="005D2F22"/>
    <w:rsid w:val="005D31F3"/>
    <w:rsid w:val="005D4F36"/>
    <w:rsid w:val="005D6FAC"/>
    <w:rsid w:val="005E5409"/>
    <w:rsid w:val="005E6947"/>
    <w:rsid w:val="005F143F"/>
    <w:rsid w:val="005F17AC"/>
    <w:rsid w:val="005F1CA7"/>
    <w:rsid w:val="005F2FC9"/>
    <w:rsid w:val="005F49AB"/>
    <w:rsid w:val="005F6480"/>
    <w:rsid w:val="005F6736"/>
    <w:rsid w:val="00602409"/>
    <w:rsid w:val="006049A3"/>
    <w:rsid w:val="00604A11"/>
    <w:rsid w:val="006106DB"/>
    <w:rsid w:val="00610813"/>
    <w:rsid w:val="006135B5"/>
    <w:rsid w:val="006138D1"/>
    <w:rsid w:val="00617086"/>
    <w:rsid w:val="0061722E"/>
    <w:rsid w:val="00623EEC"/>
    <w:rsid w:val="006247F9"/>
    <w:rsid w:val="006272DA"/>
    <w:rsid w:val="00627A45"/>
    <w:rsid w:val="00627EC8"/>
    <w:rsid w:val="0063250A"/>
    <w:rsid w:val="00635069"/>
    <w:rsid w:val="00635771"/>
    <w:rsid w:val="0064007A"/>
    <w:rsid w:val="00640344"/>
    <w:rsid w:val="00640FC5"/>
    <w:rsid w:val="0064118F"/>
    <w:rsid w:val="006419A1"/>
    <w:rsid w:val="00642A23"/>
    <w:rsid w:val="00642A47"/>
    <w:rsid w:val="00647062"/>
    <w:rsid w:val="006472FE"/>
    <w:rsid w:val="0064766F"/>
    <w:rsid w:val="0065014F"/>
    <w:rsid w:val="006503DA"/>
    <w:rsid w:val="0065271B"/>
    <w:rsid w:val="0065505D"/>
    <w:rsid w:val="006554C3"/>
    <w:rsid w:val="00655A13"/>
    <w:rsid w:val="00663814"/>
    <w:rsid w:val="00666215"/>
    <w:rsid w:val="006705E6"/>
    <w:rsid w:val="0067132F"/>
    <w:rsid w:val="00673D5D"/>
    <w:rsid w:val="00673FC9"/>
    <w:rsid w:val="00675ACC"/>
    <w:rsid w:val="00676339"/>
    <w:rsid w:val="006764B7"/>
    <w:rsid w:val="0067685A"/>
    <w:rsid w:val="00676DD0"/>
    <w:rsid w:val="00677591"/>
    <w:rsid w:val="00677D52"/>
    <w:rsid w:val="00683D15"/>
    <w:rsid w:val="00686791"/>
    <w:rsid w:val="00686A1A"/>
    <w:rsid w:val="0068774E"/>
    <w:rsid w:val="006906F8"/>
    <w:rsid w:val="006912AF"/>
    <w:rsid w:val="00691696"/>
    <w:rsid w:val="006928F7"/>
    <w:rsid w:val="00694DD4"/>
    <w:rsid w:val="00695FD3"/>
    <w:rsid w:val="006968ED"/>
    <w:rsid w:val="00696963"/>
    <w:rsid w:val="006979F1"/>
    <w:rsid w:val="006A073F"/>
    <w:rsid w:val="006A214D"/>
    <w:rsid w:val="006A52CF"/>
    <w:rsid w:val="006A56AC"/>
    <w:rsid w:val="006A671F"/>
    <w:rsid w:val="006A68C7"/>
    <w:rsid w:val="006A6ED3"/>
    <w:rsid w:val="006B0876"/>
    <w:rsid w:val="006B26D3"/>
    <w:rsid w:val="006B291A"/>
    <w:rsid w:val="006B415C"/>
    <w:rsid w:val="006B417D"/>
    <w:rsid w:val="006B5155"/>
    <w:rsid w:val="006B5F47"/>
    <w:rsid w:val="006B63DE"/>
    <w:rsid w:val="006B7D54"/>
    <w:rsid w:val="006B7EBC"/>
    <w:rsid w:val="006C0D42"/>
    <w:rsid w:val="006C1E26"/>
    <w:rsid w:val="006C2117"/>
    <w:rsid w:val="006C3980"/>
    <w:rsid w:val="006C3FA9"/>
    <w:rsid w:val="006C3FD3"/>
    <w:rsid w:val="006C4DC0"/>
    <w:rsid w:val="006C6F13"/>
    <w:rsid w:val="006C7B9A"/>
    <w:rsid w:val="006D0347"/>
    <w:rsid w:val="006D2DD4"/>
    <w:rsid w:val="006D3815"/>
    <w:rsid w:val="006D4F90"/>
    <w:rsid w:val="006D6B82"/>
    <w:rsid w:val="006D6E05"/>
    <w:rsid w:val="006D71CC"/>
    <w:rsid w:val="006D7636"/>
    <w:rsid w:val="006E0655"/>
    <w:rsid w:val="006E1253"/>
    <w:rsid w:val="006E2492"/>
    <w:rsid w:val="006E2CD1"/>
    <w:rsid w:val="006E36D9"/>
    <w:rsid w:val="006E5113"/>
    <w:rsid w:val="006E63C2"/>
    <w:rsid w:val="006E64DC"/>
    <w:rsid w:val="006E6D65"/>
    <w:rsid w:val="006E718B"/>
    <w:rsid w:val="006E76C3"/>
    <w:rsid w:val="006F3C63"/>
    <w:rsid w:val="006F53FF"/>
    <w:rsid w:val="00700725"/>
    <w:rsid w:val="0070084F"/>
    <w:rsid w:val="00703B24"/>
    <w:rsid w:val="00704B1B"/>
    <w:rsid w:val="00705310"/>
    <w:rsid w:val="00706AD3"/>
    <w:rsid w:val="00706C5C"/>
    <w:rsid w:val="00706F13"/>
    <w:rsid w:val="00711834"/>
    <w:rsid w:val="0071271F"/>
    <w:rsid w:val="00712D5E"/>
    <w:rsid w:val="00713D53"/>
    <w:rsid w:val="007173A2"/>
    <w:rsid w:val="00720F3D"/>
    <w:rsid w:val="007222F3"/>
    <w:rsid w:val="00722EC0"/>
    <w:rsid w:val="00723216"/>
    <w:rsid w:val="00726980"/>
    <w:rsid w:val="00727188"/>
    <w:rsid w:val="00727EA6"/>
    <w:rsid w:val="00727F22"/>
    <w:rsid w:val="00730BB0"/>
    <w:rsid w:val="00730F06"/>
    <w:rsid w:val="007327B5"/>
    <w:rsid w:val="007338F2"/>
    <w:rsid w:val="007350B6"/>
    <w:rsid w:val="007361BE"/>
    <w:rsid w:val="00736782"/>
    <w:rsid w:val="00737238"/>
    <w:rsid w:val="00737B6E"/>
    <w:rsid w:val="0074145C"/>
    <w:rsid w:val="00745092"/>
    <w:rsid w:val="00745788"/>
    <w:rsid w:val="00746B32"/>
    <w:rsid w:val="007520C0"/>
    <w:rsid w:val="00752EB0"/>
    <w:rsid w:val="0075308F"/>
    <w:rsid w:val="0075453E"/>
    <w:rsid w:val="0075466B"/>
    <w:rsid w:val="00755C6F"/>
    <w:rsid w:val="00756C5A"/>
    <w:rsid w:val="00757170"/>
    <w:rsid w:val="00757C00"/>
    <w:rsid w:val="00760191"/>
    <w:rsid w:val="00760437"/>
    <w:rsid w:val="00761ED8"/>
    <w:rsid w:val="00763369"/>
    <w:rsid w:val="00764D4E"/>
    <w:rsid w:val="00765B02"/>
    <w:rsid w:val="007667EB"/>
    <w:rsid w:val="007667F9"/>
    <w:rsid w:val="00766C6E"/>
    <w:rsid w:val="00770CA9"/>
    <w:rsid w:val="00770E7B"/>
    <w:rsid w:val="007722AF"/>
    <w:rsid w:val="0077286D"/>
    <w:rsid w:val="007747F0"/>
    <w:rsid w:val="00777508"/>
    <w:rsid w:val="00777F67"/>
    <w:rsid w:val="0078218B"/>
    <w:rsid w:val="00782632"/>
    <w:rsid w:val="007831F2"/>
    <w:rsid w:val="00783AC2"/>
    <w:rsid w:val="00784733"/>
    <w:rsid w:val="00784D7F"/>
    <w:rsid w:val="00785046"/>
    <w:rsid w:val="00785458"/>
    <w:rsid w:val="00787B7E"/>
    <w:rsid w:val="00791B59"/>
    <w:rsid w:val="00791C84"/>
    <w:rsid w:val="0079304E"/>
    <w:rsid w:val="007933B7"/>
    <w:rsid w:val="00796B3B"/>
    <w:rsid w:val="007A1D3A"/>
    <w:rsid w:val="007A3E18"/>
    <w:rsid w:val="007A5950"/>
    <w:rsid w:val="007A5D79"/>
    <w:rsid w:val="007A60BB"/>
    <w:rsid w:val="007A796A"/>
    <w:rsid w:val="007A7DAE"/>
    <w:rsid w:val="007B06B4"/>
    <w:rsid w:val="007B1E64"/>
    <w:rsid w:val="007B20E0"/>
    <w:rsid w:val="007B2859"/>
    <w:rsid w:val="007B4854"/>
    <w:rsid w:val="007B4B91"/>
    <w:rsid w:val="007B5339"/>
    <w:rsid w:val="007B7DF3"/>
    <w:rsid w:val="007C0E19"/>
    <w:rsid w:val="007C1AD0"/>
    <w:rsid w:val="007C3FC4"/>
    <w:rsid w:val="007C50F9"/>
    <w:rsid w:val="007C5230"/>
    <w:rsid w:val="007C75CF"/>
    <w:rsid w:val="007C79BA"/>
    <w:rsid w:val="007D2542"/>
    <w:rsid w:val="007D2DC3"/>
    <w:rsid w:val="007D3F9B"/>
    <w:rsid w:val="007D5E5F"/>
    <w:rsid w:val="007D703F"/>
    <w:rsid w:val="007E05BA"/>
    <w:rsid w:val="007E16BB"/>
    <w:rsid w:val="007E1A1B"/>
    <w:rsid w:val="007E3554"/>
    <w:rsid w:val="007E62F7"/>
    <w:rsid w:val="007E7D36"/>
    <w:rsid w:val="007F291E"/>
    <w:rsid w:val="007F2ED2"/>
    <w:rsid w:val="007F4D47"/>
    <w:rsid w:val="007F4DD5"/>
    <w:rsid w:val="007F612E"/>
    <w:rsid w:val="007F77A2"/>
    <w:rsid w:val="008005A7"/>
    <w:rsid w:val="008012DC"/>
    <w:rsid w:val="0080254C"/>
    <w:rsid w:val="00802E81"/>
    <w:rsid w:val="008039F1"/>
    <w:rsid w:val="00805565"/>
    <w:rsid w:val="00812E6D"/>
    <w:rsid w:val="008145F3"/>
    <w:rsid w:val="00815BD1"/>
    <w:rsid w:val="00816551"/>
    <w:rsid w:val="00820575"/>
    <w:rsid w:val="00820B98"/>
    <w:rsid w:val="00824917"/>
    <w:rsid w:val="0082545C"/>
    <w:rsid w:val="008254F3"/>
    <w:rsid w:val="0082646F"/>
    <w:rsid w:val="00826F93"/>
    <w:rsid w:val="008305D8"/>
    <w:rsid w:val="00833ACE"/>
    <w:rsid w:val="0083447D"/>
    <w:rsid w:val="0083551D"/>
    <w:rsid w:val="00836A19"/>
    <w:rsid w:val="0083781B"/>
    <w:rsid w:val="00837B29"/>
    <w:rsid w:val="00837E95"/>
    <w:rsid w:val="00840E48"/>
    <w:rsid w:val="00841F21"/>
    <w:rsid w:val="008437F5"/>
    <w:rsid w:val="00844C4E"/>
    <w:rsid w:val="00845FD4"/>
    <w:rsid w:val="0084696C"/>
    <w:rsid w:val="00846E63"/>
    <w:rsid w:val="00847009"/>
    <w:rsid w:val="0085456E"/>
    <w:rsid w:val="00856527"/>
    <w:rsid w:val="008634BE"/>
    <w:rsid w:val="00865C9A"/>
    <w:rsid w:val="00871E9E"/>
    <w:rsid w:val="00871EC5"/>
    <w:rsid w:val="008737FB"/>
    <w:rsid w:val="00873E8C"/>
    <w:rsid w:val="00875571"/>
    <w:rsid w:val="0087740E"/>
    <w:rsid w:val="00880BD2"/>
    <w:rsid w:val="0088420D"/>
    <w:rsid w:val="0088687D"/>
    <w:rsid w:val="00887095"/>
    <w:rsid w:val="00887B88"/>
    <w:rsid w:val="00891214"/>
    <w:rsid w:val="008925F7"/>
    <w:rsid w:val="00893388"/>
    <w:rsid w:val="008934BB"/>
    <w:rsid w:val="008935FC"/>
    <w:rsid w:val="00893DE7"/>
    <w:rsid w:val="00894D66"/>
    <w:rsid w:val="0089639D"/>
    <w:rsid w:val="008976A8"/>
    <w:rsid w:val="00897C7D"/>
    <w:rsid w:val="008A0119"/>
    <w:rsid w:val="008A53EC"/>
    <w:rsid w:val="008A7431"/>
    <w:rsid w:val="008B0514"/>
    <w:rsid w:val="008B0A1E"/>
    <w:rsid w:val="008B0C9C"/>
    <w:rsid w:val="008B35B5"/>
    <w:rsid w:val="008B41CD"/>
    <w:rsid w:val="008B534F"/>
    <w:rsid w:val="008B59B8"/>
    <w:rsid w:val="008B6A65"/>
    <w:rsid w:val="008B6ADB"/>
    <w:rsid w:val="008B79D2"/>
    <w:rsid w:val="008C0A96"/>
    <w:rsid w:val="008C36A1"/>
    <w:rsid w:val="008C4E73"/>
    <w:rsid w:val="008D7649"/>
    <w:rsid w:val="008D7B66"/>
    <w:rsid w:val="008E1218"/>
    <w:rsid w:val="008E1993"/>
    <w:rsid w:val="008E1A2D"/>
    <w:rsid w:val="008E24FD"/>
    <w:rsid w:val="008E2543"/>
    <w:rsid w:val="008E3759"/>
    <w:rsid w:val="008E7423"/>
    <w:rsid w:val="008E7A36"/>
    <w:rsid w:val="008F01CC"/>
    <w:rsid w:val="008F1FCE"/>
    <w:rsid w:val="008F211A"/>
    <w:rsid w:val="008F334C"/>
    <w:rsid w:val="008F483A"/>
    <w:rsid w:val="008F49D8"/>
    <w:rsid w:val="008F4C05"/>
    <w:rsid w:val="008F4D30"/>
    <w:rsid w:val="008F4F05"/>
    <w:rsid w:val="008F5DEF"/>
    <w:rsid w:val="008F68BB"/>
    <w:rsid w:val="00900266"/>
    <w:rsid w:val="0090158A"/>
    <w:rsid w:val="00902504"/>
    <w:rsid w:val="009027E8"/>
    <w:rsid w:val="00903403"/>
    <w:rsid w:val="00903C7F"/>
    <w:rsid w:val="009041B8"/>
    <w:rsid w:val="00906FBF"/>
    <w:rsid w:val="00906FD2"/>
    <w:rsid w:val="00907EC0"/>
    <w:rsid w:val="00912DE2"/>
    <w:rsid w:val="00913144"/>
    <w:rsid w:val="0091390F"/>
    <w:rsid w:val="00914C02"/>
    <w:rsid w:val="0092215C"/>
    <w:rsid w:val="00922B32"/>
    <w:rsid w:val="00922C0D"/>
    <w:rsid w:val="009231EE"/>
    <w:rsid w:val="00925229"/>
    <w:rsid w:val="00926519"/>
    <w:rsid w:val="00930332"/>
    <w:rsid w:val="00932D22"/>
    <w:rsid w:val="00932DD3"/>
    <w:rsid w:val="00936EBD"/>
    <w:rsid w:val="00937113"/>
    <w:rsid w:val="00937DFF"/>
    <w:rsid w:val="00937ECF"/>
    <w:rsid w:val="009403FB"/>
    <w:rsid w:val="00941144"/>
    <w:rsid w:val="0094193B"/>
    <w:rsid w:val="00941C02"/>
    <w:rsid w:val="00941FCD"/>
    <w:rsid w:val="009430FE"/>
    <w:rsid w:val="0094331F"/>
    <w:rsid w:val="009438C5"/>
    <w:rsid w:val="00944319"/>
    <w:rsid w:val="009447F2"/>
    <w:rsid w:val="00945BDE"/>
    <w:rsid w:val="00946972"/>
    <w:rsid w:val="009469DB"/>
    <w:rsid w:val="00946C7A"/>
    <w:rsid w:val="009479CC"/>
    <w:rsid w:val="00947C14"/>
    <w:rsid w:val="00947EF3"/>
    <w:rsid w:val="009517F4"/>
    <w:rsid w:val="0095312C"/>
    <w:rsid w:val="00953E5B"/>
    <w:rsid w:val="00953F1D"/>
    <w:rsid w:val="0096058D"/>
    <w:rsid w:val="009612CC"/>
    <w:rsid w:val="0096362C"/>
    <w:rsid w:val="00965A08"/>
    <w:rsid w:val="00965C3A"/>
    <w:rsid w:val="009664A2"/>
    <w:rsid w:val="00967CE1"/>
    <w:rsid w:val="009732B3"/>
    <w:rsid w:val="00973601"/>
    <w:rsid w:val="0097695A"/>
    <w:rsid w:val="00977A96"/>
    <w:rsid w:val="00980CC7"/>
    <w:rsid w:val="009819D8"/>
    <w:rsid w:val="00981F4F"/>
    <w:rsid w:val="00982FC5"/>
    <w:rsid w:val="00987CF5"/>
    <w:rsid w:val="00987FAB"/>
    <w:rsid w:val="009907DE"/>
    <w:rsid w:val="00992E97"/>
    <w:rsid w:val="00992EFE"/>
    <w:rsid w:val="00993172"/>
    <w:rsid w:val="009940E7"/>
    <w:rsid w:val="00994803"/>
    <w:rsid w:val="00994FC9"/>
    <w:rsid w:val="0099502D"/>
    <w:rsid w:val="00996ECC"/>
    <w:rsid w:val="0099799A"/>
    <w:rsid w:val="009A2770"/>
    <w:rsid w:val="009A28A6"/>
    <w:rsid w:val="009A2CBD"/>
    <w:rsid w:val="009A41B0"/>
    <w:rsid w:val="009A504B"/>
    <w:rsid w:val="009A601B"/>
    <w:rsid w:val="009A7353"/>
    <w:rsid w:val="009A7BC7"/>
    <w:rsid w:val="009B0517"/>
    <w:rsid w:val="009B1B6F"/>
    <w:rsid w:val="009B3283"/>
    <w:rsid w:val="009B370D"/>
    <w:rsid w:val="009B5311"/>
    <w:rsid w:val="009B5C68"/>
    <w:rsid w:val="009B6CFA"/>
    <w:rsid w:val="009B6F24"/>
    <w:rsid w:val="009B7887"/>
    <w:rsid w:val="009B7B00"/>
    <w:rsid w:val="009C1C79"/>
    <w:rsid w:val="009C29C6"/>
    <w:rsid w:val="009C5A33"/>
    <w:rsid w:val="009C6DFD"/>
    <w:rsid w:val="009C707A"/>
    <w:rsid w:val="009C7E2D"/>
    <w:rsid w:val="009D08E0"/>
    <w:rsid w:val="009D355F"/>
    <w:rsid w:val="009D4663"/>
    <w:rsid w:val="009D5F31"/>
    <w:rsid w:val="009E0E81"/>
    <w:rsid w:val="009E188F"/>
    <w:rsid w:val="009E3476"/>
    <w:rsid w:val="009E362F"/>
    <w:rsid w:val="009E40B9"/>
    <w:rsid w:val="009F1230"/>
    <w:rsid w:val="009F4339"/>
    <w:rsid w:val="009F45DE"/>
    <w:rsid w:val="009F4F21"/>
    <w:rsid w:val="009F6CB8"/>
    <w:rsid w:val="009F741B"/>
    <w:rsid w:val="009F7D52"/>
    <w:rsid w:val="00A000B4"/>
    <w:rsid w:val="00A01490"/>
    <w:rsid w:val="00A01D50"/>
    <w:rsid w:val="00A01FC7"/>
    <w:rsid w:val="00A04026"/>
    <w:rsid w:val="00A0690A"/>
    <w:rsid w:val="00A10239"/>
    <w:rsid w:val="00A12BDD"/>
    <w:rsid w:val="00A13BB8"/>
    <w:rsid w:val="00A1486A"/>
    <w:rsid w:val="00A14A5E"/>
    <w:rsid w:val="00A16F83"/>
    <w:rsid w:val="00A17204"/>
    <w:rsid w:val="00A17905"/>
    <w:rsid w:val="00A21D16"/>
    <w:rsid w:val="00A225C1"/>
    <w:rsid w:val="00A228DA"/>
    <w:rsid w:val="00A237A5"/>
    <w:rsid w:val="00A2587F"/>
    <w:rsid w:val="00A2630D"/>
    <w:rsid w:val="00A2650D"/>
    <w:rsid w:val="00A275C1"/>
    <w:rsid w:val="00A277BF"/>
    <w:rsid w:val="00A31482"/>
    <w:rsid w:val="00A329FA"/>
    <w:rsid w:val="00A32C9A"/>
    <w:rsid w:val="00A34A60"/>
    <w:rsid w:val="00A36859"/>
    <w:rsid w:val="00A369AC"/>
    <w:rsid w:val="00A37416"/>
    <w:rsid w:val="00A37A9C"/>
    <w:rsid w:val="00A40DE9"/>
    <w:rsid w:val="00A43CA8"/>
    <w:rsid w:val="00A451A6"/>
    <w:rsid w:val="00A45340"/>
    <w:rsid w:val="00A4564F"/>
    <w:rsid w:val="00A45BCC"/>
    <w:rsid w:val="00A478D7"/>
    <w:rsid w:val="00A47CB1"/>
    <w:rsid w:val="00A50586"/>
    <w:rsid w:val="00A51881"/>
    <w:rsid w:val="00A52038"/>
    <w:rsid w:val="00A530A3"/>
    <w:rsid w:val="00A54081"/>
    <w:rsid w:val="00A546B8"/>
    <w:rsid w:val="00A54995"/>
    <w:rsid w:val="00A54F04"/>
    <w:rsid w:val="00A563D5"/>
    <w:rsid w:val="00A61B9B"/>
    <w:rsid w:val="00A61C52"/>
    <w:rsid w:val="00A6319A"/>
    <w:rsid w:val="00A632E7"/>
    <w:rsid w:val="00A6527E"/>
    <w:rsid w:val="00A677DC"/>
    <w:rsid w:val="00A679C8"/>
    <w:rsid w:val="00A67DF2"/>
    <w:rsid w:val="00A73A8A"/>
    <w:rsid w:val="00A769F9"/>
    <w:rsid w:val="00A80504"/>
    <w:rsid w:val="00A81506"/>
    <w:rsid w:val="00A83A3D"/>
    <w:rsid w:val="00A8524F"/>
    <w:rsid w:val="00A92324"/>
    <w:rsid w:val="00A9280D"/>
    <w:rsid w:val="00A95A1B"/>
    <w:rsid w:val="00A968C5"/>
    <w:rsid w:val="00A96C4B"/>
    <w:rsid w:val="00A97E14"/>
    <w:rsid w:val="00AA0207"/>
    <w:rsid w:val="00AA2270"/>
    <w:rsid w:val="00AA2865"/>
    <w:rsid w:val="00AA49A7"/>
    <w:rsid w:val="00AA6932"/>
    <w:rsid w:val="00AA71E9"/>
    <w:rsid w:val="00AB004A"/>
    <w:rsid w:val="00AB2F19"/>
    <w:rsid w:val="00AB2F70"/>
    <w:rsid w:val="00AB32B9"/>
    <w:rsid w:val="00AC0734"/>
    <w:rsid w:val="00AC25A6"/>
    <w:rsid w:val="00AC291E"/>
    <w:rsid w:val="00AC34E9"/>
    <w:rsid w:val="00AC5A91"/>
    <w:rsid w:val="00AC652B"/>
    <w:rsid w:val="00AC67D6"/>
    <w:rsid w:val="00AC6CB8"/>
    <w:rsid w:val="00AD0BA3"/>
    <w:rsid w:val="00AD3FC1"/>
    <w:rsid w:val="00AD45DA"/>
    <w:rsid w:val="00AD7586"/>
    <w:rsid w:val="00AD768D"/>
    <w:rsid w:val="00AD77F9"/>
    <w:rsid w:val="00AE0AD2"/>
    <w:rsid w:val="00AE1DE9"/>
    <w:rsid w:val="00AE3B9A"/>
    <w:rsid w:val="00AE505F"/>
    <w:rsid w:val="00AE54F6"/>
    <w:rsid w:val="00AF0506"/>
    <w:rsid w:val="00AF140D"/>
    <w:rsid w:val="00AF15A2"/>
    <w:rsid w:val="00AF415D"/>
    <w:rsid w:val="00AF7B36"/>
    <w:rsid w:val="00AF7B60"/>
    <w:rsid w:val="00AF7DC0"/>
    <w:rsid w:val="00B00532"/>
    <w:rsid w:val="00B009CA"/>
    <w:rsid w:val="00B01975"/>
    <w:rsid w:val="00B021CA"/>
    <w:rsid w:val="00B03560"/>
    <w:rsid w:val="00B03D51"/>
    <w:rsid w:val="00B04093"/>
    <w:rsid w:val="00B070AA"/>
    <w:rsid w:val="00B07480"/>
    <w:rsid w:val="00B074DE"/>
    <w:rsid w:val="00B10090"/>
    <w:rsid w:val="00B10493"/>
    <w:rsid w:val="00B1077A"/>
    <w:rsid w:val="00B10D9E"/>
    <w:rsid w:val="00B10E53"/>
    <w:rsid w:val="00B12B59"/>
    <w:rsid w:val="00B13EA0"/>
    <w:rsid w:val="00B16B2E"/>
    <w:rsid w:val="00B16D21"/>
    <w:rsid w:val="00B20A96"/>
    <w:rsid w:val="00B2113D"/>
    <w:rsid w:val="00B25632"/>
    <w:rsid w:val="00B25BF2"/>
    <w:rsid w:val="00B25FA3"/>
    <w:rsid w:val="00B2695C"/>
    <w:rsid w:val="00B26F50"/>
    <w:rsid w:val="00B27430"/>
    <w:rsid w:val="00B3097E"/>
    <w:rsid w:val="00B30FA0"/>
    <w:rsid w:val="00B34D8D"/>
    <w:rsid w:val="00B35352"/>
    <w:rsid w:val="00B37D3B"/>
    <w:rsid w:val="00B40CCE"/>
    <w:rsid w:val="00B45FDA"/>
    <w:rsid w:val="00B46A83"/>
    <w:rsid w:val="00B46AC8"/>
    <w:rsid w:val="00B50B8E"/>
    <w:rsid w:val="00B52F6B"/>
    <w:rsid w:val="00B56C54"/>
    <w:rsid w:val="00B6070A"/>
    <w:rsid w:val="00B610B6"/>
    <w:rsid w:val="00B612BA"/>
    <w:rsid w:val="00B61E7C"/>
    <w:rsid w:val="00B630F6"/>
    <w:rsid w:val="00B64048"/>
    <w:rsid w:val="00B668B1"/>
    <w:rsid w:val="00B711C3"/>
    <w:rsid w:val="00B713FA"/>
    <w:rsid w:val="00B71CCF"/>
    <w:rsid w:val="00B75672"/>
    <w:rsid w:val="00B75864"/>
    <w:rsid w:val="00B77B9D"/>
    <w:rsid w:val="00B8344E"/>
    <w:rsid w:val="00B83F03"/>
    <w:rsid w:val="00B8515E"/>
    <w:rsid w:val="00B861D2"/>
    <w:rsid w:val="00B9256A"/>
    <w:rsid w:val="00B93285"/>
    <w:rsid w:val="00B94495"/>
    <w:rsid w:val="00B95A07"/>
    <w:rsid w:val="00B96077"/>
    <w:rsid w:val="00B96087"/>
    <w:rsid w:val="00B966A8"/>
    <w:rsid w:val="00B96F56"/>
    <w:rsid w:val="00B9746F"/>
    <w:rsid w:val="00BA0F96"/>
    <w:rsid w:val="00BA1EC1"/>
    <w:rsid w:val="00BA284B"/>
    <w:rsid w:val="00BA54C7"/>
    <w:rsid w:val="00BA5568"/>
    <w:rsid w:val="00BA7CD7"/>
    <w:rsid w:val="00BB13C2"/>
    <w:rsid w:val="00BB207C"/>
    <w:rsid w:val="00BB513D"/>
    <w:rsid w:val="00BB7854"/>
    <w:rsid w:val="00BC1DDB"/>
    <w:rsid w:val="00BC5D63"/>
    <w:rsid w:val="00BC6388"/>
    <w:rsid w:val="00BC66FB"/>
    <w:rsid w:val="00BC7766"/>
    <w:rsid w:val="00BD0EE9"/>
    <w:rsid w:val="00BD31C4"/>
    <w:rsid w:val="00BD6E1E"/>
    <w:rsid w:val="00BD713E"/>
    <w:rsid w:val="00BD7493"/>
    <w:rsid w:val="00BE39F5"/>
    <w:rsid w:val="00BE3A63"/>
    <w:rsid w:val="00BE4708"/>
    <w:rsid w:val="00BE5D8F"/>
    <w:rsid w:val="00BE5F2F"/>
    <w:rsid w:val="00BE6716"/>
    <w:rsid w:val="00BE6D70"/>
    <w:rsid w:val="00BE7BF6"/>
    <w:rsid w:val="00BF0FB3"/>
    <w:rsid w:val="00BF197A"/>
    <w:rsid w:val="00BF26C8"/>
    <w:rsid w:val="00BF333E"/>
    <w:rsid w:val="00C01040"/>
    <w:rsid w:val="00C037C2"/>
    <w:rsid w:val="00C044F4"/>
    <w:rsid w:val="00C07AEA"/>
    <w:rsid w:val="00C144C8"/>
    <w:rsid w:val="00C14D56"/>
    <w:rsid w:val="00C150A6"/>
    <w:rsid w:val="00C1570D"/>
    <w:rsid w:val="00C159CA"/>
    <w:rsid w:val="00C167EB"/>
    <w:rsid w:val="00C17676"/>
    <w:rsid w:val="00C20697"/>
    <w:rsid w:val="00C207E0"/>
    <w:rsid w:val="00C22099"/>
    <w:rsid w:val="00C22B79"/>
    <w:rsid w:val="00C2484E"/>
    <w:rsid w:val="00C26B02"/>
    <w:rsid w:val="00C26F10"/>
    <w:rsid w:val="00C30846"/>
    <w:rsid w:val="00C32CAD"/>
    <w:rsid w:val="00C3309E"/>
    <w:rsid w:val="00C332CA"/>
    <w:rsid w:val="00C3363E"/>
    <w:rsid w:val="00C359E3"/>
    <w:rsid w:val="00C361BF"/>
    <w:rsid w:val="00C3684E"/>
    <w:rsid w:val="00C37056"/>
    <w:rsid w:val="00C419C2"/>
    <w:rsid w:val="00C425CB"/>
    <w:rsid w:val="00C42BE9"/>
    <w:rsid w:val="00C44820"/>
    <w:rsid w:val="00C45475"/>
    <w:rsid w:val="00C45AD0"/>
    <w:rsid w:val="00C467F3"/>
    <w:rsid w:val="00C46A9C"/>
    <w:rsid w:val="00C46F70"/>
    <w:rsid w:val="00C4770B"/>
    <w:rsid w:val="00C515E0"/>
    <w:rsid w:val="00C51A53"/>
    <w:rsid w:val="00C52805"/>
    <w:rsid w:val="00C52AAD"/>
    <w:rsid w:val="00C52E69"/>
    <w:rsid w:val="00C53754"/>
    <w:rsid w:val="00C54406"/>
    <w:rsid w:val="00C5608F"/>
    <w:rsid w:val="00C65B0B"/>
    <w:rsid w:val="00C66414"/>
    <w:rsid w:val="00C664A3"/>
    <w:rsid w:val="00C7042A"/>
    <w:rsid w:val="00C72410"/>
    <w:rsid w:val="00C74294"/>
    <w:rsid w:val="00C74433"/>
    <w:rsid w:val="00C77025"/>
    <w:rsid w:val="00C77728"/>
    <w:rsid w:val="00C80A71"/>
    <w:rsid w:val="00C82B0C"/>
    <w:rsid w:val="00C82DED"/>
    <w:rsid w:val="00C86915"/>
    <w:rsid w:val="00C86AA0"/>
    <w:rsid w:val="00C86D3E"/>
    <w:rsid w:val="00C87BDA"/>
    <w:rsid w:val="00C9009B"/>
    <w:rsid w:val="00C91A66"/>
    <w:rsid w:val="00C95236"/>
    <w:rsid w:val="00C9590E"/>
    <w:rsid w:val="00C9596E"/>
    <w:rsid w:val="00CA1470"/>
    <w:rsid w:val="00CA24B7"/>
    <w:rsid w:val="00CA4C3F"/>
    <w:rsid w:val="00CA5E0A"/>
    <w:rsid w:val="00CA6EC9"/>
    <w:rsid w:val="00CA7A94"/>
    <w:rsid w:val="00CA7D22"/>
    <w:rsid w:val="00CA7D3D"/>
    <w:rsid w:val="00CB0759"/>
    <w:rsid w:val="00CB1174"/>
    <w:rsid w:val="00CB534C"/>
    <w:rsid w:val="00CB5DC0"/>
    <w:rsid w:val="00CC07DF"/>
    <w:rsid w:val="00CC0D04"/>
    <w:rsid w:val="00CC1C4D"/>
    <w:rsid w:val="00CC2D6D"/>
    <w:rsid w:val="00CC30B9"/>
    <w:rsid w:val="00CC3703"/>
    <w:rsid w:val="00CC395E"/>
    <w:rsid w:val="00CC3DCB"/>
    <w:rsid w:val="00CC5EEF"/>
    <w:rsid w:val="00CC6DDE"/>
    <w:rsid w:val="00CD03C1"/>
    <w:rsid w:val="00CD26B4"/>
    <w:rsid w:val="00CD296E"/>
    <w:rsid w:val="00CD4A51"/>
    <w:rsid w:val="00CD4D5D"/>
    <w:rsid w:val="00CD5110"/>
    <w:rsid w:val="00CD56DA"/>
    <w:rsid w:val="00CD5BEA"/>
    <w:rsid w:val="00CD5E64"/>
    <w:rsid w:val="00CD6B54"/>
    <w:rsid w:val="00CD6B8D"/>
    <w:rsid w:val="00CE052A"/>
    <w:rsid w:val="00CE0557"/>
    <w:rsid w:val="00CE0FE7"/>
    <w:rsid w:val="00CE1178"/>
    <w:rsid w:val="00CE2D26"/>
    <w:rsid w:val="00CE43D4"/>
    <w:rsid w:val="00CE4C7D"/>
    <w:rsid w:val="00CE4E4D"/>
    <w:rsid w:val="00CE651F"/>
    <w:rsid w:val="00CE6BB6"/>
    <w:rsid w:val="00CF03AD"/>
    <w:rsid w:val="00CF10B2"/>
    <w:rsid w:val="00CF12C0"/>
    <w:rsid w:val="00CF21A9"/>
    <w:rsid w:val="00CF481A"/>
    <w:rsid w:val="00CF4CF9"/>
    <w:rsid w:val="00CF51C1"/>
    <w:rsid w:val="00CF678F"/>
    <w:rsid w:val="00CF7321"/>
    <w:rsid w:val="00D025E0"/>
    <w:rsid w:val="00D06CF4"/>
    <w:rsid w:val="00D07870"/>
    <w:rsid w:val="00D0794F"/>
    <w:rsid w:val="00D1216A"/>
    <w:rsid w:val="00D14823"/>
    <w:rsid w:val="00D14DD1"/>
    <w:rsid w:val="00D152D7"/>
    <w:rsid w:val="00D1578E"/>
    <w:rsid w:val="00D157E3"/>
    <w:rsid w:val="00D15FD6"/>
    <w:rsid w:val="00D16E4F"/>
    <w:rsid w:val="00D1743E"/>
    <w:rsid w:val="00D208AC"/>
    <w:rsid w:val="00D21627"/>
    <w:rsid w:val="00D23497"/>
    <w:rsid w:val="00D2446A"/>
    <w:rsid w:val="00D244A2"/>
    <w:rsid w:val="00D26985"/>
    <w:rsid w:val="00D30E93"/>
    <w:rsid w:val="00D31418"/>
    <w:rsid w:val="00D31A34"/>
    <w:rsid w:val="00D31C7F"/>
    <w:rsid w:val="00D32D84"/>
    <w:rsid w:val="00D41673"/>
    <w:rsid w:val="00D44630"/>
    <w:rsid w:val="00D44E66"/>
    <w:rsid w:val="00D45878"/>
    <w:rsid w:val="00D45FDE"/>
    <w:rsid w:val="00D472CF"/>
    <w:rsid w:val="00D47BC6"/>
    <w:rsid w:val="00D51DC8"/>
    <w:rsid w:val="00D52979"/>
    <w:rsid w:val="00D535A5"/>
    <w:rsid w:val="00D53A40"/>
    <w:rsid w:val="00D548AC"/>
    <w:rsid w:val="00D54F4C"/>
    <w:rsid w:val="00D554E2"/>
    <w:rsid w:val="00D5640B"/>
    <w:rsid w:val="00D617D9"/>
    <w:rsid w:val="00D619AC"/>
    <w:rsid w:val="00D62031"/>
    <w:rsid w:val="00D622D5"/>
    <w:rsid w:val="00D639C6"/>
    <w:rsid w:val="00D66215"/>
    <w:rsid w:val="00D66605"/>
    <w:rsid w:val="00D67EA8"/>
    <w:rsid w:val="00D70BC1"/>
    <w:rsid w:val="00D718A8"/>
    <w:rsid w:val="00D721CD"/>
    <w:rsid w:val="00D72D37"/>
    <w:rsid w:val="00D732E0"/>
    <w:rsid w:val="00D7347B"/>
    <w:rsid w:val="00D73655"/>
    <w:rsid w:val="00D7375A"/>
    <w:rsid w:val="00D73AD2"/>
    <w:rsid w:val="00D803DC"/>
    <w:rsid w:val="00D80AC8"/>
    <w:rsid w:val="00D82EC8"/>
    <w:rsid w:val="00D84230"/>
    <w:rsid w:val="00D84535"/>
    <w:rsid w:val="00D865E4"/>
    <w:rsid w:val="00D87C7A"/>
    <w:rsid w:val="00D90109"/>
    <w:rsid w:val="00D92414"/>
    <w:rsid w:val="00D92629"/>
    <w:rsid w:val="00D9480F"/>
    <w:rsid w:val="00D958D3"/>
    <w:rsid w:val="00D97262"/>
    <w:rsid w:val="00DA0A35"/>
    <w:rsid w:val="00DA2E13"/>
    <w:rsid w:val="00DA43B4"/>
    <w:rsid w:val="00DA4435"/>
    <w:rsid w:val="00DA5C4C"/>
    <w:rsid w:val="00DA5D8F"/>
    <w:rsid w:val="00DA7531"/>
    <w:rsid w:val="00DB4212"/>
    <w:rsid w:val="00DB5350"/>
    <w:rsid w:val="00DB5F14"/>
    <w:rsid w:val="00DB5F64"/>
    <w:rsid w:val="00DC2F1A"/>
    <w:rsid w:val="00DC3C76"/>
    <w:rsid w:val="00DC3F20"/>
    <w:rsid w:val="00DC4115"/>
    <w:rsid w:val="00DC73EC"/>
    <w:rsid w:val="00DC794C"/>
    <w:rsid w:val="00DC7DB3"/>
    <w:rsid w:val="00DD0027"/>
    <w:rsid w:val="00DD2C93"/>
    <w:rsid w:val="00DD69F0"/>
    <w:rsid w:val="00DD7599"/>
    <w:rsid w:val="00DD7E24"/>
    <w:rsid w:val="00DE0164"/>
    <w:rsid w:val="00DE0A5A"/>
    <w:rsid w:val="00DE267D"/>
    <w:rsid w:val="00DE3837"/>
    <w:rsid w:val="00DE3C25"/>
    <w:rsid w:val="00DE52C2"/>
    <w:rsid w:val="00DE5FA4"/>
    <w:rsid w:val="00DE6515"/>
    <w:rsid w:val="00DE7853"/>
    <w:rsid w:val="00DF1C17"/>
    <w:rsid w:val="00DF2B4A"/>
    <w:rsid w:val="00DF2E82"/>
    <w:rsid w:val="00DF32F2"/>
    <w:rsid w:val="00DF388C"/>
    <w:rsid w:val="00DF3E49"/>
    <w:rsid w:val="00DF41AE"/>
    <w:rsid w:val="00E0076F"/>
    <w:rsid w:val="00E02D2F"/>
    <w:rsid w:val="00E02D55"/>
    <w:rsid w:val="00E03CE1"/>
    <w:rsid w:val="00E03CF3"/>
    <w:rsid w:val="00E03EB0"/>
    <w:rsid w:val="00E04768"/>
    <w:rsid w:val="00E04DD9"/>
    <w:rsid w:val="00E05313"/>
    <w:rsid w:val="00E05397"/>
    <w:rsid w:val="00E077CC"/>
    <w:rsid w:val="00E07A4E"/>
    <w:rsid w:val="00E10582"/>
    <w:rsid w:val="00E11DDF"/>
    <w:rsid w:val="00E126CF"/>
    <w:rsid w:val="00E15467"/>
    <w:rsid w:val="00E162C7"/>
    <w:rsid w:val="00E16F7C"/>
    <w:rsid w:val="00E17063"/>
    <w:rsid w:val="00E176F9"/>
    <w:rsid w:val="00E17AF7"/>
    <w:rsid w:val="00E203A6"/>
    <w:rsid w:val="00E20C0A"/>
    <w:rsid w:val="00E221E0"/>
    <w:rsid w:val="00E231AC"/>
    <w:rsid w:val="00E2365A"/>
    <w:rsid w:val="00E325BD"/>
    <w:rsid w:val="00E33179"/>
    <w:rsid w:val="00E3490D"/>
    <w:rsid w:val="00E42894"/>
    <w:rsid w:val="00E4422D"/>
    <w:rsid w:val="00E442F8"/>
    <w:rsid w:val="00E469A1"/>
    <w:rsid w:val="00E46C76"/>
    <w:rsid w:val="00E500F8"/>
    <w:rsid w:val="00E509C0"/>
    <w:rsid w:val="00E53552"/>
    <w:rsid w:val="00E60856"/>
    <w:rsid w:val="00E613F9"/>
    <w:rsid w:val="00E61A9A"/>
    <w:rsid w:val="00E61FB1"/>
    <w:rsid w:val="00E6380D"/>
    <w:rsid w:val="00E644BC"/>
    <w:rsid w:val="00E65783"/>
    <w:rsid w:val="00E663C8"/>
    <w:rsid w:val="00E67F91"/>
    <w:rsid w:val="00E722CA"/>
    <w:rsid w:val="00E745E2"/>
    <w:rsid w:val="00E75650"/>
    <w:rsid w:val="00E75EE5"/>
    <w:rsid w:val="00E76CA7"/>
    <w:rsid w:val="00E77586"/>
    <w:rsid w:val="00E80C5E"/>
    <w:rsid w:val="00E80D65"/>
    <w:rsid w:val="00E80E74"/>
    <w:rsid w:val="00E80F99"/>
    <w:rsid w:val="00E82B7B"/>
    <w:rsid w:val="00E830AE"/>
    <w:rsid w:val="00E83B53"/>
    <w:rsid w:val="00E83D65"/>
    <w:rsid w:val="00E852E3"/>
    <w:rsid w:val="00E85421"/>
    <w:rsid w:val="00E87059"/>
    <w:rsid w:val="00E874C5"/>
    <w:rsid w:val="00E874F9"/>
    <w:rsid w:val="00E8770F"/>
    <w:rsid w:val="00E87C2F"/>
    <w:rsid w:val="00E87E86"/>
    <w:rsid w:val="00E9084F"/>
    <w:rsid w:val="00E930B3"/>
    <w:rsid w:val="00E939A2"/>
    <w:rsid w:val="00E94093"/>
    <w:rsid w:val="00E95EE8"/>
    <w:rsid w:val="00E97161"/>
    <w:rsid w:val="00E97B37"/>
    <w:rsid w:val="00EA059C"/>
    <w:rsid w:val="00EA21E8"/>
    <w:rsid w:val="00EA24B9"/>
    <w:rsid w:val="00EA3CBB"/>
    <w:rsid w:val="00EA44AC"/>
    <w:rsid w:val="00EA50B0"/>
    <w:rsid w:val="00EA566F"/>
    <w:rsid w:val="00EA6022"/>
    <w:rsid w:val="00EA7E3E"/>
    <w:rsid w:val="00EB08ED"/>
    <w:rsid w:val="00EB1D6C"/>
    <w:rsid w:val="00EB23F1"/>
    <w:rsid w:val="00EB3CD4"/>
    <w:rsid w:val="00EB5417"/>
    <w:rsid w:val="00EC1A3E"/>
    <w:rsid w:val="00EC2544"/>
    <w:rsid w:val="00EC29FB"/>
    <w:rsid w:val="00EC3528"/>
    <w:rsid w:val="00EC3A6A"/>
    <w:rsid w:val="00EC4CFF"/>
    <w:rsid w:val="00EC7304"/>
    <w:rsid w:val="00ED1DF4"/>
    <w:rsid w:val="00ED2EA8"/>
    <w:rsid w:val="00ED3444"/>
    <w:rsid w:val="00ED3A33"/>
    <w:rsid w:val="00ED4CC4"/>
    <w:rsid w:val="00ED5FDE"/>
    <w:rsid w:val="00ED77DA"/>
    <w:rsid w:val="00EE17D0"/>
    <w:rsid w:val="00EE2A9A"/>
    <w:rsid w:val="00EE379E"/>
    <w:rsid w:val="00EE5DB6"/>
    <w:rsid w:val="00EF14EC"/>
    <w:rsid w:val="00EF22C6"/>
    <w:rsid w:val="00EF29C4"/>
    <w:rsid w:val="00EF3A81"/>
    <w:rsid w:val="00EF5332"/>
    <w:rsid w:val="00EF62CE"/>
    <w:rsid w:val="00EF662C"/>
    <w:rsid w:val="00EF7322"/>
    <w:rsid w:val="00EF79EA"/>
    <w:rsid w:val="00F0007D"/>
    <w:rsid w:val="00F0462F"/>
    <w:rsid w:val="00F05453"/>
    <w:rsid w:val="00F066D2"/>
    <w:rsid w:val="00F06AA1"/>
    <w:rsid w:val="00F07326"/>
    <w:rsid w:val="00F078F2"/>
    <w:rsid w:val="00F130A4"/>
    <w:rsid w:val="00F15D16"/>
    <w:rsid w:val="00F15FDE"/>
    <w:rsid w:val="00F1604E"/>
    <w:rsid w:val="00F21D08"/>
    <w:rsid w:val="00F257F4"/>
    <w:rsid w:val="00F271A3"/>
    <w:rsid w:val="00F276A4"/>
    <w:rsid w:val="00F302F0"/>
    <w:rsid w:val="00F30550"/>
    <w:rsid w:val="00F30717"/>
    <w:rsid w:val="00F30D54"/>
    <w:rsid w:val="00F328DA"/>
    <w:rsid w:val="00F335CD"/>
    <w:rsid w:val="00F3411E"/>
    <w:rsid w:val="00F349A9"/>
    <w:rsid w:val="00F36CE5"/>
    <w:rsid w:val="00F373AD"/>
    <w:rsid w:val="00F40880"/>
    <w:rsid w:val="00F416D2"/>
    <w:rsid w:val="00F41D0B"/>
    <w:rsid w:val="00F41DF4"/>
    <w:rsid w:val="00F42CAE"/>
    <w:rsid w:val="00F4683C"/>
    <w:rsid w:val="00F50629"/>
    <w:rsid w:val="00F532B0"/>
    <w:rsid w:val="00F551DB"/>
    <w:rsid w:val="00F558EE"/>
    <w:rsid w:val="00F57EE0"/>
    <w:rsid w:val="00F61909"/>
    <w:rsid w:val="00F63A68"/>
    <w:rsid w:val="00F6673B"/>
    <w:rsid w:val="00F704E4"/>
    <w:rsid w:val="00F7438E"/>
    <w:rsid w:val="00F74457"/>
    <w:rsid w:val="00F75364"/>
    <w:rsid w:val="00F75559"/>
    <w:rsid w:val="00F77959"/>
    <w:rsid w:val="00F80820"/>
    <w:rsid w:val="00F80864"/>
    <w:rsid w:val="00F81213"/>
    <w:rsid w:val="00F84297"/>
    <w:rsid w:val="00F846AD"/>
    <w:rsid w:val="00F84860"/>
    <w:rsid w:val="00F84FB2"/>
    <w:rsid w:val="00F85533"/>
    <w:rsid w:val="00F856F1"/>
    <w:rsid w:val="00F85AF7"/>
    <w:rsid w:val="00F861F5"/>
    <w:rsid w:val="00F86501"/>
    <w:rsid w:val="00F90700"/>
    <w:rsid w:val="00F91709"/>
    <w:rsid w:val="00F95B77"/>
    <w:rsid w:val="00F96848"/>
    <w:rsid w:val="00FA07C8"/>
    <w:rsid w:val="00FA0F3A"/>
    <w:rsid w:val="00FA1C8B"/>
    <w:rsid w:val="00FA1E97"/>
    <w:rsid w:val="00FA2DF8"/>
    <w:rsid w:val="00FA3687"/>
    <w:rsid w:val="00FA43B9"/>
    <w:rsid w:val="00FA4A58"/>
    <w:rsid w:val="00FA4BBB"/>
    <w:rsid w:val="00FA566A"/>
    <w:rsid w:val="00FA61AA"/>
    <w:rsid w:val="00FA62EB"/>
    <w:rsid w:val="00FB06B3"/>
    <w:rsid w:val="00FB4182"/>
    <w:rsid w:val="00FB4A25"/>
    <w:rsid w:val="00FB5A05"/>
    <w:rsid w:val="00FB7692"/>
    <w:rsid w:val="00FC02DE"/>
    <w:rsid w:val="00FC0B2A"/>
    <w:rsid w:val="00FC0EDE"/>
    <w:rsid w:val="00FC16A7"/>
    <w:rsid w:val="00FC32CA"/>
    <w:rsid w:val="00FC35D2"/>
    <w:rsid w:val="00FC3FE2"/>
    <w:rsid w:val="00FC4A3B"/>
    <w:rsid w:val="00FC6A6C"/>
    <w:rsid w:val="00FC7408"/>
    <w:rsid w:val="00FC7F24"/>
    <w:rsid w:val="00FD1D5C"/>
    <w:rsid w:val="00FD38DB"/>
    <w:rsid w:val="00FD3CF7"/>
    <w:rsid w:val="00FD45C6"/>
    <w:rsid w:val="00FD5607"/>
    <w:rsid w:val="00FD637E"/>
    <w:rsid w:val="00FD6B9D"/>
    <w:rsid w:val="00FD75C3"/>
    <w:rsid w:val="00FE0194"/>
    <w:rsid w:val="00FE066F"/>
    <w:rsid w:val="00FE24CB"/>
    <w:rsid w:val="00FE3766"/>
    <w:rsid w:val="00FE4371"/>
    <w:rsid w:val="00FE682C"/>
    <w:rsid w:val="00FE7491"/>
    <w:rsid w:val="00FE788C"/>
    <w:rsid w:val="00FF0EFC"/>
    <w:rsid w:val="00FF25F5"/>
    <w:rsid w:val="00FF5C60"/>
    <w:rsid w:val="00FF5E77"/>
    <w:rsid w:val="00FF6C8A"/>
    <w:rsid w:val="00FF75E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4:docId w14:val="798E973F"/>
  <w15:docId w15:val="{B30E8CFF-D320-4832-A4F2-E12A78C8A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99"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1F21"/>
    <w:rPr>
      <w:sz w:val="24"/>
      <w:szCs w:val="24"/>
      <w:lang w:eastAsia="es-ES"/>
    </w:rPr>
  </w:style>
  <w:style w:type="paragraph" w:styleId="Ttulo1">
    <w:name w:val="heading 1"/>
    <w:aliases w:val="título 1,título 11,título 12"/>
    <w:basedOn w:val="Normal"/>
    <w:next w:val="Normal"/>
    <w:link w:val="Ttulo1Car"/>
    <w:qFormat/>
    <w:rsid w:val="00841F21"/>
    <w:pPr>
      <w:keepNext/>
      <w:tabs>
        <w:tab w:val="left" w:pos="720"/>
      </w:tabs>
      <w:jc w:val="center"/>
      <w:outlineLvl w:val="0"/>
    </w:pPr>
    <w:rPr>
      <w:rFonts w:eastAsia="Batang"/>
      <w:b/>
      <w:szCs w:val="20"/>
      <w:lang w:val="en-US"/>
    </w:rPr>
  </w:style>
  <w:style w:type="paragraph" w:styleId="Ttulo2">
    <w:name w:val="heading 2"/>
    <w:aliases w:val="Tight Slug,título 2,Título 2 Car"/>
    <w:basedOn w:val="Normal"/>
    <w:next w:val="Normal"/>
    <w:link w:val="Ttulo2Car1"/>
    <w:qFormat/>
    <w:rsid w:val="00841F21"/>
    <w:pPr>
      <w:keepNext/>
      <w:keepLines/>
      <w:widowControl w:val="0"/>
      <w:tabs>
        <w:tab w:val="left" w:pos="-720"/>
      </w:tabs>
      <w:suppressAutoHyphens/>
      <w:outlineLvl w:val="1"/>
    </w:pPr>
    <w:rPr>
      <w:rFonts w:ascii="Garamond" w:hAnsi="Garamond"/>
      <w:b/>
      <w:sz w:val="16"/>
      <w:szCs w:val="20"/>
      <w:lang w:val="es-ES_tradnl"/>
    </w:rPr>
  </w:style>
  <w:style w:type="paragraph" w:styleId="Ttulo3">
    <w:name w:val="heading 3"/>
    <w:aliases w:val="Note to Director,título 3"/>
    <w:basedOn w:val="Normal"/>
    <w:next w:val="Normal"/>
    <w:link w:val="Ttulo3Car"/>
    <w:qFormat/>
    <w:rsid w:val="00841F21"/>
    <w:pPr>
      <w:keepNext/>
      <w:keepLines/>
      <w:widowControl w:val="0"/>
      <w:tabs>
        <w:tab w:val="left" w:pos="-720"/>
      </w:tabs>
      <w:suppressAutoHyphens/>
      <w:outlineLvl w:val="2"/>
    </w:pPr>
    <w:rPr>
      <w:rFonts w:ascii="Garamond" w:hAnsi="Garamond"/>
      <w:b/>
      <w:sz w:val="20"/>
      <w:szCs w:val="20"/>
      <w:lang w:val="es-ES_tradnl"/>
    </w:rPr>
  </w:style>
  <w:style w:type="paragraph" w:styleId="Ttulo4">
    <w:name w:val="heading 4"/>
    <w:basedOn w:val="Normal"/>
    <w:next w:val="Normal"/>
    <w:link w:val="Ttulo4Car"/>
    <w:qFormat/>
    <w:rsid w:val="00841F21"/>
    <w:pPr>
      <w:keepNext/>
      <w:outlineLvl w:val="3"/>
    </w:pPr>
    <w:rPr>
      <w:b/>
      <w:bCs/>
      <w:i/>
      <w:iCs/>
      <w:sz w:val="22"/>
    </w:rPr>
  </w:style>
  <w:style w:type="paragraph" w:styleId="Ttulo5">
    <w:name w:val="heading 5"/>
    <w:basedOn w:val="Normal"/>
    <w:next w:val="Normal"/>
    <w:link w:val="Ttulo5Car"/>
    <w:qFormat/>
    <w:rsid w:val="00841F21"/>
    <w:pPr>
      <w:keepNext/>
      <w:keepLines/>
      <w:widowControl w:val="0"/>
      <w:tabs>
        <w:tab w:val="left" w:pos="260"/>
        <w:tab w:val="left" w:pos="968"/>
        <w:tab w:val="left" w:pos="1676"/>
        <w:tab w:val="left" w:pos="2384"/>
        <w:tab w:val="left" w:pos="3092"/>
        <w:tab w:val="left" w:pos="3800"/>
        <w:tab w:val="left" w:pos="4508"/>
        <w:tab w:val="left" w:pos="5216"/>
        <w:tab w:val="left" w:pos="5924"/>
        <w:tab w:val="left" w:pos="6632"/>
        <w:tab w:val="left" w:pos="7340"/>
        <w:tab w:val="left" w:pos="8048"/>
        <w:tab w:val="left" w:pos="8756"/>
      </w:tabs>
      <w:suppressAutoHyphens/>
      <w:jc w:val="center"/>
      <w:outlineLvl w:val="4"/>
    </w:pPr>
    <w:rPr>
      <w:rFonts w:ascii="Garamond" w:hAnsi="Garamond"/>
      <w:b/>
      <w:sz w:val="20"/>
      <w:szCs w:val="20"/>
      <w:lang w:val="es-ES_tradnl"/>
    </w:rPr>
  </w:style>
  <w:style w:type="paragraph" w:styleId="Ttulo6">
    <w:name w:val="heading 6"/>
    <w:basedOn w:val="Normal"/>
    <w:next w:val="Normal"/>
    <w:link w:val="Ttulo6Car"/>
    <w:qFormat/>
    <w:rsid w:val="00841F21"/>
    <w:pPr>
      <w:keepNext/>
      <w:widowControl w:val="0"/>
      <w:jc w:val="both"/>
      <w:outlineLvl w:val="5"/>
    </w:pPr>
    <w:rPr>
      <w:b/>
      <w:sz w:val="22"/>
      <w:szCs w:val="20"/>
    </w:rPr>
  </w:style>
  <w:style w:type="paragraph" w:styleId="Ttulo7">
    <w:name w:val="heading 7"/>
    <w:basedOn w:val="Normal"/>
    <w:next w:val="Normal"/>
    <w:link w:val="Ttulo7Car1"/>
    <w:qFormat/>
    <w:rsid w:val="00841F21"/>
    <w:pPr>
      <w:spacing w:before="240" w:after="60"/>
      <w:outlineLvl w:val="6"/>
    </w:pPr>
    <w:rPr>
      <w:rFonts w:ascii="Calibri" w:hAnsi="Calibri"/>
    </w:rPr>
  </w:style>
  <w:style w:type="paragraph" w:styleId="Ttulo8">
    <w:name w:val="heading 8"/>
    <w:basedOn w:val="Normal"/>
    <w:next w:val="Normal"/>
    <w:link w:val="Ttulo8Car"/>
    <w:qFormat/>
    <w:rsid w:val="00841F21"/>
    <w:pPr>
      <w:spacing w:before="240" w:after="60"/>
      <w:outlineLvl w:val="7"/>
    </w:pPr>
    <w:rPr>
      <w:i/>
      <w:iCs/>
      <w:lang w:val="en-US" w:eastAsia="en-US"/>
    </w:rPr>
  </w:style>
  <w:style w:type="paragraph" w:styleId="Ttulo9">
    <w:name w:val="heading 9"/>
    <w:basedOn w:val="Normal"/>
    <w:next w:val="Normal"/>
    <w:link w:val="Ttulo9Car"/>
    <w:qFormat/>
    <w:rsid w:val="00841F21"/>
    <w:pPr>
      <w:spacing w:before="240" w:after="60"/>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título 11 Car,título 12 Car"/>
    <w:link w:val="Ttulo1"/>
    <w:locked/>
    <w:rsid w:val="004C215A"/>
    <w:rPr>
      <w:rFonts w:eastAsia="Batang" w:cs="Times New Roman"/>
      <w:b/>
      <w:snapToGrid w:val="0"/>
      <w:sz w:val="24"/>
    </w:rPr>
  </w:style>
  <w:style w:type="character" w:customStyle="1" w:styleId="Ttulo2Car1">
    <w:name w:val="Título 2 Car1"/>
    <w:aliases w:val="Tight Slug Car,título 2 Car,Título 2 Car Car"/>
    <w:link w:val="Ttulo2"/>
    <w:semiHidden/>
    <w:locked/>
    <w:rPr>
      <w:rFonts w:ascii="Cambria" w:hAnsi="Cambria" w:cs="Times New Roman"/>
      <w:b/>
      <w:bCs/>
      <w:i/>
      <w:iCs/>
      <w:sz w:val="28"/>
      <w:szCs w:val="28"/>
      <w:lang w:val="es-AR" w:eastAsia="es-ES"/>
    </w:rPr>
  </w:style>
  <w:style w:type="character" w:customStyle="1" w:styleId="Ttulo3Car">
    <w:name w:val="Título 3 Car"/>
    <w:aliases w:val="Note to Director Car,título 3 Car"/>
    <w:link w:val="Ttulo3"/>
    <w:semiHidden/>
    <w:locked/>
    <w:rPr>
      <w:rFonts w:ascii="Cambria" w:hAnsi="Cambria" w:cs="Times New Roman"/>
      <w:b/>
      <w:bCs/>
      <w:sz w:val="26"/>
      <w:szCs w:val="26"/>
      <w:lang w:val="es-AR" w:eastAsia="es-ES"/>
    </w:rPr>
  </w:style>
  <w:style w:type="character" w:customStyle="1" w:styleId="Ttulo4Car">
    <w:name w:val="Título 4 Car"/>
    <w:link w:val="Ttulo4"/>
    <w:semiHidden/>
    <w:locked/>
    <w:rPr>
      <w:rFonts w:ascii="Calibri" w:hAnsi="Calibri" w:cs="Times New Roman"/>
      <w:b/>
      <w:bCs/>
      <w:sz w:val="28"/>
      <w:szCs w:val="28"/>
      <w:lang w:val="es-AR" w:eastAsia="es-ES"/>
    </w:rPr>
  </w:style>
  <w:style w:type="character" w:customStyle="1" w:styleId="Ttulo5Car">
    <w:name w:val="Título 5 Car"/>
    <w:link w:val="Ttulo5"/>
    <w:semiHidden/>
    <w:locked/>
    <w:rPr>
      <w:rFonts w:ascii="Calibri" w:hAnsi="Calibri" w:cs="Times New Roman"/>
      <w:b/>
      <w:bCs/>
      <w:i/>
      <w:iCs/>
      <w:sz w:val="26"/>
      <w:szCs w:val="26"/>
      <w:lang w:val="es-AR" w:eastAsia="es-ES"/>
    </w:rPr>
  </w:style>
  <w:style w:type="character" w:customStyle="1" w:styleId="Ttulo6Car">
    <w:name w:val="Título 6 Car"/>
    <w:link w:val="Ttulo6"/>
    <w:semiHidden/>
    <w:locked/>
    <w:rPr>
      <w:rFonts w:ascii="Calibri" w:hAnsi="Calibri" w:cs="Times New Roman"/>
      <w:b/>
      <w:bCs/>
      <w:lang w:val="es-AR" w:eastAsia="es-ES"/>
    </w:rPr>
  </w:style>
  <w:style w:type="character" w:customStyle="1" w:styleId="Ttulo7Car1">
    <w:name w:val="Título 7 Car1"/>
    <w:link w:val="Ttulo7"/>
    <w:semiHidden/>
    <w:locked/>
    <w:rPr>
      <w:rFonts w:ascii="Calibri" w:hAnsi="Calibri" w:cs="Times New Roman"/>
      <w:sz w:val="24"/>
      <w:szCs w:val="24"/>
      <w:lang w:val="es-AR" w:eastAsia="es-ES"/>
    </w:rPr>
  </w:style>
  <w:style w:type="character" w:customStyle="1" w:styleId="Ttulo8Car">
    <w:name w:val="Título 8 Car"/>
    <w:link w:val="Ttulo8"/>
    <w:semiHidden/>
    <w:locked/>
    <w:rPr>
      <w:rFonts w:ascii="Calibri" w:hAnsi="Calibri" w:cs="Times New Roman"/>
      <w:i/>
      <w:iCs/>
      <w:sz w:val="24"/>
      <w:szCs w:val="24"/>
      <w:lang w:val="es-AR" w:eastAsia="es-ES"/>
    </w:rPr>
  </w:style>
  <w:style w:type="character" w:customStyle="1" w:styleId="Ttulo9Car">
    <w:name w:val="Título 9 Car"/>
    <w:link w:val="Ttulo9"/>
    <w:semiHidden/>
    <w:locked/>
    <w:rPr>
      <w:rFonts w:ascii="Cambria" w:hAnsi="Cambria" w:cs="Times New Roman"/>
      <w:lang w:val="es-AR" w:eastAsia="es-ES"/>
    </w:rPr>
  </w:style>
  <w:style w:type="paragraph" w:styleId="Textoindependiente2">
    <w:name w:val="Body Text 2"/>
    <w:basedOn w:val="Normal"/>
    <w:link w:val="Textoindependiente2Car"/>
    <w:rsid w:val="00841F21"/>
    <w:pPr>
      <w:jc w:val="both"/>
    </w:pPr>
    <w:rPr>
      <w:b/>
      <w:sz w:val="20"/>
      <w:u w:val="single"/>
      <w:lang w:val="es-ES"/>
    </w:rPr>
  </w:style>
  <w:style w:type="character" w:customStyle="1" w:styleId="Textoindependiente2Car">
    <w:name w:val="Texto independiente 2 Car"/>
    <w:link w:val="Textoindependiente2"/>
    <w:semiHidden/>
    <w:locked/>
    <w:rPr>
      <w:rFonts w:cs="Times New Roman"/>
      <w:sz w:val="24"/>
      <w:szCs w:val="24"/>
      <w:lang w:val="es-AR" w:eastAsia="es-ES"/>
    </w:rPr>
  </w:style>
  <w:style w:type="paragraph" w:styleId="Textonotapie">
    <w:name w:val="footnote text"/>
    <w:basedOn w:val="Normal"/>
    <w:link w:val="TextonotapieCar"/>
    <w:semiHidden/>
    <w:rsid w:val="00841F21"/>
    <w:pPr>
      <w:widowControl w:val="0"/>
      <w:tabs>
        <w:tab w:val="left" w:pos="-720"/>
      </w:tabs>
      <w:suppressAutoHyphens/>
      <w:jc w:val="both"/>
    </w:pPr>
    <w:rPr>
      <w:rFonts w:ascii="Garamond" w:hAnsi="Garamond"/>
      <w:spacing w:val="-2"/>
      <w:sz w:val="20"/>
      <w:szCs w:val="20"/>
      <w:lang w:val="es-ES_tradnl"/>
    </w:rPr>
  </w:style>
  <w:style w:type="character" w:customStyle="1" w:styleId="TextonotapieCar">
    <w:name w:val="Texto nota pie Car"/>
    <w:link w:val="Textonotapie"/>
    <w:semiHidden/>
    <w:locked/>
    <w:rsid w:val="00B16D21"/>
    <w:rPr>
      <w:rFonts w:ascii="Garamond" w:hAnsi="Garamond" w:cs="Times New Roman"/>
      <w:snapToGrid w:val="0"/>
      <w:spacing w:val="-2"/>
      <w:lang w:val="es-ES_tradnl" w:eastAsia="es-ES"/>
    </w:rPr>
  </w:style>
  <w:style w:type="paragraph" w:customStyle="1" w:styleId="CPN-normal">
    <w:name w:val="CPN-normal"/>
    <w:rsid w:val="00841F21"/>
    <w:pPr>
      <w:widowControl w:val="0"/>
      <w:tabs>
        <w:tab w:val="left" w:pos="-720"/>
      </w:tabs>
      <w:suppressAutoHyphens/>
      <w:jc w:val="both"/>
    </w:pPr>
    <w:rPr>
      <w:rFonts w:ascii="Arial" w:hAnsi="Arial"/>
      <w:spacing w:val="-2"/>
      <w:sz w:val="22"/>
      <w:lang w:val="en-US" w:eastAsia="es-ES"/>
    </w:rPr>
  </w:style>
  <w:style w:type="paragraph" w:styleId="Textoindependiente3">
    <w:name w:val="Body Text 3"/>
    <w:basedOn w:val="Normal"/>
    <w:link w:val="Textoindependiente3Car"/>
    <w:rsid w:val="00841F21"/>
    <w:pPr>
      <w:jc w:val="center"/>
    </w:pPr>
    <w:rPr>
      <w:b/>
      <w:sz w:val="22"/>
      <w:lang w:val="en-US"/>
    </w:rPr>
  </w:style>
  <w:style w:type="character" w:customStyle="1" w:styleId="Textoindependiente3Car">
    <w:name w:val="Texto independiente 3 Car"/>
    <w:link w:val="Textoindependiente3"/>
    <w:locked/>
    <w:rsid w:val="002D3BA0"/>
    <w:rPr>
      <w:rFonts w:cs="Times New Roman"/>
      <w:b/>
      <w:sz w:val="24"/>
    </w:rPr>
  </w:style>
  <w:style w:type="paragraph" w:styleId="Sangradetextonormal">
    <w:name w:val="Body Text Indent"/>
    <w:basedOn w:val="Normal"/>
    <w:link w:val="SangradetextonormalCar1"/>
    <w:rsid w:val="00841F21"/>
    <w:pPr>
      <w:ind w:firstLine="708"/>
      <w:jc w:val="both"/>
    </w:pPr>
    <w:rPr>
      <w:sz w:val="20"/>
      <w:szCs w:val="20"/>
    </w:rPr>
  </w:style>
  <w:style w:type="character" w:customStyle="1" w:styleId="SangradetextonormalCar1">
    <w:name w:val="Sangría de texto normal Car1"/>
    <w:link w:val="Sangradetextonormal"/>
    <w:semiHidden/>
    <w:locked/>
    <w:rPr>
      <w:rFonts w:cs="Times New Roman"/>
      <w:sz w:val="24"/>
      <w:szCs w:val="24"/>
      <w:lang w:val="es-AR" w:eastAsia="es-ES"/>
    </w:rPr>
  </w:style>
  <w:style w:type="paragraph" w:styleId="Encabezado">
    <w:name w:val="header"/>
    <w:aliases w:val="encabezado,encabezado1,encabezado2"/>
    <w:basedOn w:val="Normal"/>
    <w:link w:val="EncabezadoCar1"/>
    <w:rsid w:val="00841F21"/>
    <w:pPr>
      <w:tabs>
        <w:tab w:val="center" w:pos="4419"/>
        <w:tab w:val="right" w:pos="8838"/>
      </w:tabs>
      <w:jc w:val="both"/>
    </w:pPr>
    <w:rPr>
      <w:rFonts w:ascii="Garamond" w:hAnsi="Garamond"/>
      <w:szCs w:val="20"/>
      <w:lang w:val="es-ES_tradnl"/>
    </w:rPr>
  </w:style>
  <w:style w:type="character" w:customStyle="1" w:styleId="EncabezadoCar1">
    <w:name w:val="Encabezado Car1"/>
    <w:aliases w:val="encabezado Car,encabezado1 Car,encabezado2 Car"/>
    <w:link w:val="Encabezado"/>
    <w:semiHidden/>
    <w:locked/>
    <w:rPr>
      <w:rFonts w:cs="Times New Roman"/>
      <w:sz w:val="24"/>
      <w:szCs w:val="24"/>
      <w:lang w:val="es-AR" w:eastAsia="es-ES"/>
    </w:rPr>
  </w:style>
  <w:style w:type="paragraph" w:styleId="Textoindependiente">
    <w:name w:val="Body Text"/>
    <w:aliases w:val="body text,bt,Texto independienteR,Body Text1,Car,b"/>
    <w:basedOn w:val="Normal"/>
    <w:link w:val="TextoindependienteCar"/>
    <w:rsid w:val="00841F21"/>
    <w:pPr>
      <w:widowControl w:val="0"/>
      <w:tabs>
        <w:tab w:val="left" w:pos="260"/>
        <w:tab w:val="left" w:pos="968"/>
        <w:tab w:val="left" w:pos="1676"/>
        <w:tab w:val="left" w:pos="2384"/>
        <w:tab w:val="left" w:pos="3092"/>
        <w:tab w:val="left" w:pos="3800"/>
        <w:tab w:val="left" w:pos="4508"/>
        <w:tab w:val="left" w:pos="5216"/>
        <w:tab w:val="left" w:pos="5924"/>
        <w:tab w:val="left" w:pos="6632"/>
        <w:tab w:val="left" w:pos="7340"/>
        <w:tab w:val="left" w:pos="8048"/>
        <w:tab w:val="left" w:pos="8756"/>
      </w:tabs>
      <w:suppressAutoHyphens/>
      <w:jc w:val="both"/>
    </w:pPr>
    <w:rPr>
      <w:rFonts w:ascii="Garamond" w:hAnsi="Garamond"/>
      <w:spacing w:val="-2"/>
      <w:sz w:val="20"/>
      <w:szCs w:val="20"/>
      <w:lang w:val="es-ES_tradnl"/>
    </w:rPr>
  </w:style>
  <w:style w:type="character" w:customStyle="1" w:styleId="TextoindependienteCar">
    <w:name w:val="Texto independiente Car"/>
    <w:aliases w:val="body text Car,bt Car,Texto independienteR Car,Body Text1 Car,Car Car,b Car"/>
    <w:link w:val="Textoindependiente"/>
    <w:locked/>
    <w:rsid w:val="005374A2"/>
    <w:rPr>
      <w:rFonts w:ascii="Garamond" w:hAnsi="Garamond" w:cs="Times New Roman"/>
      <w:snapToGrid w:val="0"/>
      <w:spacing w:val="-2"/>
      <w:lang w:val="es-ES_tradnl"/>
    </w:rPr>
  </w:style>
  <w:style w:type="paragraph" w:customStyle="1" w:styleId="texto">
    <w:name w:val="texto"/>
    <w:basedOn w:val="Normal"/>
    <w:rsid w:val="00841F21"/>
    <w:pPr>
      <w:spacing w:after="120"/>
      <w:ind w:firstLine="397"/>
      <w:jc w:val="both"/>
    </w:pPr>
    <w:rPr>
      <w:rFonts w:ascii="Helvetica" w:hAnsi="Helvetica"/>
      <w:color w:val="000000"/>
      <w:sz w:val="22"/>
      <w:szCs w:val="20"/>
      <w:lang w:val="en-US"/>
    </w:rPr>
  </w:style>
  <w:style w:type="paragraph" w:styleId="NormalWeb">
    <w:name w:val="Normal (Web)"/>
    <w:basedOn w:val="Normal"/>
    <w:rsid w:val="00841F21"/>
    <w:pPr>
      <w:spacing w:before="100" w:beforeAutospacing="1" w:after="100" w:afterAutospacing="1"/>
    </w:pPr>
    <w:rPr>
      <w:lang w:val="es-ES"/>
    </w:rPr>
  </w:style>
  <w:style w:type="character" w:styleId="Hipervnculo">
    <w:name w:val="Hyperlink"/>
    <w:rsid w:val="00841F21"/>
    <w:rPr>
      <w:rFonts w:cs="Times New Roman"/>
      <w:color w:val="0000FF"/>
      <w:u w:val="single"/>
    </w:rPr>
  </w:style>
  <w:style w:type="paragraph" w:customStyle="1" w:styleId="BodyText22">
    <w:name w:val="Body Text 22"/>
    <w:basedOn w:val="Normal"/>
    <w:rsid w:val="00841F21"/>
    <w:pPr>
      <w:widowControl w:val="0"/>
      <w:jc w:val="both"/>
    </w:pPr>
    <w:rPr>
      <w:b/>
      <w:sz w:val="22"/>
      <w:szCs w:val="20"/>
    </w:rPr>
  </w:style>
  <w:style w:type="character" w:styleId="Nmerodepgina">
    <w:name w:val="page number"/>
    <w:rsid w:val="00841F21"/>
    <w:rPr>
      <w:rFonts w:cs="Times New Roman"/>
    </w:rPr>
  </w:style>
  <w:style w:type="paragraph" w:styleId="Piedepgina">
    <w:name w:val="footer"/>
    <w:aliases w:val="pie de página,pie de página1,pie de página2"/>
    <w:basedOn w:val="Normal"/>
    <w:link w:val="PiedepginaCar"/>
    <w:rsid w:val="00841F21"/>
    <w:pPr>
      <w:tabs>
        <w:tab w:val="center" w:pos="4419"/>
        <w:tab w:val="right" w:pos="8838"/>
      </w:tabs>
      <w:jc w:val="both"/>
    </w:pPr>
    <w:rPr>
      <w:rFonts w:ascii="Garamond" w:hAnsi="Garamond"/>
      <w:szCs w:val="20"/>
      <w:lang w:val="es-ES_tradnl"/>
    </w:rPr>
  </w:style>
  <w:style w:type="character" w:customStyle="1" w:styleId="PiedepginaCar">
    <w:name w:val="Pie de página Car"/>
    <w:aliases w:val="pie de página Car,pie de página1 Car,pie de página2 Car"/>
    <w:link w:val="Piedepgina"/>
    <w:locked/>
    <w:rsid w:val="00777508"/>
    <w:rPr>
      <w:rFonts w:ascii="Garamond" w:hAnsi="Garamond" w:cs="Times New Roman"/>
      <w:sz w:val="24"/>
      <w:lang w:val="es-ES_tradnl"/>
    </w:rPr>
  </w:style>
  <w:style w:type="paragraph" w:customStyle="1" w:styleId="textopredeterminado1">
    <w:name w:val="textopredeterminado1"/>
    <w:basedOn w:val="Normal"/>
    <w:rsid w:val="00841F21"/>
    <w:pPr>
      <w:spacing w:before="100" w:beforeAutospacing="1" w:after="100" w:afterAutospacing="1"/>
    </w:pPr>
    <w:rPr>
      <w:lang w:val="es-ES"/>
    </w:rPr>
  </w:style>
  <w:style w:type="paragraph" w:customStyle="1" w:styleId="estndar">
    <w:name w:val="estndar"/>
    <w:basedOn w:val="Normal"/>
    <w:rsid w:val="00841F21"/>
    <w:pPr>
      <w:spacing w:before="100" w:beforeAutospacing="1" w:after="100" w:afterAutospacing="1"/>
    </w:pPr>
    <w:rPr>
      <w:lang w:val="es-ES"/>
    </w:rPr>
  </w:style>
  <w:style w:type="paragraph" w:styleId="Textodeglobo">
    <w:name w:val="Balloon Text"/>
    <w:basedOn w:val="Normal"/>
    <w:link w:val="TextodegloboCar"/>
    <w:semiHidden/>
    <w:rsid w:val="00841F21"/>
    <w:rPr>
      <w:rFonts w:ascii="Tahoma" w:hAnsi="Tahoma" w:cs="Tahoma"/>
      <w:sz w:val="16"/>
      <w:szCs w:val="16"/>
    </w:rPr>
  </w:style>
  <w:style w:type="character" w:customStyle="1" w:styleId="TextodegloboCar">
    <w:name w:val="Texto de globo Car"/>
    <w:link w:val="Textodeglobo"/>
    <w:semiHidden/>
    <w:locked/>
    <w:rPr>
      <w:rFonts w:cs="Times New Roman"/>
      <w:sz w:val="2"/>
      <w:lang w:val="es-AR" w:eastAsia="es-ES"/>
    </w:rPr>
  </w:style>
  <w:style w:type="paragraph" w:customStyle="1" w:styleId="notaalpie">
    <w:name w:val="nota al pie"/>
    <w:basedOn w:val="Normal"/>
    <w:rsid w:val="00841F21"/>
    <w:pPr>
      <w:jc w:val="both"/>
    </w:pPr>
    <w:rPr>
      <w:rFonts w:ascii="Arial" w:hAnsi="Arial"/>
      <w:sz w:val="20"/>
      <w:szCs w:val="20"/>
      <w:lang w:val="es-ES_tradnl"/>
    </w:rPr>
  </w:style>
  <w:style w:type="character" w:styleId="Textoennegrita">
    <w:name w:val="Strong"/>
    <w:qFormat/>
    <w:rsid w:val="00841F21"/>
    <w:rPr>
      <w:rFonts w:cs="Times New Roman"/>
      <w:b/>
    </w:rPr>
  </w:style>
  <w:style w:type="paragraph" w:styleId="Remitedesobre">
    <w:name w:val="envelope return"/>
    <w:basedOn w:val="Normal"/>
    <w:rsid w:val="00841F21"/>
    <w:rPr>
      <w:rFonts w:ascii="Arial" w:hAnsi="Arial"/>
      <w:sz w:val="20"/>
      <w:szCs w:val="20"/>
      <w:lang w:val="es-ES"/>
    </w:rPr>
  </w:style>
  <w:style w:type="paragraph" w:customStyle="1" w:styleId="bodytext220">
    <w:name w:val="bodytext22"/>
    <w:basedOn w:val="Normal"/>
    <w:rsid w:val="00841F21"/>
    <w:pPr>
      <w:jc w:val="both"/>
    </w:pPr>
    <w:rPr>
      <w:rFonts w:ascii="CG Times (W1)" w:hAnsi="CG Times (W1)"/>
      <w:sz w:val="20"/>
      <w:szCs w:val="20"/>
      <w:lang w:val="es-ES"/>
    </w:rPr>
  </w:style>
  <w:style w:type="character" w:styleId="Refdecomentario">
    <w:name w:val="annotation reference"/>
    <w:semiHidden/>
    <w:rsid w:val="00841F21"/>
    <w:rPr>
      <w:rFonts w:cs="Times New Roman"/>
      <w:sz w:val="16"/>
    </w:rPr>
  </w:style>
  <w:style w:type="paragraph" w:styleId="Textocomentario">
    <w:name w:val="annotation text"/>
    <w:basedOn w:val="Normal"/>
    <w:link w:val="TextocomentarioCar1"/>
    <w:semiHidden/>
    <w:rsid w:val="00841F21"/>
    <w:rPr>
      <w:sz w:val="20"/>
      <w:szCs w:val="20"/>
    </w:rPr>
  </w:style>
  <w:style w:type="character" w:customStyle="1" w:styleId="TextocomentarioCar1">
    <w:name w:val="Texto comentario Car1"/>
    <w:link w:val="Textocomentario"/>
    <w:semiHidden/>
    <w:locked/>
    <w:rPr>
      <w:rFonts w:cs="Times New Roman"/>
      <w:sz w:val="20"/>
      <w:szCs w:val="20"/>
      <w:lang w:val="es-AR" w:eastAsia="es-ES"/>
    </w:rPr>
  </w:style>
  <w:style w:type="character" w:customStyle="1" w:styleId="TextocomentarioCar">
    <w:name w:val="Texto comentario Car"/>
    <w:semiHidden/>
    <w:rsid w:val="00841F21"/>
    <w:rPr>
      <w:lang w:val="es-AR"/>
    </w:rPr>
  </w:style>
  <w:style w:type="paragraph" w:styleId="Asuntodelcomentario">
    <w:name w:val="annotation subject"/>
    <w:basedOn w:val="Textocomentario"/>
    <w:next w:val="Textocomentario"/>
    <w:link w:val="AsuntodelcomentarioCar1"/>
    <w:semiHidden/>
    <w:rsid w:val="00841F21"/>
    <w:rPr>
      <w:b/>
      <w:bCs/>
    </w:rPr>
  </w:style>
  <w:style w:type="character" w:customStyle="1" w:styleId="AsuntodelcomentarioCar1">
    <w:name w:val="Asunto del comentario Car1"/>
    <w:link w:val="Asuntodelcomentario"/>
    <w:semiHidden/>
    <w:locked/>
    <w:rPr>
      <w:rFonts w:cs="Times New Roman"/>
      <w:b/>
      <w:bCs/>
      <w:sz w:val="20"/>
      <w:szCs w:val="20"/>
      <w:lang w:val="es-AR" w:eastAsia="es-ES"/>
    </w:rPr>
  </w:style>
  <w:style w:type="character" w:customStyle="1" w:styleId="AsuntodelcomentarioCar">
    <w:name w:val="Asunto del comentario Car"/>
    <w:semiHidden/>
    <w:rsid w:val="00841F21"/>
    <w:rPr>
      <w:b/>
      <w:lang w:val="es-AR"/>
    </w:rPr>
  </w:style>
  <w:style w:type="character" w:customStyle="1" w:styleId="Ttulo7Car">
    <w:name w:val="Título 7 Car"/>
    <w:semiHidden/>
    <w:rsid w:val="00841F21"/>
    <w:rPr>
      <w:rFonts w:ascii="Calibri" w:hAnsi="Calibri"/>
      <w:sz w:val="24"/>
      <w:lang w:val="es-AR"/>
    </w:rPr>
  </w:style>
  <w:style w:type="character" w:customStyle="1" w:styleId="EncabezadoCar">
    <w:name w:val="Encabezado Car"/>
    <w:rsid w:val="00841F21"/>
    <w:rPr>
      <w:rFonts w:ascii="Garamond" w:hAnsi="Garamond"/>
      <w:sz w:val="24"/>
      <w:lang w:val="es-ES_tradnl"/>
    </w:rPr>
  </w:style>
  <w:style w:type="paragraph" w:customStyle="1" w:styleId="Notaalpie0">
    <w:name w:val="Nota al pie"/>
    <w:basedOn w:val="Normal"/>
    <w:rsid w:val="00841F21"/>
    <w:pPr>
      <w:jc w:val="both"/>
    </w:pPr>
    <w:rPr>
      <w:rFonts w:ascii="Arial" w:hAnsi="Arial"/>
      <w:sz w:val="22"/>
      <w:szCs w:val="20"/>
    </w:rPr>
  </w:style>
  <w:style w:type="paragraph" w:customStyle="1" w:styleId="Ttulo-base">
    <w:name w:val="Título - base"/>
    <w:basedOn w:val="Normal"/>
    <w:next w:val="Textoindependiente"/>
    <w:rsid w:val="00841F21"/>
    <w:pPr>
      <w:keepNext/>
      <w:keepLines/>
      <w:widowControl w:val="0"/>
      <w:spacing w:before="120" w:after="120" w:line="220" w:lineRule="atLeast"/>
      <w:jc w:val="both"/>
    </w:pPr>
    <w:rPr>
      <w:rFonts w:ascii="Arial Black" w:hAnsi="Arial Black"/>
      <w:spacing w:val="-10"/>
      <w:kern w:val="20"/>
      <w:szCs w:val="20"/>
      <w:lang w:val="en-US"/>
    </w:rPr>
  </w:style>
  <w:style w:type="paragraph" w:customStyle="1" w:styleId="Style1">
    <w:name w:val="Style 1"/>
    <w:rsid w:val="00841F21"/>
    <w:pPr>
      <w:widowControl w:val="0"/>
      <w:autoSpaceDE w:val="0"/>
      <w:autoSpaceDN w:val="0"/>
      <w:adjustRightInd w:val="0"/>
    </w:pPr>
    <w:rPr>
      <w:lang w:val="en-US" w:eastAsia="es-ES"/>
    </w:rPr>
  </w:style>
  <w:style w:type="character" w:customStyle="1" w:styleId="CharacterStyle1">
    <w:name w:val="Character Style 1"/>
    <w:rsid w:val="00841F21"/>
    <w:rPr>
      <w:rFonts w:ascii="Tahoma" w:hAnsi="Tahoma"/>
      <w:sz w:val="26"/>
    </w:rPr>
  </w:style>
  <w:style w:type="paragraph" w:customStyle="1" w:styleId="Prrafodelista1">
    <w:name w:val="Párrafo de lista1"/>
    <w:basedOn w:val="Normal"/>
    <w:rsid w:val="00841F21"/>
    <w:pPr>
      <w:ind w:left="708"/>
    </w:pPr>
    <w:rPr>
      <w:rFonts w:ascii="Garamond" w:hAnsi="Garamond"/>
      <w:szCs w:val="20"/>
      <w:lang w:val="en-GB" w:eastAsia="en-US"/>
    </w:rPr>
  </w:style>
  <w:style w:type="character" w:customStyle="1" w:styleId="CharacterStyle3">
    <w:name w:val="Character Style 3"/>
    <w:rsid w:val="00841F21"/>
    <w:rPr>
      <w:rFonts w:ascii="Arial" w:hAnsi="Arial"/>
      <w:sz w:val="24"/>
    </w:rPr>
  </w:style>
  <w:style w:type="paragraph" w:customStyle="1" w:styleId="Style3">
    <w:name w:val="Style 3"/>
    <w:rsid w:val="00841F21"/>
    <w:pPr>
      <w:widowControl w:val="0"/>
      <w:autoSpaceDE w:val="0"/>
      <w:autoSpaceDN w:val="0"/>
      <w:spacing w:before="540" w:line="360" w:lineRule="auto"/>
      <w:ind w:left="504" w:hanging="360"/>
      <w:jc w:val="both"/>
    </w:pPr>
    <w:rPr>
      <w:rFonts w:ascii="Arial" w:hAnsi="Arial" w:cs="Arial"/>
      <w:sz w:val="24"/>
      <w:szCs w:val="24"/>
      <w:lang w:val="en-US" w:eastAsia="es-ES"/>
    </w:rPr>
  </w:style>
  <w:style w:type="paragraph" w:customStyle="1" w:styleId="Style16">
    <w:name w:val="Style 16"/>
    <w:rsid w:val="00841F21"/>
    <w:pPr>
      <w:widowControl w:val="0"/>
      <w:autoSpaceDE w:val="0"/>
      <w:autoSpaceDN w:val="0"/>
      <w:spacing w:line="360" w:lineRule="auto"/>
      <w:ind w:left="432" w:right="72" w:hanging="360"/>
      <w:jc w:val="both"/>
    </w:pPr>
    <w:rPr>
      <w:rFonts w:ascii="Tahoma" w:hAnsi="Tahoma" w:cs="Tahoma"/>
      <w:sz w:val="26"/>
      <w:szCs w:val="26"/>
      <w:lang w:val="en-US" w:eastAsia="es-ES"/>
    </w:rPr>
  </w:style>
  <w:style w:type="paragraph" w:customStyle="1" w:styleId="Style17">
    <w:name w:val="Style 17"/>
    <w:rsid w:val="00841F21"/>
    <w:pPr>
      <w:widowControl w:val="0"/>
      <w:autoSpaceDE w:val="0"/>
      <w:autoSpaceDN w:val="0"/>
      <w:spacing w:before="36" w:line="360" w:lineRule="auto"/>
      <w:ind w:left="792" w:right="72" w:hanging="720"/>
      <w:jc w:val="both"/>
    </w:pPr>
    <w:rPr>
      <w:rFonts w:ascii="Arial" w:hAnsi="Arial" w:cs="Arial"/>
      <w:sz w:val="26"/>
      <w:szCs w:val="26"/>
      <w:lang w:val="en-US" w:eastAsia="es-ES"/>
    </w:rPr>
  </w:style>
  <w:style w:type="paragraph" w:customStyle="1" w:styleId="Style9">
    <w:name w:val="Style 9"/>
    <w:rsid w:val="00841F21"/>
    <w:pPr>
      <w:widowControl w:val="0"/>
      <w:autoSpaceDE w:val="0"/>
      <w:autoSpaceDN w:val="0"/>
      <w:spacing w:line="360" w:lineRule="auto"/>
      <w:ind w:left="792" w:right="72"/>
      <w:jc w:val="both"/>
    </w:pPr>
    <w:rPr>
      <w:rFonts w:ascii="Tahoma" w:hAnsi="Tahoma" w:cs="Tahoma"/>
      <w:sz w:val="26"/>
      <w:szCs w:val="26"/>
      <w:lang w:val="en-US" w:eastAsia="es-ES"/>
    </w:rPr>
  </w:style>
  <w:style w:type="paragraph" w:customStyle="1" w:styleId="Style10">
    <w:name w:val="Style 10"/>
    <w:rsid w:val="00841F21"/>
    <w:pPr>
      <w:widowControl w:val="0"/>
      <w:autoSpaceDE w:val="0"/>
      <w:autoSpaceDN w:val="0"/>
      <w:spacing w:line="360" w:lineRule="auto"/>
      <w:ind w:left="792" w:right="72" w:hanging="720"/>
      <w:jc w:val="both"/>
    </w:pPr>
    <w:rPr>
      <w:rFonts w:ascii="Tahoma" w:hAnsi="Tahoma" w:cs="Tahoma"/>
      <w:sz w:val="26"/>
      <w:szCs w:val="26"/>
      <w:lang w:val="en-US" w:eastAsia="es-ES"/>
    </w:rPr>
  </w:style>
  <w:style w:type="paragraph" w:customStyle="1" w:styleId="Style15">
    <w:name w:val="Style 15"/>
    <w:rsid w:val="00841F21"/>
    <w:pPr>
      <w:widowControl w:val="0"/>
      <w:autoSpaceDE w:val="0"/>
      <w:autoSpaceDN w:val="0"/>
      <w:spacing w:before="216" w:line="360" w:lineRule="auto"/>
      <w:ind w:left="288" w:right="144"/>
    </w:pPr>
    <w:rPr>
      <w:rFonts w:ascii="Tahoma" w:hAnsi="Tahoma" w:cs="Tahoma"/>
      <w:sz w:val="26"/>
      <w:szCs w:val="26"/>
      <w:lang w:val="en-US" w:eastAsia="es-ES"/>
    </w:rPr>
  </w:style>
  <w:style w:type="character" w:customStyle="1" w:styleId="CharacterStyle4">
    <w:name w:val="Character Style 4"/>
    <w:rsid w:val="00841F21"/>
    <w:rPr>
      <w:rFonts w:ascii="Arial" w:hAnsi="Arial"/>
      <w:sz w:val="26"/>
    </w:rPr>
  </w:style>
  <w:style w:type="character" w:customStyle="1" w:styleId="SangradetextonormalCar">
    <w:name w:val="Sangría de texto normal Car"/>
    <w:rsid w:val="00841F21"/>
    <w:rPr>
      <w:lang w:val="es-AR"/>
    </w:rPr>
  </w:style>
  <w:style w:type="character" w:styleId="Refdenotaalpie">
    <w:name w:val="footnote reference"/>
    <w:semiHidden/>
    <w:rsid w:val="00841F21"/>
    <w:rPr>
      <w:rFonts w:cs="Times New Roman"/>
      <w:vertAlign w:val="superscript"/>
    </w:rPr>
  </w:style>
  <w:style w:type="paragraph" w:customStyle="1" w:styleId="BodyTextIndent31">
    <w:name w:val="Body Text Indent 31"/>
    <w:basedOn w:val="Normal"/>
    <w:rsid w:val="00E75EE5"/>
    <w:pPr>
      <w:spacing w:before="240"/>
      <w:ind w:left="284" w:firstLine="481"/>
      <w:jc w:val="both"/>
    </w:pPr>
    <w:rPr>
      <w:rFonts w:ascii="Arial Unicode MS"/>
      <w:bCs/>
      <w:color w:val="000000"/>
      <w:sz w:val="20"/>
      <w:lang w:val="es-ES"/>
    </w:rPr>
  </w:style>
  <w:style w:type="paragraph" w:customStyle="1" w:styleId="OmniPage770">
    <w:name w:val="OmniPage #770"/>
    <w:rsid w:val="005374A2"/>
    <w:pPr>
      <w:tabs>
        <w:tab w:val="left" w:pos="162"/>
        <w:tab w:val="right" w:pos="10668"/>
      </w:tabs>
      <w:jc w:val="both"/>
    </w:pPr>
    <w:rPr>
      <w:sz w:val="18"/>
      <w:lang w:val="en-US" w:eastAsia="es-ES"/>
    </w:rPr>
  </w:style>
  <w:style w:type="paragraph" w:customStyle="1" w:styleId="bullettext">
    <w:name w:val="bullettext"/>
    <w:basedOn w:val="Normal"/>
    <w:autoRedefine/>
    <w:rsid w:val="005374A2"/>
    <w:pPr>
      <w:numPr>
        <w:numId w:val="1"/>
      </w:numPr>
      <w:autoSpaceDE w:val="0"/>
      <w:autoSpaceDN w:val="0"/>
      <w:adjustRightInd w:val="0"/>
      <w:jc w:val="both"/>
    </w:pPr>
    <w:rPr>
      <w:sz w:val="22"/>
      <w:szCs w:val="20"/>
    </w:rPr>
  </w:style>
  <w:style w:type="paragraph" w:customStyle="1" w:styleId="Default">
    <w:name w:val="Default"/>
    <w:rsid w:val="000D6D04"/>
    <w:pPr>
      <w:autoSpaceDE w:val="0"/>
      <w:autoSpaceDN w:val="0"/>
      <w:adjustRightInd w:val="0"/>
    </w:pPr>
    <w:rPr>
      <w:color w:val="000000"/>
      <w:sz w:val="24"/>
      <w:szCs w:val="24"/>
      <w:lang w:val="es-ES" w:eastAsia="es-ES"/>
    </w:rPr>
  </w:style>
  <w:style w:type="paragraph" w:customStyle="1" w:styleId="Textoindependiente21">
    <w:name w:val="Texto independiente 21"/>
    <w:basedOn w:val="Normal"/>
    <w:rsid w:val="00CC3703"/>
    <w:pPr>
      <w:suppressAutoHyphens/>
      <w:jc w:val="both"/>
    </w:pPr>
    <w:rPr>
      <w:rFonts w:cs="Calibri"/>
      <w:b/>
      <w:sz w:val="20"/>
      <w:u w:val="single"/>
      <w:lang w:val="es-ES" w:eastAsia="ar-SA"/>
    </w:rPr>
  </w:style>
  <w:style w:type="paragraph" w:styleId="Textosinformato">
    <w:name w:val="Plain Text"/>
    <w:basedOn w:val="Normal"/>
    <w:link w:val="TextosinformatoCar"/>
    <w:rsid w:val="00F130A4"/>
    <w:rPr>
      <w:rFonts w:ascii="Consolas" w:hAnsi="Consolas"/>
      <w:sz w:val="21"/>
      <w:szCs w:val="21"/>
      <w:lang w:val="en-US" w:eastAsia="en-US"/>
    </w:rPr>
  </w:style>
  <w:style w:type="character" w:customStyle="1" w:styleId="TextosinformatoCar">
    <w:name w:val="Texto sin formato Car"/>
    <w:link w:val="Textosinformato"/>
    <w:locked/>
    <w:rsid w:val="00F130A4"/>
    <w:rPr>
      <w:rFonts w:ascii="Consolas" w:hAnsi="Consolas" w:cs="Times New Roman"/>
      <w:sz w:val="21"/>
      <w:lang w:eastAsia="en-US"/>
    </w:rPr>
  </w:style>
  <w:style w:type="table" w:styleId="Tablaconcuadrcula">
    <w:name w:val="Table Grid"/>
    <w:basedOn w:val="Tablanormal"/>
    <w:rsid w:val="00FA43B9"/>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ltaViewInsertion">
    <w:name w:val="DeltaView Insertion"/>
    <w:rsid w:val="000C1514"/>
    <w:rPr>
      <w:color w:val="0000FF"/>
      <w:spacing w:val="0"/>
      <w:u w:val="double"/>
    </w:rPr>
  </w:style>
  <w:style w:type="paragraph" w:customStyle="1" w:styleId="WW-Default">
    <w:name w:val="WW-Default"/>
    <w:rsid w:val="000C1514"/>
    <w:pPr>
      <w:suppressAutoHyphens/>
      <w:autoSpaceDE w:val="0"/>
    </w:pPr>
    <w:rPr>
      <w:color w:val="000000"/>
      <w:kern w:val="1"/>
      <w:sz w:val="24"/>
      <w:szCs w:val="24"/>
      <w:lang w:val="es-ES" w:eastAsia="ar-SA"/>
    </w:rPr>
  </w:style>
  <w:style w:type="paragraph" w:customStyle="1" w:styleId="TableContents">
    <w:name w:val="Table Contents"/>
    <w:basedOn w:val="Normal"/>
    <w:rsid w:val="000C1514"/>
    <w:pPr>
      <w:widowControl w:val="0"/>
      <w:suppressLineNumbers/>
      <w:suppressAutoHyphens/>
    </w:pPr>
    <w:rPr>
      <w:kern w:val="1"/>
    </w:rPr>
  </w:style>
  <w:style w:type="paragraph" w:customStyle="1" w:styleId="Revisin1">
    <w:name w:val="Revisión1"/>
    <w:hidden/>
    <w:semiHidden/>
    <w:rsid w:val="00D554E2"/>
    <w:rPr>
      <w:sz w:val="24"/>
      <w:szCs w:val="24"/>
      <w:lang w:eastAsia="es-ES"/>
    </w:rPr>
  </w:style>
  <w:style w:type="character" w:customStyle="1" w:styleId="msoins0">
    <w:name w:val="msoins"/>
    <w:rsid w:val="008B0A1E"/>
    <w:rPr>
      <w:rFonts w:cs="Times New Roman"/>
    </w:rPr>
  </w:style>
  <w:style w:type="character" w:styleId="nfasis">
    <w:name w:val="Emphasis"/>
    <w:qFormat/>
    <w:rsid w:val="00F532B0"/>
    <w:rPr>
      <w:rFonts w:cs="Times New Roman"/>
      <w:i/>
    </w:rPr>
  </w:style>
  <w:style w:type="paragraph" w:customStyle="1" w:styleId="Sinespaciado1">
    <w:name w:val="Sin espaciado1"/>
    <w:rsid w:val="00F532B0"/>
    <w:rPr>
      <w:rFonts w:ascii="Calibri" w:hAnsi="Calibri"/>
      <w:sz w:val="22"/>
      <w:szCs w:val="22"/>
      <w:lang w:val="es-ES" w:eastAsia="en-US"/>
    </w:rPr>
  </w:style>
  <w:style w:type="paragraph" w:styleId="Sangra2detindependiente">
    <w:name w:val="Body Text Indent 2"/>
    <w:basedOn w:val="Normal"/>
    <w:link w:val="Sangra2detindependienteCar"/>
    <w:rsid w:val="006912AF"/>
    <w:pPr>
      <w:spacing w:after="120" w:line="480" w:lineRule="auto"/>
      <w:ind w:left="283"/>
    </w:pPr>
  </w:style>
  <w:style w:type="character" w:customStyle="1" w:styleId="Sangra2detindependienteCar">
    <w:name w:val="Sangría 2 de t. independiente Car"/>
    <w:link w:val="Sangra2detindependiente"/>
    <w:semiHidden/>
    <w:locked/>
    <w:rPr>
      <w:rFonts w:cs="Times New Roman"/>
      <w:sz w:val="24"/>
      <w:szCs w:val="24"/>
      <w:lang w:val="es-AR" w:eastAsia="es-ES"/>
    </w:rPr>
  </w:style>
  <w:style w:type="paragraph" w:customStyle="1" w:styleId="Sangra2detindependiente1">
    <w:name w:val="Sangría 2 de t. independiente1"/>
    <w:basedOn w:val="Normal"/>
    <w:rsid w:val="006912AF"/>
    <w:pPr>
      <w:widowControl w:val="0"/>
      <w:suppressAutoHyphens/>
      <w:ind w:firstLine="1440"/>
      <w:jc w:val="both"/>
    </w:pPr>
    <w:rPr>
      <w:rFonts w:ascii="Arial" w:hAnsi="Arial" w:cs="Times"/>
      <w:color w:val="000000"/>
      <w:szCs w:val="20"/>
      <w:lang w:val="es-ES_tradnl" w:eastAsia="ar-SA"/>
    </w:rPr>
  </w:style>
  <w:style w:type="paragraph" w:customStyle="1" w:styleId="Prrafodelista10">
    <w:name w:val="Párrafo de lista1"/>
    <w:basedOn w:val="Normal"/>
    <w:rsid w:val="006912AF"/>
    <w:pPr>
      <w:ind w:left="720"/>
      <w:contextualSpacing/>
    </w:pPr>
    <w:rPr>
      <w:lang w:eastAsia="es-AR"/>
    </w:rPr>
  </w:style>
  <w:style w:type="paragraph" w:customStyle="1" w:styleId="SION">
    <w:name w:val="SION"/>
    <w:basedOn w:val="Ttulo3"/>
    <w:rsid w:val="006912AF"/>
    <w:pPr>
      <w:keepLines w:val="0"/>
      <w:widowControl/>
      <w:tabs>
        <w:tab w:val="clear" w:pos="-720"/>
      </w:tabs>
      <w:suppressAutoHyphens w:val="0"/>
      <w:jc w:val="both"/>
    </w:pPr>
    <w:rPr>
      <w:rFonts w:ascii="Calibri" w:hAnsi="Calibri"/>
      <w:sz w:val="24"/>
      <w:lang w:val="es-AR" w:eastAsia="en-US"/>
    </w:rPr>
  </w:style>
  <w:style w:type="paragraph" w:styleId="Subttulo">
    <w:name w:val="Subtitle"/>
    <w:basedOn w:val="Normal"/>
    <w:next w:val="Normal"/>
    <w:link w:val="SubttuloCar"/>
    <w:qFormat/>
    <w:rsid w:val="006912AF"/>
    <w:pPr>
      <w:spacing w:after="60"/>
      <w:jc w:val="center"/>
      <w:outlineLvl w:val="1"/>
    </w:pPr>
    <w:rPr>
      <w:rFonts w:ascii="Cambria" w:hAnsi="Cambria"/>
      <w:lang w:eastAsia="en-US"/>
    </w:rPr>
  </w:style>
  <w:style w:type="character" w:customStyle="1" w:styleId="SubttuloCar">
    <w:name w:val="Subtítulo Car"/>
    <w:link w:val="Subttulo"/>
    <w:locked/>
    <w:rPr>
      <w:rFonts w:ascii="Cambria" w:hAnsi="Cambria" w:cs="Times New Roman"/>
      <w:sz w:val="24"/>
      <w:szCs w:val="24"/>
      <w:lang w:val="es-AR" w:eastAsia="es-ES"/>
    </w:rPr>
  </w:style>
  <w:style w:type="paragraph" w:customStyle="1" w:styleId="Textoindependiente22">
    <w:name w:val="Texto independiente 22"/>
    <w:basedOn w:val="Normal"/>
    <w:rsid w:val="005434CB"/>
    <w:pPr>
      <w:widowControl w:val="0"/>
      <w:jc w:val="both"/>
    </w:pPr>
    <w:rPr>
      <w:b/>
      <w:sz w:val="22"/>
      <w:szCs w:val="20"/>
    </w:rPr>
  </w:style>
  <w:style w:type="paragraph" w:customStyle="1" w:styleId="xmsobodytextindent">
    <w:name w:val="x_msobodytextindent"/>
    <w:basedOn w:val="Normal"/>
    <w:uiPriority w:val="99"/>
    <w:rsid w:val="00CF12C0"/>
    <w:pPr>
      <w:spacing w:before="100" w:beforeAutospacing="1" w:after="100" w:afterAutospacing="1"/>
    </w:pPr>
    <w:rPr>
      <w:lang w:val="es-ES_tradnl" w:eastAsia="es-ES_tradnl"/>
    </w:rPr>
  </w:style>
  <w:style w:type="paragraph" w:customStyle="1" w:styleId="xmsonormal">
    <w:name w:val="x_msonormal"/>
    <w:basedOn w:val="Normal"/>
    <w:rsid w:val="00FD75C3"/>
    <w:pPr>
      <w:spacing w:before="100" w:beforeAutospacing="1" w:after="100" w:afterAutospacing="1"/>
    </w:pPr>
    <w:rPr>
      <w:lang w:val="es-ES_tradnl" w:eastAsia="es-ES_tradnl"/>
    </w:rPr>
  </w:style>
  <w:style w:type="paragraph" w:customStyle="1" w:styleId="xdefault">
    <w:name w:val="x_default"/>
    <w:basedOn w:val="Normal"/>
    <w:rsid w:val="00FD75C3"/>
    <w:pPr>
      <w:spacing w:before="100" w:beforeAutospacing="1" w:after="100" w:afterAutospacing="1"/>
    </w:pPr>
    <w:rPr>
      <w:lang w:val="es-ES_tradnl" w:eastAsia="es-ES_tradnl"/>
    </w:rPr>
  </w:style>
  <w:style w:type="character" w:customStyle="1" w:styleId="xapple-converted-space">
    <w:name w:val="x_apple-converted-space"/>
    <w:rsid w:val="004A6111"/>
    <w:rPr>
      <w:rFonts w:cs="Times New Roman"/>
    </w:rPr>
  </w:style>
  <w:style w:type="paragraph" w:customStyle="1" w:styleId="Tabletext">
    <w:name w:val="Tabletext"/>
    <w:basedOn w:val="Normal"/>
    <w:rsid w:val="00EE5DB6"/>
    <w:pPr>
      <w:keepLines/>
      <w:widowControl w:val="0"/>
      <w:spacing w:after="120" w:line="240" w:lineRule="atLeast"/>
      <w:ind w:left="284"/>
    </w:pPr>
    <w:rPr>
      <w:sz w:val="20"/>
      <w:szCs w:val="20"/>
      <w:lang w:val="en-US" w:eastAsia="en-US"/>
    </w:rPr>
  </w:style>
  <w:style w:type="paragraph" w:customStyle="1" w:styleId="0-Texto">
    <w:name w:val="0 - Texto"/>
    <w:rsid w:val="00902504"/>
    <w:pPr>
      <w:tabs>
        <w:tab w:val="left" w:pos="708"/>
        <w:tab w:val="left" w:pos="1416"/>
        <w:tab w:val="left" w:pos="2124"/>
        <w:tab w:val="left" w:pos="2832"/>
        <w:tab w:val="left" w:pos="3540"/>
        <w:tab w:val="left" w:pos="4248"/>
        <w:tab w:val="left" w:pos="4956"/>
        <w:tab w:val="left" w:pos="6564"/>
      </w:tabs>
      <w:autoSpaceDE w:val="0"/>
      <w:autoSpaceDN w:val="0"/>
      <w:adjustRightInd w:val="0"/>
      <w:spacing w:line="276" w:lineRule="auto"/>
      <w:jc w:val="both"/>
    </w:pPr>
    <w:rPr>
      <w:rFonts w:ascii="Arial" w:hAnsi="Arial" w:cs="Courier New"/>
      <w:bCs/>
      <w:sz w:val="22"/>
      <w:szCs w:val="22"/>
    </w:rPr>
  </w:style>
  <w:style w:type="paragraph" w:customStyle="1" w:styleId="CPNormalLeftBOLD">
    <w:name w:val="CPNormalLeft (BOLD)"/>
    <w:basedOn w:val="Normal"/>
    <w:rsid w:val="00902504"/>
    <w:pPr>
      <w:tabs>
        <w:tab w:val="right" w:pos="900"/>
        <w:tab w:val="left" w:pos="1170"/>
      </w:tabs>
      <w:spacing w:after="200"/>
      <w:jc w:val="both"/>
    </w:pPr>
    <w:rPr>
      <w:b/>
      <w:sz w:val="20"/>
      <w:szCs w:val="20"/>
      <w:lang w:val="en-US" w:eastAsia="en-US"/>
    </w:rPr>
  </w:style>
  <w:style w:type="character" w:customStyle="1" w:styleId="st1">
    <w:name w:val="st1"/>
    <w:rsid w:val="000C0305"/>
    <w:rPr>
      <w:rFonts w:cs="Times New Roman"/>
    </w:rPr>
  </w:style>
  <w:style w:type="paragraph" w:customStyle="1" w:styleId="ecxmsonormal">
    <w:name w:val="ecxmsonormal"/>
    <w:basedOn w:val="Normal"/>
    <w:rsid w:val="001E7401"/>
    <w:pPr>
      <w:spacing w:after="324"/>
    </w:pPr>
    <w:rPr>
      <w:lang w:eastAsia="es-AR"/>
    </w:rPr>
  </w:style>
  <w:style w:type="character" w:customStyle="1" w:styleId="apple-style-span">
    <w:name w:val="apple-style-span"/>
    <w:rsid w:val="00A04026"/>
    <w:rPr>
      <w:rFonts w:cs="Times New Roman"/>
    </w:rPr>
  </w:style>
  <w:style w:type="paragraph" w:customStyle="1" w:styleId="p2">
    <w:name w:val="p2"/>
    <w:basedOn w:val="Normal"/>
    <w:rsid w:val="00B16D21"/>
    <w:pPr>
      <w:widowControl w:val="0"/>
      <w:tabs>
        <w:tab w:val="left" w:pos="720"/>
      </w:tabs>
    </w:pPr>
    <w:rPr>
      <w:rFonts w:ascii="Courier" w:hAnsi="Courier"/>
      <w:szCs w:val="20"/>
      <w:lang w:val="es-ES_tradnl"/>
    </w:rPr>
  </w:style>
  <w:style w:type="paragraph" w:customStyle="1" w:styleId="CM56">
    <w:name w:val="CM56"/>
    <w:basedOn w:val="Normal"/>
    <w:next w:val="Normal"/>
    <w:rsid w:val="001A307A"/>
    <w:pPr>
      <w:widowControl w:val="0"/>
      <w:autoSpaceDE w:val="0"/>
      <w:autoSpaceDN w:val="0"/>
      <w:adjustRightInd w:val="0"/>
      <w:spacing w:after="255"/>
    </w:pPr>
    <w:rPr>
      <w:rFonts w:eastAsia="MS Mincho"/>
      <w:sz w:val="20"/>
      <w:szCs w:val="20"/>
      <w:lang w:val="es-ES"/>
    </w:rPr>
  </w:style>
  <w:style w:type="paragraph" w:customStyle="1" w:styleId="Tit2">
    <w:name w:val="Tit2"/>
    <w:basedOn w:val="Normal"/>
    <w:rsid w:val="001A307A"/>
    <w:pPr>
      <w:keepNext/>
      <w:autoSpaceDE w:val="0"/>
      <w:autoSpaceDN w:val="0"/>
      <w:adjustRightInd w:val="0"/>
      <w:spacing w:before="360" w:after="180"/>
      <w:outlineLvl w:val="1"/>
    </w:pPr>
    <w:rPr>
      <w:rFonts w:eastAsia="MS Mincho"/>
      <w:b/>
      <w:bCs/>
      <w:sz w:val="20"/>
      <w:szCs w:val="20"/>
      <w:lang w:val="es-ES"/>
    </w:rPr>
  </w:style>
  <w:style w:type="paragraph" w:customStyle="1" w:styleId="RF">
    <w:name w:val="RF"/>
    <w:basedOn w:val="Normal10"/>
    <w:rsid w:val="001A307A"/>
    <w:pPr>
      <w:keepNext/>
      <w:spacing w:before="240"/>
    </w:pPr>
    <w:rPr>
      <w:b/>
      <w:bCs/>
      <w:i/>
      <w:iCs/>
    </w:rPr>
  </w:style>
  <w:style w:type="paragraph" w:customStyle="1" w:styleId="Normal10">
    <w:name w:val="Normal 10"/>
    <w:rsid w:val="001A307A"/>
    <w:pPr>
      <w:autoSpaceDE w:val="0"/>
      <w:autoSpaceDN w:val="0"/>
      <w:adjustRightInd w:val="0"/>
      <w:spacing w:after="120"/>
      <w:jc w:val="both"/>
    </w:pPr>
    <w:rPr>
      <w:rFonts w:eastAsia="MS Mincho"/>
      <w:lang w:val="es-ES" w:eastAsia="es-ES"/>
    </w:rPr>
  </w:style>
  <w:style w:type="character" w:customStyle="1" w:styleId="Normal10Car">
    <w:name w:val="Normal 10 Car"/>
    <w:rsid w:val="001A307A"/>
    <w:rPr>
      <w:rFonts w:eastAsia="MS Mincho"/>
      <w:spacing w:val="0"/>
      <w:lang w:val="es-ES"/>
    </w:rPr>
  </w:style>
  <w:style w:type="paragraph" w:customStyle="1" w:styleId="Textopredeterminado">
    <w:name w:val="Texto predeterminado"/>
    <w:basedOn w:val="Normal"/>
    <w:rsid w:val="00CA5E0A"/>
    <w:pPr>
      <w:jc w:val="both"/>
    </w:pPr>
    <w:rPr>
      <w:rFonts w:ascii="Arial" w:eastAsia="MS Mincho" w:hAnsi="Arial"/>
      <w:szCs w:val="20"/>
    </w:rPr>
  </w:style>
  <w:style w:type="paragraph" w:customStyle="1" w:styleId="Carta">
    <w:name w:val="Carta"/>
    <w:rsid w:val="00CA5E0A"/>
    <w:pPr>
      <w:widowControl w:val="0"/>
      <w:tabs>
        <w:tab w:val="left" w:pos="-720"/>
      </w:tabs>
      <w:suppressAutoHyphens/>
      <w:spacing w:line="360" w:lineRule="auto"/>
    </w:pPr>
    <w:rPr>
      <w:rFonts w:ascii="Courier" w:hAnsi="Courier"/>
      <w:sz w:val="24"/>
      <w:lang w:val="en-US" w:eastAsia="en-US"/>
    </w:rPr>
  </w:style>
  <w:style w:type="paragraph" w:customStyle="1" w:styleId="HPCarta">
    <w:name w:val="HP Carta"/>
    <w:rsid w:val="00CA5E0A"/>
    <w:pPr>
      <w:widowControl w:val="0"/>
      <w:tabs>
        <w:tab w:val="left" w:pos="-720"/>
      </w:tabs>
      <w:suppressAutoHyphens/>
      <w:spacing w:line="360" w:lineRule="auto"/>
    </w:pPr>
    <w:rPr>
      <w:rFonts w:ascii="Courier" w:hAnsi="Courier"/>
      <w:sz w:val="24"/>
      <w:lang w:val="es-ES" w:eastAsia="es-ES"/>
    </w:rPr>
  </w:style>
  <w:style w:type="paragraph" w:styleId="Textodebloque">
    <w:name w:val="Block Text"/>
    <w:basedOn w:val="Normal"/>
    <w:rsid w:val="005752E3"/>
    <w:pPr>
      <w:widowControl w:val="0"/>
      <w:tabs>
        <w:tab w:val="left" w:pos="567"/>
        <w:tab w:val="left" w:pos="664"/>
      </w:tabs>
      <w:spacing w:before="120" w:after="60" w:line="220" w:lineRule="atLeast"/>
      <w:jc w:val="both"/>
    </w:pPr>
    <w:rPr>
      <w:rFonts w:ascii="Arial" w:hAnsi="Arial"/>
      <w:szCs w:val="20"/>
    </w:rPr>
  </w:style>
  <w:style w:type="character" w:customStyle="1" w:styleId="CharacterStyle2">
    <w:name w:val="Character Style 2"/>
    <w:rsid w:val="00777508"/>
    <w:rPr>
      <w:rFonts w:ascii="Garamond" w:hAnsi="Garamond"/>
      <w:sz w:val="22"/>
    </w:rPr>
  </w:style>
  <w:style w:type="paragraph" w:styleId="Ttulo">
    <w:name w:val="Title"/>
    <w:basedOn w:val="Normal"/>
    <w:link w:val="TtuloCar"/>
    <w:qFormat/>
    <w:rsid w:val="004972AC"/>
    <w:pPr>
      <w:jc w:val="center"/>
    </w:pPr>
    <w:rPr>
      <w:b/>
      <w:szCs w:val="20"/>
      <w:lang w:val="es-ES"/>
    </w:rPr>
  </w:style>
  <w:style w:type="character" w:customStyle="1" w:styleId="TtuloCar">
    <w:name w:val="Título Car"/>
    <w:link w:val="Ttulo"/>
    <w:locked/>
    <w:rsid w:val="004972AC"/>
    <w:rPr>
      <w:rFonts w:cs="Times New Roman"/>
      <w:b/>
      <w:sz w:val="24"/>
    </w:rPr>
  </w:style>
  <w:style w:type="paragraph" w:customStyle="1" w:styleId="Listavistosa-nfasis11">
    <w:name w:val="Lista vistosa - Énfasis 11"/>
    <w:basedOn w:val="Normal"/>
    <w:uiPriority w:val="99"/>
    <w:qFormat/>
    <w:rsid w:val="001A7790"/>
    <w:pPr>
      <w:ind w:left="708"/>
    </w:pPr>
    <w:rPr>
      <w:rFonts w:ascii="Garamond" w:hAnsi="Garamond" w:cs="Garamond"/>
      <w:lang w:val="en-GB" w:eastAsia="en-US"/>
    </w:rPr>
  </w:style>
  <w:style w:type="paragraph" w:styleId="Prrafodelista">
    <w:name w:val="List Paragraph"/>
    <w:basedOn w:val="Normal"/>
    <w:uiPriority w:val="34"/>
    <w:qFormat/>
    <w:rsid w:val="003B7E94"/>
    <w:pPr>
      <w:ind w:left="720"/>
    </w:pPr>
    <w:rPr>
      <w:rFonts w:ascii="Calibri" w:eastAsia="Calibri" w:hAnsi="Calibri"/>
      <w:sz w:val="22"/>
      <w:szCs w:val="22"/>
      <w:lang w:eastAsia="en-US"/>
    </w:rPr>
  </w:style>
  <w:style w:type="paragraph" w:customStyle="1" w:styleId="Tabla">
    <w:name w:val="Tabla"/>
    <w:basedOn w:val="Normal"/>
    <w:rsid w:val="005036F2"/>
    <w:pPr>
      <w:widowControl w:val="0"/>
      <w:tabs>
        <w:tab w:val="left" w:pos="664"/>
      </w:tabs>
      <w:spacing w:before="120" w:after="60"/>
      <w:ind w:right="357"/>
      <w:jc w:val="both"/>
    </w:pPr>
    <w:rPr>
      <w:rFonts w:ascii="CG Times (W1)" w:hAnsi="CG Times (W1)"/>
      <w:noProof/>
      <w:szCs w:val="20"/>
      <w:lang w:eastAsia="en-US"/>
    </w:rPr>
  </w:style>
  <w:style w:type="paragraph" w:styleId="Revisin">
    <w:name w:val="Revision"/>
    <w:hidden/>
    <w:uiPriority w:val="71"/>
    <w:rsid w:val="00F551DB"/>
    <w:rPr>
      <w:sz w:val="24"/>
      <w:szCs w:val="24"/>
      <w:lang w:eastAsia="es-ES"/>
    </w:rPr>
  </w:style>
  <w:style w:type="character" w:customStyle="1" w:styleId="xcharacterstyle2">
    <w:name w:val="x_characterstyle2"/>
    <w:rsid w:val="002628B8"/>
    <w:rPr>
      <w:rFonts w:ascii="Garamond" w:hAnsi="Garamond" w:hint="default"/>
    </w:rPr>
  </w:style>
  <w:style w:type="character" w:customStyle="1" w:styleId="BHTextoCar">
    <w:name w:val="BH Texto Car"/>
    <w:link w:val="BHTexto"/>
    <w:locked/>
    <w:rsid w:val="002628B8"/>
  </w:style>
  <w:style w:type="paragraph" w:customStyle="1" w:styleId="BHTexto">
    <w:name w:val="BH Texto"/>
    <w:basedOn w:val="Normal"/>
    <w:link w:val="BHTextoCar"/>
    <w:qFormat/>
    <w:rsid w:val="002628B8"/>
    <w:pPr>
      <w:autoSpaceDE w:val="0"/>
      <w:autoSpaceDN w:val="0"/>
      <w:adjustRightInd w:val="0"/>
      <w:spacing w:before="120" w:after="120"/>
      <w:jc w:val="both"/>
    </w:pPr>
    <w:rPr>
      <w:sz w:val="20"/>
      <w:szCs w:val="20"/>
      <w:lang w:eastAsia="es-AR"/>
    </w:rPr>
  </w:style>
  <w:style w:type="character" w:customStyle="1" w:styleId="actual">
    <w:name w:val="actual"/>
    <w:basedOn w:val="Fuentedeprrafopredeter"/>
    <w:rsid w:val="00E940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7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
      </w:divsChild>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150"/>
      <w:marRight w:val="150"/>
      <w:marTop w:val="150"/>
      <w:marBottom w:val="15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96602022">
      <w:bodyDiv w:val="1"/>
      <w:marLeft w:val="0"/>
      <w:marRight w:val="0"/>
      <w:marTop w:val="0"/>
      <w:marBottom w:val="0"/>
      <w:divBdr>
        <w:top w:val="none" w:sz="0" w:space="0" w:color="auto"/>
        <w:left w:val="none" w:sz="0" w:space="0" w:color="auto"/>
        <w:bottom w:val="none" w:sz="0" w:space="0" w:color="auto"/>
        <w:right w:val="none" w:sz="0" w:space="0" w:color="auto"/>
      </w:divBdr>
    </w:div>
    <w:div w:id="172889755">
      <w:bodyDiv w:val="1"/>
      <w:marLeft w:val="0"/>
      <w:marRight w:val="0"/>
      <w:marTop w:val="0"/>
      <w:marBottom w:val="0"/>
      <w:divBdr>
        <w:top w:val="none" w:sz="0" w:space="0" w:color="auto"/>
        <w:left w:val="none" w:sz="0" w:space="0" w:color="auto"/>
        <w:bottom w:val="none" w:sz="0" w:space="0" w:color="auto"/>
        <w:right w:val="none" w:sz="0" w:space="0" w:color="auto"/>
      </w:divBdr>
    </w:div>
    <w:div w:id="466510821">
      <w:bodyDiv w:val="1"/>
      <w:marLeft w:val="0"/>
      <w:marRight w:val="0"/>
      <w:marTop w:val="0"/>
      <w:marBottom w:val="0"/>
      <w:divBdr>
        <w:top w:val="none" w:sz="0" w:space="0" w:color="auto"/>
        <w:left w:val="none" w:sz="0" w:space="0" w:color="auto"/>
        <w:bottom w:val="none" w:sz="0" w:space="0" w:color="auto"/>
        <w:right w:val="none" w:sz="0" w:space="0" w:color="auto"/>
      </w:divBdr>
    </w:div>
    <w:div w:id="684406340">
      <w:bodyDiv w:val="1"/>
      <w:marLeft w:val="0"/>
      <w:marRight w:val="0"/>
      <w:marTop w:val="0"/>
      <w:marBottom w:val="0"/>
      <w:divBdr>
        <w:top w:val="none" w:sz="0" w:space="0" w:color="auto"/>
        <w:left w:val="none" w:sz="0" w:space="0" w:color="auto"/>
        <w:bottom w:val="none" w:sz="0" w:space="0" w:color="auto"/>
        <w:right w:val="none" w:sz="0" w:space="0" w:color="auto"/>
      </w:divBdr>
    </w:div>
    <w:div w:id="700663976">
      <w:bodyDiv w:val="1"/>
      <w:marLeft w:val="0"/>
      <w:marRight w:val="0"/>
      <w:marTop w:val="0"/>
      <w:marBottom w:val="0"/>
      <w:divBdr>
        <w:top w:val="none" w:sz="0" w:space="0" w:color="auto"/>
        <w:left w:val="none" w:sz="0" w:space="0" w:color="auto"/>
        <w:bottom w:val="none" w:sz="0" w:space="0" w:color="auto"/>
        <w:right w:val="none" w:sz="0" w:space="0" w:color="auto"/>
      </w:divBdr>
      <w:divsChild>
        <w:div w:id="136336644">
          <w:marLeft w:val="0"/>
          <w:marRight w:val="0"/>
          <w:marTop w:val="150"/>
          <w:marBottom w:val="0"/>
          <w:divBdr>
            <w:top w:val="none" w:sz="0" w:space="0" w:color="auto"/>
            <w:left w:val="none" w:sz="0" w:space="0" w:color="auto"/>
            <w:bottom w:val="none" w:sz="0" w:space="0" w:color="auto"/>
            <w:right w:val="none" w:sz="0" w:space="0" w:color="auto"/>
          </w:divBdr>
        </w:div>
      </w:divsChild>
    </w:div>
    <w:div w:id="801581859">
      <w:bodyDiv w:val="1"/>
      <w:marLeft w:val="0"/>
      <w:marRight w:val="0"/>
      <w:marTop w:val="0"/>
      <w:marBottom w:val="0"/>
      <w:divBdr>
        <w:top w:val="none" w:sz="0" w:space="0" w:color="auto"/>
        <w:left w:val="none" w:sz="0" w:space="0" w:color="auto"/>
        <w:bottom w:val="none" w:sz="0" w:space="0" w:color="auto"/>
        <w:right w:val="none" w:sz="0" w:space="0" w:color="auto"/>
      </w:divBdr>
    </w:div>
    <w:div w:id="818812793">
      <w:bodyDiv w:val="1"/>
      <w:marLeft w:val="0"/>
      <w:marRight w:val="0"/>
      <w:marTop w:val="0"/>
      <w:marBottom w:val="0"/>
      <w:divBdr>
        <w:top w:val="none" w:sz="0" w:space="0" w:color="auto"/>
        <w:left w:val="none" w:sz="0" w:space="0" w:color="auto"/>
        <w:bottom w:val="none" w:sz="0" w:space="0" w:color="auto"/>
        <w:right w:val="none" w:sz="0" w:space="0" w:color="auto"/>
      </w:divBdr>
    </w:div>
    <w:div w:id="983662409">
      <w:bodyDiv w:val="1"/>
      <w:marLeft w:val="0"/>
      <w:marRight w:val="0"/>
      <w:marTop w:val="0"/>
      <w:marBottom w:val="0"/>
      <w:divBdr>
        <w:top w:val="none" w:sz="0" w:space="0" w:color="auto"/>
        <w:left w:val="none" w:sz="0" w:space="0" w:color="auto"/>
        <w:bottom w:val="none" w:sz="0" w:space="0" w:color="auto"/>
        <w:right w:val="none" w:sz="0" w:space="0" w:color="auto"/>
      </w:divBdr>
    </w:div>
    <w:div w:id="1115757348">
      <w:bodyDiv w:val="1"/>
      <w:marLeft w:val="0"/>
      <w:marRight w:val="0"/>
      <w:marTop w:val="0"/>
      <w:marBottom w:val="0"/>
      <w:divBdr>
        <w:top w:val="none" w:sz="0" w:space="0" w:color="auto"/>
        <w:left w:val="none" w:sz="0" w:space="0" w:color="auto"/>
        <w:bottom w:val="none" w:sz="0" w:space="0" w:color="auto"/>
        <w:right w:val="none" w:sz="0" w:space="0" w:color="auto"/>
      </w:divBdr>
    </w:div>
    <w:div w:id="1166170735">
      <w:bodyDiv w:val="1"/>
      <w:marLeft w:val="0"/>
      <w:marRight w:val="0"/>
      <w:marTop w:val="0"/>
      <w:marBottom w:val="0"/>
      <w:divBdr>
        <w:top w:val="none" w:sz="0" w:space="0" w:color="auto"/>
        <w:left w:val="none" w:sz="0" w:space="0" w:color="auto"/>
        <w:bottom w:val="none" w:sz="0" w:space="0" w:color="auto"/>
        <w:right w:val="none" w:sz="0" w:space="0" w:color="auto"/>
      </w:divBdr>
    </w:div>
    <w:div w:id="1374186181">
      <w:bodyDiv w:val="1"/>
      <w:marLeft w:val="0"/>
      <w:marRight w:val="0"/>
      <w:marTop w:val="0"/>
      <w:marBottom w:val="0"/>
      <w:divBdr>
        <w:top w:val="none" w:sz="0" w:space="0" w:color="auto"/>
        <w:left w:val="none" w:sz="0" w:space="0" w:color="auto"/>
        <w:bottom w:val="none" w:sz="0" w:space="0" w:color="auto"/>
        <w:right w:val="none" w:sz="0" w:space="0" w:color="auto"/>
      </w:divBdr>
    </w:div>
    <w:div w:id="1433355218">
      <w:bodyDiv w:val="1"/>
      <w:marLeft w:val="0"/>
      <w:marRight w:val="0"/>
      <w:marTop w:val="0"/>
      <w:marBottom w:val="0"/>
      <w:divBdr>
        <w:top w:val="none" w:sz="0" w:space="0" w:color="auto"/>
        <w:left w:val="none" w:sz="0" w:space="0" w:color="auto"/>
        <w:bottom w:val="none" w:sz="0" w:space="0" w:color="auto"/>
        <w:right w:val="none" w:sz="0" w:space="0" w:color="auto"/>
      </w:divBdr>
    </w:div>
    <w:div w:id="1947499425">
      <w:bodyDiv w:val="1"/>
      <w:marLeft w:val="0"/>
      <w:marRight w:val="0"/>
      <w:marTop w:val="0"/>
      <w:marBottom w:val="0"/>
      <w:divBdr>
        <w:top w:val="none" w:sz="0" w:space="0" w:color="auto"/>
        <w:left w:val="none" w:sz="0" w:space="0" w:color="auto"/>
        <w:bottom w:val="none" w:sz="0" w:space="0" w:color="auto"/>
        <w:right w:val="none" w:sz="0" w:space="0" w:color="auto"/>
      </w:divBdr>
    </w:div>
    <w:div w:id="2017002213">
      <w:bodyDiv w:val="1"/>
      <w:marLeft w:val="0"/>
      <w:marRight w:val="0"/>
      <w:marTop w:val="0"/>
      <w:marBottom w:val="0"/>
      <w:divBdr>
        <w:top w:val="none" w:sz="0" w:space="0" w:color="auto"/>
        <w:left w:val="none" w:sz="0" w:space="0" w:color="auto"/>
        <w:bottom w:val="none" w:sz="0" w:space="0" w:color="auto"/>
        <w:right w:val="none" w:sz="0" w:space="0" w:color="auto"/>
      </w:divBdr>
      <w:divsChild>
        <w:div w:id="1516309768">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uif.gob.ar/uif/index.php/es/" TargetMode="External"/><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hyperlink" Target="http://www.infoleg.gov.ar" TargetMode="Externa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mailto:fmalara@actualnqn.com.ar" TargetMode="External"/><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v.gov.ar" TargetMode="External"/><Relationship Id="rId24" Type="http://schemas.openxmlformats.org/officeDocument/2006/relationships/image" Target="media/image12.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nv.gob.ar" TargetMode="External"/><Relationship Id="rId23" Type="http://schemas.openxmlformats.org/officeDocument/2006/relationships/image" Target="media/image11.emf"/><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cnv.gov.ar" TargetMode="External"/><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18F2A-B04C-4BB3-9A6B-C41B3011C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9216</Words>
  <Characters>50690</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REGIONAL TRADE S</vt:lpstr>
    </vt:vector>
  </TitlesOfParts>
  <Company>N&amp;C</Company>
  <LinksUpToDate>false</LinksUpToDate>
  <CharactersWithSpaces>59787</CharactersWithSpaces>
  <SharedDoc>false</SharedDoc>
  <HLinks>
    <vt:vector size="30" baseType="variant">
      <vt:variant>
        <vt:i4>8978518</vt:i4>
      </vt:variant>
      <vt:variant>
        <vt:i4>12</vt:i4>
      </vt:variant>
      <vt:variant>
        <vt:i4>0</vt:i4>
      </vt:variant>
      <vt:variant>
        <vt:i4>5</vt:i4>
      </vt:variant>
      <vt:variant>
        <vt:lpwstr>http://www.cnv.gob.ar/información</vt:lpwstr>
      </vt:variant>
      <vt:variant>
        <vt:lpwstr/>
      </vt:variant>
      <vt:variant>
        <vt:i4>5570643</vt:i4>
      </vt:variant>
      <vt:variant>
        <vt:i4>9</vt:i4>
      </vt:variant>
      <vt:variant>
        <vt:i4>0</vt:i4>
      </vt:variant>
      <vt:variant>
        <vt:i4>5</vt:i4>
      </vt:variant>
      <vt:variant>
        <vt:lpwstr>http://www.sionbusiness.com/</vt:lpwstr>
      </vt:variant>
      <vt:variant>
        <vt:lpwstr/>
      </vt:variant>
      <vt:variant>
        <vt:i4>7667747</vt:i4>
      </vt:variant>
      <vt:variant>
        <vt:i4>6</vt:i4>
      </vt:variant>
      <vt:variant>
        <vt:i4>0</vt:i4>
      </vt:variant>
      <vt:variant>
        <vt:i4>5</vt:i4>
      </vt:variant>
      <vt:variant>
        <vt:lpwstr>http://www.cnv.gob.ar/</vt:lpwstr>
      </vt:variant>
      <vt:variant>
        <vt:lpwstr/>
      </vt:variant>
      <vt:variant>
        <vt:i4>7667747</vt:i4>
      </vt:variant>
      <vt:variant>
        <vt:i4>3</vt:i4>
      </vt:variant>
      <vt:variant>
        <vt:i4>0</vt:i4>
      </vt:variant>
      <vt:variant>
        <vt:i4>5</vt:i4>
      </vt:variant>
      <vt:variant>
        <vt:lpwstr>http://www.cnv.gob.ar/</vt:lpwstr>
      </vt:variant>
      <vt:variant>
        <vt:lpwstr/>
      </vt:variant>
      <vt:variant>
        <vt:i4>7667747</vt:i4>
      </vt:variant>
      <vt:variant>
        <vt:i4>0</vt:i4>
      </vt:variant>
      <vt:variant>
        <vt:i4>0</vt:i4>
      </vt:variant>
      <vt:variant>
        <vt:i4>5</vt:i4>
      </vt:variant>
      <vt:variant>
        <vt:lpwstr>http://www.cnv.gob.ar/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TRADE S</dc:title>
  <dc:creator>J. Ferreiro</dc:creator>
  <cp:lastModifiedBy>Constanza Mendiz</cp:lastModifiedBy>
  <cp:revision>3</cp:revision>
  <cp:lastPrinted>2017-12-11T19:03:00Z</cp:lastPrinted>
  <dcterms:created xsi:type="dcterms:W3CDTF">2019-02-25T16:57:00Z</dcterms:created>
  <dcterms:modified xsi:type="dcterms:W3CDTF">2019-02-26T19:37:00Z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UFAA9qelww5tp413SQS4A12bZ93qyFT/UfIkgTRW6jX8bHphoUY+PCm9IyijN2oRI6t+PLF4/SJli7hdKgbqVkGOP+TkEtXhSv2OQjEeBKrQUEt3QaYLw5eMho/4yLwHZDIRDnv8wYEJwDBdKgbqVkGOP+TkEtXhSv2OQjEeBKrQUEt3QaYLw5eMho/4yLwHZDIRIYEm2kJGx4SFn/42ouBxa1Rmd0egwOtx4/HLODYB99akl1f+6ySky</vt:lpwstr>
  </property>
  <property fmtid="{D5CDD505-2E9C-101B-9397-08002B2CF9AE}" pid="3" name="MAIL_MSG_ID2">
    <vt:lpwstr>8XyHwqMTGWHcAYMBAoMhaTcPEu6NjtNsu9zHa3ryWMxfjwDRXyRqjElHc4A4x5iEgb+7yr/SJjs15pnTsdacNc=</vt:lpwstr>
  </property>
  <property fmtid="{D5CDD505-2E9C-101B-9397-08002B2CF9AE}" pid="4" name="RESPONSE_SENDER_NAME">
    <vt:lpwstr>sAAA2RgG6J6jCJ0Vaf+fmM7UCjYbpZVUVsoHH0Nw7/7E12U=</vt:lpwstr>
  </property>
  <property fmtid="{D5CDD505-2E9C-101B-9397-08002B2CF9AE}" pid="5" name="EMAIL_OWNER_ADDRESS">
    <vt:lpwstr>ABAAmJ+7jnJ2eOXzkkOnd7580/Sv2sn+OLFU2TzL6xDhoYkI0OzMUIYgpF7pm/P58ciL</vt:lpwstr>
  </property>
</Properties>
</file>