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54FC9" w14:textId="51E23DB9" w:rsidR="000257D2" w:rsidRPr="004A7B32" w:rsidRDefault="000257D2" w:rsidP="004A7B32">
      <w:pPr>
        <w:pBdr>
          <w:top w:val="nil"/>
          <w:left w:val="nil"/>
          <w:bottom w:val="nil"/>
          <w:right w:val="nil"/>
          <w:between w:val="nil"/>
        </w:pBdr>
        <w:spacing w:line="240" w:lineRule="auto"/>
        <w:ind w:left="0" w:hanging="2"/>
        <w:jc w:val="both"/>
        <w:rPr>
          <w:b/>
          <w:color w:val="000000"/>
          <w:sz w:val="24"/>
          <w:szCs w:val="24"/>
          <w:u w:val="single"/>
        </w:rPr>
      </w:pPr>
      <w:r w:rsidRPr="004A7B32">
        <w:rPr>
          <w:b/>
          <w:color w:val="000000"/>
          <w:sz w:val="24"/>
          <w:szCs w:val="24"/>
          <w:u w:val="single"/>
        </w:rPr>
        <w:t>Parte pertinente del Acta de Directorio N° 583</w:t>
      </w:r>
    </w:p>
    <w:p w14:paraId="1722AB56" w14:textId="77777777" w:rsidR="000257D2" w:rsidRPr="004A7B32" w:rsidRDefault="000257D2" w:rsidP="004A7B32">
      <w:pPr>
        <w:pBdr>
          <w:top w:val="nil"/>
          <w:left w:val="nil"/>
          <w:bottom w:val="nil"/>
          <w:right w:val="nil"/>
          <w:between w:val="nil"/>
        </w:pBdr>
        <w:spacing w:line="240" w:lineRule="auto"/>
        <w:ind w:left="0" w:hanging="2"/>
        <w:jc w:val="both"/>
        <w:rPr>
          <w:b/>
          <w:color w:val="000000"/>
          <w:sz w:val="24"/>
          <w:szCs w:val="24"/>
          <w:u w:val="single"/>
        </w:rPr>
      </w:pPr>
    </w:p>
    <w:p w14:paraId="00000003" w14:textId="79B88C8D" w:rsidR="00867964" w:rsidRPr="004A7B32" w:rsidRDefault="006B51B8" w:rsidP="004A7B32">
      <w:pPr>
        <w:pBdr>
          <w:top w:val="nil"/>
          <w:left w:val="nil"/>
          <w:bottom w:val="nil"/>
          <w:right w:val="nil"/>
          <w:between w:val="nil"/>
        </w:pBdr>
        <w:spacing w:line="240" w:lineRule="auto"/>
        <w:ind w:left="0" w:hanging="2"/>
        <w:jc w:val="both"/>
        <w:rPr>
          <w:color w:val="000000"/>
          <w:sz w:val="24"/>
          <w:szCs w:val="24"/>
        </w:rPr>
      </w:pPr>
      <w:r w:rsidRPr="004A7B32">
        <w:rPr>
          <w:b/>
          <w:color w:val="000000"/>
          <w:sz w:val="24"/>
          <w:szCs w:val="24"/>
          <w:u w:val="single"/>
        </w:rPr>
        <w:t>ACTA DE DIRECTORIO Nº 583</w:t>
      </w:r>
      <w:r w:rsidRPr="004A7B32">
        <w:rPr>
          <w:color w:val="000000"/>
          <w:sz w:val="24"/>
          <w:szCs w:val="24"/>
        </w:rPr>
        <w:t xml:space="preserve">: En la Ciudad Autónoma de Buenos Aires, a los 19 días del mes de marzo de 2020, siendo las 11.30 horas se reúnen por sistema de video </w:t>
      </w:r>
      <w:proofErr w:type="spellStart"/>
      <w:r w:rsidRPr="004A7B32">
        <w:rPr>
          <w:color w:val="000000"/>
          <w:sz w:val="24"/>
          <w:szCs w:val="24"/>
        </w:rPr>
        <w:t>multiconferencia</w:t>
      </w:r>
      <w:proofErr w:type="spellEnd"/>
      <w:r w:rsidRPr="004A7B32">
        <w:rPr>
          <w:color w:val="000000"/>
          <w:sz w:val="24"/>
          <w:szCs w:val="24"/>
        </w:rPr>
        <w:t xml:space="preserve"> los Directores y Síndicos de MetroGAS S.A. (“</w:t>
      </w:r>
      <w:r w:rsidRPr="004A7B32">
        <w:rPr>
          <w:color w:val="000000"/>
          <w:sz w:val="24"/>
          <w:szCs w:val="24"/>
          <w:u w:val="single"/>
        </w:rPr>
        <w:t>MetroGAS</w:t>
      </w:r>
      <w:r w:rsidRPr="004A7B32">
        <w:rPr>
          <w:color w:val="000000"/>
          <w:sz w:val="24"/>
          <w:szCs w:val="24"/>
        </w:rPr>
        <w:t>” o la “</w:t>
      </w:r>
      <w:r w:rsidRPr="004A7B32">
        <w:rPr>
          <w:color w:val="000000"/>
          <w:sz w:val="24"/>
          <w:szCs w:val="24"/>
          <w:u w:val="single"/>
        </w:rPr>
        <w:t>Sociedad</w:t>
      </w:r>
      <w:r w:rsidRPr="004A7B32">
        <w:rPr>
          <w:color w:val="000000"/>
          <w:sz w:val="24"/>
          <w:szCs w:val="24"/>
        </w:rPr>
        <w:t xml:space="preserve">”) que firman al pie. Asiste el Sr. Daniel Alfonso Suarez, Secretario del Directorio. Preside la reunión el Ing. Fernando Oscar Ambroa, Presidente de la Sociedad, quién verifica la existencia de quórum suficiente para sesionar y declara abierto el acto. Se da lectura al primer punto del Orden del Día: </w:t>
      </w:r>
      <w:r w:rsidRPr="004A7B32">
        <w:rPr>
          <w:b/>
          <w:color w:val="000000"/>
          <w:sz w:val="24"/>
          <w:szCs w:val="24"/>
        </w:rPr>
        <w:t>1)</w:t>
      </w:r>
      <w:r w:rsidRPr="004A7B32">
        <w:rPr>
          <w:color w:val="000000"/>
          <w:sz w:val="24"/>
          <w:szCs w:val="24"/>
        </w:rPr>
        <w:t xml:space="preserve"> </w:t>
      </w:r>
      <w:r w:rsidRPr="004A7B32">
        <w:rPr>
          <w:b/>
          <w:color w:val="000000"/>
          <w:sz w:val="24"/>
          <w:szCs w:val="24"/>
          <w:u w:val="single"/>
        </w:rPr>
        <w:t>Convocatoria a la Asamblea General Ordinaria, Extraordinaria y a las Asambleas Especiales de las Clases A y B</w:t>
      </w:r>
      <w:r w:rsidRPr="004A7B32">
        <w:rPr>
          <w:color w:val="000000"/>
          <w:sz w:val="24"/>
          <w:szCs w:val="24"/>
        </w:rPr>
        <w:t xml:space="preserve">. Toma la palabra el Sr. Presidente e informa que resulta necesario convocar a la Asamblea General Ordinaria, Extraordinaria y a las Asambleas Especiales de las Clases A y B de accionistas de MetroGAS. Por ello, a propuesta del Sr. Presidente se resuelve, por unanimidad de votos, </w:t>
      </w:r>
      <w:r w:rsidR="00963A2E" w:rsidRPr="004A7B32">
        <w:rPr>
          <w:color w:val="000000"/>
          <w:sz w:val="24"/>
          <w:szCs w:val="24"/>
        </w:rPr>
        <w:t xml:space="preserve">convocar a la Asamblea General Ordinaria, Extraordinaria y a las Asambleas Especiales de las Clases A y B de accionistas de MetroGAS, todas ellas a celebrarse el día 24 de abril de 2020 a las 10 horas en primera convocatoria y, en el caso de la Ordinaria y las Especiales de las Clases A y B, a las 11 horas en segunda convocatoria en la sede social de la Sociedad sita en Gregorio Aráoz de Lamadrid 1360, Ciudad Autónoma de Buenos Aires, a fin de considerar el siguiente Orden del Día: 1) Designación de dos accionistas para que suscriban el acta. 2) Consideración de los Estados Financieros Consolidados e Individuales que incluyen: la Memoria, los Estados de Situación Financiera Consolidados e Individuales, los Estados Consolidados e Individuales de Pérdidas y Ganancias y otro Resultado Integral, los Estados Consolidados e Individuales de Cambios en el Patrimonio Neto, los Estados Consolidados e Individuales de Flujo de Efectivo, las Notas a los Estados Financieros consolidados e individuales, la Reseña Informativa, el Inventario y la documentación relativa a los asuntos del artículo 234, inciso 1° de la Ley General de Sociedades N° 19.550, Informe del Auditor Externo e Informe de la Comisión Fiscalizadora, todos ellos correspondientes al ejercicio finalizado al 31 de diciembre de 2019. 3) Destino del resultado del ejercicio finalizado el 31 de diciembre de 2019 - Consideración del saldo positivo de la cuenta Resultados No Asignados en el ejercicio finalizado el 31 de diciembre de 2019. Consideración de la propuesta del Directorio de incrementar la reserva para inversiones (artículo 70 3er párrafo - Ley General de Sociedades N° 19.550 y sus modificaciones) de acuerdo con el Plan de Inversiones comprometido por MetroGAS. Los montos correspondientes al saldo positivo de la cuenta Resultados No Asignados serán re-expresados en la moneda de fecha de celebración de la asamblea mediante la utilización del índice de precios correspondiente al mes anterior a su reunión según lo previsto en el inciso e), apartado 1, del artículo 3, del Capítulo III, del Título IV de las Normas 2013 de la Comisión Nacional de Valores. 4) Consideración de la gestión de los miembros del Directorio y de la Comisión Fiscalizadora durante el ejercicio económico finalizado el 31 de diciembre de 2019. 5) Consideración de las remuneraciones al Directorio ($15.565.795.-) correspondientes al ejercicio económico finalizado el 31 de diciembre de 2019, el cual arrojó utilidad computable en los términos de la reglamentación dispuesta por la Comisión Nacional de Valores. 6) Consideración de las remuneraciones a los miembros de la Comisión Fiscalizadora ($1.448.671.-) correspondientes al ejercicio económico finalizado el 31 de diciembre de 2019. 7) Consideración de los honorarios de los Auditores Externos correspondientes al ejercicio económico finalizado el 31 de diciembre de 2019. 8) Designación de once (11) directores titulares y (11) directores suplentes de acuerdo al siguiente detalle: seis (6) titulares y seis (6) suplentes a ser </w:t>
      </w:r>
      <w:r w:rsidR="00963A2E" w:rsidRPr="004A7B32">
        <w:rPr>
          <w:color w:val="000000"/>
          <w:sz w:val="24"/>
          <w:szCs w:val="24"/>
        </w:rPr>
        <w:lastRenderedPageBreak/>
        <w:t xml:space="preserve">designados por la Clase A y cinco (5) titulares y cinco (5) suplentes a ser designados por la Clase B. 9) Designación de tres (3) miembros titulares y tres (3) suplentes de la Comisión Fiscalizadora de acuerdo al siguiente detalle: dos (2) titulares y dos (2) suplentes a ser designados por la Clase A y un (1) titular y un (1) suplente a ser designado por la Clase B. 10) Designación del Auditor Externo que dictaminará sobre los estados financieros del ejercicio 2020. 11) Consideración del presupuesto anual para el Comité de Auditoría. 12) Consideración de la prórroga del plazo del Programa Global de Emisión de Obligaciones Negociables de corto y mediano plazo por un valor nominal de hasta U$S 600.000.000 (o su equivalente en otras monedas o unidad monetaria de valor) de MetroGAS S.A. 13) Consideración de la delegación de facultades en el Directorio para (i) determinar y establecer todos los términos del Programa, de cada una de las clases y/o series de obligaciones negociables a emitirse en el marco del mismo;  (ii) </w:t>
      </w:r>
      <w:r w:rsidR="00963A2E" w:rsidRPr="004A7B32">
        <w:rPr>
          <w:sz w:val="24"/>
          <w:szCs w:val="24"/>
        </w:rPr>
        <w:t>realizar</w:t>
      </w:r>
      <w:r w:rsidR="00963A2E" w:rsidRPr="004A7B32">
        <w:rPr>
          <w:color w:val="000000"/>
          <w:sz w:val="24"/>
          <w:szCs w:val="24"/>
        </w:rPr>
        <w:t xml:space="preserve"> ante la Comisión Nacional de Valores (la </w:t>
      </w:r>
      <w:r w:rsidR="00963A2E" w:rsidRPr="004A7B32">
        <w:rPr>
          <w:sz w:val="24"/>
          <w:szCs w:val="24"/>
        </w:rPr>
        <w:t>“</w:t>
      </w:r>
      <w:r w:rsidR="00963A2E" w:rsidRPr="004A7B32">
        <w:rPr>
          <w:color w:val="000000"/>
          <w:sz w:val="24"/>
          <w:szCs w:val="24"/>
          <w:u w:val="single"/>
        </w:rPr>
        <w:t>CNV</w:t>
      </w:r>
      <w:r w:rsidR="00963A2E" w:rsidRPr="004A7B32">
        <w:rPr>
          <w:sz w:val="24"/>
          <w:szCs w:val="24"/>
        </w:rPr>
        <w:t>”)</w:t>
      </w:r>
      <w:r w:rsidR="00963A2E" w:rsidRPr="004A7B32">
        <w:rPr>
          <w:color w:val="000000"/>
          <w:sz w:val="24"/>
          <w:szCs w:val="24"/>
        </w:rPr>
        <w:t xml:space="preserve">, la Bolsa de Comercio de Buenos Aires, </w:t>
      </w:r>
      <w:r w:rsidR="00963A2E" w:rsidRPr="004A7B32">
        <w:rPr>
          <w:sz w:val="24"/>
          <w:szCs w:val="24"/>
        </w:rPr>
        <w:t>Bolsas y Mercados S.A.</w:t>
      </w:r>
      <w:r w:rsidR="00963A2E" w:rsidRPr="004A7B32">
        <w:rPr>
          <w:color w:val="000000"/>
          <w:sz w:val="24"/>
          <w:szCs w:val="24"/>
        </w:rPr>
        <w:t>, el Mercado Abierto Electrónico S.A. y/o cualquier otra bolsa o mercado autorizado por la CNV del país y/o del exterior y ante cualquier ente de contralor u organismo pertinente (incluyendo sin limitación la Caja de Valores S.A., entre otros) de todas las gestiones necesarias para obtener la oferta pública de las obligaciones negociables a ser emitidas bajo el mismo y el eventual listado y/o negociación de dichas obligaciones negociables; y (iii) sub</w:t>
      </w:r>
      <w:r w:rsidR="00963A2E" w:rsidRPr="004A7B32">
        <w:rPr>
          <w:sz w:val="24"/>
          <w:szCs w:val="24"/>
        </w:rPr>
        <w:t>delegar las facultades y autorizaciones referidas en los puntos (i) y (ii) anteriores en uno o más directores y/o gerentes de primera línea de la Sociedad en los términos del Artículo 270 de la Ley N° 19.550 y sus modificaciones y el Artículo 1° del Capítulo II, Título II de las Normas de la CNV</w:t>
      </w:r>
      <w:r w:rsidR="00963A2E" w:rsidRPr="004A7B32">
        <w:rPr>
          <w:color w:val="000000"/>
          <w:sz w:val="24"/>
          <w:szCs w:val="24"/>
        </w:rPr>
        <w:t>. 1</w:t>
      </w:r>
      <w:r w:rsidR="00963A2E" w:rsidRPr="004A7B32">
        <w:rPr>
          <w:sz w:val="24"/>
          <w:szCs w:val="24"/>
        </w:rPr>
        <w:t>4</w:t>
      </w:r>
      <w:r w:rsidR="00963A2E" w:rsidRPr="004A7B32">
        <w:rPr>
          <w:color w:val="000000"/>
          <w:sz w:val="24"/>
          <w:szCs w:val="24"/>
        </w:rPr>
        <w:t>) Otorgamiento de indemnidades a favor de Directores, Síndicos y/o Empleados. NOTAS: (1) Para asistir a las Asambleas los Sres. Accionistas deberán depositar constancia de la cuenta de acciones escriturales librada al efecto por Caja de Valores S.A. y acreditar identidad y personería, según correspondiese, en la sede social de la Sociedad hasta las 17 horas del día 20 de abril de 2020, inclusive, dando así cumplimiento a lo dispuesto en el artículo 238, primera parte de la de la Ley General de Sociedades N° 19.550. (2) La documentación a considerarse se encuentra a disposición de los Sres. Accionistas en la sede social de la Sociedad. (3) Los puntos 4), 12), 13)</w:t>
      </w:r>
      <w:r w:rsidR="00963A2E" w:rsidRPr="004A7B32">
        <w:rPr>
          <w:sz w:val="24"/>
          <w:szCs w:val="24"/>
        </w:rPr>
        <w:t xml:space="preserve"> y</w:t>
      </w:r>
      <w:r w:rsidR="00963A2E" w:rsidRPr="004A7B32">
        <w:rPr>
          <w:color w:val="000000"/>
          <w:sz w:val="24"/>
          <w:szCs w:val="24"/>
        </w:rPr>
        <w:t xml:space="preserve"> 14) serán tratados en Asamblea General Extraordinaria. (4) Los puntos 8) y 9) serán considerados por las Asambleas Especiales de Clase, las cuales se regirán por las reglas de las asambleas ordinarias. (5) Se recomienda a los Sres. Accionistas concurrir al lugar de reunión con no menos de 15 minutos de antelación a la hora de convocatoria a los efectos de facilitar la acreditación de poderes y la registración de asistencia de conformidad con la información requerida por las Normas 2013 de la Comisión Nacional de Valores. </w:t>
      </w:r>
      <w:r w:rsidR="00963A2E" w:rsidRPr="004A7B32">
        <w:rPr>
          <w:sz w:val="24"/>
          <w:szCs w:val="24"/>
        </w:rPr>
        <w:t>(</w:t>
      </w:r>
      <w:r w:rsidR="00963A2E" w:rsidRPr="004A7B32">
        <w:rPr>
          <w:color w:val="000000"/>
          <w:sz w:val="24"/>
          <w:szCs w:val="24"/>
        </w:rPr>
        <w:t xml:space="preserve">6) </w:t>
      </w:r>
      <w:r w:rsidR="00963A2E" w:rsidRPr="004A7B32">
        <w:rPr>
          <w:sz w:val="24"/>
          <w:szCs w:val="24"/>
        </w:rPr>
        <w:t xml:space="preserve">La Sociedad dará cumplimiento </w:t>
      </w:r>
      <w:r w:rsidR="00963A2E" w:rsidRPr="004A7B32">
        <w:rPr>
          <w:color w:val="000000"/>
          <w:sz w:val="24"/>
          <w:szCs w:val="24"/>
        </w:rPr>
        <w:t>al Decreto de Necesidad y Urgencia N° 260/2020 (el “</w:t>
      </w:r>
      <w:r w:rsidR="00963A2E" w:rsidRPr="004A7B32">
        <w:rPr>
          <w:color w:val="000000"/>
          <w:sz w:val="24"/>
          <w:szCs w:val="24"/>
          <w:u w:val="single"/>
        </w:rPr>
        <w:t>DNU</w:t>
      </w:r>
      <w:r w:rsidR="00963A2E" w:rsidRPr="004A7B32">
        <w:rPr>
          <w:color w:val="000000"/>
          <w:sz w:val="24"/>
          <w:szCs w:val="24"/>
        </w:rPr>
        <w:t xml:space="preserve">”) y las disposiciones del Ministerio de Salud de la Nación y de la Ciudad de Buenos Aires y demás organismos gubernamentales sobre los recaudos y restricciones que deben cumplirse con motivo de la pandemia COVID-19. En tal sentido, se solicita a los Sres. accionistas que tomen en cuenta y den cumplimiento </w:t>
      </w:r>
      <w:r w:rsidR="00963A2E" w:rsidRPr="004A7B32">
        <w:rPr>
          <w:sz w:val="24"/>
          <w:szCs w:val="24"/>
        </w:rPr>
        <w:t xml:space="preserve">al </w:t>
      </w:r>
      <w:r w:rsidR="00963A2E" w:rsidRPr="004A7B32">
        <w:rPr>
          <w:color w:val="000000"/>
          <w:sz w:val="24"/>
          <w:szCs w:val="24"/>
        </w:rPr>
        <w:t xml:space="preserve">DNU y </w:t>
      </w:r>
      <w:r w:rsidR="00963A2E" w:rsidRPr="004A7B32">
        <w:rPr>
          <w:sz w:val="24"/>
          <w:szCs w:val="24"/>
        </w:rPr>
        <w:t>al resto de</w:t>
      </w:r>
      <w:r w:rsidR="00963A2E" w:rsidRPr="004A7B32">
        <w:rPr>
          <w:color w:val="000000"/>
          <w:sz w:val="24"/>
          <w:szCs w:val="24"/>
        </w:rPr>
        <w:t xml:space="preserve"> la normativa que esté vigente al momento de la celebración de la asamblea</w:t>
      </w:r>
      <w:r w:rsidR="00153671" w:rsidRPr="004A7B32">
        <w:rPr>
          <w:color w:val="000000"/>
          <w:sz w:val="24"/>
          <w:szCs w:val="24"/>
        </w:rPr>
        <w:t>…</w:t>
      </w:r>
      <w:r w:rsidRPr="004A7B32">
        <w:rPr>
          <w:color w:val="000000"/>
          <w:sz w:val="24"/>
          <w:szCs w:val="24"/>
        </w:rPr>
        <w:t>Toma la palabra el Síndico, Sr. Eduardo Baldi a fin de dejar constancia de la regularidad de las decisiones adoptadas. No habiendo más puntos que tratar, se levanta la sesión siendo las 11.45 horas.</w:t>
      </w:r>
    </w:p>
    <w:p w14:paraId="00000005" w14:textId="6C843CAD" w:rsidR="00867964" w:rsidRPr="004A7B32" w:rsidRDefault="006B51B8" w:rsidP="004A7B32">
      <w:pPr>
        <w:tabs>
          <w:tab w:val="left" w:pos="-720"/>
          <w:tab w:val="left" w:pos="0"/>
          <w:tab w:val="left" w:pos="487"/>
        </w:tabs>
        <w:spacing w:line="276" w:lineRule="auto"/>
        <w:ind w:left="0" w:hanging="2"/>
        <w:jc w:val="both"/>
        <w:rPr>
          <w:color w:val="000000"/>
          <w:sz w:val="24"/>
          <w:szCs w:val="24"/>
        </w:rPr>
      </w:pPr>
      <w:r w:rsidRPr="004A7B32">
        <w:rPr>
          <w:b/>
          <w:sz w:val="24"/>
          <w:szCs w:val="24"/>
          <w:u w:val="single"/>
        </w:rPr>
        <w:t>Directores presentes y firmantes</w:t>
      </w:r>
      <w:r w:rsidRPr="004A7B32">
        <w:rPr>
          <w:sz w:val="24"/>
          <w:szCs w:val="24"/>
        </w:rPr>
        <w:t xml:space="preserve">: Fernando Ambroa, </w:t>
      </w:r>
      <w:r w:rsidR="002923D5">
        <w:rPr>
          <w:sz w:val="24"/>
          <w:szCs w:val="24"/>
        </w:rPr>
        <w:t xml:space="preserve">Valeria Soifer, </w:t>
      </w:r>
      <w:bookmarkStart w:id="0" w:name="_GoBack"/>
      <w:bookmarkEnd w:id="0"/>
      <w:r w:rsidRPr="004A7B32">
        <w:rPr>
          <w:color w:val="000000"/>
          <w:sz w:val="24"/>
          <w:szCs w:val="24"/>
        </w:rPr>
        <w:t xml:space="preserve">Raúl </w:t>
      </w:r>
      <w:proofErr w:type="spellStart"/>
      <w:r w:rsidRPr="004A7B32">
        <w:rPr>
          <w:color w:val="000000"/>
          <w:sz w:val="24"/>
          <w:szCs w:val="24"/>
        </w:rPr>
        <w:t>Angel</w:t>
      </w:r>
      <w:proofErr w:type="spellEnd"/>
      <w:r w:rsidRPr="004A7B32">
        <w:rPr>
          <w:color w:val="000000"/>
          <w:sz w:val="24"/>
          <w:szCs w:val="24"/>
        </w:rPr>
        <w:t xml:space="preserve"> </w:t>
      </w:r>
      <w:r w:rsidR="00D62256">
        <w:rPr>
          <w:color w:val="000000"/>
          <w:sz w:val="24"/>
          <w:szCs w:val="24"/>
        </w:rPr>
        <w:t xml:space="preserve">Rodríguez, </w:t>
      </w:r>
      <w:r w:rsidRPr="004A7B32">
        <w:rPr>
          <w:color w:val="000000"/>
          <w:sz w:val="24"/>
          <w:szCs w:val="24"/>
        </w:rPr>
        <w:t>Héctor Caram</w:t>
      </w:r>
      <w:r w:rsidR="009A0945">
        <w:rPr>
          <w:color w:val="000000"/>
          <w:sz w:val="24"/>
          <w:szCs w:val="24"/>
        </w:rPr>
        <w:t xml:space="preserve">, </w:t>
      </w:r>
      <w:r w:rsidR="00D62256">
        <w:rPr>
          <w:color w:val="000000"/>
          <w:sz w:val="24"/>
          <w:szCs w:val="24"/>
        </w:rPr>
        <w:t xml:space="preserve">Carlos Bastos y </w:t>
      </w:r>
      <w:r w:rsidR="009A0945">
        <w:rPr>
          <w:color w:val="000000"/>
          <w:sz w:val="24"/>
          <w:szCs w:val="24"/>
        </w:rPr>
        <w:t>Dante Kogan</w:t>
      </w:r>
    </w:p>
    <w:p w14:paraId="0000000A" w14:textId="7A149819" w:rsidR="00867964" w:rsidRDefault="006B51B8" w:rsidP="004A7B32">
      <w:pPr>
        <w:tabs>
          <w:tab w:val="left" w:pos="-720"/>
          <w:tab w:val="left" w:pos="0"/>
          <w:tab w:val="left" w:pos="487"/>
        </w:tabs>
        <w:spacing w:line="276" w:lineRule="auto"/>
        <w:ind w:left="0" w:hanging="2"/>
        <w:jc w:val="both"/>
        <w:rPr>
          <w:sz w:val="28"/>
          <w:szCs w:val="28"/>
        </w:rPr>
      </w:pPr>
      <w:r w:rsidRPr="004A7B32">
        <w:rPr>
          <w:b/>
          <w:sz w:val="24"/>
          <w:szCs w:val="24"/>
          <w:u w:val="single"/>
        </w:rPr>
        <w:t>Síndicos presentes y firmantes</w:t>
      </w:r>
      <w:r w:rsidRPr="004A7B32">
        <w:rPr>
          <w:b/>
          <w:sz w:val="24"/>
          <w:szCs w:val="24"/>
        </w:rPr>
        <w:t xml:space="preserve">: </w:t>
      </w:r>
      <w:r w:rsidRPr="004A7B32">
        <w:rPr>
          <w:sz w:val="24"/>
          <w:szCs w:val="24"/>
        </w:rPr>
        <w:t>Eduardo Baldi, Rogelio Driollet Laspiur y María Gabriela Grigioni</w:t>
      </w:r>
    </w:p>
    <w:sectPr w:rsidR="00867964" w:rsidSect="00251FC1">
      <w:headerReference w:type="default" r:id="rId9"/>
      <w:footerReference w:type="default" r:id="rId10"/>
      <w:pgSz w:w="11906" w:h="16838"/>
      <w:pgMar w:top="1417" w:right="1701" w:bottom="1417" w:left="1701" w:header="708" w:footer="708"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EE155" w14:textId="77777777" w:rsidR="00B545B1" w:rsidRDefault="00B545B1" w:rsidP="0029199B">
      <w:pPr>
        <w:spacing w:line="240" w:lineRule="auto"/>
        <w:ind w:left="0" w:hanging="2"/>
      </w:pPr>
      <w:r>
        <w:separator/>
      </w:r>
    </w:p>
  </w:endnote>
  <w:endnote w:type="continuationSeparator" w:id="0">
    <w:p w14:paraId="269C610B" w14:textId="77777777" w:rsidR="00B545B1" w:rsidRDefault="00B545B1" w:rsidP="0029199B">
      <w:pPr>
        <w:spacing w:line="240" w:lineRule="auto"/>
        <w:ind w:left="0" w:hanging="2"/>
      </w:pPr>
      <w:r>
        <w:continuationSeparator/>
      </w:r>
    </w:p>
  </w:endnote>
  <w:endnote w:type="continuationNotice" w:id="1">
    <w:p w14:paraId="3599DE7D" w14:textId="77777777" w:rsidR="00B545B1" w:rsidRDefault="00B545B1" w:rsidP="0029199B">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9D0D8" w14:textId="77777777" w:rsidR="00D80A71" w:rsidRDefault="00D80A71" w:rsidP="0029199B">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DB532" w14:textId="77777777" w:rsidR="00B545B1" w:rsidRDefault="00B545B1" w:rsidP="0029199B">
      <w:pPr>
        <w:spacing w:line="240" w:lineRule="auto"/>
        <w:ind w:left="0" w:hanging="2"/>
      </w:pPr>
      <w:r>
        <w:separator/>
      </w:r>
    </w:p>
  </w:footnote>
  <w:footnote w:type="continuationSeparator" w:id="0">
    <w:p w14:paraId="11380C31" w14:textId="77777777" w:rsidR="00B545B1" w:rsidRDefault="00B545B1" w:rsidP="0029199B">
      <w:pPr>
        <w:spacing w:line="240" w:lineRule="auto"/>
        <w:ind w:left="0" w:hanging="2"/>
      </w:pPr>
      <w:r>
        <w:continuationSeparator/>
      </w:r>
    </w:p>
  </w:footnote>
  <w:footnote w:type="continuationNotice" w:id="1">
    <w:p w14:paraId="4646304D" w14:textId="77777777" w:rsidR="00B545B1" w:rsidRDefault="00B545B1" w:rsidP="0029199B">
      <w:pPr>
        <w:spacing w:line="240" w:lineRule="auto"/>
        <w:ind w:left="0" w:hanging="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69B33" w14:textId="77777777" w:rsidR="00D80A71" w:rsidRDefault="00D80A71" w:rsidP="0029199B">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867964"/>
    <w:rsid w:val="000257D2"/>
    <w:rsid w:val="0003739E"/>
    <w:rsid w:val="00061C16"/>
    <w:rsid w:val="00065947"/>
    <w:rsid w:val="000A6BC4"/>
    <w:rsid w:val="000B2BB5"/>
    <w:rsid w:val="00153671"/>
    <w:rsid w:val="001A4324"/>
    <w:rsid w:val="001D32E7"/>
    <w:rsid w:val="001E1613"/>
    <w:rsid w:val="001E5DC2"/>
    <w:rsid w:val="001E65FD"/>
    <w:rsid w:val="00251FC1"/>
    <w:rsid w:val="0029199B"/>
    <w:rsid w:val="002923D5"/>
    <w:rsid w:val="002A08C9"/>
    <w:rsid w:val="003B5866"/>
    <w:rsid w:val="00444CA6"/>
    <w:rsid w:val="00462876"/>
    <w:rsid w:val="004A7B32"/>
    <w:rsid w:val="004E187B"/>
    <w:rsid w:val="00521561"/>
    <w:rsid w:val="005279F3"/>
    <w:rsid w:val="00557ED4"/>
    <w:rsid w:val="00605733"/>
    <w:rsid w:val="00651A75"/>
    <w:rsid w:val="00656E4E"/>
    <w:rsid w:val="006B51B8"/>
    <w:rsid w:val="007530F9"/>
    <w:rsid w:val="00796021"/>
    <w:rsid w:val="007D39CC"/>
    <w:rsid w:val="007E5A54"/>
    <w:rsid w:val="007F79F7"/>
    <w:rsid w:val="00850ED2"/>
    <w:rsid w:val="00860653"/>
    <w:rsid w:val="00863DA6"/>
    <w:rsid w:val="00867964"/>
    <w:rsid w:val="008A6094"/>
    <w:rsid w:val="008C7F76"/>
    <w:rsid w:val="00963A2E"/>
    <w:rsid w:val="009A0945"/>
    <w:rsid w:val="009C2F6C"/>
    <w:rsid w:val="009D753C"/>
    <w:rsid w:val="00B12110"/>
    <w:rsid w:val="00B545B1"/>
    <w:rsid w:val="00BF4D83"/>
    <w:rsid w:val="00C1055B"/>
    <w:rsid w:val="00C3493A"/>
    <w:rsid w:val="00C93E4B"/>
    <w:rsid w:val="00D552DE"/>
    <w:rsid w:val="00D62256"/>
    <w:rsid w:val="00D80A71"/>
    <w:rsid w:val="00DA3F0B"/>
    <w:rsid w:val="00DA79E2"/>
    <w:rsid w:val="00DC205D"/>
    <w:rsid w:val="00DE4EEF"/>
    <w:rsid w:val="00E5176A"/>
    <w:rsid w:val="00E51E21"/>
    <w:rsid w:val="00ED5C32"/>
    <w:rsid w:val="00F81B56"/>
    <w:rsid w:val="00F82E2B"/>
    <w:rsid w:val="00F94D36"/>
    <w:rsid w:val="00FA051E"/>
    <w:rsid w:val="00FE3C9B"/>
    <w:rsid w:val="00FE63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71"/>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2">
    <w:name w:val="Body Text 2"/>
    <w:basedOn w:val="Normal"/>
    <w:link w:val="Textoindependiente2Car"/>
    <w:rsid w:val="00D80A71"/>
    <w:pPr>
      <w:jc w:val="both"/>
    </w:pPr>
    <w:rPr>
      <w:sz w:val="28"/>
    </w:rPr>
  </w:style>
  <w:style w:type="character" w:customStyle="1" w:styleId="Textoindependiente2Car">
    <w:name w:val="Texto independiente 2 Car"/>
    <w:link w:val="Textoindependiente2"/>
    <w:rPr>
      <w:position w:val="-1"/>
      <w:sz w:val="28"/>
      <w:lang w:eastAsia="es-ES"/>
    </w:rPr>
  </w:style>
  <w:style w:type="character" w:styleId="Refdecomentario">
    <w:name w:val="annotation reference"/>
    <w:rsid w:val="00D80A71"/>
    <w:rPr>
      <w:w w:val="100"/>
      <w:position w:val="-1"/>
      <w:sz w:val="16"/>
      <w:szCs w:val="16"/>
      <w:effect w:val="none"/>
      <w:vertAlign w:val="baseline"/>
      <w:cs w:val="0"/>
      <w:em w:val="none"/>
    </w:rPr>
  </w:style>
  <w:style w:type="paragraph" w:styleId="Textocomentario">
    <w:name w:val="annotation text"/>
    <w:basedOn w:val="Normal"/>
    <w:link w:val="TextocomentarioCar"/>
    <w:rsid w:val="00D80A71"/>
  </w:style>
  <w:style w:type="character" w:customStyle="1" w:styleId="TextocomentarioCar">
    <w:name w:val="Texto comentario Car"/>
    <w:link w:val="Textocomentario"/>
    <w:rPr>
      <w:position w:val="-1"/>
      <w:lang w:eastAsia="es-ES"/>
    </w:rPr>
  </w:style>
  <w:style w:type="paragraph" w:styleId="Asuntodelcomentario">
    <w:name w:val="annotation subject"/>
    <w:basedOn w:val="Textocomentario"/>
    <w:next w:val="Textocomentario"/>
    <w:link w:val="AsuntodelcomentarioCar"/>
    <w:rsid w:val="00D80A71"/>
    <w:rPr>
      <w:b/>
      <w:bCs/>
    </w:rPr>
  </w:style>
  <w:style w:type="character" w:customStyle="1" w:styleId="AsuntodelcomentarioCar">
    <w:name w:val="Asunto del comentario Car"/>
    <w:link w:val="Asuntodelcomentario"/>
    <w:rPr>
      <w:b/>
      <w:bCs/>
      <w:position w:val="-1"/>
      <w:lang w:eastAsia="es-ES"/>
    </w:rPr>
  </w:style>
  <w:style w:type="paragraph" w:styleId="Textodeglobo">
    <w:name w:val="Balloon Text"/>
    <w:basedOn w:val="Normal"/>
    <w:link w:val="TextodegloboCar"/>
    <w:rsid w:val="00D80A71"/>
    <w:rPr>
      <w:rFonts w:ascii="Tahoma" w:hAnsi="Tahoma" w:cs="Tahoma"/>
      <w:sz w:val="16"/>
      <w:szCs w:val="16"/>
    </w:rPr>
  </w:style>
  <w:style w:type="character" w:customStyle="1" w:styleId="TextodegloboCar">
    <w:name w:val="Texto de globo Car"/>
    <w:link w:val="Textodeglobo"/>
    <w:rPr>
      <w:rFonts w:ascii="Tahoma" w:hAnsi="Tahoma" w:cs="Tahoma"/>
      <w:position w:val="-1"/>
      <w:sz w:val="16"/>
      <w:szCs w:val="16"/>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6B51B8"/>
    <w:pPr>
      <w:spacing w:line="240" w:lineRule="auto"/>
    </w:pPr>
  </w:style>
  <w:style w:type="character" w:customStyle="1" w:styleId="TextonotapieCar">
    <w:name w:val="Texto nota pie Car"/>
    <w:basedOn w:val="Fuentedeprrafopredeter"/>
    <w:link w:val="Textonotapie"/>
    <w:uiPriority w:val="99"/>
    <w:semiHidden/>
    <w:rsid w:val="006B51B8"/>
    <w:rPr>
      <w:position w:val="-1"/>
      <w:lang w:eastAsia="es-ES"/>
    </w:rPr>
  </w:style>
  <w:style w:type="character" w:styleId="Refdenotaalpie">
    <w:name w:val="footnote reference"/>
    <w:basedOn w:val="Fuentedeprrafopredeter"/>
    <w:uiPriority w:val="99"/>
    <w:semiHidden/>
    <w:unhideWhenUsed/>
    <w:rsid w:val="006B51B8"/>
    <w:rPr>
      <w:vertAlign w:val="superscript"/>
    </w:rPr>
  </w:style>
  <w:style w:type="paragraph" w:styleId="Encabezado">
    <w:name w:val="header"/>
    <w:basedOn w:val="Normal"/>
    <w:link w:val="EncabezadoCar"/>
    <w:uiPriority w:val="99"/>
    <w:unhideWhenUsed/>
    <w:rsid w:val="00D80A7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80A71"/>
    <w:rPr>
      <w:position w:val="-1"/>
      <w:lang w:eastAsia="es-ES"/>
    </w:rPr>
  </w:style>
  <w:style w:type="paragraph" w:styleId="Piedepgina">
    <w:name w:val="footer"/>
    <w:basedOn w:val="Normal"/>
    <w:link w:val="PiedepginaCar"/>
    <w:uiPriority w:val="99"/>
    <w:unhideWhenUsed/>
    <w:rsid w:val="00D80A7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80A71"/>
    <w:rPr>
      <w:position w:val="-1"/>
      <w:lang w:eastAsia="es-ES"/>
    </w:rPr>
  </w:style>
  <w:style w:type="paragraph" w:styleId="Revisin">
    <w:name w:val="Revision"/>
    <w:hidden/>
    <w:uiPriority w:val="99"/>
    <w:semiHidden/>
    <w:rsid w:val="0029199B"/>
    <w:rPr>
      <w:position w:val="-1"/>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71"/>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2">
    <w:name w:val="Body Text 2"/>
    <w:basedOn w:val="Normal"/>
    <w:link w:val="Textoindependiente2Car"/>
    <w:rsid w:val="00D80A71"/>
    <w:pPr>
      <w:jc w:val="both"/>
    </w:pPr>
    <w:rPr>
      <w:sz w:val="28"/>
    </w:rPr>
  </w:style>
  <w:style w:type="character" w:customStyle="1" w:styleId="Textoindependiente2Car">
    <w:name w:val="Texto independiente 2 Car"/>
    <w:link w:val="Textoindependiente2"/>
    <w:rPr>
      <w:position w:val="-1"/>
      <w:sz w:val="28"/>
      <w:lang w:eastAsia="es-ES"/>
    </w:rPr>
  </w:style>
  <w:style w:type="character" w:styleId="Refdecomentario">
    <w:name w:val="annotation reference"/>
    <w:rsid w:val="00D80A71"/>
    <w:rPr>
      <w:w w:val="100"/>
      <w:position w:val="-1"/>
      <w:sz w:val="16"/>
      <w:szCs w:val="16"/>
      <w:effect w:val="none"/>
      <w:vertAlign w:val="baseline"/>
      <w:cs w:val="0"/>
      <w:em w:val="none"/>
    </w:rPr>
  </w:style>
  <w:style w:type="paragraph" w:styleId="Textocomentario">
    <w:name w:val="annotation text"/>
    <w:basedOn w:val="Normal"/>
    <w:link w:val="TextocomentarioCar"/>
    <w:rsid w:val="00D80A71"/>
  </w:style>
  <w:style w:type="character" w:customStyle="1" w:styleId="TextocomentarioCar">
    <w:name w:val="Texto comentario Car"/>
    <w:link w:val="Textocomentario"/>
    <w:rPr>
      <w:position w:val="-1"/>
      <w:lang w:eastAsia="es-ES"/>
    </w:rPr>
  </w:style>
  <w:style w:type="paragraph" w:styleId="Asuntodelcomentario">
    <w:name w:val="annotation subject"/>
    <w:basedOn w:val="Textocomentario"/>
    <w:next w:val="Textocomentario"/>
    <w:link w:val="AsuntodelcomentarioCar"/>
    <w:rsid w:val="00D80A71"/>
    <w:rPr>
      <w:b/>
      <w:bCs/>
    </w:rPr>
  </w:style>
  <w:style w:type="character" w:customStyle="1" w:styleId="AsuntodelcomentarioCar">
    <w:name w:val="Asunto del comentario Car"/>
    <w:link w:val="Asuntodelcomentario"/>
    <w:rPr>
      <w:b/>
      <w:bCs/>
      <w:position w:val="-1"/>
      <w:lang w:eastAsia="es-ES"/>
    </w:rPr>
  </w:style>
  <w:style w:type="paragraph" w:styleId="Textodeglobo">
    <w:name w:val="Balloon Text"/>
    <w:basedOn w:val="Normal"/>
    <w:link w:val="TextodegloboCar"/>
    <w:rsid w:val="00D80A71"/>
    <w:rPr>
      <w:rFonts w:ascii="Tahoma" w:hAnsi="Tahoma" w:cs="Tahoma"/>
      <w:sz w:val="16"/>
      <w:szCs w:val="16"/>
    </w:rPr>
  </w:style>
  <w:style w:type="character" w:customStyle="1" w:styleId="TextodegloboCar">
    <w:name w:val="Texto de globo Car"/>
    <w:link w:val="Textodeglobo"/>
    <w:rPr>
      <w:rFonts w:ascii="Tahoma" w:hAnsi="Tahoma" w:cs="Tahoma"/>
      <w:position w:val="-1"/>
      <w:sz w:val="16"/>
      <w:szCs w:val="16"/>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6B51B8"/>
    <w:pPr>
      <w:spacing w:line="240" w:lineRule="auto"/>
    </w:pPr>
  </w:style>
  <w:style w:type="character" w:customStyle="1" w:styleId="TextonotapieCar">
    <w:name w:val="Texto nota pie Car"/>
    <w:basedOn w:val="Fuentedeprrafopredeter"/>
    <w:link w:val="Textonotapie"/>
    <w:uiPriority w:val="99"/>
    <w:semiHidden/>
    <w:rsid w:val="006B51B8"/>
    <w:rPr>
      <w:position w:val="-1"/>
      <w:lang w:eastAsia="es-ES"/>
    </w:rPr>
  </w:style>
  <w:style w:type="character" w:styleId="Refdenotaalpie">
    <w:name w:val="footnote reference"/>
    <w:basedOn w:val="Fuentedeprrafopredeter"/>
    <w:uiPriority w:val="99"/>
    <w:semiHidden/>
    <w:unhideWhenUsed/>
    <w:rsid w:val="006B51B8"/>
    <w:rPr>
      <w:vertAlign w:val="superscript"/>
    </w:rPr>
  </w:style>
  <w:style w:type="paragraph" w:styleId="Encabezado">
    <w:name w:val="header"/>
    <w:basedOn w:val="Normal"/>
    <w:link w:val="EncabezadoCar"/>
    <w:uiPriority w:val="99"/>
    <w:unhideWhenUsed/>
    <w:rsid w:val="00D80A7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80A71"/>
    <w:rPr>
      <w:position w:val="-1"/>
      <w:lang w:eastAsia="es-ES"/>
    </w:rPr>
  </w:style>
  <w:style w:type="paragraph" w:styleId="Piedepgina">
    <w:name w:val="footer"/>
    <w:basedOn w:val="Normal"/>
    <w:link w:val="PiedepginaCar"/>
    <w:uiPriority w:val="99"/>
    <w:unhideWhenUsed/>
    <w:rsid w:val="00D80A7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80A71"/>
    <w:rPr>
      <w:position w:val="-1"/>
      <w:lang w:eastAsia="es-ES"/>
    </w:rPr>
  </w:style>
  <w:style w:type="paragraph" w:styleId="Revisin">
    <w:name w:val="Revision"/>
    <w:hidden/>
    <w:uiPriority w:val="99"/>
    <w:semiHidden/>
    <w:rsid w:val="0029199B"/>
    <w:rPr>
      <w:position w:val="-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cpZVuPOTCT0x2sRK5diVQ8+i4A==">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D429D2-90DC-4DB9-A50D-A142618F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1239</Words>
  <Characters>6819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MG</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Sabina Veronica Turbel</cp:lastModifiedBy>
  <cp:revision>17</cp:revision>
  <dcterms:created xsi:type="dcterms:W3CDTF">2020-03-19T13:32:00Z</dcterms:created>
  <dcterms:modified xsi:type="dcterms:W3CDTF">2020-03-19T15:21:00Z</dcterms:modified>
</cp:coreProperties>
</file>