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FC5C9D" w:rsidRDefault="006A29F4">
      <w:pPr>
        <w:pStyle w:val="Normal1"/>
        <w:rPr>
          <w:rFonts w:ascii="Cambria" w:eastAsia="Cambria" w:hAnsi="Cambria" w:cs="Cambria"/>
          <w:sz w:val="20"/>
          <w:szCs w:val="20"/>
        </w:rPr>
      </w:pPr>
      <w:r>
        <w:rPr>
          <w:rFonts w:ascii="Cambria" w:eastAsia="Cambria" w:hAnsi="Cambria" w:cs="Cambria"/>
          <w:b/>
          <w:sz w:val="20"/>
          <w:szCs w:val="20"/>
        </w:rPr>
        <w:t>ACTA DE COMISIÓN FISCALIZADORA</w:t>
      </w:r>
    </w:p>
    <w:p w14:paraId="00000002" w14:textId="3ED4F213" w:rsidR="00FC5C9D" w:rsidRDefault="006A29F4">
      <w:pPr>
        <w:pStyle w:val="Normal1"/>
        <w:jc w:val="both"/>
        <w:rPr>
          <w:rFonts w:ascii="Cambria" w:eastAsia="Cambria" w:hAnsi="Cambria" w:cs="Cambria"/>
          <w:sz w:val="20"/>
          <w:szCs w:val="20"/>
        </w:rPr>
      </w:pPr>
      <w:r>
        <w:rPr>
          <w:rFonts w:ascii="Cambria" w:eastAsia="Cambria" w:hAnsi="Cambria" w:cs="Cambria"/>
          <w:sz w:val="20"/>
          <w:szCs w:val="20"/>
        </w:rPr>
        <w:t xml:space="preserve">En la Ciudad de Buenos Aires, a los 7 días del mes de </w:t>
      </w:r>
      <w:r w:rsidR="00055188">
        <w:rPr>
          <w:rFonts w:ascii="Cambria" w:eastAsia="Cambria" w:hAnsi="Cambria" w:cs="Cambria"/>
          <w:sz w:val="20"/>
          <w:szCs w:val="20"/>
        </w:rPr>
        <w:t>agosto</w:t>
      </w:r>
      <w:r>
        <w:rPr>
          <w:rFonts w:ascii="Cambria" w:eastAsia="Cambria" w:hAnsi="Cambria" w:cs="Cambria"/>
          <w:sz w:val="20"/>
          <w:szCs w:val="20"/>
        </w:rPr>
        <w:t xml:space="preserve"> de 2020, se reúnen a distancia a través de la plataforma Microsoft </w:t>
      </w:r>
      <w:proofErr w:type="spellStart"/>
      <w:r>
        <w:rPr>
          <w:rFonts w:ascii="Cambria" w:eastAsia="Cambria" w:hAnsi="Cambria" w:cs="Cambria"/>
          <w:sz w:val="20"/>
          <w:szCs w:val="20"/>
        </w:rPr>
        <w:t>Teams</w:t>
      </w:r>
      <w:proofErr w:type="spellEnd"/>
      <w:r>
        <w:rPr>
          <w:rFonts w:ascii="Cambria" w:eastAsia="Cambria" w:hAnsi="Cambria" w:cs="Cambria"/>
          <w:sz w:val="20"/>
          <w:szCs w:val="20"/>
        </w:rPr>
        <w:t xml:space="preserve"> ®, de conformidad con lo que autoriza el artículo 158 del Código Civil y Comercial de la Nación y la Resolución General Nº</w:t>
      </w:r>
      <w:r w:rsidR="00925A0D">
        <w:rPr>
          <w:rFonts w:ascii="Cambria" w:eastAsia="Cambria" w:hAnsi="Cambria" w:cs="Cambria"/>
          <w:sz w:val="20"/>
          <w:szCs w:val="20"/>
        </w:rPr>
        <w:t xml:space="preserve"> </w:t>
      </w:r>
      <w:r>
        <w:rPr>
          <w:rFonts w:ascii="Cambria" w:eastAsia="Cambria" w:hAnsi="Cambria" w:cs="Cambria"/>
          <w:sz w:val="20"/>
          <w:szCs w:val="20"/>
        </w:rPr>
        <w:t xml:space="preserve">830/2020 de la Comisión Nacional de Valores (“CNV”), los miembros titulares de la Comisión Fiscalizadora, Dres. Rogelio Driollet Laspiur, María Gabriela </w:t>
      </w:r>
      <w:proofErr w:type="spellStart"/>
      <w:r>
        <w:rPr>
          <w:rFonts w:ascii="Cambria" w:eastAsia="Cambria" w:hAnsi="Cambria" w:cs="Cambria"/>
          <w:sz w:val="20"/>
          <w:szCs w:val="20"/>
        </w:rPr>
        <w:t>Grigioni</w:t>
      </w:r>
      <w:proofErr w:type="spellEnd"/>
      <w:r>
        <w:rPr>
          <w:rFonts w:ascii="Cambria" w:eastAsia="Cambria" w:hAnsi="Cambria" w:cs="Cambria"/>
          <w:sz w:val="20"/>
          <w:szCs w:val="20"/>
        </w:rPr>
        <w:t xml:space="preserve"> y Eduardo Alberto Baldi a efectos de considerar la preparación del informe a los estados contables especiales intermedios al 3</w:t>
      </w:r>
      <w:r w:rsidR="00055188">
        <w:rPr>
          <w:rFonts w:ascii="Cambria" w:eastAsia="Cambria" w:hAnsi="Cambria" w:cs="Cambria"/>
          <w:sz w:val="20"/>
          <w:szCs w:val="20"/>
        </w:rPr>
        <w:t>0</w:t>
      </w:r>
      <w:r>
        <w:rPr>
          <w:rFonts w:ascii="Cambria" w:eastAsia="Cambria" w:hAnsi="Cambria" w:cs="Cambria"/>
          <w:sz w:val="20"/>
          <w:szCs w:val="20"/>
        </w:rPr>
        <w:t xml:space="preserve"> de </w:t>
      </w:r>
      <w:r w:rsidR="00055188">
        <w:rPr>
          <w:rFonts w:ascii="Cambria" w:eastAsia="Cambria" w:hAnsi="Cambria" w:cs="Cambria"/>
          <w:sz w:val="20"/>
          <w:szCs w:val="20"/>
        </w:rPr>
        <w:t>junio</w:t>
      </w:r>
      <w:r>
        <w:rPr>
          <w:rFonts w:ascii="Cambria" w:eastAsia="Cambria" w:hAnsi="Cambria" w:cs="Cambria"/>
          <w:sz w:val="20"/>
          <w:szCs w:val="20"/>
        </w:rPr>
        <w:t xml:space="preserve"> de 2020. A dicho efecto, los miembros de la Comisión han examinado los estados contables intermedios de METROENERGÍA SOCIEDAD ANÓNIMA (en adelante, mencionada indistintamente como “METROENERGÍA S.A.” o la “Sociedad”) que comprenden el balance general al 3</w:t>
      </w:r>
      <w:r w:rsidR="00FC45D2">
        <w:rPr>
          <w:rFonts w:ascii="Cambria" w:eastAsia="Cambria" w:hAnsi="Cambria" w:cs="Cambria"/>
          <w:sz w:val="20"/>
          <w:szCs w:val="20"/>
        </w:rPr>
        <w:t>0</w:t>
      </w:r>
      <w:r>
        <w:rPr>
          <w:rFonts w:ascii="Cambria" w:eastAsia="Cambria" w:hAnsi="Cambria" w:cs="Cambria"/>
          <w:sz w:val="20"/>
          <w:szCs w:val="20"/>
        </w:rPr>
        <w:t xml:space="preserve"> de </w:t>
      </w:r>
      <w:r w:rsidR="00FC45D2">
        <w:rPr>
          <w:rFonts w:ascii="Cambria" w:eastAsia="Cambria" w:hAnsi="Cambria" w:cs="Cambria"/>
          <w:sz w:val="20"/>
          <w:szCs w:val="20"/>
        </w:rPr>
        <w:t>junio</w:t>
      </w:r>
      <w:r>
        <w:rPr>
          <w:rFonts w:ascii="Cambria" w:eastAsia="Cambria" w:hAnsi="Cambria" w:cs="Cambria"/>
          <w:sz w:val="20"/>
          <w:szCs w:val="20"/>
        </w:rPr>
        <w:t xml:space="preserve"> de 2020, el estado de resultados, el estado de evolución del patrimonio neto y el estado de flujo de efectivo por el período de seis meses finalizado en dicha fecha, así como un resumen de las políticas contables significativas y otra información explicativa incluidas en las notas 1 a 8 y los anexos B, D, E, y </w:t>
      </w:r>
      <w:r w:rsidR="00FC45D2">
        <w:rPr>
          <w:rFonts w:ascii="Cambria" w:eastAsia="Cambria" w:hAnsi="Cambria" w:cs="Cambria"/>
          <w:sz w:val="20"/>
          <w:szCs w:val="20"/>
        </w:rPr>
        <w:t>G</w:t>
      </w:r>
      <w:r>
        <w:rPr>
          <w:rFonts w:ascii="Cambria" w:eastAsia="Cambria" w:hAnsi="Cambria" w:cs="Cambria"/>
          <w:sz w:val="20"/>
          <w:szCs w:val="20"/>
        </w:rPr>
        <w:t>., los que han sido presentados por la Sociedad para su consideración.</w:t>
      </w:r>
    </w:p>
    <w:p w14:paraId="00000003" w14:textId="13D87DA0" w:rsidR="00FC5C9D" w:rsidRDefault="006A29F4">
      <w:pPr>
        <w:pStyle w:val="Normal1"/>
        <w:jc w:val="both"/>
        <w:rPr>
          <w:rFonts w:ascii="Cambria" w:eastAsia="Cambria" w:hAnsi="Cambria" w:cs="Cambria"/>
          <w:sz w:val="20"/>
          <w:szCs w:val="20"/>
        </w:rPr>
      </w:pPr>
      <w:r>
        <w:rPr>
          <w:rFonts w:ascii="Cambria" w:eastAsia="Cambria" w:hAnsi="Cambria" w:cs="Cambria"/>
          <w:sz w:val="20"/>
          <w:szCs w:val="20"/>
        </w:rPr>
        <w:t>La presente reunión se realiza a distancia en virtud del estado de emergencia sanitaria declarada por el Decreto de Necesidad y Urgencia Nro. 297/2020, y la imposición del Aislamiento Social, Preventivo y Obligatorio dispuesto por dicha norma, y prorrogado por los decretos 325/2020,  335/2020</w:t>
      </w:r>
      <w:r w:rsidR="00925A0D">
        <w:rPr>
          <w:rFonts w:ascii="Cambria" w:eastAsia="Cambria" w:hAnsi="Cambria" w:cs="Cambria"/>
          <w:sz w:val="20"/>
          <w:szCs w:val="20"/>
        </w:rPr>
        <w:t>,</w:t>
      </w:r>
      <w:r>
        <w:rPr>
          <w:rFonts w:ascii="Cambria" w:eastAsia="Cambria" w:hAnsi="Cambria" w:cs="Cambria"/>
          <w:sz w:val="20"/>
          <w:szCs w:val="20"/>
        </w:rPr>
        <w:t xml:space="preserve"> 408/2020,</w:t>
      </w:r>
      <w:r w:rsidR="00925A0D">
        <w:rPr>
          <w:rFonts w:ascii="Cambria" w:eastAsia="Cambria" w:hAnsi="Cambria" w:cs="Cambria"/>
          <w:sz w:val="20"/>
          <w:szCs w:val="20"/>
        </w:rPr>
        <w:t xml:space="preserve"> </w:t>
      </w:r>
      <w:r w:rsidR="00925A0D" w:rsidRPr="00925A0D">
        <w:rPr>
          <w:rFonts w:ascii="Cambria" w:eastAsia="Cambria" w:hAnsi="Cambria" w:cs="Cambria"/>
          <w:sz w:val="20"/>
          <w:szCs w:val="20"/>
        </w:rPr>
        <w:t>459/2020, 493/2020, 520/2020, 576/2020, 605/2020 y 642/2020 hasta el día 16 de agosto de 2020 inclusive,</w:t>
      </w:r>
      <w:r w:rsidR="00925A0D" w:rsidRPr="00925A0D">
        <w:rPr>
          <w:rFonts w:ascii="Cambria" w:eastAsia="Cambria" w:hAnsi="Cambria" w:cs="Cambria"/>
          <w:sz w:val="20"/>
          <w:szCs w:val="20"/>
          <w:lang w:val="es-AR"/>
        </w:rPr>
        <w:t xml:space="preserve"> </w:t>
      </w:r>
      <w:r>
        <w:rPr>
          <w:rFonts w:ascii="Cambria" w:eastAsia="Cambria" w:hAnsi="Cambria" w:cs="Cambria"/>
          <w:sz w:val="20"/>
          <w:szCs w:val="20"/>
        </w:rPr>
        <w:t xml:space="preserve"> mediante la utilización del sistema Microsoft </w:t>
      </w:r>
      <w:proofErr w:type="spellStart"/>
      <w:r>
        <w:rPr>
          <w:rFonts w:ascii="Cambria" w:eastAsia="Cambria" w:hAnsi="Cambria" w:cs="Cambria"/>
          <w:sz w:val="20"/>
          <w:szCs w:val="20"/>
        </w:rPr>
        <w:t>Teams</w:t>
      </w:r>
      <w:proofErr w:type="spellEnd"/>
      <w:r>
        <w:rPr>
          <w:rFonts w:ascii="Cambria" w:eastAsia="Cambria" w:hAnsi="Cambria" w:cs="Cambria"/>
          <w:sz w:val="20"/>
          <w:szCs w:val="20"/>
        </w:rPr>
        <w:t xml:space="preserve"> ®, que permite a) la posibilidad de participar de la reunión a distancia mediante la transmisión de audio y video en forma simultánea, b) la libre accesibilidad de todos los participantes a la reunión; y c) la participación con voz y voto de todos los participantes. </w:t>
      </w:r>
      <w:r w:rsidR="00925A0D">
        <w:rPr>
          <w:rFonts w:ascii="Cambria" w:eastAsia="Cambria" w:hAnsi="Cambria" w:cs="Cambria"/>
          <w:sz w:val="20"/>
          <w:szCs w:val="20"/>
        </w:rPr>
        <w:t>Asimismo,</w:t>
      </w:r>
      <w:r>
        <w:rPr>
          <w:rFonts w:ascii="Cambria" w:eastAsia="Cambria" w:hAnsi="Cambria" w:cs="Cambria"/>
          <w:sz w:val="20"/>
          <w:szCs w:val="20"/>
        </w:rPr>
        <w:t xml:space="preserve"> se deja constancia que se ha constatado el cumplimiento de todos los requisitos mencionados por la Resolución General</w:t>
      </w:r>
      <w:r w:rsidR="00925A0D">
        <w:rPr>
          <w:rFonts w:ascii="Cambria" w:eastAsia="Cambria" w:hAnsi="Cambria" w:cs="Cambria"/>
          <w:sz w:val="20"/>
          <w:szCs w:val="20"/>
        </w:rPr>
        <w:t xml:space="preserve"> Nº</w:t>
      </w:r>
      <w:r>
        <w:rPr>
          <w:rFonts w:ascii="Cambria" w:eastAsia="Cambria" w:hAnsi="Cambria" w:cs="Cambria"/>
          <w:sz w:val="20"/>
          <w:szCs w:val="20"/>
        </w:rPr>
        <w:t xml:space="preserve"> 830/2020 de la CNV y </w:t>
      </w:r>
      <w:r w:rsidR="00CC5578">
        <w:rPr>
          <w:rFonts w:ascii="Cambria" w:eastAsia="Cambria" w:hAnsi="Cambria" w:cs="Cambria"/>
          <w:sz w:val="20"/>
          <w:szCs w:val="20"/>
        </w:rPr>
        <w:t>que</w:t>
      </w:r>
      <w:r>
        <w:rPr>
          <w:rFonts w:ascii="Cambria" w:eastAsia="Cambria" w:hAnsi="Cambria" w:cs="Cambria"/>
          <w:sz w:val="20"/>
          <w:szCs w:val="20"/>
        </w:rPr>
        <w:t xml:space="preserve"> el acta será transcripta en el correspondiente libro social y firmada por los miembros aquí presentes cuando finalice el aislamiento social preventivo y obligatorio.</w:t>
      </w:r>
    </w:p>
    <w:p w14:paraId="00000004" w14:textId="2974EF72" w:rsidR="00FC5C9D" w:rsidRDefault="006A29F4">
      <w:pPr>
        <w:pStyle w:val="Normal1"/>
        <w:jc w:val="both"/>
        <w:rPr>
          <w:rFonts w:ascii="Cambria" w:eastAsia="Cambria" w:hAnsi="Cambria" w:cs="Cambria"/>
          <w:sz w:val="20"/>
          <w:szCs w:val="20"/>
        </w:rPr>
      </w:pPr>
      <w:r>
        <w:rPr>
          <w:rFonts w:ascii="Cambria" w:eastAsia="Cambria" w:hAnsi="Cambria" w:cs="Cambria"/>
          <w:sz w:val="20"/>
          <w:szCs w:val="20"/>
        </w:rPr>
        <w:t xml:space="preserve">Siendo la hora </w:t>
      </w:r>
      <w:r w:rsidR="00AD6100">
        <w:rPr>
          <w:rFonts w:ascii="Cambria" w:eastAsia="Cambria" w:hAnsi="Cambria" w:cs="Cambria"/>
          <w:sz w:val="20"/>
          <w:szCs w:val="20"/>
        </w:rPr>
        <w:t>[</w:t>
      </w:r>
      <w:r>
        <w:rPr>
          <w:rFonts w:ascii="Cambria" w:eastAsia="Cambria" w:hAnsi="Cambria" w:cs="Cambria"/>
          <w:sz w:val="20"/>
          <w:szCs w:val="20"/>
        </w:rPr>
        <w:t>9.00</w:t>
      </w:r>
      <w:r w:rsidR="00AD6100">
        <w:rPr>
          <w:rFonts w:ascii="Cambria" w:eastAsia="Cambria" w:hAnsi="Cambria" w:cs="Cambria"/>
          <w:sz w:val="20"/>
          <w:szCs w:val="20"/>
        </w:rPr>
        <w:t>]</w:t>
      </w:r>
      <w:r>
        <w:rPr>
          <w:rFonts w:ascii="Cambria" w:eastAsia="Cambria" w:hAnsi="Cambria" w:cs="Cambria"/>
          <w:sz w:val="20"/>
          <w:szCs w:val="20"/>
        </w:rPr>
        <w:t xml:space="preserve"> el Señor Presidente de la Comisión Fiscalizadora, Dr. Eduardo </w:t>
      </w:r>
      <w:proofErr w:type="spellStart"/>
      <w:r>
        <w:rPr>
          <w:rFonts w:ascii="Cambria" w:eastAsia="Cambria" w:hAnsi="Cambria" w:cs="Cambria"/>
          <w:sz w:val="20"/>
          <w:szCs w:val="20"/>
        </w:rPr>
        <w:t>Baldi,</w:t>
      </w:r>
      <w:proofErr w:type="spellEnd"/>
      <w:r>
        <w:rPr>
          <w:rFonts w:ascii="Cambria" w:eastAsia="Cambria" w:hAnsi="Cambria" w:cs="Cambria"/>
          <w:sz w:val="20"/>
          <w:szCs w:val="20"/>
        </w:rPr>
        <w:t xml:space="preserve"> da por abierto el acto e invita a los miembros de la Comisión –que han trabajado junto a él en el análisis de la documentación mencionada- a avocarse a la preparación de los informes correspondientes.</w:t>
      </w:r>
    </w:p>
    <w:p w14:paraId="00000005" w14:textId="0D837DDC" w:rsidR="00FC5C9D" w:rsidRDefault="006A29F4">
      <w:pPr>
        <w:pStyle w:val="Normal1"/>
        <w:jc w:val="both"/>
        <w:rPr>
          <w:rFonts w:ascii="Cambria" w:eastAsia="Cambria" w:hAnsi="Cambria" w:cs="Cambria"/>
          <w:sz w:val="20"/>
          <w:szCs w:val="20"/>
        </w:rPr>
      </w:pPr>
      <w:r>
        <w:rPr>
          <w:rFonts w:ascii="Cambria" w:eastAsia="Cambria" w:hAnsi="Cambria" w:cs="Cambria"/>
          <w:sz w:val="20"/>
          <w:szCs w:val="20"/>
        </w:rPr>
        <w:t xml:space="preserve">A tal efecto se deja constancia que se ha efectuado una revisión del trabajo realizado por los auditores externos de </w:t>
      </w:r>
      <w:proofErr w:type="spellStart"/>
      <w:r>
        <w:rPr>
          <w:rFonts w:ascii="Cambria" w:eastAsia="Cambria" w:hAnsi="Cambria" w:cs="Cambria"/>
          <w:sz w:val="20"/>
          <w:szCs w:val="20"/>
        </w:rPr>
        <w:t>MetroENERGIA</w:t>
      </w:r>
      <w:proofErr w:type="spellEnd"/>
      <w:r>
        <w:rPr>
          <w:rFonts w:ascii="Cambria" w:eastAsia="Cambria" w:hAnsi="Cambria" w:cs="Cambria"/>
          <w:sz w:val="20"/>
          <w:szCs w:val="20"/>
        </w:rPr>
        <w:t xml:space="preserve">, Deloitte &amp; Co S.A., quienes emitieron el informe de auditoría sobre los Estados Contables el 7 de </w:t>
      </w:r>
      <w:r w:rsidR="00C80A16">
        <w:rPr>
          <w:rFonts w:ascii="Cambria" w:eastAsia="Cambria" w:hAnsi="Cambria" w:cs="Cambria"/>
          <w:sz w:val="20"/>
          <w:szCs w:val="20"/>
        </w:rPr>
        <w:t>agosto</w:t>
      </w:r>
      <w:r>
        <w:rPr>
          <w:rFonts w:ascii="Cambria" w:eastAsia="Cambria" w:hAnsi="Cambria" w:cs="Cambria"/>
          <w:sz w:val="20"/>
          <w:szCs w:val="20"/>
        </w:rPr>
        <w:t xml:space="preserve"> de 2020 que han sido presentados por la Sociedad para nuestra consideración. </w:t>
      </w:r>
    </w:p>
    <w:p w14:paraId="00000006" w14:textId="77777777" w:rsidR="00FC5C9D" w:rsidRDefault="006A29F4">
      <w:pPr>
        <w:pStyle w:val="Normal1"/>
        <w:jc w:val="both"/>
        <w:rPr>
          <w:rFonts w:ascii="Cambria" w:eastAsia="Cambria" w:hAnsi="Cambria" w:cs="Cambria"/>
          <w:sz w:val="20"/>
          <w:szCs w:val="20"/>
        </w:rPr>
      </w:pPr>
      <w:r>
        <w:rPr>
          <w:rFonts w:ascii="Cambria" w:eastAsia="Cambria" w:hAnsi="Cambria" w:cs="Cambria"/>
          <w:sz w:val="20"/>
          <w:szCs w:val="20"/>
        </w:rPr>
        <w:t>Luego de un prolongado intercambio de ideas y de trabajo conjunto, la Comisión Fiscalizadora, por unanimidad, aprueba el informe bajo el siguiente texto:</w:t>
      </w:r>
    </w:p>
    <w:p w14:paraId="0000000C" w14:textId="77777777" w:rsidR="00FC5C9D" w:rsidRDefault="00FC5C9D">
      <w:pPr>
        <w:pStyle w:val="Normal1"/>
        <w:spacing w:after="0" w:line="240" w:lineRule="auto"/>
        <w:rPr>
          <w:rFonts w:ascii="Times New Roman" w:eastAsia="Times New Roman" w:hAnsi="Times New Roman" w:cs="Times New Roman"/>
          <w:sz w:val="20"/>
          <w:szCs w:val="20"/>
        </w:rPr>
      </w:pPr>
    </w:p>
    <w:p w14:paraId="7EA85F8D" w14:textId="77777777" w:rsidR="00403B8F" w:rsidRPr="002B22E6" w:rsidRDefault="00403B8F" w:rsidP="00403B8F">
      <w:pPr>
        <w:keepNext/>
        <w:jc w:val="both"/>
        <w:outlineLvl w:val="0"/>
        <w:rPr>
          <w:b/>
        </w:rPr>
      </w:pPr>
      <w:r w:rsidRPr="002B22E6">
        <w:rPr>
          <w:b/>
        </w:rPr>
        <w:t>INFORME DE LA COMISIÓN FISCALIZADORA</w:t>
      </w:r>
    </w:p>
    <w:p w14:paraId="1C6696B7" w14:textId="77777777" w:rsidR="00403B8F" w:rsidRDefault="00403B8F" w:rsidP="00403B8F">
      <w:pPr>
        <w:tabs>
          <w:tab w:val="left" w:pos="-720"/>
          <w:tab w:val="left" w:pos="0"/>
          <w:tab w:val="left" w:pos="487"/>
        </w:tabs>
        <w:jc w:val="both"/>
        <w:rPr>
          <w:spacing w:val="-3"/>
        </w:rPr>
      </w:pPr>
    </w:p>
    <w:p w14:paraId="26B0B2F0" w14:textId="77777777" w:rsidR="00403B8F" w:rsidRPr="002B22E6" w:rsidRDefault="00403B8F" w:rsidP="00403B8F">
      <w:pPr>
        <w:tabs>
          <w:tab w:val="left" w:pos="-720"/>
          <w:tab w:val="left" w:pos="0"/>
          <w:tab w:val="left" w:pos="487"/>
        </w:tabs>
        <w:jc w:val="both"/>
        <w:rPr>
          <w:spacing w:val="-3"/>
        </w:rPr>
      </w:pPr>
      <w:r w:rsidRPr="002B22E6">
        <w:rPr>
          <w:spacing w:val="-3"/>
        </w:rPr>
        <w:t>A los Señores Accionistas de</w:t>
      </w:r>
    </w:p>
    <w:p w14:paraId="63CD6D76" w14:textId="77777777" w:rsidR="00403B8F" w:rsidRPr="002B22E6" w:rsidRDefault="00403B8F" w:rsidP="00403B8F">
      <w:pPr>
        <w:tabs>
          <w:tab w:val="left" w:pos="-720"/>
          <w:tab w:val="left" w:pos="0"/>
          <w:tab w:val="left" w:pos="487"/>
        </w:tabs>
        <w:jc w:val="both"/>
        <w:rPr>
          <w:spacing w:val="-3"/>
        </w:rPr>
      </w:pPr>
      <w:proofErr w:type="spellStart"/>
      <w:r w:rsidRPr="002B22E6">
        <w:t>MetroENERGÍA</w:t>
      </w:r>
      <w:proofErr w:type="spellEnd"/>
      <w:r w:rsidRPr="002B22E6">
        <w:rPr>
          <w:spacing w:val="-3"/>
        </w:rPr>
        <w:t xml:space="preserve"> S.A.</w:t>
      </w:r>
    </w:p>
    <w:p w14:paraId="5AED449F" w14:textId="77777777" w:rsidR="00403B8F" w:rsidRPr="002B22E6" w:rsidRDefault="00403B8F" w:rsidP="00403B8F">
      <w:pPr>
        <w:tabs>
          <w:tab w:val="left" w:pos="-720"/>
          <w:tab w:val="left" w:pos="0"/>
          <w:tab w:val="left" w:pos="487"/>
        </w:tabs>
        <w:jc w:val="both"/>
      </w:pPr>
    </w:p>
    <w:p w14:paraId="5B6E7229" w14:textId="77777777" w:rsidR="00403B8F" w:rsidRPr="002B22E6" w:rsidRDefault="00403B8F" w:rsidP="00403B8F">
      <w:pPr>
        <w:numPr>
          <w:ilvl w:val="0"/>
          <w:numId w:val="2"/>
        </w:numPr>
        <w:tabs>
          <w:tab w:val="left" w:pos="-720"/>
        </w:tabs>
        <w:spacing w:after="0" w:line="240" w:lineRule="auto"/>
        <w:jc w:val="both"/>
      </w:pPr>
      <w:r w:rsidRPr="002B22E6">
        <w:t xml:space="preserve">Por medio del presente cumplimos en informar que hemos efectuado una revisión limitada de </w:t>
      </w:r>
      <w:r w:rsidRPr="001A7D39">
        <w:t xml:space="preserve">los estados contables especiales intermedios </w:t>
      </w:r>
      <w:r w:rsidRPr="002B22E6">
        <w:t xml:space="preserve">de </w:t>
      </w:r>
      <w:proofErr w:type="spellStart"/>
      <w:r w:rsidRPr="002B22E6">
        <w:t>MetroENERGÍA</w:t>
      </w:r>
      <w:proofErr w:type="spellEnd"/>
      <w:r w:rsidRPr="002B22E6">
        <w:t xml:space="preserve"> S.A. (“</w:t>
      </w:r>
      <w:proofErr w:type="spellStart"/>
      <w:r w:rsidRPr="002B22E6">
        <w:t>MetroENERGÍA</w:t>
      </w:r>
      <w:proofErr w:type="spellEnd"/>
      <w:r w:rsidRPr="002B22E6">
        <w:t xml:space="preserve">” o la “Sociedad”) </w:t>
      </w:r>
      <w:r w:rsidRPr="00E6569F">
        <w:rPr>
          <w:spacing w:val="-3"/>
        </w:rPr>
        <w:t>que comprenden el balance especial al 30 de junio de 2020, el estado de resultados, el estado de evolución del patrimonio neto y el estado de flujo de efectivo por el período de seis meses finalizado en dicha fecha,</w:t>
      </w:r>
      <w:r>
        <w:rPr>
          <w:spacing w:val="-3"/>
        </w:rPr>
        <w:t xml:space="preserve"> </w:t>
      </w:r>
      <w:r w:rsidRPr="00E6569F">
        <w:rPr>
          <w:spacing w:val="-3"/>
        </w:rPr>
        <w:t xml:space="preserve"> así como un resumen de las políticas contables significativas y otra información explicativa incluidas en las notas 1 a 8 y los anexos B, D, E, G y </w:t>
      </w:r>
      <w:r>
        <w:rPr>
          <w:spacing w:val="-3"/>
        </w:rPr>
        <w:t xml:space="preserve">H </w:t>
      </w:r>
      <w:r w:rsidRPr="002B22E6">
        <w:t>que los complementan, lo que ha sido presentado por la Sociedad para nuestra consideración. La preparación y emisión de los mencionados estados contables es responsabilidad del Directorio de la Sociedad</w:t>
      </w:r>
      <w:r w:rsidRPr="002B22E6">
        <w:rPr>
          <w:spacing w:val="-3"/>
        </w:rPr>
        <w:t xml:space="preserve">. </w:t>
      </w:r>
    </w:p>
    <w:p w14:paraId="371E6609" w14:textId="77777777" w:rsidR="00403B8F" w:rsidRPr="002B22E6" w:rsidRDefault="00403B8F" w:rsidP="00403B8F">
      <w:pPr>
        <w:tabs>
          <w:tab w:val="left" w:pos="-720"/>
          <w:tab w:val="left" w:pos="0"/>
          <w:tab w:val="left" w:pos="487"/>
        </w:tabs>
        <w:jc w:val="both"/>
      </w:pPr>
    </w:p>
    <w:p w14:paraId="243D4AA0" w14:textId="77777777" w:rsidR="00403B8F" w:rsidRPr="002B22E6" w:rsidRDefault="00403B8F" w:rsidP="00403B8F">
      <w:pPr>
        <w:numPr>
          <w:ilvl w:val="0"/>
          <w:numId w:val="2"/>
        </w:numPr>
        <w:tabs>
          <w:tab w:val="left" w:pos="-720"/>
          <w:tab w:val="left" w:pos="0"/>
          <w:tab w:val="left" w:pos="487"/>
        </w:tabs>
        <w:spacing w:after="0" w:line="240" w:lineRule="auto"/>
        <w:jc w:val="both"/>
        <w:rPr>
          <w:spacing w:val="-3"/>
        </w:rPr>
      </w:pPr>
      <w:r w:rsidRPr="002B22E6">
        <w:t xml:space="preserve">Nuestro trabajo fue practicado de acuerdo con las normas de sindicatura. Dichas normas requieren una verificación de la congruencia de los documentos revisados con la información sobre las decisiones societarias expuestas en actas, y la adecuación de dichas decisiones a la ley y a los estatutos en lo relativo a sus aspectos formales y documentales. Para realizar nuestra tarea profesional, hemos efectuado una revisión del trabajo efectuado por los auditores externos de </w:t>
      </w:r>
      <w:proofErr w:type="spellStart"/>
      <w:r w:rsidRPr="002B22E6">
        <w:t>MetroENERGÍA</w:t>
      </w:r>
      <w:proofErr w:type="spellEnd"/>
      <w:r w:rsidRPr="002B22E6">
        <w:t xml:space="preserve">, </w:t>
      </w:r>
      <w:r w:rsidRPr="00500F55">
        <w:t>Deloitte &amp; Co. S.A.</w:t>
      </w:r>
      <w:r w:rsidRPr="002B22E6">
        <w:t xml:space="preserve">, quienes emitieron su informe de revisión limitada con fecha </w:t>
      </w:r>
      <w:r>
        <w:t xml:space="preserve">7 </w:t>
      </w:r>
      <w:r>
        <w:lastRenderedPageBreak/>
        <w:t>de agosto de 2020</w:t>
      </w:r>
      <w:r w:rsidRPr="002B22E6">
        <w:t xml:space="preserve"> de acuerdo con las normas de auditoría vigentes para la revisión limitada de estados contables de períodos intermedios. Una revisión limitada consiste principalmente en aplicar procedimientos analíticos a la información contable y en efectuar indagaciones a los responsables de las cuestiones contables y financieras. El alcance de dicha revisión es sustancialmente menor al de una auditoría de estados contables, cuyo objetivo es la expresión de una opinión sobre los estados contables tomados en conjunto. Por lo tanto, no han expresado tal opinión. No hemos evaluado los criterios empresarios de administración, comercialización ni producción, dado que ellos son de </w:t>
      </w:r>
      <w:r w:rsidRPr="002B22E6">
        <w:rPr>
          <w:spacing w:val="-3"/>
        </w:rPr>
        <w:t>responsabilidad exclusiva del Directorio.</w:t>
      </w:r>
    </w:p>
    <w:p w14:paraId="5E64B06B" w14:textId="77777777" w:rsidR="00403B8F" w:rsidRPr="002B22E6" w:rsidRDefault="00403B8F" w:rsidP="00403B8F">
      <w:pPr>
        <w:tabs>
          <w:tab w:val="left" w:pos="-720"/>
          <w:tab w:val="left" w:pos="0"/>
          <w:tab w:val="left" w:pos="487"/>
        </w:tabs>
        <w:jc w:val="both"/>
      </w:pPr>
    </w:p>
    <w:p w14:paraId="57D0DFF9" w14:textId="77777777" w:rsidR="00403B8F" w:rsidRPr="002B22E6" w:rsidRDefault="00403B8F" w:rsidP="00403B8F">
      <w:pPr>
        <w:numPr>
          <w:ilvl w:val="0"/>
          <w:numId w:val="2"/>
        </w:numPr>
        <w:tabs>
          <w:tab w:val="left" w:pos="-720"/>
          <w:tab w:val="left" w:pos="0"/>
          <w:tab w:val="left" w:pos="487"/>
        </w:tabs>
        <w:spacing w:after="0" w:line="240" w:lineRule="auto"/>
        <w:jc w:val="both"/>
      </w:pPr>
      <w:r w:rsidRPr="002B22E6">
        <w:t xml:space="preserve">Hemos verificado que los directores a la fecha de cierre de los presentes estados contables han constituido la garantía prevista el </w:t>
      </w:r>
      <w:r>
        <w:t>a</w:t>
      </w:r>
      <w:r w:rsidRPr="002B22E6">
        <w:t>rt</w:t>
      </w:r>
      <w:r>
        <w:t>ículo</w:t>
      </w:r>
      <w:r w:rsidRPr="002B22E6">
        <w:t>. 256 de la Ley General de Sociedades</w:t>
      </w:r>
      <w:r>
        <w:t xml:space="preserve"> </w:t>
      </w:r>
      <w:proofErr w:type="spellStart"/>
      <w:r w:rsidRPr="00247BF0">
        <w:t>Nº</w:t>
      </w:r>
      <w:proofErr w:type="spellEnd"/>
      <w:r w:rsidRPr="00247BF0">
        <w:t xml:space="preserve"> 19.550 y sus modificatorias (“Ley General de Sociedades”)</w:t>
      </w:r>
      <w:r w:rsidRPr="002B22E6">
        <w:t>.</w:t>
      </w:r>
    </w:p>
    <w:p w14:paraId="032D2AE7" w14:textId="77777777" w:rsidR="00403B8F" w:rsidRPr="002B22E6" w:rsidRDefault="00403B8F" w:rsidP="00403B8F">
      <w:pPr>
        <w:tabs>
          <w:tab w:val="left" w:pos="-720"/>
        </w:tabs>
        <w:jc w:val="both"/>
      </w:pPr>
    </w:p>
    <w:p w14:paraId="76D3926B" w14:textId="77777777" w:rsidR="00403B8F" w:rsidRDefault="00403B8F" w:rsidP="00403B8F">
      <w:pPr>
        <w:numPr>
          <w:ilvl w:val="0"/>
          <w:numId w:val="2"/>
        </w:numPr>
        <w:tabs>
          <w:tab w:val="left" w:pos="-720"/>
        </w:tabs>
        <w:spacing w:after="0" w:line="240" w:lineRule="auto"/>
        <w:jc w:val="both"/>
      </w:pPr>
      <w:r w:rsidRPr="002B22E6">
        <w:t xml:space="preserve">En base a nuestra revisión, con el alcance descripto en los puntos anteriores, informamos que no hemos tomado conocimiento de ninguna modificación importante que deba hacerse a los estados contables de </w:t>
      </w:r>
      <w:proofErr w:type="spellStart"/>
      <w:r w:rsidRPr="002B22E6">
        <w:t>MetroENERGÍA</w:t>
      </w:r>
      <w:proofErr w:type="spellEnd"/>
      <w:r w:rsidRPr="002B22E6">
        <w:t xml:space="preserve"> al </w:t>
      </w:r>
      <w:r>
        <w:t>30 de junio de 2020</w:t>
      </w:r>
      <w:r w:rsidRPr="002B22E6">
        <w:t xml:space="preserve"> para que los mismos estén presentados de conformidad con las normas aplicables. La información comparativa incluida </w:t>
      </w:r>
      <w:r>
        <w:t xml:space="preserve">en </w:t>
      </w:r>
      <w:r w:rsidRPr="009B025B">
        <w:t>los estados contables especiales adjuntos</w:t>
      </w:r>
      <w:r>
        <w:t xml:space="preserve"> </w:t>
      </w:r>
      <w:r w:rsidRPr="002B22E6">
        <w:t>y en las notas y anexos complementarios</w:t>
      </w:r>
      <w:r>
        <w:t>,</w:t>
      </w:r>
      <w:r w:rsidRPr="002B22E6">
        <w:t xml:space="preserve"> se deriva de los estados contables de </w:t>
      </w:r>
      <w:proofErr w:type="spellStart"/>
      <w:r w:rsidRPr="002B22E6">
        <w:t>MetroENERGÍA</w:t>
      </w:r>
      <w:proofErr w:type="spellEnd"/>
      <w:r w:rsidRPr="002B22E6">
        <w:t xml:space="preserve"> al 3</w:t>
      </w:r>
      <w:r>
        <w:t>0</w:t>
      </w:r>
      <w:r w:rsidRPr="002B22E6">
        <w:t xml:space="preserve"> de</w:t>
      </w:r>
      <w:r>
        <w:t xml:space="preserve"> junio de 2019 y al 31 de diciembre de 2019, según corresponda,</w:t>
      </w:r>
      <w:r w:rsidRPr="009B025B">
        <w:t xml:space="preserve"> </w:t>
      </w:r>
      <w:proofErr w:type="spellStart"/>
      <w:r w:rsidRPr="009B025B">
        <w:t>reexpresado</w:t>
      </w:r>
      <w:r>
        <w:t>s</w:t>
      </w:r>
      <w:proofErr w:type="spellEnd"/>
      <w:r w:rsidRPr="009B025B">
        <w:t xml:space="preserve"> en moneda de </w:t>
      </w:r>
      <w:r>
        <w:t>junio de 2020,</w:t>
      </w:r>
      <w:r w:rsidRPr="009B025B">
        <w:t xml:space="preserve"> </w:t>
      </w:r>
      <w:proofErr w:type="gramStart"/>
      <w:r w:rsidRPr="009B025B">
        <w:t>de acuerdo a</w:t>
      </w:r>
      <w:proofErr w:type="gramEnd"/>
      <w:r w:rsidRPr="009B025B">
        <w:t xml:space="preserve"> lo señalado en la Nota 4.</w:t>
      </w:r>
      <w:r>
        <w:t>1</w:t>
      </w:r>
      <w:r w:rsidRPr="009B025B">
        <w:t xml:space="preserve"> </w:t>
      </w:r>
      <w:r>
        <w:t>de dichos estados contables</w:t>
      </w:r>
      <w:r w:rsidRPr="002B22E6">
        <w:t>.</w:t>
      </w:r>
    </w:p>
    <w:p w14:paraId="2DA4FD0C" w14:textId="77777777" w:rsidR="00403B8F" w:rsidRDefault="00403B8F" w:rsidP="00403B8F">
      <w:pPr>
        <w:pStyle w:val="Prrafodelista"/>
      </w:pPr>
    </w:p>
    <w:p w14:paraId="2D8C8E9A" w14:textId="77777777" w:rsidR="00403B8F" w:rsidRDefault="00403B8F" w:rsidP="00403B8F">
      <w:pPr>
        <w:pStyle w:val="Prrafodelista"/>
        <w:numPr>
          <w:ilvl w:val="0"/>
          <w:numId w:val="2"/>
        </w:numPr>
      </w:pPr>
      <w:proofErr w:type="gramStart"/>
      <w:r w:rsidRPr="00247BF0">
        <w:t>Informamos</w:t>
      </w:r>
      <w:proofErr w:type="gramEnd"/>
      <w:r w:rsidRPr="00247BF0">
        <w:t xml:space="preserve"> además, en cumplimiento de disposiciones legales vigentes, que los estados contables de la Sociedad adjuntos se encuentran asentados en el libro de Inventarios y Balances y surgen de los registros llevados, en sus aspectos formales, de conformidad con las disposiciones legales vigentes.</w:t>
      </w:r>
    </w:p>
    <w:p w14:paraId="04476A3D" w14:textId="77777777" w:rsidR="00403B8F" w:rsidRDefault="00403B8F" w:rsidP="00403B8F">
      <w:pPr>
        <w:pStyle w:val="Prrafodelista"/>
      </w:pPr>
    </w:p>
    <w:p w14:paraId="42C353CB" w14:textId="77777777" w:rsidR="00403B8F" w:rsidRDefault="00403B8F" w:rsidP="00403B8F">
      <w:pPr>
        <w:pStyle w:val="Prrafodelista"/>
        <w:numPr>
          <w:ilvl w:val="0"/>
          <w:numId w:val="2"/>
        </w:numPr>
        <w:jc w:val="both"/>
      </w:pPr>
      <w:r w:rsidRPr="00650322">
        <w:t xml:space="preserve">Sin modificar nuestra </w:t>
      </w:r>
      <w:r>
        <w:t>opinión</w:t>
      </w:r>
      <w:r w:rsidRPr="00650322">
        <w:t xml:space="preserve">, queremos enfatizar la información contenida en la </w:t>
      </w:r>
      <w:r>
        <w:t>N</w:t>
      </w:r>
      <w:r w:rsidRPr="00650322">
        <w:t>ota 4.2 a los estados contables especiales adjuntos, que describe los efectos negativos que la pandemia de COVID-19 ha tenido y se espera que siga teniendo en los próximos meses sobre las actividades operativas y financieras de la Sociedad.</w:t>
      </w:r>
    </w:p>
    <w:p w14:paraId="5A725DF9" w14:textId="77777777" w:rsidR="00403B8F" w:rsidRDefault="00403B8F" w:rsidP="00403B8F">
      <w:pPr>
        <w:pStyle w:val="Prrafodelista"/>
      </w:pPr>
    </w:p>
    <w:p w14:paraId="708C0161" w14:textId="77777777" w:rsidR="00403B8F" w:rsidRPr="002B22E6" w:rsidRDefault="00403B8F" w:rsidP="00403B8F">
      <w:pPr>
        <w:numPr>
          <w:ilvl w:val="0"/>
          <w:numId w:val="2"/>
        </w:numPr>
        <w:tabs>
          <w:tab w:val="left" w:pos="-720"/>
        </w:tabs>
        <w:spacing w:after="0" w:line="240" w:lineRule="auto"/>
        <w:jc w:val="both"/>
      </w:pPr>
      <w:r w:rsidRPr="002B22E6">
        <w:t>Se ha dado cumplimiento, en lo pertinente, a lo dispuesto por el artículo 294 de la Ley General de Sociedades.</w:t>
      </w:r>
    </w:p>
    <w:p w14:paraId="461DE3F8" w14:textId="77777777" w:rsidR="00403B8F" w:rsidRPr="002B22E6" w:rsidRDefault="00403B8F" w:rsidP="00403B8F">
      <w:pPr>
        <w:tabs>
          <w:tab w:val="left" w:pos="-720"/>
          <w:tab w:val="left" w:pos="0"/>
          <w:tab w:val="left" w:pos="487"/>
        </w:tabs>
        <w:jc w:val="both"/>
      </w:pPr>
    </w:p>
    <w:p w14:paraId="03BF7325" w14:textId="77777777" w:rsidR="00403B8F" w:rsidRPr="002B22E6" w:rsidRDefault="00403B8F" w:rsidP="00403B8F">
      <w:pPr>
        <w:tabs>
          <w:tab w:val="left" w:pos="-720"/>
          <w:tab w:val="left" w:pos="0"/>
          <w:tab w:val="left" w:pos="487"/>
        </w:tabs>
        <w:jc w:val="both"/>
        <w:rPr>
          <w:b/>
        </w:rPr>
      </w:pPr>
      <w:r w:rsidRPr="002B22E6">
        <w:t xml:space="preserve">Ciudad Autónoma de Buenos Aires, </w:t>
      </w:r>
      <w:r>
        <w:t>7 de agosto de 2020</w:t>
      </w:r>
      <w:r w:rsidRPr="002B22E6">
        <w:rPr>
          <w:spacing w:val="-3"/>
        </w:rPr>
        <w:t>.</w:t>
      </w:r>
    </w:p>
    <w:p w14:paraId="62B101F2" w14:textId="77777777" w:rsidR="00403B8F" w:rsidRPr="002B22E6" w:rsidRDefault="00403B8F" w:rsidP="00403B8F">
      <w:pPr>
        <w:tabs>
          <w:tab w:val="left" w:pos="-720"/>
          <w:tab w:val="left" w:pos="0"/>
          <w:tab w:val="left" w:pos="487"/>
        </w:tabs>
        <w:jc w:val="both"/>
      </w:pPr>
    </w:p>
    <w:p w14:paraId="3BA480E6" w14:textId="77777777" w:rsidR="00403B8F" w:rsidRDefault="00403B8F" w:rsidP="00403B8F">
      <w:pPr>
        <w:tabs>
          <w:tab w:val="left" w:pos="-720"/>
          <w:tab w:val="left" w:pos="0"/>
          <w:tab w:val="left" w:pos="487"/>
        </w:tabs>
        <w:jc w:val="both"/>
      </w:pPr>
      <w:r w:rsidRPr="002B22E6">
        <w:t>Por Comisión Fiscalizadora.</w:t>
      </w:r>
    </w:p>
    <w:p w14:paraId="30F1C52F" w14:textId="77777777" w:rsidR="00403B8F" w:rsidRDefault="00403B8F" w:rsidP="00403B8F">
      <w:pPr>
        <w:tabs>
          <w:tab w:val="left" w:pos="-720"/>
          <w:tab w:val="left" w:pos="0"/>
          <w:tab w:val="left" w:pos="487"/>
        </w:tabs>
        <w:jc w:val="both"/>
      </w:pPr>
    </w:p>
    <w:p w14:paraId="00000022" w14:textId="76FBA243" w:rsidR="00FC5C9D" w:rsidRPr="00A62E07" w:rsidRDefault="00FC5C9D">
      <w:pPr>
        <w:pStyle w:val="Normal1"/>
        <w:widowControl w:val="0"/>
        <w:tabs>
          <w:tab w:val="left" w:pos="-720"/>
        </w:tabs>
        <w:spacing w:after="0" w:line="240" w:lineRule="auto"/>
        <w:jc w:val="both"/>
        <w:rPr>
          <w:rFonts w:asciiTheme="minorHAnsi" w:eastAsia="Times New Roman" w:hAnsiTheme="minorHAnsi" w:cs="Times New Roman"/>
          <w:sz w:val="20"/>
          <w:szCs w:val="20"/>
        </w:rPr>
      </w:pPr>
      <w:bookmarkStart w:id="0" w:name="_GoBack"/>
      <w:bookmarkEnd w:id="0"/>
    </w:p>
    <w:p w14:paraId="2E8CDBDA" w14:textId="23F2F7B2" w:rsidR="00122A73" w:rsidRPr="00A62E07" w:rsidRDefault="00122A73">
      <w:pPr>
        <w:pStyle w:val="Normal1"/>
        <w:widowControl w:val="0"/>
        <w:tabs>
          <w:tab w:val="left" w:pos="-720"/>
        </w:tabs>
        <w:spacing w:after="0" w:line="240" w:lineRule="auto"/>
        <w:jc w:val="both"/>
        <w:rPr>
          <w:rFonts w:asciiTheme="minorHAnsi" w:eastAsia="Times New Roman" w:hAnsiTheme="minorHAnsi" w:cs="Times New Roman"/>
          <w:sz w:val="20"/>
          <w:szCs w:val="20"/>
        </w:rPr>
      </w:pPr>
      <w:r w:rsidRPr="00A62E07">
        <w:rPr>
          <w:rFonts w:asciiTheme="minorHAnsi" w:eastAsia="Times New Roman" w:hAnsiTheme="minorHAnsi" w:cs="Times New Roman"/>
          <w:sz w:val="20"/>
          <w:szCs w:val="20"/>
        </w:rPr>
        <w:tab/>
      </w:r>
      <w:r w:rsidRPr="00A62E07">
        <w:rPr>
          <w:rFonts w:asciiTheme="minorHAnsi" w:eastAsia="Times New Roman" w:hAnsiTheme="minorHAnsi" w:cs="Times New Roman"/>
          <w:sz w:val="20"/>
          <w:szCs w:val="20"/>
        </w:rPr>
        <w:tab/>
      </w:r>
      <w:r w:rsidRPr="00A62E07">
        <w:rPr>
          <w:rFonts w:asciiTheme="minorHAnsi" w:eastAsia="Times New Roman" w:hAnsiTheme="minorHAnsi" w:cs="Times New Roman"/>
          <w:sz w:val="20"/>
          <w:szCs w:val="20"/>
        </w:rPr>
        <w:tab/>
      </w:r>
      <w:r w:rsidRPr="00A62E07">
        <w:rPr>
          <w:rFonts w:asciiTheme="minorHAnsi" w:eastAsia="Times New Roman" w:hAnsiTheme="minorHAnsi" w:cs="Times New Roman"/>
          <w:sz w:val="20"/>
          <w:szCs w:val="20"/>
        </w:rPr>
        <w:tab/>
      </w:r>
    </w:p>
    <w:p w14:paraId="3B151B37" w14:textId="54A2DD71" w:rsidR="00122A73" w:rsidRPr="00A62E07" w:rsidRDefault="00122A73">
      <w:pPr>
        <w:pStyle w:val="Normal1"/>
        <w:widowControl w:val="0"/>
        <w:tabs>
          <w:tab w:val="left" w:pos="-720"/>
        </w:tabs>
        <w:spacing w:after="0" w:line="240" w:lineRule="auto"/>
        <w:jc w:val="both"/>
        <w:rPr>
          <w:rFonts w:asciiTheme="minorHAnsi" w:eastAsia="Times New Roman" w:hAnsiTheme="minorHAnsi" w:cs="Times New Roman"/>
          <w:b/>
          <w:sz w:val="20"/>
          <w:szCs w:val="20"/>
        </w:rPr>
      </w:pPr>
      <w:r w:rsidRPr="00A62E07">
        <w:rPr>
          <w:rFonts w:asciiTheme="minorHAnsi" w:eastAsia="Times New Roman" w:hAnsiTheme="minorHAnsi" w:cs="Times New Roman"/>
          <w:sz w:val="20"/>
          <w:szCs w:val="20"/>
        </w:rPr>
        <w:tab/>
      </w:r>
      <w:r w:rsidRPr="00A62E07">
        <w:rPr>
          <w:rFonts w:asciiTheme="minorHAnsi" w:eastAsia="Times New Roman" w:hAnsiTheme="minorHAnsi" w:cs="Times New Roman"/>
          <w:sz w:val="20"/>
          <w:szCs w:val="20"/>
        </w:rPr>
        <w:tab/>
      </w:r>
      <w:r w:rsidRPr="00A62E07">
        <w:rPr>
          <w:rFonts w:asciiTheme="minorHAnsi" w:eastAsia="Times New Roman" w:hAnsiTheme="minorHAnsi" w:cs="Times New Roman"/>
          <w:sz w:val="20"/>
          <w:szCs w:val="20"/>
        </w:rPr>
        <w:tab/>
      </w:r>
      <w:r w:rsidRPr="00A62E07">
        <w:rPr>
          <w:rFonts w:asciiTheme="minorHAnsi" w:eastAsia="Times New Roman" w:hAnsiTheme="minorHAnsi" w:cs="Times New Roman"/>
          <w:sz w:val="20"/>
          <w:szCs w:val="20"/>
        </w:rPr>
        <w:tab/>
        <w:t xml:space="preserve">        </w:t>
      </w:r>
      <w:r w:rsidRPr="00A62E07">
        <w:rPr>
          <w:rFonts w:asciiTheme="minorHAnsi" w:eastAsia="Times New Roman" w:hAnsiTheme="minorHAnsi" w:cs="Times New Roman"/>
          <w:b/>
          <w:sz w:val="20"/>
          <w:szCs w:val="20"/>
        </w:rPr>
        <w:t>Eduardo Baldi</w:t>
      </w:r>
    </w:p>
    <w:p w14:paraId="00000023" w14:textId="77777777" w:rsidR="00FC5C9D" w:rsidRPr="00A62E07" w:rsidRDefault="00FC5C9D">
      <w:pPr>
        <w:pStyle w:val="Normal1"/>
        <w:jc w:val="center"/>
        <w:rPr>
          <w:rFonts w:asciiTheme="minorHAnsi" w:eastAsia="Cambria" w:hAnsiTheme="minorHAnsi" w:cs="Cambria"/>
          <w:sz w:val="20"/>
          <w:szCs w:val="20"/>
        </w:rPr>
      </w:pPr>
    </w:p>
    <w:p w14:paraId="00000024" w14:textId="77777777" w:rsidR="00FC5C9D" w:rsidRPr="00A62E07" w:rsidRDefault="00FC5C9D">
      <w:pPr>
        <w:pStyle w:val="Normal1"/>
        <w:jc w:val="both"/>
        <w:rPr>
          <w:rFonts w:asciiTheme="minorHAnsi" w:eastAsia="Cambria" w:hAnsiTheme="minorHAnsi" w:cs="Cambria"/>
          <w:sz w:val="20"/>
          <w:szCs w:val="20"/>
        </w:rPr>
      </w:pPr>
    </w:p>
    <w:p w14:paraId="00000025" w14:textId="77777777" w:rsidR="00FC5C9D" w:rsidRPr="00A62E07" w:rsidRDefault="00FC5C9D">
      <w:pPr>
        <w:pStyle w:val="Normal1"/>
        <w:jc w:val="both"/>
        <w:rPr>
          <w:rFonts w:asciiTheme="minorHAnsi" w:eastAsia="Cambria" w:hAnsiTheme="minorHAnsi" w:cs="Cambria"/>
          <w:sz w:val="20"/>
          <w:szCs w:val="20"/>
        </w:rPr>
      </w:pPr>
    </w:p>
    <w:p w14:paraId="00000026" w14:textId="77777777" w:rsidR="00FC5C9D" w:rsidRPr="00A62E07" w:rsidRDefault="006A29F4">
      <w:pPr>
        <w:pStyle w:val="Normal1"/>
        <w:jc w:val="both"/>
        <w:rPr>
          <w:rFonts w:asciiTheme="minorHAnsi" w:eastAsia="Cambria" w:hAnsiTheme="minorHAnsi" w:cs="Cambria"/>
          <w:sz w:val="20"/>
          <w:szCs w:val="20"/>
        </w:rPr>
      </w:pPr>
      <w:r w:rsidRPr="00A62E07">
        <w:rPr>
          <w:rFonts w:asciiTheme="minorHAnsi" w:eastAsia="Cambria" w:hAnsiTheme="minorHAnsi" w:cs="Cambria"/>
          <w:b/>
          <w:sz w:val="20"/>
          <w:szCs w:val="20"/>
        </w:rPr>
        <w:t xml:space="preserve">                  Rogelio Driollet </w:t>
      </w:r>
      <w:proofErr w:type="gramStart"/>
      <w:r w:rsidRPr="00A62E07">
        <w:rPr>
          <w:rFonts w:asciiTheme="minorHAnsi" w:eastAsia="Cambria" w:hAnsiTheme="minorHAnsi" w:cs="Cambria"/>
          <w:b/>
          <w:sz w:val="20"/>
          <w:szCs w:val="20"/>
        </w:rPr>
        <w:t xml:space="preserve">Laspiur  </w:t>
      </w:r>
      <w:r w:rsidRPr="00A62E07">
        <w:rPr>
          <w:rFonts w:asciiTheme="minorHAnsi" w:eastAsia="Cambria" w:hAnsiTheme="minorHAnsi" w:cs="Cambria"/>
          <w:b/>
          <w:sz w:val="20"/>
          <w:szCs w:val="20"/>
        </w:rPr>
        <w:tab/>
      </w:r>
      <w:proofErr w:type="gramEnd"/>
      <w:r w:rsidRPr="00A62E07">
        <w:rPr>
          <w:rFonts w:asciiTheme="minorHAnsi" w:eastAsia="Cambria" w:hAnsiTheme="minorHAnsi" w:cs="Cambria"/>
          <w:b/>
          <w:sz w:val="20"/>
          <w:szCs w:val="20"/>
        </w:rPr>
        <w:tab/>
      </w:r>
      <w:r w:rsidRPr="00A62E07">
        <w:rPr>
          <w:rFonts w:asciiTheme="minorHAnsi" w:eastAsia="Cambria" w:hAnsiTheme="minorHAnsi" w:cs="Cambria"/>
          <w:b/>
          <w:sz w:val="20"/>
          <w:szCs w:val="20"/>
        </w:rPr>
        <w:tab/>
      </w:r>
      <w:r w:rsidRPr="00A62E07">
        <w:rPr>
          <w:rFonts w:asciiTheme="minorHAnsi" w:eastAsia="Cambria" w:hAnsiTheme="minorHAnsi" w:cs="Cambria"/>
          <w:b/>
          <w:sz w:val="20"/>
          <w:szCs w:val="20"/>
        </w:rPr>
        <w:tab/>
        <w:t xml:space="preserve">María Gabriela </w:t>
      </w:r>
      <w:proofErr w:type="spellStart"/>
      <w:r w:rsidRPr="00A62E07">
        <w:rPr>
          <w:rFonts w:asciiTheme="minorHAnsi" w:eastAsia="Cambria" w:hAnsiTheme="minorHAnsi" w:cs="Cambria"/>
          <w:b/>
          <w:sz w:val="20"/>
          <w:szCs w:val="20"/>
        </w:rPr>
        <w:t>Grigioni</w:t>
      </w:r>
      <w:proofErr w:type="spellEnd"/>
    </w:p>
    <w:p w14:paraId="00000027" w14:textId="77777777" w:rsidR="00FC5C9D" w:rsidRPr="00A62E07" w:rsidRDefault="00FC5C9D">
      <w:pPr>
        <w:pStyle w:val="Normal1"/>
        <w:widowControl w:val="0"/>
        <w:tabs>
          <w:tab w:val="left" w:pos="-720"/>
        </w:tabs>
        <w:spacing w:after="0" w:line="240" w:lineRule="auto"/>
        <w:jc w:val="both"/>
        <w:rPr>
          <w:rFonts w:asciiTheme="minorHAnsi" w:eastAsia="Times New Roman" w:hAnsiTheme="minorHAnsi" w:cs="Times New Roman"/>
          <w:sz w:val="20"/>
          <w:szCs w:val="20"/>
        </w:rPr>
      </w:pPr>
    </w:p>
    <w:sectPr w:rsidR="00FC5C9D" w:rsidRPr="00A62E07">
      <w:pgSz w:w="12242" w:h="20163"/>
      <w:pgMar w:top="1588" w:right="1588" w:bottom="1588" w:left="158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6572ED" w14:textId="77777777" w:rsidR="00293134" w:rsidRDefault="00293134" w:rsidP="003322EF">
      <w:pPr>
        <w:spacing w:after="0" w:line="240" w:lineRule="auto"/>
      </w:pPr>
      <w:r>
        <w:separator/>
      </w:r>
    </w:p>
  </w:endnote>
  <w:endnote w:type="continuationSeparator" w:id="0">
    <w:p w14:paraId="62BAB261" w14:textId="77777777" w:rsidR="00293134" w:rsidRDefault="00293134" w:rsidP="00332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51F2DB" w14:textId="77777777" w:rsidR="00293134" w:rsidRDefault="00293134" w:rsidP="003322EF">
      <w:pPr>
        <w:spacing w:after="0" w:line="240" w:lineRule="auto"/>
      </w:pPr>
      <w:r>
        <w:separator/>
      </w:r>
    </w:p>
  </w:footnote>
  <w:footnote w:type="continuationSeparator" w:id="0">
    <w:p w14:paraId="03FF6846" w14:textId="77777777" w:rsidR="00293134" w:rsidRDefault="00293134" w:rsidP="003322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AC51E2"/>
    <w:multiLevelType w:val="multilevel"/>
    <w:tmpl w:val="082842F6"/>
    <w:lvl w:ilvl="0">
      <w:start w:val="1"/>
      <w:numFmt w:val="decimal"/>
      <w:lvlText w:val="%1."/>
      <w:lvlJc w:val="left"/>
      <w:pPr>
        <w:tabs>
          <w:tab w:val="num" w:pos="360"/>
        </w:tabs>
        <w:ind w:left="360" w:hanging="360"/>
      </w:pPr>
      <w:rPr>
        <w:rFonts w:ascii="Times New Roman" w:hAnsi="Times New Roman" w:hint="default"/>
        <w:b/>
        <w:sz w:val="20"/>
      </w:rPr>
    </w:lvl>
    <w:lvl w:ilvl="1">
      <w:start w:val="1"/>
      <w:numFmt w:val="lowerLetter"/>
      <w:lvlText w:val="%2)"/>
      <w:lvlJc w:val="left"/>
      <w:pPr>
        <w:tabs>
          <w:tab w:val="num" w:pos="794"/>
        </w:tabs>
        <w:ind w:left="794" w:hanging="434"/>
      </w:pPr>
    </w:lvl>
    <w:lvl w:ilvl="2">
      <w:start w:val="1"/>
      <w:numFmt w:val="lowerRoman"/>
      <w:lvlText w:val="%3)"/>
      <w:lvlJc w:val="left"/>
      <w:pPr>
        <w:tabs>
          <w:tab w:val="num" w:pos="1440"/>
        </w:tabs>
        <w:ind w:left="1080" w:hanging="360"/>
      </w:pPr>
    </w:lvl>
    <w:lvl w:ilvl="3">
      <w:start w:val="1"/>
      <w:numFmt w:val="low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79021FDE"/>
    <w:multiLevelType w:val="multilevel"/>
    <w:tmpl w:val="5F14E3C6"/>
    <w:lvl w:ilvl="0">
      <w:start w:val="1"/>
      <w:numFmt w:val="decimal"/>
      <w:lvlText w:val="%1."/>
      <w:lvlJc w:val="left"/>
      <w:pPr>
        <w:ind w:left="360" w:hanging="360"/>
      </w:pPr>
      <w:rPr>
        <w:rFonts w:ascii="Times New Roman" w:eastAsia="Times New Roman" w:hAnsi="Times New Roman" w:cs="Times New Roman"/>
        <w:b w:val="0"/>
        <w:sz w:val="20"/>
        <w:szCs w:val="20"/>
        <w:vertAlign w:val="baseline"/>
      </w:rPr>
    </w:lvl>
    <w:lvl w:ilvl="1">
      <w:start w:val="1"/>
      <w:numFmt w:val="lowerLetter"/>
      <w:lvlText w:val="%2)"/>
      <w:lvlJc w:val="left"/>
      <w:pPr>
        <w:ind w:left="794" w:hanging="433"/>
      </w:pPr>
      <w:rPr>
        <w:vertAlign w:val="baseline"/>
      </w:rPr>
    </w:lvl>
    <w:lvl w:ilvl="2">
      <w:start w:val="1"/>
      <w:numFmt w:val="lowerRoman"/>
      <w:lvlText w:val="%3)"/>
      <w:lvlJc w:val="left"/>
      <w:pPr>
        <w:ind w:left="1080" w:hanging="360"/>
      </w:pPr>
      <w:rPr>
        <w:vertAlign w:val="baseline"/>
      </w:rPr>
    </w:lvl>
    <w:lvl w:ilvl="3">
      <w:start w:val="1"/>
      <w:numFmt w:val="lowerLetter"/>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C9D"/>
    <w:rsid w:val="00055188"/>
    <w:rsid w:val="00122A73"/>
    <w:rsid w:val="002558F8"/>
    <w:rsid w:val="00293134"/>
    <w:rsid w:val="003322EF"/>
    <w:rsid w:val="00403B8F"/>
    <w:rsid w:val="004179B6"/>
    <w:rsid w:val="00442C23"/>
    <w:rsid w:val="00653E7C"/>
    <w:rsid w:val="006936F3"/>
    <w:rsid w:val="006A29F4"/>
    <w:rsid w:val="007C6807"/>
    <w:rsid w:val="007D1D83"/>
    <w:rsid w:val="007F28C4"/>
    <w:rsid w:val="00853461"/>
    <w:rsid w:val="008A3723"/>
    <w:rsid w:val="00925A0D"/>
    <w:rsid w:val="00A517DC"/>
    <w:rsid w:val="00A62E07"/>
    <w:rsid w:val="00AD6100"/>
    <w:rsid w:val="00B13159"/>
    <w:rsid w:val="00B634DA"/>
    <w:rsid w:val="00BE630F"/>
    <w:rsid w:val="00C76F79"/>
    <w:rsid w:val="00C80A16"/>
    <w:rsid w:val="00CC5578"/>
    <w:rsid w:val="00CD2694"/>
    <w:rsid w:val="00F20B20"/>
    <w:rsid w:val="00F441BD"/>
    <w:rsid w:val="00F91174"/>
    <w:rsid w:val="00FC45D2"/>
    <w:rsid w:val="00FC5C9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F6504D"/>
  <w15:docId w15:val="{9A135205-A3D6-4BEE-A45D-86733E40D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ES" w:eastAsia="es-E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1"/>
    <w:next w:val="Normal1"/>
    <w:pPr>
      <w:keepNext/>
      <w:keepLines/>
      <w:spacing w:before="480" w:after="120"/>
      <w:outlineLvl w:val="0"/>
    </w:pPr>
    <w:rPr>
      <w:b/>
      <w:sz w:val="48"/>
      <w:szCs w:val="48"/>
    </w:rPr>
  </w:style>
  <w:style w:type="paragraph" w:styleId="Ttulo2">
    <w:name w:val="heading 2"/>
    <w:basedOn w:val="Normal1"/>
    <w:next w:val="Normal1"/>
    <w:pPr>
      <w:keepNext/>
      <w:keepLines/>
      <w:spacing w:before="360" w:after="80"/>
      <w:outlineLvl w:val="1"/>
    </w:pPr>
    <w:rPr>
      <w:b/>
      <w:sz w:val="36"/>
      <w:szCs w:val="36"/>
    </w:rPr>
  </w:style>
  <w:style w:type="paragraph" w:styleId="Ttulo3">
    <w:name w:val="heading 3"/>
    <w:basedOn w:val="Normal1"/>
    <w:next w:val="Normal1"/>
    <w:pPr>
      <w:keepNext/>
      <w:keepLines/>
      <w:spacing w:before="280" w:after="80"/>
      <w:outlineLvl w:val="2"/>
    </w:pPr>
    <w:rPr>
      <w:b/>
      <w:sz w:val="28"/>
      <w:szCs w:val="28"/>
    </w:rPr>
  </w:style>
  <w:style w:type="paragraph" w:styleId="Ttulo4">
    <w:name w:val="heading 4"/>
    <w:basedOn w:val="Normal1"/>
    <w:next w:val="Normal1"/>
    <w:pPr>
      <w:keepNext/>
      <w:keepLines/>
      <w:spacing w:before="240" w:after="40"/>
      <w:outlineLvl w:val="3"/>
    </w:pPr>
    <w:rPr>
      <w:b/>
      <w:sz w:val="24"/>
      <w:szCs w:val="24"/>
    </w:rPr>
  </w:style>
  <w:style w:type="paragraph" w:styleId="Ttulo5">
    <w:name w:val="heading 5"/>
    <w:basedOn w:val="Normal1"/>
    <w:next w:val="Normal1"/>
    <w:pPr>
      <w:keepNext/>
      <w:keepLines/>
      <w:spacing w:before="220" w:after="40"/>
      <w:outlineLvl w:val="4"/>
    </w:pPr>
    <w:rPr>
      <w:b/>
    </w:rPr>
  </w:style>
  <w:style w:type="paragraph" w:styleId="Ttulo6">
    <w:name w:val="heading 6"/>
    <w:basedOn w:val="Normal1"/>
    <w:next w:val="Normal1"/>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pPr>
      <w:keepNext/>
      <w:keepLines/>
      <w:spacing w:before="480" w:after="120"/>
    </w:pPr>
    <w:rPr>
      <w:b/>
      <w:sz w:val="72"/>
      <w:szCs w:val="72"/>
    </w:rPr>
  </w:style>
  <w:style w:type="paragraph" w:styleId="Subttulo">
    <w:name w:val="Subtitle"/>
    <w:basedOn w:val="Normal1"/>
    <w:next w:val="Normal1"/>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6A29F4"/>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6A29F4"/>
    <w:rPr>
      <w:rFonts w:ascii="Lucida Grande" w:hAnsi="Lucida Grande" w:cs="Lucida Grande"/>
      <w:sz w:val="18"/>
      <w:szCs w:val="18"/>
    </w:rPr>
  </w:style>
  <w:style w:type="paragraph" w:styleId="Prrafodelista">
    <w:name w:val="List Paragraph"/>
    <w:basedOn w:val="Normal"/>
    <w:uiPriority w:val="34"/>
    <w:qFormat/>
    <w:rsid w:val="00122A73"/>
    <w:pPr>
      <w:spacing w:after="0" w:line="240" w:lineRule="auto"/>
      <w:ind w:left="720"/>
      <w:contextualSpacing/>
    </w:pPr>
    <w:rPr>
      <w:rFonts w:ascii="Times New Roman" w:eastAsia="Times New Roman" w:hAnsi="Times New Roman" w:cs="Times New Roman"/>
      <w:sz w:val="20"/>
      <w:szCs w:val="20"/>
      <w:lang w:val="es-ES_tradnl" w:eastAsia="en-US"/>
    </w:rPr>
  </w:style>
  <w:style w:type="paragraph" w:styleId="Textonotapie">
    <w:name w:val="footnote text"/>
    <w:basedOn w:val="Normal"/>
    <w:link w:val="TextonotapieCar"/>
    <w:uiPriority w:val="99"/>
    <w:semiHidden/>
    <w:unhideWhenUsed/>
    <w:rsid w:val="003322E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322EF"/>
    <w:rPr>
      <w:sz w:val="20"/>
      <w:szCs w:val="20"/>
    </w:rPr>
  </w:style>
  <w:style w:type="character" w:styleId="Refdenotaalpie">
    <w:name w:val="footnote reference"/>
    <w:basedOn w:val="Fuentedeprrafopredeter"/>
    <w:uiPriority w:val="99"/>
    <w:semiHidden/>
    <w:unhideWhenUsed/>
    <w:rsid w:val="003322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03852848B1F7214BB16254ECD5B2BD9A" ma:contentTypeVersion="15" ma:contentTypeDescription="Crear nuevo documento." ma:contentTypeScope="" ma:versionID="1f069bd125e1c2f55fe7154fc364ee7f">
  <xsd:schema xmlns:xsd="http://www.w3.org/2001/XMLSchema" xmlns:xs="http://www.w3.org/2001/XMLSchema" xmlns:p="http://schemas.microsoft.com/office/2006/metadata/properties" xmlns:ns1="http://schemas.microsoft.com/sharepoint/v3" xmlns:ns3="2552a0fe-0201-43a2-a172-d2d9af851966" xmlns:ns4="f4b7f1b2-1516-40a5-a020-15147e230483" targetNamespace="http://schemas.microsoft.com/office/2006/metadata/properties" ma:root="true" ma:fieldsID="b47ab3221e7fd0553ea8bd7c122de4b8" ns1:_="" ns3:_="" ns4:_="">
    <xsd:import namespace="http://schemas.microsoft.com/sharepoint/v3"/>
    <xsd:import namespace="2552a0fe-0201-43a2-a172-d2d9af851966"/>
    <xsd:import namespace="f4b7f1b2-1516-40a5-a020-15147e23048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Propiedades de la Directiva de cumplimiento unificado" ma:hidden="true" ma:internalName="_ip_UnifiedCompliancePolicyProperties">
      <xsd:simpleType>
        <xsd:restriction base="dms:Note"/>
      </xsd:simpleType>
    </xsd:element>
    <xsd:element name="_ip_UnifiedCompliancePolicyUIAction" ma:index="15"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52a0fe-0201-43a2-a172-d2d9af8519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b7f1b2-1516-40a5-a020-15147e230483"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SharingHintHash" ma:index="18"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934AC-FCEA-40D9-847C-84071AF9FD68}">
  <ds:schemaRefs>
    <ds:schemaRef ds:uri="http://schemas.microsoft.com/office/2006/documentManagement/types"/>
    <ds:schemaRef ds:uri="http://schemas.microsoft.com/sharepoint/v3"/>
    <ds:schemaRef ds:uri="http://purl.org/dc/elements/1.1/"/>
    <ds:schemaRef ds:uri="http://schemas.microsoft.com/office/infopath/2007/PartnerControls"/>
    <ds:schemaRef ds:uri="http://schemas.openxmlformats.org/package/2006/metadata/core-properties"/>
    <ds:schemaRef ds:uri="2552a0fe-0201-43a2-a172-d2d9af851966"/>
    <ds:schemaRef ds:uri="http://purl.org/dc/terms/"/>
    <ds:schemaRef ds:uri="http://schemas.microsoft.com/office/2006/metadata/properties"/>
    <ds:schemaRef ds:uri="f4b7f1b2-1516-40a5-a020-15147e230483"/>
    <ds:schemaRef ds:uri="http://www.w3.org/XML/1998/namespace"/>
    <ds:schemaRef ds:uri="http://purl.org/dc/dcmitype/"/>
  </ds:schemaRefs>
</ds:datastoreItem>
</file>

<file path=customXml/itemProps2.xml><?xml version="1.0" encoding="utf-8"?>
<ds:datastoreItem xmlns:ds="http://schemas.openxmlformats.org/officeDocument/2006/customXml" ds:itemID="{164E2B15-EB02-4E1C-8BC3-5CAE378FA2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552a0fe-0201-43a2-a172-d2d9af851966"/>
    <ds:schemaRef ds:uri="f4b7f1b2-1516-40a5-a020-15147e2304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570B71-84A3-4CA1-BBF2-38EC4F94F51A}">
  <ds:schemaRefs>
    <ds:schemaRef ds:uri="http://schemas.microsoft.com/sharepoint/v3/contenttype/forms"/>
  </ds:schemaRefs>
</ds:datastoreItem>
</file>

<file path=customXml/itemProps4.xml><?xml version="1.0" encoding="utf-8"?>
<ds:datastoreItem xmlns:ds="http://schemas.openxmlformats.org/officeDocument/2006/customXml" ds:itemID="{52AA8D8A-DF7A-4D2D-8217-5924A3AEC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1083</Words>
  <Characters>5958</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BALDI, EDUARDO (Servicio Externo en YPF)</cp:lastModifiedBy>
  <cp:revision>4</cp:revision>
  <dcterms:created xsi:type="dcterms:W3CDTF">2020-08-05T12:42:00Z</dcterms:created>
  <dcterms:modified xsi:type="dcterms:W3CDTF">2020-08-06T17:22:00Z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0x01010003852848B1F7214BB16254ECD5B2BD9A</vt:lpwstr>
  </property>
</Properties>
</file>