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2278E" w14:textId="77777777" w:rsidR="00BF1C66" w:rsidRPr="000063DC" w:rsidRDefault="00BF1C66" w:rsidP="00CA5B9E">
      <w:pPr>
        <w:pStyle w:val="Ttulo"/>
        <w:ind w:right="96"/>
        <w:rPr>
          <w:sz w:val="18"/>
        </w:rPr>
      </w:pPr>
      <w:bookmarkStart w:id="0" w:name="_GoBack"/>
      <w:bookmarkEnd w:id="0"/>
      <w:r w:rsidRPr="000063DC">
        <w:rPr>
          <w:sz w:val="18"/>
        </w:rPr>
        <w:t xml:space="preserve">AVISO DE </w:t>
      </w:r>
      <w:r w:rsidR="00F04608" w:rsidRPr="000063DC">
        <w:rPr>
          <w:sz w:val="18"/>
        </w:rPr>
        <w:t>RESULTADOS</w:t>
      </w:r>
    </w:p>
    <w:p w14:paraId="1022278F" w14:textId="77777777" w:rsidR="00764078" w:rsidRPr="000063DC" w:rsidRDefault="00764078" w:rsidP="00CA5B9E">
      <w:pPr>
        <w:pStyle w:val="Ttulo"/>
        <w:ind w:right="96"/>
        <w:rPr>
          <w:sz w:val="18"/>
        </w:rPr>
      </w:pPr>
      <w:bookmarkStart w:id="1" w:name="OLE_LINK57"/>
      <w:bookmarkStart w:id="2" w:name="OLE_LINK58"/>
      <w:bookmarkStart w:id="3" w:name="OLE_LINK59"/>
      <w:r w:rsidRPr="000063DC">
        <w:rPr>
          <w:noProof/>
          <w:sz w:val="18"/>
          <w:lang w:eastAsia="es-AR"/>
        </w:rPr>
        <w:drawing>
          <wp:inline distT="0" distB="0" distL="0" distR="0" wp14:anchorId="102227EE" wp14:editId="102227EF">
            <wp:extent cx="2019300" cy="762000"/>
            <wp:effectExtent l="0" t="0" r="0" b="0"/>
            <wp:docPr id="6" name="Imagen 4" descr="genneia_logo final-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enneia_logo final-05"/>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019300" cy="762000"/>
                    </a:xfrm>
                    <a:prstGeom prst="rect">
                      <a:avLst/>
                    </a:prstGeom>
                    <a:noFill/>
                    <a:ln>
                      <a:noFill/>
                    </a:ln>
                  </pic:spPr>
                </pic:pic>
              </a:graphicData>
            </a:graphic>
          </wp:inline>
        </w:drawing>
      </w:r>
    </w:p>
    <w:p w14:paraId="10222790" w14:textId="77777777" w:rsidR="00764078" w:rsidRPr="00AA416C" w:rsidRDefault="00764078" w:rsidP="00CA5B9E">
      <w:pPr>
        <w:pStyle w:val="Ttulo"/>
        <w:ind w:right="96"/>
        <w:rPr>
          <w:sz w:val="18"/>
          <w:szCs w:val="18"/>
        </w:rPr>
      </w:pPr>
      <w:r w:rsidRPr="00AA416C">
        <w:rPr>
          <w:sz w:val="18"/>
          <w:szCs w:val="18"/>
        </w:rPr>
        <w:t>GENNEIA S.A.</w:t>
      </w:r>
    </w:p>
    <w:p w14:paraId="10222791" w14:textId="77777777" w:rsidR="00764078" w:rsidRPr="00AA416C" w:rsidRDefault="00764078" w:rsidP="00CA5B9E">
      <w:pPr>
        <w:ind w:right="96"/>
        <w:jc w:val="center"/>
        <w:rPr>
          <w:rFonts w:ascii="Times New Roman" w:hAnsi="Times New Roman"/>
          <w:b/>
          <w:sz w:val="18"/>
          <w:szCs w:val="18"/>
          <w:lang w:val="es-AR"/>
        </w:rPr>
      </w:pPr>
    </w:p>
    <w:p w14:paraId="10222792" w14:textId="77777777" w:rsidR="00764078" w:rsidRPr="00CA5B9E" w:rsidRDefault="00AA416C" w:rsidP="00CA5B9E">
      <w:pPr>
        <w:pStyle w:val="Sangra3detindependiente"/>
        <w:ind w:left="0" w:right="96"/>
        <w:jc w:val="center"/>
        <w:rPr>
          <w:rFonts w:ascii="Times New Roman" w:hAnsi="Times New Roman"/>
          <w:b/>
          <w:bCs/>
          <w:color w:val="000000"/>
          <w:sz w:val="18"/>
          <w:szCs w:val="18"/>
          <w:lang w:val="es-AR"/>
        </w:rPr>
      </w:pPr>
      <w:r w:rsidRPr="005D616A">
        <w:rPr>
          <w:rFonts w:ascii="Times New Roman" w:hAnsi="Times New Roman"/>
          <w:b/>
          <w:bCs/>
          <w:color w:val="000000"/>
          <w:sz w:val="18"/>
          <w:szCs w:val="18"/>
          <w:lang w:val="es-AR"/>
        </w:rPr>
        <w:t>OBLIGACIONES NEGOCIABLES CLASE XXI EN DÓLARES ESTADOUNIDENSES A TASA FIJA CON VENCIMIENTO A LOS 24 MESES DESDE SU FECHA DE EMISIÓN Y LIQUIDACIÓN POR UN VALOR NOMINAL DE HASTA US$10.000.000 AMPLIABLE POR HASTA US$100.000.000</w:t>
      </w:r>
      <w:r w:rsidRPr="00AA416C">
        <w:rPr>
          <w:rFonts w:ascii="Times New Roman" w:hAnsi="Times New Roman"/>
          <w:b/>
          <w:bCs/>
          <w:color w:val="000000"/>
          <w:sz w:val="18"/>
          <w:szCs w:val="18"/>
          <w:lang w:val="es-AR"/>
        </w:rPr>
        <w:t>, A SER EMITIDAS EN EL MARCO DEL PROGRAMA GLOBAL PARA LA EMISIÓN DE OBLIGACIONES NEGOCIABLES SIMPLES (NO CONVERTIBLES EN ACCIONES) POR UN MONTO MÁXIMO DE HASTA US$800.000.000 (O SU EQUIVALENTE EN OTRAS MONEDAS)</w:t>
      </w:r>
      <w:r>
        <w:rPr>
          <w:rFonts w:ascii="Times New Roman" w:hAnsi="Times New Roman"/>
          <w:b/>
          <w:bCs/>
          <w:color w:val="000000"/>
          <w:sz w:val="18"/>
          <w:szCs w:val="18"/>
          <w:lang w:val="es-AR"/>
        </w:rPr>
        <w:t>.</w:t>
      </w:r>
    </w:p>
    <w:bookmarkEnd w:id="1"/>
    <w:bookmarkEnd w:id="2"/>
    <w:bookmarkEnd w:id="3"/>
    <w:p w14:paraId="10222793" w14:textId="77777777" w:rsidR="005D616A" w:rsidRDefault="009B4F74" w:rsidP="001F6343">
      <w:pPr>
        <w:ind w:right="96"/>
        <w:jc w:val="both"/>
        <w:rPr>
          <w:rFonts w:ascii="Times New Roman" w:hAnsi="Times New Roman"/>
          <w:bCs/>
          <w:spacing w:val="-3"/>
          <w:sz w:val="18"/>
          <w:szCs w:val="18"/>
          <w:lang w:val="es-AR"/>
        </w:rPr>
      </w:pPr>
      <w:r w:rsidRPr="00CA5B9E">
        <w:rPr>
          <w:rFonts w:ascii="Times New Roman" w:hAnsi="Times New Roman"/>
          <w:sz w:val="18"/>
          <w:szCs w:val="18"/>
          <w:lang w:val="es-AR"/>
        </w:rPr>
        <w:t xml:space="preserve">El presente es un aviso complementario al </w:t>
      </w:r>
      <w:r w:rsidR="00AA416C" w:rsidRPr="00CA5B9E">
        <w:rPr>
          <w:rFonts w:ascii="Times New Roman" w:hAnsi="Times New Roman"/>
          <w:sz w:val="18"/>
          <w:szCs w:val="18"/>
          <w:lang w:val="es-AR"/>
        </w:rPr>
        <w:t xml:space="preserve">Suplemento </w:t>
      </w:r>
      <w:r w:rsidRPr="00CA5B9E">
        <w:rPr>
          <w:rFonts w:ascii="Times New Roman" w:hAnsi="Times New Roman"/>
          <w:sz w:val="18"/>
          <w:szCs w:val="18"/>
          <w:lang w:val="es-AR"/>
        </w:rPr>
        <w:t xml:space="preserve">de </w:t>
      </w:r>
      <w:r w:rsidR="00AA416C" w:rsidRPr="00CA5B9E">
        <w:rPr>
          <w:rFonts w:ascii="Times New Roman" w:hAnsi="Times New Roman"/>
          <w:sz w:val="18"/>
          <w:szCs w:val="18"/>
          <w:lang w:val="es-AR"/>
        </w:rPr>
        <w:t xml:space="preserve">Prospecto </w:t>
      </w:r>
      <w:r w:rsidRPr="00CA5B9E">
        <w:rPr>
          <w:rFonts w:ascii="Times New Roman" w:hAnsi="Times New Roman"/>
          <w:sz w:val="18"/>
          <w:szCs w:val="18"/>
          <w:lang w:val="es-AR"/>
        </w:rPr>
        <w:t xml:space="preserve">de fecha </w:t>
      </w:r>
      <w:r w:rsidR="00AA0586" w:rsidRPr="00CA5B9E">
        <w:rPr>
          <w:rFonts w:ascii="Times New Roman" w:hAnsi="Times New Roman"/>
          <w:sz w:val="18"/>
          <w:szCs w:val="18"/>
          <w:lang w:val="es-AR"/>
        </w:rPr>
        <w:t>8</w:t>
      </w:r>
      <w:r w:rsidR="00C214E7" w:rsidRPr="00CA5B9E">
        <w:rPr>
          <w:rFonts w:ascii="Times New Roman" w:hAnsi="Times New Roman"/>
          <w:sz w:val="18"/>
          <w:szCs w:val="18"/>
          <w:lang w:val="es-AR"/>
        </w:rPr>
        <w:t xml:space="preserve"> de </w:t>
      </w:r>
      <w:r w:rsidR="00693E37" w:rsidRPr="00CA5B9E">
        <w:rPr>
          <w:rFonts w:ascii="Times New Roman" w:hAnsi="Times New Roman"/>
          <w:sz w:val="18"/>
          <w:szCs w:val="18"/>
          <w:lang w:val="es-AR"/>
        </w:rPr>
        <w:t>noviembre</w:t>
      </w:r>
      <w:r w:rsidR="00764078" w:rsidRPr="00CA5B9E">
        <w:rPr>
          <w:rFonts w:ascii="Times New Roman" w:hAnsi="Times New Roman"/>
          <w:sz w:val="18"/>
          <w:szCs w:val="18"/>
          <w:lang w:val="es-AR"/>
        </w:rPr>
        <w:t xml:space="preserve"> </w:t>
      </w:r>
      <w:r w:rsidR="00C214E7" w:rsidRPr="00CA5B9E">
        <w:rPr>
          <w:rFonts w:ascii="Times New Roman" w:hAnsi="Times New Roman"/>
          <w:sz w:val="18"/>
          <w:szCs w:val="18"/>
          <w:lang w:val="es-AR"/>
        </w:rPr>
        <w:t>de 2018</w:t>
      </w:r>
      <w:r w:rsidR="005D3C44" w:rsidRPr="00CA5B9E" w:rsidDel="005D3C44">
        <w:rPr>
          <w:rFonts w:ascii="Times New Roman" w:hAnsi="Times New Roman"/>
          <w:sz w:val="18"/>
          <w:szCs w:val="18"/>
          <w:lang w:val="es-AR"/>
        </w:rPr>
        <w:t xml:space="preserve"> </w:t>
      </w:r>
      <w:r w:rsidRPr="00CA5B9E">
        <w:rPr>
          <w:rFonts w:ascii="Times New Roman" w:hAnsi="Times New Roman"/>
          <w:sz w:val="18"/>
          <w:szCs w:val="18"/>
          <w:lang w:val="es-AR"/>
        </w:rPr>
        <w:t>(el “</w:t>
      </w:r>
      <w:r w:rsidRPr="00CA5B9E">
        <w:rPr>
          <w:rFonts w:ascii="Times New Roman" w:hAnsi="Times New Roman"/>
          <w:b/>
          <w:bCs/>
          <w:sz w:val="18"/>
          <w:szCs w:val="18"/>
          <w:lang w:val="es-AR"/>
        </w:rPr>
        <w:t>Suplemento</w:t>
      </w:r>
      <w:r w:rsidRPr="00CA5B9E">
        <w:rPr>
          <w:rFonts w:ascii="Times New Roman" w:hAnsi="Times New Roman"/>
          <w:sz w:val="18"/>
          <w:szCs w:val="18"/>
          <w:lang w:val="es-AR"/>
        </w:rPr>
        <w:t xml:space="preserve">”), al aviso de suscripción de fecha </w:t>
      </w:r>
      <w:r w:rsidR="00AA0586" w:rsidRPr="00CA5B9E">
        <w:rPr>
          <w:rFonts w:ascii="Times New Roman" w:hAnsi="Times New Roman"/>
          <w:sz w:val="18"/>
          <w:szCs w:val="18"/>
          <w:lang w:val="es-AR"/>
        </w:rPr>
        <w:t>8</w:t>
      </w:r>
      <w:r w:rsidR="00764078" w:rsidRPr="00CA5B9E">
        <w:rPr>
          <w:rFonts w:ascii="Times New Roman" w:hAnsi="Times New Roman"/>
          <w:sz w:val="18"/>
          <w:szCs w:val="18"/>
          <w:lang w:val="es-AR"/>
        </w:rPr>
        <w:t xml:space="preserve"> </w:t>
      </w:r>
      <w:r w:rsidR="00C214E7" w:rsidRPr="00CA5B9E">
        <w:rPr>
          <w:rFonts w:ascii="Times New Roman" w:hAnsi="Times New Roman"/>
          <w:sz w:val="18"/>
          <w:szCs w:val="18"/>
          <w:lang w:val="es-AR"/>
        </w:rPr>
        <w:t xml:space="preserve">de </w:t>
      </w:r>
      <w:r w:rsidR="00F704A4" w:rsidRPr="00CA5B9E">
        <w:rPr>
          <w:rFonts w:ascii="Times New Roman" w:hAnsi="Times New Roman"/>
          <w:sz w:val="18"/>
          <w:szCs w:val="18"/>
          <w:lang w:val="es-AR"/>
        </w:rPr>
        <w:t>noviembre</w:t>
      </w:r>
      <w:r w:rsidR="00764078" w:rsidRPr="00CA5B9E">
        <w:rPr>
          <w:rFonts w:ascii="Times New Roman" w:hAnsi="Times New Roman"/>
          <w:sz w:val="18"/>
          <w:szCs w:val="18"/>
          <w:lang w:val="es-AR"/>
        </w:rPr>
        <w:t xml:space="preserve"> </w:t>
      </w:r>
      <w:r w:rsidR="00C214E7" w:rsidRPr="00CA5B9E">
        <w:rPr>
          <w:rFonts w:ascii="Times New Roman" w:hAnsi="Times New Roman"/>
          <w:sz w:val="18"/>
          <w:szCs w:val="18"/>
          <w:lang w:val="es-AR"/>
        </w:rPr>
        <w:t>de 2</w:t>
      </w:r>
      <w:r w:rsidR="007C7D01" w:rsidRPr="00CA5B9E">
        <w:rPr>
          <w:rFonts w:ascii="Times New Roman" w:hAnsi="Times New Roman"/>
          <w:sz w:val="18"/>
          <w:szCs w:val="18"/>
          <w:lang w:val="es-AR"/>
        </w:rPr>
        <w:t>0</w:t>
      </w:r>
      <w:r w:rsidR="00C214E7" w:rsidRPr="00CA5B9E">
        <w:rPr>
          <w:rFonts w:ascii="Times New Roman" w:hAnsi="Times New Roman"/>
          <w:sz w:val="18"/>
          <w:szCs w:val="18"/>
          <w:lang w:val="es-AR"/>
        </w:rPr>
        <w:t xml:space="preserve">18 </w:t>
      </w:r>
      <w:r w:rsidRPr="00CA5B9E">
        <w:rPr>
          <w:rFonts w:ascii="Times New Roman" w:hAnsi="Times New Roman"/>
          <w:sz w:val="18"/>
          <w:szCs w:val="18"/>
          <w:lang w:val="es-AR"/>
        </w:rPr>
        <w:t>(el “</w:t>
      </w:r>
      <w:r w:rsidRPr="00CA5B9E">
        <w:rPr>
          <w:rFonts w:ascii="Times New Roman" w:hAnsi="Times New Roman"/>
          <w:b/>
          <w:sz w:val="18"/>
          <w:szCs w:val="18"/>
          <w:lang w:val="es-AR"/>
        </w:rPr>
        <w:t>Aviso de Suscripción</w:t>
      </w:r>
      <w:r w:rsidRPr="00CA5B9E">
        <w:rPr>
          <w:rFonts w:ascii="Times New Roman" w:hAnsi="Times New Roman"/>
          <w:sz w:val="18"/>
          <w:szCs w:val="18"/>
          <w:lang w:val="es-AR"/>
        </w:rPr>
        <w:t>”)</w:t>
      </w:r>
      <w:r w:rsidR="00AA0586" w:rsidRPr="00CA5B9E">
        <w:rPr>
          <w:rFonts w:ascii="Times New Roman" w:hAnsi="Times New Roman"/>
          <w:sz w:val="18"/>
          <w:szCs w:val="18"/>
          <w:lang w:val="es-AR"/>
        </w:rPr>
        <w:t xml:space="preserve"> y al aviso complementario al Aviso de Suscripción de fecha 13 de noviembre de 2018 (el “</w:t>
      </w:r>
      <w:r w:rsidR="00AA0586" w:rsidRPr="00CA5B9E">
        <w:rPr>
          <w:rFonts w:ascii="Times New Roman" w:hAnsi="Times New Roman"/>
          <w:b/>
          <w:sz w:val="18"/>
          <w:szCs w:val="18"/>
          <w:lang w:val="es-AR"/>
        </w:rPr>
        <w:t>Aviso Complementario</w:t>
      </w:r>
      <w:r w:rsidR="00AA0586" w:rsidRPr="005D616A">
        <w:rPr>
          <w:rFonts w:ascii="Times New Roman" w:hAnsi="Times New Roman"/>
          <w:sz w:val="18"/>
          <w:szCs w:val="18"/>
          <w:lang w:val="es-AR"/>
        </w:rPr>
        <w:t>”)</w:t>
      </w:r>
      <w:r w:rsidRPr="005D616A">
        <w:rPr>
          <w:rFonts w:ascii="Times New Roman" w:hAnsi="Times New Roman"/>
          <w:sz w:val="18"/>
          <w:szCs w:val="18"/>
          <w:lang w:val="es-AR"/>
        </w:rPr>
        <w:t>, publicados en la misma</w:t>
      </w:r>
      <w:r w:rsidR="00C214E7" w:rsidRPr="005D616A">
        <w:rPr>
          <w:rFonts w:ascii="Times New Roman" w:hAnsi="Times New Roman"/>
          <w:sz w:val="18"/>
          <w:szCs w:val="18"/>
          <w:lang w:val="es-AR"/>
        </w:rPr>
        <w:t xml:space="preserve"> fecha en el Boletín Diario de la BCBA, en el Boletín Electrónico del MAE y en el sitio web de la CNV, </w:t>
      </w:r>
      <w:hyperlink r:id="rId13" w:history="1">
        <w:r w:rsidR="00764078" w:rsidRPr="005D616A">
          <w:rPr>
            <w:rStyle w:val="Hipervnculo"/>
            <w:rFonts w:ascii="Times New Roman" w:hAnsi="Times New Roman"/>
            <w:sz w:val="18"/>
            <w:szCs w:val="18"/>
            <w:lang w:val="es-AR"/>
          </w:rPr>
          <w:t>www.cnv.gob.ar</w:t>
        </w:r>
      </w:hyperlink>
      <w:r w:rsidRPr="00CA5B9E">
        <w:rPr>
          <w:rFonts w:ascii="Times New Roman" w:hAnsi="Times New Roman"/>
          <w:sz w:val="18"/>
          <w:szCs w:val="18"/>
          <w:lang w:val="es-AR"/>
        </w:rPr>
        <w:t xml:space="preserve">, en relación con </w:t>
      </w:r>
      <w:r w:rsidRPr="00CA5B9E">
        <w:rPr>
          <w:rFonts w:ascii="Times New Roman" w:hAnsi="Times New Roman"/>
          <w:color w:val="000000"/>
          <w:sz w:val="18"/>
          <w:szCs w:val="18"/>
          <w:lang w:val="es-AR"/>
        </w:rPr>
        <w:t xml:space="preserve">las </w:t>
      </w:r>
      <w:r w:rsidR="00C214E7" w:rsidRPr="00CA5B9E">
        <w:rPr>
          <w:rFonts w:ascii="Times New Roman" w:hAnsi="Times New Roman"/>
          <w:bCs/>
          <w:spacing w:val="-3"/>
          <w:sz w:val="18"/>
          <w:szCs w:val="18"/>
          <w:lang w:val="es-AR"/>
        </w:rPr>
        <w:t>Obligaciones Negociables Clase XX</w:t>
      </w:r>
      <w:r w:rsidR="00764078" w:rsidRPr="00CA5B9E">
        <w:rPr>
          <w:rFonts w:ascii="Times New Roman" w:hAnsi="Times New Roman"/>
          <w:bCs/>
          <w:spacing w:val="-3"/>
          <w:sz w:val="18"/>
          <w:szCs w:val="18"/>
          <w:lang w:val="es-AR"/>
        </w:rPr>
        <w:t xml:space="preserve">I </w:t>
      </w:r>
      <w:r w:rsidR="00D07F7B" w:rsidRPr="00CA5B9E">
        <w:rPr>
          <w:rFonts w:ascii="Times New Roman" w:hAnsi="Times New Roman"/>
          <w:bCs/>
          <w:spacing w:val="-3"/>
          <w:sz w:val="18"/>
          <w:szCs w:val="18"/>
          <w:lang w:val="es-AR"/>
        </w:rPr>
        <w:t xml:space="preserve">a tasa fija y con vencimiento a los 24 meses desde su Fecha de Emisión y Liquidación </w:t>
      </w:r>
      <w:r w:rsidR="00C214E7" w:rsidRPr="00CA5B9E">
        <w:rPr>
          <w:rFonts w:ascii="Times New Roman" w:hAnsi="Times New Roman"/>
          <w:bCs/>
          <w:spacing w:val="-3"/>
          <w:sz w:val="18"/>
          <w:szCs w:val="18"/>
          <w:lang w:val="es-AR"/>
        </w:rPr>
        <w:t xml:space="preserve">por un valor nominal </w:t>
      </w:r>
      <w:r w:rsidR="002A33FF" w:rsidRPr="00CA5B9E">
        <w:rPr>
          <w:rFonts w:ascii="Times New Roman" w:hAnsi="Times New Roman"/>
          <w:bCs/>
          <w:spacing w:val="-3"/>
          <w:sz w:val="18"/>
          <w:szCs w:val="18"/>
          <w:lang w:val="es-AR"/>
        </w:rPr>
        <w:t>de hasta US$1</w:t>
      </w:r>
      <w:r w:rsidR="00C214E7" w:rsidRPr="00CA5B9E">
        <w:rPr>
          <w:rFonts w:ascii="Times New Roman" w:hAnsi="Times New Roman"/>
          <w:bCs/>
          <w:spacing w:val="-3"/>
          <w:sz w:val="18"/>
          <w:szCs w:val="18"/>
          <w:lang w:val="es-AR"/>
        </w:rPr>
        <w:t>0.00</w:t>
      </w:r>
      <w:r w:rsidR="00693E37" w:rsidRPr="00CA5B9E">
        <w:rPr>
          <w:rFonts w:ascii="Times New Roman" w:hAnsi="Times New Roman"/>
          <w:bCs/>
          <w:spacing w:val="-3"/>
          <w:sz w:val="18"/>
          <w:szCs w:val="18"/>
          <w:lang w:val="es-AR"/>
        </w:rPr>
        <w:t>0.000 ampliable</w:t>
      </w:r>
      <w:r w:rsidR="00480489" w:rsidRPr="00CA5B9E">
        <w:rPr>
          <w:rFonts w:ascii="Times New Roman" w:hAnsi="Times New Roman"/>
          <w:bCs/>
          <w:spacing w:val="-3"/>
          <w:sz w:val="18"/>
          <w:szCs w:val="18"/>
          <w:lang w:val="es-AR"/>
        </w:rPr>
        <w:t xml:space="preserve"> </w:t>
      </w:r>
      <w:r w:rsidR="002A33FF" w:rsidRPr="00CA5B9E">
        <w:rPr>
          <w:rFonts w:ascii="Times New Roman" w:hAnsi="Times New Roman"/>
          <w:bCs/>
          <w:spacing w:val="-3"/>
          <w:sz w:val="18"/>
          <w:szCs w:val="18"/>
          <w:lang w:val="es-AR"/>
        </w:rPr>
        <w:t xml:space="preserve">por </w:t>
      </w:r>
      <w:r w:rsidR="000063DC" w:rsidRPr="00CA5B9E">
        <w:rPr>
          <w:rFonts w:ascii="Times New Roman" w:hAnsi="Times New Roman"/>
          <w:bCs/>
          <w:spacing w:val="-3"/>
          <w:sz w:val="18"/>
          <w:szCs w:val="18"/>
          <w:lang w:val="es-AR"/>
        </w:rPr>
        <w:t xml:space="preserve">hasta </w:t>
      </w:r>
      <w:r w:rsidR="00A300CF" w:rsidRPr="00CA5B9E">
        <w:rPr>
          <w:rFonts w:ascii="Times New Roman" w:hAnsi="Times New Roman"/>
          <w:bCs/>
          <w:spacing w:val="-3"/>
          <w:sz w:val="18"/>
          <w:szCs w:val="18"/>
          <w:lang w:val="es-AR"/>
        </w:rPr>
        <w:t>US$100.000.000</w:t>
      </w:r>
      <w:r w:rsidR="00290098">
        <w:rPr>
          <w:rFonts w:ascii="Times New Roman" w:hAnsi="Times New Roman"/>
          <w:bCs/>
          <w:spacing w:val="-3"/>
          <w:sz w:val="18"/>
          <w:szCs w:val="18"/>
          <w:lang w:val="es-AR"/>
        </w:rPr>
        <w:t xml:space="preserve"> </w:t>
      </w:r>
      <w:r w:rsidR="00290098" w:rsidRPr="00CC3A39">
        <w:rPr>
          <w:rFonts w:ascii="Times New Roman" w:hAnsi="Times New Roman"/>
          <w:bCs/>
          <w:spacing w:val="-3"/>
          <w:sz w:val="18"/>
          <w:szCs w:val="18"/>
          <w:lang w:val="es-AR"/>
        </w:rPr>
        <w:t>(las “</w:t>
      </w:r>
      <w:r w:rsidR="00290098" w:rsidRPr="00CC3A39">
        <w:rPr>
          <w:rFonts w:ascii="Times New Roman" w:hAnsi="Times New Roman"/>
          <w:b/>
          <w:bCs/>
          <w:spacing w:val="-3"/>
          <w:sz w:val="18"/>
          <w:szCs w:val="18"/>
          <w:lang w:val="es-AR"/>
        </w:rPr>
        <w:t>Obligaciones Negociables</w:t>
      </w:r>
      <w:r w:rsidR="00290098">
        <w:rPr>
          <w:rFonts w:ascii="Times New Roman" w:hAnsi="Times New Roman"/>
          <w:bCs/>
          <w:spacing w:val="-3"/>
          <w:sz w:val="18"/>
          <w:szCs w:val="18"/>
          <w:lang w:val="es-AR"/>
        </w:rPr>
        <w:t>”</w:t>
      </w:r>
      <w:r w:rsidR="00290098" w:rsidRPr="00CC3A39">
        <w:rPr>
          <w:rFonts w:ascii="Times New Roman" w:hAnsi="Times New Roman"/>
          <w:bCs/>
          <w:spacing w:val="-3"/>
          <w:sz w:val="18"/>
          <w:szCs w:val="18"/>
          <w:lang w:val="es-AR"/>
        </w:rPr>
        <w:t>)</w:t>
      </w:r>
      <w:r w:rsidR="00480489" w:rsidRPr="00CA5B9E">
        <w:rPr>
          <w:rFonts w:ascii="Times New Roman" w:hAnsi="Times New Roman"/>
          <w:bCs/>
          <w:spacing w:val="-3"/>
          <w:sz w:val="18"/>
          <w:szCs w:val="18"/>
          <w:lang w:val="es-AR"/>
        </w:rPr>
        <w:t xml:space="preserve">, </w:t>
      </w:r>
      <w:r w:rsidRPr="00CA5B9E">
        <w:rPr>
          <w:rFonts w:ascii="Times New Roman" w:hAnsi="Times New Roman"/>
          <w:sz w:val="18"/>
          <w:szCs w:val="18"/>
          <w:lang w:val="es-AR"/>
        </w:rPr>
        <w:t xml:space="preserve">a ser emitidas por </w:t>
      </w:r>
      <w:proofErr w:type="spellStart"/>
      <w:r w:rsidRPr="00CA5B9E">
        <w:rPr>
          <w:rFonts w:ascii="Times New Roman" w:hAnsi="Times New Roman"/>
          <w:sz w:val="18"/>
          <w:szCs w:val="18"/>
          <w:lang w:val="es-AR"/>
        </w:rPr>
        <w:t>Genneia</w:t>
      </w:r>
      <w:proofErr w:type="spellEnd"/>
      <w:r w:rsidRPr="00CA5B9E">
        <w:rPr>
          <w:rFonts w:ascii="Times New Roman" w:hAnsi="Times New Roman"/>
          <w:sz w:val="18"/>
          <w:szCs w:val="18"/>
          <w:lang w:val="es-AR"/>
        </w:rPr>
        <w:t xml:space="preserve"> S.A. (la “</w:t>
      </w:r>
      <w:r w:rsidR="00C214E7" w:rsidRPr="00CA5B9E">
        <w:rPr>
          <w:rFonts w:ascii="Times New Roman" w:hAnsi="Times New Roman"/>
          <w:b/>
          <w:bCs/>
          <w:sz w:val="18"/>
          <w:szCs w:val="18"/>
          <w:lang w:val="es-AR"/>
        </w:rPr>
        <w:t>Emisora</w:t>
      </w:r>
      <w:r w:rsidRPr="00CA5B9E">
        <w:rPr>
          <w:rFonts w:ascii="Times New Roman" w:hAnsi="Times New Roman"/>
          <w:sz w:val="18"/>
          <w:szCs w:val="18"/>
          <w:lang w:val="es-AR"/>
        </w:rPr>
        <w:t xml:space="preserve">”), </w:t>
      </w:r>
      <w:r w:rsidR="00C214E7" w:rsidRPr="00CA5B9E">
        <w:rPr>
          <w:rFonts w:ascii="Times New Roman" w:hAnsi="Times New Roman"/>
          <w:sz w:val="18"/>
          <w:szCs w:val="18"/>
          <w:lang w:val="es-AR"/>
        </w:rPr>
        <w:t>en el marco d</w:t>
      </w:r>
      <w:r w:rsidRPr="00CA5B9E">
        <w:rPr>
          <w:rFonts w:ascii="Times New Roman" w:hAnsi="Times New Roman"/>
          <w:sz w:val="18"/>
          <w:szCs w:val="18"/>
          <w:lang w:val="es-AR"/>
        </w:rPr>
        <w:t xml:space="preserve">el </w:t>
      </w:r>
      <w:r w:rsidR="00480489" w:rsidRPr="00CA5B9E">
        <w:rPr>
          <w:rFonts w:ascii="Times New Roman" w:hAnsi="Times New Roman"/>
          <w:bCs/>
          <w:spacing w:val="-3"/>
          <w:sz w:val="18"/>
          <w:szCs w:val="18"/>
          <w:lang w:val="es-AR"/>
        </w:rPr>
        <w:t>programa global para la emisión de Obligaciones Negociables Simples (no convertibles en acciones) por un monto máximo de hasta US$800.000.000 (o su equivalente en otras monedas) (el “</w:t>
      </w:r>
      <w:r w:rsidR="00480489" w:rsidRPr="00CA5B9E">
        <w:rPr>
          <w:rFonts w:ascii="Times New Roman" w:hAnsi="Times New Roman"/>
          <w:b/>
          <w:bCs/>
          <w:spacing w:val="-3"/>
          <w:sz w:val="18"/>
          <w:szCs w:val="18"/>
          <w:lang w:val="es-AR"/>
        </w:rPr>
        <w:t>Programa</w:t>
      </w:r>
      <w:r w:rsidR="00480489" w:rsidRPr="00CA5B9E">
        <w:rPr>
          <w:rFonts w:ascii="Times New Roman" w:hAnsi="Times New Roman"/>
          <w:bCs/>
          <w:spacing w:val="-3"/>
          <w:sz w:val="18"/>
          <w:szCs w:val="18"/>
          <w:lang w:val="es-AR"/>
        </w:rPr>
        <w:t>”)</w:t>
      </w:r>
      <w:r w:rsidR="00AF4ECB">
        <w:rPr>
          <w:rFonts w:ascii="Times New Roman" w:hAnsi="Times New Roman"/>
          <w:bCs/>
          <w:spacing w:val="-3"/>
          <w:sz w:val="18"/>
          <w:szCs w:val="18"/>
          <w:lang w:val="es-AR"/>
        </w:rPr>
        <w:t>, y de acuerdo con los principales términos y condiciones que forman parte del Suplemento de Prospecto y del Prospecto que se encuentran disponibles en la Página Web de la CNV, en el Boletín Diario de la BCBA, en la Página Web del MAE y en la Página</w:t>
      </w:r>
      <w:r w:rsidR="00D83853">
        <w:rPr>
          <w:rFonts w:ascii="Times New Roman" w:hAnsi="Times New Roman"/>
          <w:bCs/>
          <w:spacing w:val="-3"/>
          <w:sz w:val="18"/>
          <w:szCs w:val="18"/>
          <w:lang w:val="es-AR"/>
        </w:rPr>
        <w:t xml:space="preserve"> Web de la Compañía. </w:t>
      </w:r>
    </w:p>
    <w:p w14:paraId="10222794" w14:textId="77777777" w:rsidR="005D616A" w:rsidRDefault="005D616A" w:rsidP="001F6343">
      <w:pPr>
        <w:ind w:right="96"/>
        <w:jc w:val="both"/>
        <w:rPr>
          <w:rFonts w:ascii="Times New Roman" w:hAnsi="Times New Roman"/>
          <w:bCs/>
          <w:spacing w:val="-3"/>
          <w:sz w:val="18"/>
          <w:szCs w:val="18"/>
          <w:lang w:val="es-AR"/>
        </w:rPr>
      </w:pPr>
    </w:p>
    <w:p w14:paraId="10222795" w14:textId="77777777" w:rsidR="009B4F74" w:rsidRPr="00CA5B9E" w:rsidRDefault="009B4F74" w:rsidP="001F6343">
      <w:pPr>
        <w:ind w:right="96"/>
        <w:jc w:val="both"/>
        <w:rPr>
          <w:rFonts w:ascii="Times New Roman" w:hAnsi="Times New Roman"/>
          <w:b/>
          <w:sz w:val="18"/>
          <w:szCs w:val="18"/>
          <w:lang w:val="es-AR"/>
        </w:rPr>
      </w:pPr>
      <w:r w:rsidRPr="00CA5B9E">
        <w:rPr>
          <w:rFonts w:ascii="Times New Roman" w:hAnsi="Times New Roman"/>
          <w:b/>
          <w:sz w:val="18"/>
          <w:szCs w:val="18"/>
          <w:lang w:val="es-AR"/>
        </w:rPr>
        <w:t xml:space="preserve">Todos los términos utilizados en mayúscula no definidos en el presente aviso, tendrán el significado que se les asigna en el </w:t>
      </w:r>
      <w:r w:rsidR="00C75C60" w:rsidRPr="00CA5B9E">
        <w:rPr>
          <w:rFonts w:ascii="Times New Roman" w:hAnsi="Times New Roman"/>
          <w:b/>
          <w:sz w:val="18"/>
          <w:szCs w:val="18"/>
          <w:lang w:val="es-AR"/>
        </w:rPr>
        <w:t xml:space="preserve">Prospecto y/o en el </w:t>
      </w:r>
      <w:r w:rsidRPr="00CA5B9E">
        <w:rPr>
          <w:rFonts w:ascii="Times New Roman" w:hAnsi="Times New Roman"/>
          <w:b/>
          <w:sz w:val="18"/>
          <w:szCs w:val="18"/>
          <w:lang w:val="es-AR"/>
        </w:rPr>
        <w:t xml:space="preserve">Suplemento y/o en el Aviso de </w:t>
      </w:r>
      <w:r w:rsidR="00B83347" w:rsidRPr="00CA5B9E">
        <w:rPr>
          <w:rFonts w:ascii="Times New Roman" w:hAnsi="Times New Roman"/>
          <w:b/>
          <w:sz w:val="18"/>
          <w:szCs w:val="18"/>
          <w:lang w:val="es-AR"/>
        </w:rPr>
        <w:t>Suscripción</w:t>
      </w:r>
      <w:r w:rsidR="00290098">
        <w:rPr>
          <w:rFonts w:ascii="Times New Roman" w:hAnsi="Times New Roman"/>
          <w:b/>
          <w:sz w:val="18"/>
          <w:szCs w:val="18"/>
          <w:lang w:val="es-AR"/>
        </w:rPr>
        <w:t xml:space="preserve"> y/o en el Aviso Complementario</w:t>
      </w:r>
      <w:r w:rsidR="00B83347" w:rsidRPr="00CA5B9E">
        <w:rPr>
          <w:rFonts w:ascii="Times New Roman" w:hAnsi="Times New Roman"/>
          <w:b/>
          <w:sz w:val="18"/>
          <w:szCs w:val="18"/>
          <w:lang w:val="es-AR"/>
        </w:rPr>
        <w:t>, según corresponda.</w:t>
      </w:r>
    </w:p>
    <w:p w14:paraId="10222796" w14:textId="77777777" w:rsidR="00B83347" w:rsidRPr="005D616A" w:rsidRDefault="00B83347" w:rsidP="001F6343">
      <w:pPr>
        <w:ind w:right="96"/>
        <w:jc w:val="both"/>
        <w:rPr>
          <w:rFonts w:ascii="Times New Roman" w:hAnsi="Times New Roman"/>
          <w:sz w:val="18"/>
          <w:szCs w:val="18"/>
          <w:lang w:val="es-AR"/>
        </w:rPr>
      </w:pPr>
    </w:p>
    <w:p w14:paraId="10222797" w14:textId="77777777" w:rsidR="002F3B46" w:rsidRPr="00CA5B9E" w:rsidRDefault="00B83347" w:rsidP="001F6343">
      <w:pPr>
        <w:ind w:right="96"/>
        <w:jc w:val="both"/>
        <w:rPr>
          <w:rFonts w:ascii="Times New Roman" w:hAnsi="Times New Roman"/>
          <w:sz w:val="18"/>
          <w:szCs w:val="18"/>
          <w:lang w:val="es-AR"/>
        </w:rPr>
      </w:pPr>
      <w:r w:rsidRPr="005D616A">
        <w:rPr>
          <w:rFonts w:ascii="Times New Roman" w:hAnsi="Times New Roman"/>
          <w:sz w:val="18"/>
          <w:szCs w:val="18"/>
          <w:lang w:val="es-AR"/>
        </w:rPr>
        <w:t>De acuerdo con lo previsto en el Suplemento, se informa</w:t>
      </w:r>
      <w:r w:rsidRPr="00CA5B9E">
        <w:rPr>
          <w:rFonts w:ascii="Times New Roman" w:hAnsi="Times New Roman"/>
          <w:sz w:val="18"/>
          <w:szCs w:val="18"/>
          <w:lang w:val="es-AR"/>
        </w:rPr>
        <w:t xml:space="preserve"> </w:t>
      </w:r>
      <w:r w:rsidR="00D83853">
        <w:rPr>
          <w:rFonts w:ascii="Times New Roman" w:hAnsi="Times New Roman"/>
          <w:sz w:val="18"/>
          <w:szCs w:val="18"/>
          <w:lang w:val="es-AR"/>
        </w:rPr>
        <w:t xml:space="preserve">el resultado </w:t>
      </w:r>
      <w:r w:rsidRPr="005D616A">
        <w:rPr>
          <w:rFonts w:ascii="Times New Roman" w:hAnsi="Times New Roman"/>
          <w:sz w:val="18"/>
          <w:szCs w:val="18"/>
          <w:lang w:val="es-AR"/>
        </w:rPr>
        <w:t>de la</w:t>
      </w:r>
      <w:r w:rsidRPr="00CA5B9E">
        <w:rPr>
          <w:rFonts w:ascii="Times New Roman" w:hAnsi="Times New Roman"/>
          <w:sz w:val="18"/>
          <w:szCs w:val="18"/>
          <w:lang w:val="es-AR"/>
        </w:rPr>
        <w:t xml:space="preserve"> colocación de las Obligaciones Negociables:</w:t>
      </w:r>
    </w:p>
    <w:p w14:paraId="10222798" w14:textId="77777777" w:rsidR="00D26A3E" w:rsidRPr="00CA5B9E" w:rsidRDefault="00D26A3E" w:rsidP="001F6343">
      <w:pPr>
        <w:ind w:right="96"/>
        <w:jc w:val="both"/>
        <w:rPr>
          <w:rFonts w:ascii="Times New Roman" w:hAnsi="Times New Roman"/>
          <w:sz w:val="18"/>
          <w:szCs w:val="18"/>
          <w:lang w:val="es-AR"/>
        </w:rPr>
      </w:pPr>
    </w:p>
    <w:p w14:paraId="10222799" w14:textId="77777777" w:rsidR="00F9061E" w:rsidRPr="005D616A" w:rsidRDefault="00F9061E" w:rsidP="001F6343">
      <w:pPr>
        <w:pStyle w:val="Prrafodelista"/>
        <w:numPr>
          <w:ilvl w:val="0"/>
          <w:numId w:val="11"/>
        </w:numPr>
        <w:overflowPunct w:val="0"/>
        <w:autoSpaceDE w:val="0"/>
        <w:autoSpaceDN w:val="0"/>
        <w:adjustRightInd w:val="0"/>
        <w:spacing w:after="240"/>
        <w:ind w:left="0" w:right="96" w:firstLine="0"/>
        <w:jc w:val="both"/>
        <w:textAlignment w:val="baseline"/>
        <w:rPr>
          <w:rFonts w:ascii="Times New Roman" w:hAnsi="Times New Roman"/>
          <w:bCs/>
          <w:spacing w:val="-2"/>
          <w:sz w:val="18"/>
          <w:szCs w:val="18"/>
          <w:lang w:val="es-AR"/>
        </w:rPr>
      </w:pPr>
      <w:r w:rsidRPr="00CA5B9E">
        <w:rPr>
          <w:rFonts w:ascii="Times New Roman" w:hAnsi="Times New Roman"/>
          <w:b/>
          <w:bCs/>
          <w:spacing w:val="-2"/>
          <w:sz w:val="18"/>
          <w:szCs w:val="18"/>
          <w:lang w:val="es-AR"/>
        </w:rPr>
        <w:t>Monto Ofertado Total:</w:t>
      </w:r>
      <w:r w:rsidRPr="00CA5B9E">
        <w:rPr>
          <w:rFonts w:ascii="Times New Roman" w:hAnsi="Times New Roman"/>
          <w:bCs/>
          <w:spacing w:val="-2"/>
          <w:sz w:val="18"/>
          <w:szCs w:val="18"/>
          <w:lang w:val="es-AR"/>
        </w:rPr>
        <w:t xml:space="preserve"> </w:t>
      </w:r>
      <w:r w:rsidR="0088599D">
        <w:rPr>
          <w:rFonts w:ascii="Times New Roman" w:hAnsi="Times New Roman"/>
          <w:bCs/>
          <w:spacing w:val="-2"/>
          <w:sz w:val="18"/>
          <w:szCs w:val="18"/>
          <w:lang w:val="es-AR"/>
        </w:rPr>
        <w:t>US$56.524.444</w:t>
      </w:r>
      <w:r w:rsidR="002B620B">
        <w:rPr>
          <w:rFonts w:ascii="Times New Roman" w:hAnsi="Times New Roman"/>
          <w:bCs/>
          <w:spacing w:val="-2"/>
          <w:sz w:val="18"/>
          <w:szCs w:val="18"/>
          <w:lang w:val="es-AR"/>
        </w:rPr>
        <w:t xml:space="preserve">, lo que implica una sobresuscripción de 5,6 veces sobre el monto de base de emisión. </w:t>
      </w:r>
    </w:p>
    <w:p w14:paraId="1022279A" w14:textId="77777777" w:rsidR="00F9061E" w:rsidRPr="005D616A" w:rsidRDefault="00F9061E" w:rsidP="001F6343">
      <w:pPr>
        <w:pStyle w:val="Prrafodelista"/>
        <w:overflowPunct w:val="0"/>
        <w:autoSpaceDE w:val="0"/>
        <w:autoSpaceDN w:val="0"/>
        <w:adjustRightInd w:val="0"/>
        <w:spacing w:after="240"/>
        <w:ind w:left="0" w:right="96"/>
        <w:jc w:val="both"/>
        <w:textAlignment w:val="baseline"/>
        <w:rPr>
          <w:rFonts w:ascii="Times New Roman" w:hAnsi="Times New Roman"/>
          <w:bCs/>
          <w:spacing w:val="-2"/>
          <w:sz w:val="18"/>
          <w:szCs w:val="18"/>
          <w:lang w:val="es-AR"/>
        </w:rPr>
      </w:pPr>
    </w:p>
    <w:p w14:paraId="1022279B" w14:textId="77777777" w:rsidR="00D26A3E" w:rsidRPr="005D616A" w:rsidRDefault="00D26A3E" w:rsidP="001F6343">
      <w:pPr>
        <w:pStyle w:val="Prrafodelista"/>
        <w:numPr>
          <w:ilvl w:val="0"/>
          <w:numId w:val="11"/>
        </w:numPr>
        <w:overflowPunct w:val="0"/>
        <w:autoSpaceDE w:val="0"/>
        <w:autoSpaceDN w:val="0"/>
        <w:adjustRightInd w:val="0"/>
        <w:spacing w:after="240"/>
        <w:ind w:left="0" w:right="96" w:firstLine="0"/>
        <w:jc w:val="both"/>
        <w:textAlignment w:val="baseline"/>
        <w:rPr>
          <w:rFonts w:ascii="Times New Roman" w:hAnsi="Times New Roman"/>
          <w:bCs/>
          <w:spacing w:val="-2"/>
          <w:sz w:val="18"/>
          <w:szCs w:val="18"/>
          <w:lang w:val="es-AR"/>
        </w:rPr>
      </w:pPr>
      <w:r w:rsidRPr="005D616A">
        <w:rPr>
          <w:rFonts w:ascii="Times New Roman" w:hAnsi="Times New Roman"/>
          <w:b/>
          <w:bCs/>
          <w:spacing w:val="-2"/>
          <w:sz w:val="18"/>
          <w:szCs w:val="18"/>
          <w:lang w:val="es-AR"/>
        </w:rPr>
        <w:t>Ofertas Recibidas:</w:t>
      </w:r>
      <w:r w:rsidRPr="00CA5B9E">
        <w:rPr>
          <w:rFonts w:ascii="Times New Roman" w:hAnsi="Times New Roman"/>
          <w:bCs/>
          <w:spacing w:val="-2"/>
          <w:sz w:val="18"/>
          <w:szCs w:val="18"/>
          <w:lang w:val="es-AR"/>
        </w:rPr>
        <w:t xml:space="preserve"> </w:t>
      </w:r>
      <w:r w:rsidR="0088599D">
        <w:rPr>
          <w:rFonts w:ascii="Times New Roman" w:hAnsi="Times New Roman"/>
          <w:bCs/>
          <w:spacing w:val="-2"/>
          <w:sz w:val="18"/>
          <w:szCs w:val="18"/>
          <w:lang w:val="es-AR"/>
        </w:rPr>
        <w:t>100.</w:t>
      </w:r>
    </w:p>
    <w:p w14:paraId="1022279C" w14:textId="77777777" w:rsidR="00F9061E" w:rsidRPr="005D616A" w:rsidRDefault="00F9061E" w:rsidP="001F6343">
      <w:pPr>
        <w:pStyle w:val="Prrafodelista"/>
        <w:ind w:left="0" w:right="96"/>
        <w:rPr>
          <w:rFonts w:ascii="Times New Roman" w:hAnsi="Times New Roman"/>
          <w:bCs/>
          <w:spacing w:val="-2"/>
          <w:sz w:val="18"/>
          <w:szCs w:val="18"/>
          <w:lang w:val="es-AR"/>
        </w:rPr>
      </w:pPr>
    </w:p>
    <w:p w14:paraId="1022279D" w14:textId="77777777" w:rsidR="00F9061E" w:rsidRDefault="00F9061E" w:rsidP="001F6343">
      <w:pPr>
        <w:pStyle w:val="Prrafodelista"/>
        <w:numPr>
          <w:ilvl w:val="0"/>
          <w:numId w:val="11"/>
        </w:numPr>
        <w:overflowPunct w:val="0"/>
        <w:autoSpaceDE w:val="0"/>
        <w:autoSpaceDN w:val="0"/>
        <w:adjustRightInd w:val="0"/>
        <w:spacing w:after="240"/>
        <w:ind w:left="0" w:right="96" w:firstLine="0"/>
        <w:jc w:val="both"/>
        <w:textAlignment w:val="baseline"/>
        <w:rPr>
          <w:rFonts w:ascii="Times New Roman" w:hAnsi="Times New Roman"/>
          <w:bCs/>
          <w:spacing w:val="-2"/>
          <w:sz w:val="18"/>
          <w:szCs w:val="18"/>
          <w:lang w:val="es-AR"/>
        </w:rPr>
      </w:pPr>
      <w:r w:rsidRPr="005D616A">
        <w:rPr>
          <w:rFonts w:ascii="Times New Roman" w:hAnsi="Times New Roman"/>
          <w:b/>
          <w:bCs/>
          <w:spacing w:val="-2"/>
          <w:sz w:val="18"/>
          <w:szCs w:val="18"/>
          <w:lang w:val="es-AR"/>
        </w:rPr>
        <w:t xml:space="preserve">Valor Nominal a </w:t>
      </w:r>
      <w:r w:rsidR="00D83853" w:rsidRPr="00AA416C">
        <w:rPr>
          <w:rFonts w:ascii="Times New Roman" w:hAnsi="Times New Roman"/>
          <w:b/>
          <w:bCs/>
          <w:spacing w:val="-2"/>
          <w:sz w:val="18"/>
          <w:szCs w:val="18"/>
          <w:lang w:val="es-AR"/>
        </w:rPr>
        <w:t>Emitirse</w:t>
      </w:r>
      <w:r w:rsidRPr="00CA5B9E">
        <w:rPr>
          <w:rFonts w:ascii="Times New Roman" w:hAnsi="Times New Roman"/>
          <w:b/>
          <w:bCs/>
          <w:spacing w:val="-2"/>
          <w:sz w:val="18"/>
          <w:szCs w:val="18"/>
          <w:lang w:val="es-AR"/>
        </w:rPr>
        <w:t>:</w:t>
      </w:r>
      <w:r w:rsidRPr="00CA5B9E">
        <w:rPr>
          <w:rFonts w:ascii="Times New Roman" w:hAnsi="Times New Roman"/>
          <w:bCs/>
          <w:spacing w:val="-2"/>
          <w:sz w:val="18"/>
          <w:szCs w:val="18"/>
          <w:lang w:val="es-AR"/>
        </w:rPr>
        <w:t xml:space="preserve"> US</w:t>
      </w:r>
      <w:r w:rsidR="0088599D" w:rsidRPr="00CA5B9E">
        <w:rPr>
          <w:rFonts w:ascii="Times New Roman" w:hAnsi="Times New Roman"/>
          <w:bCs/>
          <w:spacing w:val="-2"/>
          <w:sz w:val="18"/>
          <w:szCs w:val="18"/>
          <w:lang w:val="es-AR"/>
        </w:rPr>
        <w:t>$</w:t>
      </w:r>
      <w:r w:rsidR="0088599D">
        <w:rPr>
          <w:rFonts w:ascii="Times New Roman" w:hAnsi="Times New Roman"/>
          <w:bCs/>
          <w:spacing w:val="-2"/>
          <w:sz w:val="18"/>
          <w:szCs w:val="18"/>
          <w:lang w:val="es-AR"/>
        </w:rPr>
        <w:t>51.503.944.</w:t>
      </w:r>
    </w:p>
    <w:p w14:paraId="1022279E" w14:textId="77777777" w:rsidR="00D83853" w:rsidRPr="00CA5B9E" w:rsidRDefault="00D83853" w:rsidP="001F6343">
      <w:pPr>
        <w:pStyle w:val="Prrafodelista"/>
        <w:ind w:left="0" w:right="96"/>
        <w:rPr>
          <w:rFonts w:ascii="Times New Roman" w:hAnsi="Times New Roman"/>
          <w:bCs/>
          <w:spacing w:val="-2"/>
          <w:sz w:val="18"/>
          <w:szCs w:val="18"/>
          <w:lang w:val="es-AR"/>
        </w:rPr>
      </w:pPr>
    </w:p>
    <w:p w14:paraId="1022279F" w14:textId="77777777" w:rsidR="003A0831" w:rsidRPr="004A4E42" w:rsidRDefault="003A0831" w:rsidP="001F6343">
      <w:pPr>
        <w:pStyle w:val="Prrafodelista"/>
        <w:numPr>
          <w:ilvl w:val="0"/>
          <w:numId w:val="11"/>
        </w:numPr>
        <w:overflowPunct w:val="0"/>
        <w:autoSpaceDE w:val="0"/>
        <w:autoSpaceDN w:val="0"/>
        <w:adjustRightInd w:val="0"/>
        <w:spacing w:after="240"/>
        <w:ind w:left="0" w:right="96" w:firstLine="0"/>
        <w:jc w:val="both"/>
        <w:textAlignment w:val="baseline"/>
        <w:rPr>
          <w:rFonts w:ascii="Times New Roman" w:hAnsi="Times New Roman"/>
          <w:b/>
          <w:bCs/>
          <w:spacing w:val="-2"/>
          <w:sz w:val="18"/>
          <w:szCs w:val="18"/>
          <w:lang w:val="es-AR"/>
        </w:rPr>
      </w:pPr>
      <w:r w:rsidRPr="004A4E42">
        <w:rPr>
          <w:rFonts w:ascii="Times New Roman" w:hAnsi="Times New Roman"/>
          <w:b/>
          <w:bCs/>
          <w:spacing w:val="-2"/>
          <w:sz w:val="18"/>
          <w:szCs w:val="18"/>
          <w:lang w:val="es-AR"/>
        </w:rPr>
        <w:t xml:space="preserve">Precio de Emisión: </w:t>
      </w:r>
      <w:r w:rsidRPr="004A4E42">
        <w:rPr>
          <w:rFonts w:ascii="Times New Roman" w:hAnsi="Times New Roman"/>
          <w:sz w:val="18"/>
          <w:szCs w:val="18"/>
          <w:lang w:val="es-AR"/>
        </w:rPr>
        <w:t>100% del valor nominal (a la par).</w:t>
      </w:r>
    </w:p>
    <w:p w14:paraId="102227A0" w14:textId="77777777" w:rsidR="003A0831" w:rsidRPr="00CA5B9E" w:rsidRDefault="003A0831" w:rsidP="001F6343">
      <w:pPr>
        <w:pStyle w:val="Prrafodelista"/>
        <w:overflowPunct w:val="0"/>
        <w:autoSpaceDE w:val="0"/>
        <w:autoSpaceDN w:val="0"/>
        <w:adjustRightInd w:val="0"/>
        <w:spacing w:after="240"/>
        <w:ind w:left="0" w:right="96"/>
        <w:jc w:val="both"/>
        <w:textAlignment w:val="baseline"/>
        <w:rPr>
          <w:rFonts w:ascii="Times New Roman" w:hAnsi="Times New Roman"/>
          <w:bCs/>
          <w:spacing w:val="-2"/>
          <w:sz w:val="18"/>
          <w:szCs w:val="18"/>
          <w:lang w:val="es-AR"/>
        </w:rPr>
      </w:pPr>
    </w:p>
    <w:p w14:paraId="102227A1" w14:textId="77777777" w:rsidR="003A0831" w:rsidRDefault="003A0831" w:rsidP="001F6343">
      <w:pPr>
        <w:pStyle w:val="Prrafodelista"/>
        <w:numPr>
          <w:ilvl w:val="0"/>
          <w:numId w:val="11"/>
        </w:numPr>
        <w:overflowPunct w:val="0"/>
        <w:autoSpaceDE w:val="0"/>
        <w:autoSpaceDN w:val="0"/>
        <w:adjustRightInd w:val="0"/>
        <w:spacing w:after="240"/>
        <w:ind w:left="0" w:right="96" w:firstLine="0"/>
        <w:jc w:val="both"/>
        <w:textAlignment w:val="baseline"/>
        <w:rPr>
          <w:rFonts w:ascii="Times New Roman" w:hAnsi="Times New Roman"/>
          <w:bCs/>
          <w:spacing w:val="-2"/>
          <w:sz w:val="18"/>
          <w:szCs w:val="18"/>
          <w:lang w:val="es-AR"/>
        </w:rPr>
      </w:pPr>
      <w:r w:rsidRPr="0010241E">
        <w:rPr>
          <w:rFonts w:ascii="Times New Roman" w:hAnsi="Times New Roman"/>
          <w:b/>
          <w:bCs/>
          <w:spacing w:val="-2"/>
          <w:sz w:val="18"/>
          <w:szCs w:val="18"/>
          <w:lang w:val="es-AR"/>
        </w:rPr>
        <w:t xml:space="preserve">Tasa de </w:t>
      </w:r>
      <w:r>
        <w:rPr>
          <w:rFonts w:ascii="Times New Roman" w:hAnsi="Times New Roman"/>
          <w:b/>
          <w:bCs/>
          <w:spacing w:val="-2"/>
          <w:sz w:val="18"/>
          <w:szCs w:val="18"/>
          <w:lang w:val="es-AR"/>
        </w:rPr>
        <w:t>Interés</w:t>
      </w:r>
      <w:r w:rsidRPr="0010241E">
        <w:rPr>
          <w:rFonts w:ascii="Times New Roman" w:hAnsi="Times New Roman"/>
          <w:b/>
          <w:bCs/>
          <w:spacing w:val="-2"/>
          <w:sz w:val="18"/>
          <w:szCs w:val="18"/>
          <w:lang w:val="es-AR"/>
        </w:rPr>
        <w:t xml:space="preserve">: </w:t>
      </w:r>
      <w:r w:rsidR="00AC59D1">
        <w:rPr>
          <w:rFonts w:ascii="Times New Roman" w:hAnsi="Times New Roman"/>
          <w:bCs/>
          <w:spacing w:val="-2"/>
          <w:sz w:val="18"/>
          <w:szCs w:val="18"/>
          <w:lang w:val="es-AR"/>
        </w:rPr>
        <w:t>12</w:t>
      </w:r>
      <w:r w:rsidRPr="0010241E">
        <w:rPr>
          <w:rFonts w:ascii="Times New Roman" w:hAnsi="Times New Roman"/>
          <w:bCs/>
          <w:spacing w:val="-2"/>
          <w:sz w:val="18"/>
          <w:szCs w:val="18"/>
          <w:lang w:val="es-AR"/>
        </w:rPr>
        <w:t>%</w:t>
      </w:r>
      <w:r>
        <w:rPr>
          <w:rFonts w:ascii="Times New Roman" w:hAnsi="Times New Roman"/>
          <w:bCs/>
          <w:spacing w:val="-2"/>
          <w:sz w:val="18"/>
          <w:szCs w:val="18"/>
          <w:lang w:val="es-AR"/>
        </w:rPr>
        <w:t>.</w:t>
      </w:r>
    </w:p>
    <w:p w14:paraId="102227A2" w14:textId="77777777" w:rsidR="003A0831" w:rsidRPr="00CA5B9E" w:rsidRDefault="003A0831" w:rsidP="001F6343">
      <w:pPr>
        <w:pStyle w:val="Prrafodelista"/>
        <w:overflowPunct w:val="0"/>
        <w:autoSpaceDE w:val="0"/>
        <w:autoSpaceDN w:val="0"/>
        <w:adjustRightInd w:val="0"/>
        <w:spacing w:after="240"/>
        <w:ind w:left="0" w:right="96"/>
        <w:jc w:val="both"/>
        <w:textAlignment w:val="baseline"/>
        <w:rPr>
          <w:rFonts w:ascii="Times New Roman" w:hAnsi="Times New Roman"/>
          <w:bCs/>
          <w:spacing w:val="-2"/>
          <w:sz w:val="18"/>
          <w:szCs w:val="18"/>
          <w:lang w:val="es-AR"/>
        </w:rPr>
      </w:pPr>
    </w:p>
    <w:p w14:paraId="102227A3" w14:textId="77777777" w:rsidR="003A0831" w:rsidRPr="00D0629A" w:rsidRDefault="003A0831" w:rsidP="001F6343">
      <w:pPr>
        <w:pStyle w:val="Prrafodelista"/>
        <w:numPr>
          <w:ilvl w:val="0"/>
          <w:numId w:val="11"/>
        </w:numPr>
        <w:overflowPunct w:val="0"/>
        <w:autoSpaceDE w:val="0"/>
        <w:autoSpaceDN w:val="0"/>
        <w:adjustRightInd w:val="0"/>
        <w:spacing w:after="240"/>
        <w:ind w:left="0" w:right="96" w:firstLine="0"/>
        <w:jc w:val="both"/>
        <w:textAlignment w:val="baseline"/>
        <w:rPr>
          <w:rFonts w:ascii="Times New Roman" w:hAnsi="Times New Roman"/>
          <w:b/>
          <w:bCs/>
          <w:spacing w:val="-2"/>
          <w:sz w:val="18"/>
          <w:szCs w:val="18"/>
          <w:lang w:val="es-AR"/>
        </w:rPr>
      </w:pPr>
      <w:r w:rsidRPr="00D0629A">
        <w:rPr>
          <w:rFonts w:ascii="Times New Roman" w:hAnsi="Times New Roman"/>
          <w:b/>
          <w:bCs/>
          <w:spacing w:val="-2"/>
          <w:sz w:val="18"/>
          <w:szCs w:val="18"/>
          <w:lang w:val="es-AR"/>
        </w:rPr>
        <w:t>Fecha de Emisión y Liquidación:</w:t>
      </w:r>
      <w:r w:rsidRPr="00D0629A">
        <w:rPr>
          <w:rFonts w:ascii="Times New Roman" w:hAnsi="Times New Roman"/>
          <w:bCs/>
          <w:spacing w:val="-2"/>
          <w:sz w:val="18"/>
          <w:szCs w:val="18"/>
          <w:lang w:val="es-AR"/>
        </w:rPr>
        <w:t xml:space="preserve"> </w:t>
      </w:r>
      <w:r w:rsidR="00AC59D1">
        <w:rPr>
          <w:rFonts w:ascii="Times New Roman" w:hAnsi="Times New Roman"/>
          <w:bCs/>
          <w:spacing w:val="-2"/>
          <w:sz w:val="18"/>
          <w:szCs w:val="18"/>
          <w:lang w:val="es-AR"/>
        </w:rPr>
        <w:t>23</w:t>
      </w:r>
      <w:r>
        <w:rPr>
          <w:rFonts w:ascii="Times New Roman" w:hAnsi="Times New Roman"/>
          <w:bCs/>
          <w:spacing w:val="-2"/>
          <w:sz w:val="18"/>
          <w:szCs w:val="18"/>
          <w:lang w:val="es-AR"/>
        </w:rPr>
        <w:t xml:space="preserve"> de noviembre de 2018.</w:t>
      </w:r>
    </w:p>
    <w:p w14:paraId="102227A4" w14:textId="77777777" w:rsidR="003A0831" w:rsidRPr="00D0629A" w:rsidRDefault="003A0831" w:rsidP="001F6343">
      <w:pPr>
        <w:pStyle w:val="Prrafodelista"/>
        <w:overflowPunct w:val="0"/>
        <w:autoSpaceDE w:val="0"/>
        <w:autoSpaceDN w:val="0"/>
        <w:adjustRightInd w:val="0"/>
        <w:spacing w:after="240"/>
        <w:ind w:left="0" w:right="96"/>
        <w:jc w:val="both"/>
        <w:textAlignment w:val="baseline"/>
        <w:rPr>
          <w:rFonts w:ascii="Times New Roman" w:hAnsi="Times New Roman"/>
          <w:bCs/>
          <w:spacing w:val="-2"/>
          <w:sz w:val="18"/>
          <w:szCs w:val="18"/>
          <w:lang w:val="es-AR"/>
        </w:rPr>
      </w:pPr>
    </w:p>
    <w:p w14:paraId="102227A5" w14:textId="77777777" w:rsidR="003A0831" w:rsidRPr="00CA5B9E" w:rsidRDefault="003A0831" w:rsidP="001F6343">
      <w:pPr>
        <w:pStyle w:val="Prrafodelista"/>
        <w:numPr>
          <w:ilvl w:val="0"/>
          <w:numId w:val="11"/>
        </w:numPr>
        <w:overflowPunct w:val="0"/>
        <w:autoSpaceDE w:val="0"/>
        <w:autoSpaceDN w:val="0"/>
        <w:adjustRightInd w:val="0"/>
        <w:spacing w:after="240"/>
        <w:ind w:left="0" w:right="96" w:firstLine="0"/>
        <w:jc w:val="both"/>
        <w:textAlignment w:val="baseline"/>
        <w:rPr>
          <w:rFonts w:ascii="Times New Roman" w:hAnsi="Times New Roman"/>
          <w:b/>
          <w:bCs/>
          <w:spacing w:val="-2"/>
          <w:sz w:val="18"/>
          <w:szCs w:val="18"/>
          <w:lang w:val="es-AR"/>
        </w:rPr>
      </w:pPr>
      <w:r w:rsidRPr="00D0629A">
        <w:rPr>
          <w:rFonts w:ascii="Times New Roman" w:hAnsi="Times New Roman"/>
          <w:b/>
          <w:bCs/>
          <w:spacing w:val="-2"/>
          <w:sz w:val="18"/>
          <w:szCs w:val="18"/>
          <w:lang w:val="es-AR"/>
        </w:rPr>
        <w:t>Fechas de Pago de Intereses:</w:t>
      </w:r>
      <w:r w:rsidRPr="00D0629A">
        <w:rPr>
          <w:rFonts w:ascii="Times New Roman" w:hAnsi="Times New Roman"/>
          <w:bCs/>
          <w:spacing w:val="-2"/>
          <w:sz w:val="18"/>
          <w:szCs w:val="18"/>
          <w:lang w:val="es-AR"/>
        </w:rPr>
        <w:t xml:space="preserve"> </w:t>
      </w:r>
      <w:r w:rsidR="004D3CEA">
        <w:rPr>
          <w:rFonts w:ascii="Times New Roman" w:hAnsi="Times New Roman"/>
          <w:bCs/>
          <w:spacing w:val="-2"/>
          <w:sz w:val="18"/>
          <w:szCs w:val="18"/>
          <w:lang w:val="es-AR"/>
        </w:rPr>
        <w:t>23 de febrero de 2019, 23 de mayo de 2019, 23 de agosto de 2019, 23 de noviembre de 2019, 23 de febrero de 2020, 23 de mayo de 2020, 23 de agosto de 2020 y 23 de noviembre de 2020.</w:t>
      </w:r>
    </w:p>
    <w:p w14:paraId="102227A6" w14:textId="77777777" w:rsidR="003A0831" w:rsidRPr="00CA5B9E" w:rsidRDefault="003A0831" w:rsidP="001F6343">
      <w:pPr>
        <w:pStyle w:val="Prrafodelista"/>
        <w:ind w:left="0" w:right="96"/>
        <w:rPr>
          <w:rFonts w:ascii="Times New Roman" w:hAnsi="Times New Roman"/>
          <w:b/>
          <w:bCs/>
          <w:spacing w:val="-2"/>
          <w:sz w:val="18"/>
          <w:szCs w:val="18"/>
          <w:lang w:val="es-AR"/>
        </w:rPr>
      </w:pPr>
    </w:p>
    <w:p w14:paraId="102227A7" w14:textId="77777777" w:rsidR="003A0831" w:rsidRPr="00CA5B9E" w:rsidRDefault="003A0831" w:rsidP="001F6343">
      <w:pPr>
        <w:pStyle w:val="Prrafodelista"/>
        <w:numPr>
          <w:ilvl w:val="0"/>
          <w:numId w:val="11"/>
        </w:numPr>
        <w:overflowPunct w:val="0"/>
        <w:autoSpaceDE w:val="0"/>
        <w:autoSpaceDN w:val="0"/>
        <w:adjustRightInd w:val="0"/>
        <w:spacing w:after="240"/>
        <w:ind w:left="0" w:right="96" w:firstLine="0"/>
        <w:jc w:val="both"/>
        <w:textAlignment w:val="baseline"/>
        <w:rPr>
          <w:rFonts w:ascii="Times New Roman" w:hAnsi="Times New Roman"/>
          <w:b/>
          <w:bCs/>
          <w:spacing w:val="-2"/>
          <w:sz w:val="18"/>
          <w:szCs w:val="18"/>
          <w:lang w:val="es-AR"/>
        </w:rPr>
      </w:pPr>
      <w:r w:rsidRPr="00CA5B9E">
        <w:rPr>
          <w:rFonts w:ascii="Times New Roman" w:hAnsi="Times New Roman"/>
          <w:b/>
          <w:bCs/>
          <w:spacing w:val="-2"/>
          <w:sz w:val="18"/>
          <w:szCs w:val="18"/>
          <w:lang w:val="es-AR"/>
        </w:rPr>
        <w:t>Fecha de Vencimiento:</w:t>
      </w:r>
      <w:r w:rsidRPr="00CA5B9E">
        <w:rPr>
          <w:rFonts w:ascii="Times New Roman" w:hAnsi="Times New Roman"/>
          <w:bCs/>
          <w:spacing w:val="-2"/>
          <w:sz w:val="18"/>
          <w:szCs w:val="18"/>
          <w:lang w:val="es-AR"/>
        </w:rPr>
        <w:t xml:space="preserve"> </w:t>
      </w:r>
      <w:r w:rsidR="00AC59D1">
        <w:rPr>
          <w:rFonts w:ascii="Times New Roman" w:hAnsi="Times New Roman"/>
          <w:bCs/>
          <w:spacing w:val="-2"/>
          <w:sz w:val="18"/>
          <w:szCs w:val="18"/>
          <w:lang w:val="es-AR"/>
        </w:rPr>
        <w:t>2</w:t>
      </w:r>
      <w:r w:rsidR="0088599D">
        <w:rPr>
          <w:rFonts w:ascii="Times New Roman" w:hAnsi="Times New Roman"/>
          <w:bCs/>
          <w:spacing w:val="-2"/>
          <w:sz w:val="18"/>
          <w:szCs w:val="18"/>
          <w:lang w:val="es-AR"/>
        </w:rPr>
        <w:t>3</w:t>
      </w:r>
      <w:r w:rsidR="00AC59D1">
        <w:rPr>
          <w:rFonts w:ascii="Times New Roman" w:hAnsi="Times New Roman"/>
          <w:bCs/>
          <w:spacing w:val="-2"/>
          <w:sz w:val="18"/>
          <w:szCs w:val="18"/>
          <w:lang w:val="es-AR"/>
        </w:rPr>
        <w:t xml:space="preserve"> de noviembre de 20</w:t>
      </w:r>
      <w:r w:rsidR="0088599D">
        <w:rPr>
          <w:rFonts w:ascii="Times New Roman" w:hAnsi="Times New Roman"/>
          <w:bCs/>
          <w:spacing w:val="-2"/>
          <w:sz w:val="18"/>
          <w:szCs w:val="18"/>
          <w:lang w:val="es-AR"/>
        </w:rPr>
        <w:t>20</w:t>
      </w:r>
      <w:r w:rsidRPr="00CA5B9E">
        <w:rPr>
          <w:rFonts w:ascii="Times New Roman" w:hAnsi="Times New Roman"/>
          <w:bCs/>
          <w:spacing w:val="-2"/>
          <w:sz w:val="18"/>
          <w:szCs w:val="18"/>
          <w:lang w:val="es-AR"/>
        </w:rPr>
        <w:t>.</w:t>
      </w:r>
    </w:p>
    <w:p w14:paraId="102227A8" w14:textId="77777777" w:rsidR="003A0831" w:rsidRPr="00CA5B9E" w:rsidRDefault="003A0831" w:rsidP="001F6343">
      <w:pPr>
        <w:pStyle w:val="Prrafodelista"/>
        <w:ind w:left="0" w:right="96"/>
        <w:rPr>
          <w:rFonts w:ascii="Times New Roman" w:hAnsi="Times New Roman"/>
          <w:b/>
          <w:bCs/>
          <w:spacing w:val="-2"/>
          <w:sz w:val="18"/>
          <w:szCs w:val="18"/>
          <w:lang w:val="es-AR"/>
        </w:rPr>
      </w:pPr>
    </w:p>
    <w:p w14:paraId="102227A9" w14:textId="77777777" w:rsidR="003A0831" w:rsidRPr="00CA5B9E" w:rsidRDefault="003A0831" w:rsidP="001F6343">
      <w:pPr>
        <w:pStyle w:val="Prrafodelista"/>
        <w:numPr>
          <w:ilvl w:val="0"/>
          <w:numId w:val="11"/>
        </w:numPr>
        <w:overflowPunct w:val="0"/>
        <w:autoSpaceDE w:val="0"/>
        <w:autoSpaceDN w:val="0"/>
        <w:adjustRightInd w:val="0"/>
        <w:spacing w:after="240"/>
        <w:ind w:left="0" w:right="96" w:firstLine="0"/>
        <w:jc w:val="both"/>
        <w:textAlignment w:val="baseline"/>
        <w:rPr>
          <w:rFonts w:ascii="Times New Roman" w:hAnsi="Times New Roman"/>
          <w:bCs/>
          <w:spacing w:val="-2"/>
          <w:sz w:val="18"/>
          <w:szCs w:val="18"/>
          <w:lang w:val="es-AR"/>
        </w:rPr>
      </w:pPr>
      <w:r w:rsidRPr="00CA5B9E">
        <w:rPr>
          <w:rFonts w:ascii="Times New Roman" w:hAnsi="Times New Roman"/>
          <w:b/>
          <w:bCs/>
          <w:spacing w:val="-2"/>
          <w:sz w:val="18"/>
          <w:szCs w:val="18"/>
          <w:lang w:val="es-AR"/>
        </w:rPr>
        <w:t xml:space="preserve">Amortización: </w:t>
      </w:r>
      <w:r w:rsidRPr="00CA5B9E">
        <w:rPr>
          <w:rFonts w:ascii="Times New Roman" w:hAnsi="Times New Roman"/>
          <w:bCs/>
          <w:spacing w:val="-2"/>
          <w:sz w:val="18"/>
          <w:szCs w:val="18"/>
          <w:lang w:val="es-AR"/>
        </w:rPr>
        <w:t xml:space="preserve">el capital de las Obligaciones Negociables será </w:t>
      </w:r>
      <w:r w:rsidRPr="005D616A">
        <w:rPr>
          <w:rFonts w:ascii="Times New Roman" w:hAnsi="Times New Roman"/>
          <w:bCs/>
          <w:spacing w:val="-2"/>
          <w:sz w:val="18"/>
          <w:szCs w:val="18"/>
          <w:lang w:val="es-AR"/>
        </w:rPr>
        <w:t>amortizado</w:t>
      </w:r>
      <w:r w:rsidRPr="00CA5B9E">
        <w:rPr>
          <w:rFonts w:ascii="Times New Roman" w:hAnsi="Times New Roman"/>
          <w:bCs/>
          <w:spacing w:val="-2"/>
          <w:sz w:val="18"/>
          <w:szCs w:val="18"/>
          <w:lang w:val="es-AR"/>
        </w:rPr>
        <w:t xml:space="preserve"> en una única cuota en la Fecha de Vencimiento, es decir el </w:t>
      </w:r>
      <w:r w:rsidR="0088599D">
        <w:rPr>
          <w:rFonts w:ascii="Times New Roman" w:hAnsi="Times New Roman"/>
          <w:bCs/>
          <w:spacing w:val="-2"/>
          <w:sz w:val="18"/>
          <w:szCs w:val="18"/>
          <w:lang w:val="es-AR"/>
        </w:rPr>
        <w:t>23 de noviembre de 2020</w:t>
      </w:r>
      <w:r w:rsidR="0088599D" w:rsidRPr="00CA5B9E">
        <w:rPr>
          <w:rFonts w:ascii="Times New Roman" w:hAnsi="Times New Roman"/>
          <w:bCs/>
          <w:spacing w:val="-2"/>
          <w:sz w:val="18"/>
          <w:szCs w:val="18"/>
          <w:lang w:val="es-AR"/>
        </w:rPr>
        <w:t>.</w:t>
      </w:r>
    </w:p>
    <w:p w14:paraId="102227AA" w14:textId="77777777" w:rsidR="003A0831" w:rsidRDefault="003A0831" w:rsidP="001F6343">
      <w:pPr>
        <w:pStyle w:val="Prrafodelista"/>
        <w:ind w:left="0" w:right="96"/>
        <w:rPr>
          <w:rFonts w:ascii="Times New Roman" w:hAnsi="Times New Roman"/>
          <w:b/>
          <w:bCs/>
          <w:spacing w:val="-2"/>
          <w:sz w:val="18"/>
          <w:szCs w:val="18"/>
          <w:lang w:val="es-AR"/>
        </w:rPr>
      </w:pPr>
    </w:p>
    <w:p w14:paraId="102227AB" w14:textId="77777777" w:rsidR="00D83853" w:rsidRPr="005D616A" w:rsidRDefault="00D83853" w:rsidP="001F6343">
      <w:pPr>
        <w:pStyle w:val="Prrafodelista"/>
        <w:numPr>
          <w:ilvl w:val="0"/>
          <w:numId w:val="11"/>
        </w:numPr>
        <w:overflowPunct w:val="0"/>
        <w:autoSpaceDE w:val="0"/>
        <w:autoSpaceDN w:val="0"/>
        <w:adjustRightInd w:val="0"/>
        <w:spacing w:after="240"/>
        <w:ind w:left="0" w:right="96" w:firstLine="0"/>
        <w:jc w:val="both"/>
        <w:textAlignment w:val="baseline"/>
        <w:rPr>
          <w:rFonts w:ascii="Times New Roman" w:hAnsi="Times New Roman"/>
          <w:bCs/>
          <w:spacing w:val="-2"/>
          <w:sz w:val="18"/>
          <w:szCs w:val="18"/>
          <w:lang w:val="es-AR"/>
        </w:rPr>
      </w:pPr>
      <w:r w:rsidRPr="00CA5B9E">
        <w:rPr>
          <w:rFonts w:ascii="Times New Roman" w:hAnsi="Times New Roman"/>
          <w:b/>
          <w:bCs/>
          <w:spacing w:val="-2"/>
          <w:sz w:val="18"/>
          <w:szCs w:val="18"/>
          <w:lang w:val="es-AR"/>
        </w:rPr>
        <w:t>Factor de Prorrateo:</w:t>
      </w:r>
      <w:r w:rsidRPr="00D83853">
        <w:rPr>
          <w:rFonts w:ascii="Times New Roman" w:hAnsi="Times New Roman"/>
          <w:bCs/>
          <w:spacing w:val="-2"/>
          <w:sz w:val="18"/>
          <w:szCs w:val="18"/>
          <w:lang w:val="es-AR"/>
        </w:rPr>
        <w:t xml:space="preserve"> </w:t>
      </w:r>
      <w:r w:rsidR="0088599D">
        <w:rPr>
          <w:rFonts w:ascii="Times New Roman" w:hAnsi="Times New Roman"/>
          <w:bCs/>
          <w:spacing w:val="-2"/>
          <w:sz w:val="18"/>
          <w:szCs w:val="18"/>
          <w:lang w:val="es-AR"/>
        </w:rPr>
        <w:t>N/A.</w:t>
      </w:r>
    </w:p>
    <w:p w14:paraId="102227AC" w14:textId="77777777" w:rsidR="00D26A3E" w:rsidRPr="00CA5B9E" w:rsidRDefault="00D26A3E" w:rsidP="001F6343">
      <w:pPr>
        <w:pStyle w:val="Prrafodelista"/>
        <w:overflowPunct w:val="0"/>
        <w:autoSpaceDE w:val="0"/>
        <w:autoSpaceDN w:val="0"/>
        <w:adjustRightInd w:val="0"/>
        <w:spacing w:after="240"/>
        <w:ind w:left="0" w:right="96"/>
        <w:jc w:val="both"/>
        <w:textAlignment w:val="baseline"/>
        <w:rPr>
          <w:rFonts w:ascii="Times New Roman" w:hAnsi="Times New Roman"/>
          <w:bCs/>
          <w:spacing w:val="-2"/>
          <w:sz w:val="18"/>
          <w:szCs w:val="18"/>
          <w:lang w:val="es-AR"/>
        </w:rPr>
      </w:pPr>
    </w:p>
    <w:p w14:paraId="102227AD" w14:textId="77777777" w:rsidR="00D83853" w:rsidRPr="005D616A" w:rsidRDefault="00D83853" w:rsidP="001F6343">
      <w:pPr>
        <w:pStyle w:val="Prrafodelista"/>
        <w:numPr>
          <w:ilvl w:val="0"/>
          <w:numId w:val="11"/>
        </w:numPr>
        <w:overflowPunct w:val="0"/>
        <w:autoSpaceDE w:val="0"/>
        <w:autoSpaceDN w:val="0"/>
        <w:adjustRightInd w:val="0"/>
        <w:spacing w:after="240"/>
        <w:ind w:left="0" w:right="96" w:firstLine="0"/>
        <w:jc w:val="both"/>
        <w:textAlignment w:val="baseline"/>
        <w:rPr>
          <w:rFonts w:ascii="Times New Roman" w:hAnsi="Times New Roman"/>
          <w:bCs/>
          <w:spacing w:val="-2"/>
          <w:sz w:val="18"/>
          <w:szCs w:val="18"/>
          <w:lang w:val="es-AR"/>
        </w:rPr>
      </w:pPr>
      <w:proofErr w:type="spellStart"/>
      <w:r w:rsidRPr="00CA5B9E">
        <w:rPr>
          <w:rFonts w:ascii="Times New Roman" w:hAnsi="Times New Roman"/>
          <w:b/>
          <w:bCs/>
          <w:spacing w:val="-2"/>
          <w:sz w:val="18"/>
          <w:szCs w:val="18"/>
          <w:lang w:val="es-AR"/>
        </w:rPr>
        <w:t>Duration</w:t>
      </w:r>
      <w:proofErr w:type="spellEnd"/>
      <w:r>
        <w:rPr>
          <w:rFonts w:ascii="Times New Roman" w:hAnsi="Times New Roman"/>
          <w:bCs/>
          <w:spacing w:val="-2"/>
          <w:sz w:val="18"/>
          <w:szCs w:val="18"/>
          <w:lang w:val="es-AR"/>
        </w:rPr>
        <w:t>:</w:t>
      </w:r>
      <w:r w:rsidRPr="00D83853">
        <w:rPr>
          <w:rFonts w:ascii="Times New Roman" w:hAnsi="Times New Roman"/>
          <w:bCs/>
          <w:spacing w:val="-2"/>
          <w:sz w:val="18"/>
          <w:szCs w:val="18"/>
          <w:lang w:val="es-AR"/>
        </w:rPr>
        <w:t xml:space="preserve"> </w:t>
      </w:r>
      <w:r w:rsidR="0088599D">
        <w:rPr>
          <w:rFonts w:ascii="Times New Roman" w:hAnsi="Times New Roman"/>
          <w:bCs/>
          <w:spacing w:val="-2"/>
          <w:sz w:val="18"/>
          <w:szCs w:val="18"/>
          <w:lang w:val="es-AR"/>
        </w:rPr>
        <w:t xml:space="preserve">1,81 </w:t>
      </w:r>
      <w:r>
        <w:rPr>
          <w:rFonts w:ascii="Times New Roman" w:hAnsi="Times New Roman"/>
          <w:bCs/>
          <w:spacing w:val="-2"/>
          <w:sz w:val="18"/>
          <w:szCs w:val="18"/>
          <w:lang w:val="es-AR"/>
        </w:rPr>
        <w:t>años.</w:t>
      </w:r>
    </w:p>
    <w:p w14:paraId="102227AE" w14:textId="77777777" w:rsidR="00E22774" w:rsidRPr="00CA5B9E" w:rsidRDefault="00E22774" w:rsidP="001F6343">
      <w:pPr>
        <w:pStyle w:val="Prrafodelista"/>
        <w:overflowPunct w:val="0"/>
        <w:autoSpaceDE w:val="0"/>
        <w:autoSpaceDN w:val="0"/>
        <w:adjustRightInd w:val="0"/>
        <w:spacing w:after="240"/>
        <w:ind w:left="0" w:right="96"/>
        <w:jc w:val="both"/>
        <w:textAlignment w:val="baseline"/>
        <w:rPr>
          <w:rFonts w:ascii="Times New Roman" w:hAnsi="Times New Roman"/>
          <w:bCs/>
          <w:spacing w:val="-2"/>
          <w:sz w:val="18"/>
          <w:szCs w:val="18"/>
          <w:lang w:val="es-AR"/>
        </w:rPr>
      </w:pPr>
    </w:p>
    <w:p w14:paraId="102227AF" w14:textId="77777777" w:rsidR="00895D3D" w:rsidRPr="005B4ABF" w:rsidRDefault="00895D3D" w:rsidP="001F6343">
      <w:pPr>
        <w:pStyle w:val="Prrafodelista"/>
        <w:numPr>
          <w:ilvl w:val="0"/>
          <w:numId w:val="11"/>
        </w:numPr>
        <w:overflowPunct w:val="0"/>
        <w:autoSpaceDE w:val="0"/>
        <w:autoSpaceDN w:val="0"/>
        <w:adjustRightInd w:val="0"/>
        <w:spacing w:after="240"/>
        <w:ind w:left="0" w:right="96" w:firstLine="0"/>
        <w:jc w:val="both"/>
        <w:textAlignment w:val="baseline"/>
        <w:rPr>
          <w:rFonts w:ascii="Times New Roman" w:hAnsi="Times New Roman"/>
          <w:b/>
          <w:bCs/>
          <w:spacing w:val="-2"/>
          <w:sz w:val="18"/>
          <w:szCs w:val="18"/>
          <w:lang w:val="es-AR"/>
        </w:rPr>
      </w:pPr>
      <w:r w:rsidRPr="00CA5B9E">
        <w:rPr>
          <w:rFonts w:ascii="Times New Roman" w:hAnsi="Times New Roman"/>
          <w:b/>
          <w:bCs/>
          <w:spacing w:val="-2"/>
          <w:sz w:val="18"/>
          <w:szCs w:val="18"/>
          <w:lang w:val="es-AR"/>
        </w:rPr>
        <w:t>ISIN:</w:t>
      </w:r>
      <w:r w:rsidRPr="00CA5B9E">
        <w:rPr>
          <w:rFonts w:ascii="Times New Roman" w:hAnsi="Times New Roman"/>
          <w:bCs/>
          <w:spacing w:val="-2"/>
          <w:sz w:val="18"/>
          <w:szCs w:val="18"/>
          <w:lang w:val="es-AR"/>
        </w:rPr>
        <w:t xml:space="preserve"> </w:t>
      </w:r>
      <w:r w:rsidR="004D3CEA">
        <w:rPr>
          <w:rFonts w:ascii="Times New Roman" w:hAnsi="Times New Roman"/>
          <w:bCs/>
          <w:spacing w:val="-2"/>
          <w:sz w:val="18"/>
          <w:szCs w:val="18"/>
          <w:lang w:val="es-AR"/>
        </w:rPr>
        <w:t>AREMGA560099.</w:t>
      </w:r>
    </w:p>
    <w:p w14:paraId="102227B0" w14:textId="77777777" w:rsidR="001F6343" w:rsidRPr="005B4ABF" w:rsidRDefault="001F6343" w:rsidP="005B4ABF">
      <w:pPr>
        <w:pStyle w:val="Prrafodelista"/>
        <w:ind w:right="96"/>
        <w:rPr>
          <w:rFonts w:ascii="Times New Roman" w:hAnsi="Times New Roman"/>
          <w:b/>
          <w:bCs/>
          <w:spacing w:val="-2"/>
          <w:sz w:val="18"/>
          <w:szCs w:val="18"/>
          <w:lang w:val="es-AR"/>
        </w:rPr>
      </w:pPr>
    </w:p>
    <w:p w14:paraId="102227B1" w14:textId="77777777" w:rsidR="001F6343" w:rsidRPr="005B4ABF" w:rsidRDefault="001F6343" w:rsidP="002B620B">
      <w:pPr>
        <w:pStyle w:val="Prrafodelista"/>
        <w:numPr>
          <w:ilvl w:val="0"/>
          <w:numId w:val="11"/>
        </w:numPr>
        <w:overflowPunct w:val="0"/>
        <w:autoSpaceDE w:val="0"/>
        <w:autoSpaceDN w:val="0"/>
        <w:adjustRightInd w:val="0"/>
        <w:ind w:left="0" w:right="96" w:firstLine="0"/>
        <w:jc w:val="both"/>
        <w:textAlignment w:val="baseline"/>
        <w:rPr>
          <w:rFonts w:ascii="Times New Roman" w:hAnsi="Times New Roman"/>
          <w:bCs/>
          <w:spacing w:val="-2"/>
          <w:sz w:val="18"/>
          <w:szCs w:val="18"/>
          <w:lang w:val="es-AR"/>
        </w:rPr>
      </w:pPr>
      <w:r>
        <w:rPr>
          <w:rFonts w:ascii="Times New Roman" w:hAnsi="Times New Roman"/>
          <w:b/>
          <w:bCs/>
          <w:spacing w:val="-2"/>
          <w:sz w:val="18"/>
          <w:szCs w:val="18"/>
          <w:lang w:val="es-AR"/>
        </w:rPr>
        <w:t xml:space="preserve">Tipo De Cambio de Integración: </w:t>
      </w:r>
      <w:r w:rsidR="002B620B">
        <w:rPr>
          <w:rFonts w:ascii="Times New Roman" w:hAnsi="Times New Roman"/>
          <w:bCs/>
          <w:spacing w:val="-2"/>
          <w:sz w:val="18"/>
          <w:szCs w:val="18"/>
          <w:lang w:val="es-AR"/>
        </w:rPr>
        <w:t>1 US$ = $</w:t>
      </w:r>
      <w:r w:rsidRPr="005B4ABF">
        <w:rPr>
          <w:rFonts w:ascii="Times New Roman" w:hAnsi="Times New Roman"/>
          <w:bCs/>
          <w:spacing w:val="-2"/>
          <w:sz w:val="18"/>
          <w:szCs w:val="18"/>
          <w:lang w:val="es-AR"/>
        </w:rPr>
        <w:t>36,12</w:t>
      </w:r>
      <w:r w:rsidR="007E07D5">
        <w:rPr>
          <w:rFonts w:ascii="Times New Roman" w:hAnsi="Times New Roman"/>
          <w:bCs/>
          <w:spacing w:val="-2"/>
          <w:sz w:val="18"/>
          <w:szCs w:val="18"/>
          <w:lang w:val="es-AR"/>
        </w:rPr>
        <w:t>33</w:t>
      </w:r>
      <w:r w:rsidR="002B620B">
        <w:rPr>
          <w:rFonts w:ascii="Times New Roman" w:hAnsi="Times New Roman"/>
          <w:bCs/>
          <w:spacing w:val="-2"/>
          <w:sz w:val="18"/>
          <w:szCs w:val="18"/>
          <w:lang w:val="es-AR"/>
        </w:rPr>
        <w:t>.</w:t>
      </w:r>
    </w:p>
    <w:p w14:paraId="102227B2" w14:textId="77777777" w:rsidR="008C2DD9" w:rsidRDefault="008C2DD9">
      <w:pPr>
        <w:pStyle w:val="Prrafodelista"/>
        <w:overflowPunct w:val="0"/>
        <w:autoSpaceDE w:val="0"/>
        <w:autoSpaceDN w:val="0"/>
        <w:adjustRightInd w:val="0"/>
        <w:spacing w:after="240"/>
        <w:ind w:left="0" w:right="96"/>
        <w:jc w:val="both"/>
        <w:textAlignment w:val="baseline"/>
        <w:rPr>
          <w:rFonts w:ascii="Times New Roman" w:hAnsi="Times New Roman"/>
          <w:b/>
          <w:bCs/>
          <w:spacing w:val="-2"/>
          <w:sz w:val="18"/>
          <w:szCs w:val="18"/>
          <w:lang w:val="es-AR"/>
        </w:rPr>
      </w:pPr>
    </w:p>
    <w:p w14:paraId="102227B3" w14:textId="77777777" w:rsidR="00BF1C66" w:rsidRPr="00CA5B9E" w:rsidRDefault="005D616A" w:rsidP="002B620B">
      <w:pPr>
        <w:ind w:right="96"/>
        <w:jc w:val="both"/>
        <w:rPr>
          <w:rFonts w:ascii="Times New Roman" w:hAnsi="Times New Roman"/>
          <w:b/>
          <w:sz w:val="18"/>
          <w:szCs w:val="18"/>
          <w:lang w:val="es-AR" w:eastAsia="es-AR"/>
        </w:rPr>
      </w:pPr>
      <w:r>
        <w:rPr>
          <w:rFonts w:ascii="Times New Roman" w:hAnsi="Times New Roman"/>
          <w:b/>
          <w:bCs/>
          <w:spacing w:val="-2"/>
          <w:sz w:val="18"/>
          <w:szCs w:val="18"/>
          <w:lang w:val="es-AR"/>
        </w:rPr>
        <w:t xml:space="preserve">La </w:t>
      </w:r>
      <w:r w:rsidR="00BF1C66" w:rsidRPr="00CA5B9E">
        <w:rPr>
          <w:rFonts w:ascii="Times New Roman" w:hAnsi="Times New Roman"/>
          <w:b/>
          <w:sz w:val="18"/>
          <w:szCs w:val="18"/>
          <w:lang w:val="es-AR" w:eastAsia="es-AR"/>
        </w:rPr>
        <w:t xml:space="preserve">Oferta Pública </w:t>
      </w:r>
      <w:r>
        <w:rPr>
          <w:rFonts w:ascii="Times New Roman" w:hAnsi="Times New Roman"/>
          <w:b/>
          <w:sz w:val="18"/>
          <w:szCs w:val="18"/>
          <w:lang w:val="es-AR" w:eastAsia="es-AR"/>
        </w:rPr>
        <w:t xml:space="preserve">de las Obligaciones Negociables bajo el Programa fue </w:t>
      </w:r>
      <w:r w:rsidR="00BF1C66" w:rsidRPr="005D616A">
        <w:rPr>
          <w:rFonts w:ascii="Times New Roman" w:hAnsi="Times New Roman"/>
          <w:b/>
          <w:sz w:val="18"/>
          <w:szCs w:val="18"/>
          <w:lang w:val="es-AR" w:eastAsia="es-AR"/>
        </w:rPr>
        <w:t xml:space="preserve">autorizada por </w:t>
      </w:r>
      <w:r w:rsidR="00F844CB" w:rsidRPr="005D616A">
        <w:rPr>
          <w:rFonts w:ascii="Times New Roman" w:hAnsi="Times New Roman"/>
          <w:b/>
          <w:sz w:val="18"/>
          <w:szCs w:val="18"/>
          <w:lang w:val="es-AR" w:eastAsia="es-AR"/>
        </w:rPr>
        <w:t xml:space="preserve">la CNV mediante </w:t>
      </w:r>
      <w:r w:rsidR="00FC1E6D" w:rsidRPr="005D616A">
        <w:rPr>
          <w:rFonts w:ascii="Times New Roman" w:hAnsi="Times New Roman"/>
          <w:b/>
          <w:sz w:val="18"/>
          <w:szCs w:val="18"/>
          <w:lang w:val="es-AR" w:eastAsia="es-AR"/>
        </w:rPr>
        <w:t>las Resoluciones</w:t>
      </w:r>
      <w:r w:rsidR="00F9061E" w:rsidRPr="00CA5B9E">
        <w:rPr>
          <w:rFonts w:ascii="Times New Roman" w:hAnsi="Times New Roman"/>
          <w:b/>
          <w:sz w:val="18"/>
          <w:szCs w:val="18"/>
          <w:lang w:val="es-AR" w:eastAsia="es-AR"/>
        </w:rPr>
        <w:t xml:space="preserve"> del Directorio de la CNV</w:t>
      </w:r>
      <w:r w:rsidR="00FC1E6D" w:rsidRPr="00CA5B9E">
        <w:rPr>
          <w:rFonts w:ascii="Times New Roman" w:hAnsi="Times New Roman"/>
          <w:b/>
          <w:sz w:val="18"/>
          <w:szCs w:val="18"/>
          <w:lang w:val="es-AR" w:eastAsia="es-AR"/>
        </w:rPr>
        <w:t xml:space="preserve"> Nº</w:t>
      </w:r>
      <w:r w:rsidR="00F844CB" w:rsidRPr="00CA5B9E">
        <w:rPr>
          <w:rFonts w:ascii="Times New Roman" w:hAnsi="Times New Roman"/>
          <w:b/>
          <w:sz w:val="18"/>
          <w:szCs w:val="18"/>
          <w:lang w:val="es-AR" w:eastAsia="es-AR"/>
        </w:rPr>
        <w:t>15.987, de fec</w:t>
      </w:r>
      <w:r w:rsidR="00FC1E6D" w:rsidRPr="00CA5B9E">
        <w:rPr>
          <w:rFonts w:ascii="Times New Roman" w:hAnsi="Times New Roman"/>
          <w:b/>
          <w:sz w:val="18"/>
          <w:szCs w:val="18"/>
          <w:lang w:val="es-AR" w:eastAsia="es-AR"/>
        </w:rPr>
        <w:t>ha 25 de septiembre de 2008, N°</w:t>
      </w:r>
      <w:r w:rsidR="00F844CB" w:rsidRPr="00CA5B9E">
        <w:rPr>
          <w:rFonts w:ascii="Times New Roman" w:hAnsi="Times New Roman"/>
          <w:b/>
          <w:sz w:val="18"/>
          <w:szCs w:val="18"/>
          <w:lang w:val="es-AR" w:eastAsia="es-AR"/>
        </w:rPr>
        <w:t xml:space="preserve">17.245, de </w:t>
      </w:r>
      <w:r w:rsidR="00FC1E6D" w:rsidRPr="00CA5B9E">
        <w:rPr>
          <w:rFonts w:ascii="Times New Roman" w:hAnsi="Times New Roman"/>
          <w:b/>
          <w:sz w:val="18"/>
          <w:szCs w:val="18"/>
          <w:lang w:val="es-AR" w:eastAsia="es-AR"/>
        </w:rPr>
        <w:t>fecha 12 de diciembre 2013 y Nº</w:t>
      </w:r>
      <w:r w:rsidR="00AF3EC8" w:rsidRPr="00CA5B9E">
        <w:rPr>
          <w:rFonts w:ascii="Times New Roman" w:hAnsi="Times New Roman"/>
          <w:b/>
          <w:sz w:val="18"/>
          <w:szCs w:val="18"/>
          <w:lang w:val="es-AR" w:eastAsia="es-AR"/>
        </w:rPr>
        <w:t>18.345</w:t>
      </w:r>
      <w:r w:rsidR="00F844CB" w:rsidRPr="00CA5B9E">
        <w:rPr>
          <w:rFonts w:ascii="Times New Roman" w:hAnsi="Times New Roman"/>
          <w:b/>
          <w:sz w:val="18"/>
          <w:szCs w:val="18"/>
          <w:lang w:val="es-AR" w:eastAsia="es-AR"/>
        </w:rPr>
        <w:t xml:space="preserve">, de fecha </w:t>
      </w:r>
      <w:r w:rsidR="00AF3EC8" w:rsidRPr="00CA5B9E">
        <w:rPr>
          <w:rFonts w:ascii="Times New Roman" w:hAnsi="Times New Roman"/>
          <w:b/>
          <w:sz w:val="18"/>
          <w:szCs w:val="18"/>
          <w:lang w:val="es-AR" w:eastAsia="es-AR"/>
        </w:rPr>
        <w:t>10 de noviembre de 2016</w:t>
      </w:r>
      <w:r w:rsidR="00F9061E" w:rsidRPr="00CA5B9E">
        <w:rPr>
          <w:rFonts w:ascii="Times New Roman" w:hAnsi="Times New Roman"/>
          <w:b/>
          <w:sz w:val="18"/>
          <w:szCs w:val="18"/>
          <w:lang w:val="es-AR" w:eastAsia="es-AR"/>
        </w:rPr>
        <w:t>; y la Disposición de la Geren</w:t>
      </w:r>
      <w:r w:rsidR="00F704A4" w:rsidRPr="00CA5B9E">
        <w:rPr>
          <w:rFonts w:ascii="Times New Roman" w:hAnsi="Times New Roman"/>
          <w:b/>
          <w:sz w:val="18"/>
          <w:szCs w:val="18"/>
          <w:lang w:val="es-AR" w:eastAsia="es-AR"/>
        </w:rPr>
        <w:t xml:space="preserve">cia de Emisoras de la CNV </w:t>
      </w:r>
      <w:r w:rsidR="00F704A4" w:rsidRPr="00CA5B9E">
        <w:rPr>
          <w:rFonts w:ascii="Times New Roman" w:hAnsi="Times New Roman"/>
          <w:b/>
          <w:sz w:val="18"/>
          <w:szCs w:val="18"/>
          <w:lang w:val="es-AR" w:eastAsia="es-AR"/>
        </w:rPr>
        <w:lastRenderedPageBreak/>
        <w:t>N°DI-2018-52-APN-GE#CNV</w:t>
      </w:r>
      <w:r w:rsidR="00F9061E" w:rsidRPr="00CA5B9E">
        <w:rPr>
          <w:rFonts w:ascii="Times New Roman" w:hAnsi="Times New Roman"/>
          <w:b/>
          <w:sz w:val="18"/>
          <w:szCs w:val="18"/>
          <w:lang w:val="es-AR" w:eastAsia="es-AR"/>
        </w:rPr>
        <w:t xml:space="preserve">, de fecha </w:t>
      </w:r>
      <w:r w:rsidR="00693E37" w:rsidRPr="00CA5B9E">
        <w:rPr>
          <w:rFonts w:ascii="Times New Roman" w:hAnsi="Times New Roman"/>
          <w:b/>
          <w:sz w:val="18"/>
          <w:szCs w:val="18"/>
          <w:lang w:val="es-AR" w:eastAsia="es-AR"/>
        </w:rPr>
        <w:t>26</w:t>
      </w:r>
      <w:r w:rsidR="00F9061E" w:rsidRPr="00CA5B9E">
        <w:rPr>
          <w:rFonts w:ascii="Times New Roman" w:hAnsi="Times New Roman"/>
          <w:b/>
          <w:sz w:val="18"/>
          <w:szCs w:val="18"/>
          <w:lang w:val="es-AR" w:eastAsia="es-AR"/>
        </w:rPr>
        <w:t xml:space="preserve"> de </w:t>
      </w:r>
      <w:r w:rsidR="00693E37" w:rsidRPr="00CA5B9E">
        <w:rPr>
          <w:rFonts w:ascii="Times New Roman" w:hAnsi="Times New Roman"/>
          <w:b/>
          <w:sz w:val="18"/>
          <w:szCs w:val="18"/>
          <w:lang w:val="es-AR" w:eastAsia="es-AR"/>
        </w:rPr>
        <w:t xml:space="preserve">octubre </w:t>
      </w:r>
      <w:r w:rsidR="00F9061E" w:rsidRPr="00CA5B9E">
        <w:rPr>
          <w:rFonts w:ascii="Times New Roman" w:hAnsi="Times New Roman"/>
          <w:b/>
          <w:sz w:val="18"/>
          <w:szCs w:val="18"/>
          <w:lang w:val="es-AR" w:eastAsia="es-AR"/>
        </w:rPr>
        <w:t>de 2018.</w:t>
      </w:r>
      <w:r w:rsidR="00BF1C66" w:rsidRPr="00CA5B9E">
        <w:rPr>
          <w:rFonts w:ascii="Times New Roman" w:hAnsi="Times New Roman"/>
          <w:b/>
          <w:sz w:val="18"/>
          <w:szCs w:val="18"/>
          <w:lang w:val="es-AR" w:eastAsia="es-AR"/>
        </w:rPr>
        <w:t xml:space="preserve"> </w:t>
      </w:r>
      <w:r w:rsidR="00621821" w:rsidRPr="00CA5B9E">
        <w:rPr>
          <w:rFonts w:ascii="Times New Roman" w:hAnsi="Times New Roman"/>
          <w:b/>
          <w:sz w:val="18"/>
          <w:szCs w:val="18"/>
          <w:lang w:val="es-AR" w:eastAsia="es-AR"/>
        </w:rPr>
        <w:t>Las mencionadas</w:t>
      </w:r>
      <w:r w:rsidR="00BF1C66" w:rsidRPr="00CA5B9E">
        <w:rPr>
          <w:rFonts w:ascii="Times New Roman" w:hAnsi="Times New Roman"/>
          <w:b/>
          <w:sz w:val="18"/>
          <w:szCs w:val="18"/>
          <w:lang w:val="es-AR" w:eastAsia="es-AR"/>
        </w:rPr>
        <w:t xml:space="preserve"> autorizaci</w:t>
      </w:r>
      <w:r w:rsidR="00621821" w:rsidRPr="00CA5B9E">
        <w:rPr>
          <w:rFonts w:ascii="Times New Roman" w:hAnsi="Times New Roman"/>
          <w:b/>
          <w:sz w:val="18"/>
          <w:szCs w:val="18"/>
          <w:lang w:val="es-AR" w:eastAsia="es-AR"/>
        </w:rPr>
        <w:t>ones</w:t>
      </w:r>
      <w:r w:rsidR="00BF1C66" w:rsidRPr="00CA5B9E">
        <w:rPr>
          <w:rFonts w:ascii="Times New Roman" w:hAnsi="Times New Roman"/>
          <w:b/>
          <w:sz w:val="18"/>
          <w:szCs w:val="18"/>
          <w:lang w:val="es-AR" w:eastAsia="es-AR"/>
        </w:rPr>
        <w:t xml:space="preserve"> sólo significa</w:t>
      </w:r>
      <w:r w:rsidR="00621821" w:rsidRPr="00CA5B9E">
        <w:rPr>
          <w:rFonts w:ascii="Times New Roman" w:hAnsi="Times New Roman"/>
          <w:b/>
          <w:sz w:val="18"/>
          <w:szCs w:val="18"/>
          <w:lang w:val="es-AR" w:eastAsia="es-AR"/>
        </w:rPr>
        <w:t>n</w:t>
      </w:r>
      <w:r w:rsidR="00BF1C66" w:rsidRPr="00CA5B9E">
        <w:rPr>
          <w:rFonts w:ascii="Times New Roman" w:hAnsi="Times New Roman"/>
          <w:b/>
          <w:sz w:val="18"/>
          <w:szCs w:val="18"/>
          <w:lang w:val="es-AR" w:eastAsia="es-AR"/>
        </w:rPr>
        <w:t xml:space="preserve"> que se ha</w:t>
      </w:r>
      <w:r w:rsidR="00621821" w:rsidRPr="00CA5B9E">
        <w:rPr>
          <w:rFonts w:ascii="Times New Roman" w:hAnsi="Times New Roman"/>
          <w:b/>
          <w:sz w:val="18"/>
          <w:szCs w:val="18"/>
          <w:lang w:val="es-AR" w:eastAsia="es-AR"/>
        </w:rPr>
        <w:t>n</w:t>
      </w:r>
      <w:r w:rsidR="00BF1C66" w:rsidRPr="00CA5B9E">
        <w:rPr>
          <w:rFonts w:ascii="Times New Roman" w:hAnsi="Times New Roman"/>
          <w:b/>
          <w:sz w:val="18"/>
          <w:szCs w:val="18"/>
          <w:lang w:val="es-AR" w:eastAsia="es-AR"/>
        </w:rPr>
        <w:t xml:space="preserve"> cumplido con los requisitos establecidos en materia de información. La CNV no ha emitido juicio sobre los datos contenidos en el Prospecto y/o en el Suplemento. La veracidad de la información contable, financiera y económica, así como de toda otra información suministrada en el Prospecto y/o en el Suplemento es exclusiva responsabilidad del directorio y, en lo que les atañe, del órgano de fiscalización de la </w:t>
      </w:r>
      <w:r w:rsidR="00A5105B" w:rsidRPr="00CA5B9E">
        <w:rPr>
          <w:rFonts w:ascii="Times New Roman" w:hAnsi="Times New Roman"/>
          <w:b/>
          <w:sz w:val="18"/>
          <w:szCs w:val="18"/>
          <w:lang w:val="es-AR" w:eastAsia="es-AR"/>
        </w:rPr>
        <w:t xml:space="preserve">Emisora </w:t>
      </w:r>
      <w:r w:rsidR="00BF1C66" w:rsidRPr="00CA5B9E">
        <w:rPr>
          <w:rFonts w:ascii="Times New Roman" w:hAnsi="Times New Roman"/>
          <w:b/>
          <w:sz w:val="18"/>
          <w:szCs w:val="18"/>
          <w:lang w:val="es-AR" w:eastAsia="es-AR"/>
        </w:rPr>
        <w:t xml:space="preserve">y de los auditores en cuanto a sus respectivos informes sobre los estados financieros consolidados que se acompañan y demás responsables contemplados en los artículos 119 y 120 de la Ley </w:t>
      </w:r>
      <w:r w:rsidR="00FC1E6D" w:rsidRPr="00CA5B9E">
        <w:rPr>
          <w:rFonts w:ascii="Times New Roman" w:hAnsi="Times New Roman"/>
          <w:b/>
          <w:sz w:val="18"/>
          <w:szCs w:val="18"/>
          <w:lang w:val="es-AR" w:eastAsia="es-AR"/>
        </w:rPr>
        <w:t>Nº</w:t>
      </w:r>
      <w:r w:rsidR="00621821" w:rsidRPr="00CA5B9E">
        <w:rPr>
          <w:rFonts w:ascii="Times New Roman" w:hAnsi="Times New Roman"/>
          <w:b/>
          <w:sz w:val="18"/>
          <w:szCs w:val="18"/>
          <w:lang w:val="es-AR" w:eastAsia="es-AR"/>
        </w:rPr>
        <w:t xml:space="preserve">26.831 </w:t>
      </w:r>
      <w:r w:rsidR="00BF1C66" w:rsidRPr="00CA5B9E">
        <w:rPr>
          <w:rFonts w:ascii="Times New Roman" w:hAnsi="Times New Roman"/>
          <w:b/>
          <w:sz w:val="18"/>
          <w:szCs w:val="18"/>
          <w:lang w:val="es-AR" w:eastAsia="es-AR"/>
        </w:rPr>
        <w:t xml:space="preserve">de Mercado de Capitales. El directorio de la </w:t>
      </w:r>
      <w:r w:rsidR="00A5105B" w:rsidRPr="00CA5B9E">
        <w:rPr>
          <w:rFonts w:ascii="Times New Roman" w:hAnsi="Times New Roman"/>
          <w:b/>
          <w:sz w:val="18"/>
          <w:szCs w:val="18"/>
          <w:lang w:val="es-AR" w:eastAsia="es-AR"/>
        </w:rPr>
        <w:t xml:space="preserve">Emisora </w:t>
      </w:r>
      <w:r w:rsidR="00BF1C66" w:rsidRPr="00CA5B9E">
        <w:rPr>
          <w:rFonts w:ascii="Times New Roman" w:hAnsi="Times New Roman"/>
          <w:b/>
          <w:sz w:val="18"/>
          <w:szCs w:val="18"/>
          <w:lang w:val="es-AR" w:eastAsia="es-AR"/>
        </w:rPr>
        <w:t xml:space="preserve">manifiesta, con carácter de declaración jurada, que el Prospecto y el Suplemento contienen a la fecha de su respectiva publicación, información veraz y suficiente sobre todo hecho relevante que pueda afectar la situación patrimonial, económica y financiera de la </w:t>
      </w:r>
      <w:r w:rsidR="00A5105B" w:rsidRPr="00CA5B9E">
        <w:rPr>
          <w:rFonts w:ascii="Times New Roman" w:hAnsi="Times New Roman"/>
          <w:b/>
          <w:sz w:val="18"/>
          <w:szCs w:val="18"/>
          <w:lang w:val="es-AR" w:eastAsia="es-AR"/>
        </w:rPr>
        <w:t>Emisora</w:t>
      </w:r>
      <w:r w:rsidR="00BF1C66" w:rsidRPr="00CA5B9E">
        <w:rPr>
          <w:rFonts w:ascii="Times New Roman" w:hAnsi="Times New Roman"/>
          <w:b/>
          <w:sz w:val="18"/>
          <w:szCs w:val="18"/>
          <w:lang w:val="es-AR" w:eastAsia="es-AR"/>
        </w:rPr>
        <w:t xml:space="preserve"> y de toda aquélla que deba ser de conocimiento del público inversor con relación a la presente emisión, conforme las normas vigentes.</w:t>
      </w:r>
    </w:p>
    <w:p w14:paraId="102227B4" w14:textId="77777777" w:rsidR="002F1627" w:rsidRPr="00CA5B9E" w:rsidRDefault="002F1627" w:rsidP="00CA5B9E">
      <w:pPr>
        <w:ind w:right="96"/>
        <w:jc w:val="center"/>
        <w:rPr>
          <w:rFonts w:ascii="Times New Roman" w:hAnsi="Times New Roman"/>
          <w:b/>
          <w:sz w:val="18"/>
          <w:szCs w:val="18"/>
          <w:lang w:val="es-ES"/>
        </w:rPr>
      </w:pPr>
    </w:p>
    <w:tbl>
      <w:tblPr>
        <w:tblW w:w="5000" w:type="pct"/>
        <w:jc w:val="center"/>
        <w:tblLook w:val="04A0" w:firstRow="1" w:lastRow="0" w:firstColumn="1" w:lastColumn="0" w:noHBand="0" w:noVBand="1"/>
      </w:tblPr>
      <w:tblGrid>
        <w:gridCol w:w="3007"/>
        <w:gridCol w:w="1506"/>
        <w:gridCol w:w="1504"/>
        <w:gridCol w:w="3010"/>
      </w:tblGrid>
      <w:tr w:rsidR="00BD7C7A" w:rsidRPr="00E74E20" w14:paraId="102227B7" w14:textId="77777777" w:rsidTr="00CA5B9E">
        <w:trPr>
          <w:jc w:val="center"/>
        </w:trPr>
        <w:tc>
          <w:tcPr>
            <w:tcW w:w="5000" w:type="pct"/>
            <w:gridSpan w:val="4"/>
            <w:shd w:val="clear" w:color="auto" w:fill="auto"/>
          </w:tcPr>
          <w:p w14:paraId="102227B5" w14:textId="77777777" w:rsidR="00BD7C7A" w:rsidRPr="00CA5B9E" w:rsidRDefault="00BD7C7A" w:rsidP="00CA5B9E">
            <w:pPr>
              <w:ind w:right="96"/>
              <w:jc w:val="center"/>
              <w:rPr>
                <w:rFonts w:ascii="Times New Roman" w:hAnsi="Times New Roman"/>
                <w:b/>
                <w:sz w:val="16"/>
                <w:szCs w:val="14"/>
                <w:lang w:val="es-AR" w:eastAsia="es-AR"/>
              </w:rPr>
            </w:pPr>
            <w:r w:rsidRPr="00CA5B9E">
              <w:rPr>
                <w:rFonts w:ascii="Times New Roman" w:hAnsi="Times New Roman"/>
                <w:b/>
                <w:sz w:val="16"/>
                <w:szCs w:val="14"/>
                <w:lang w:val="es-AR" w:eastAsia="es-AR"/>
              </w:rPr>
              <w:t>Organizador</w:t>
            </w:r>
          </w:p>
          <w:p w14:paraId="102227B6" w14:textId="77777777" w:rsidR="00BD7C7A" w:rsidRPr="00C3287D" w:rsidRDefault="00BD7C7A" w:rsidP="00CA5B9E">
            <w:pPr>
              <w:ind w:right="96"/>
              <w:jc w:val="center"/>
              <w:rPr>
                <w:rFonts w:ascii="Times New Roman" w:hAnsi="Times New Roman"/>
                <w:b/>
                <w:sz w:val="14"/>
                <w:szCs w:val="14"/>
                <w:lang w:val="es-AR" w:eastAsia="es-AR"/>
              </w:rPr>
            </w:pPr>
          </w:p>
        </w:tc>
      </w:tr>
      <w:tr w:rsidR="00BD7C7A" w:rsidRPr="00E74E20" w14:paraId="102227B9" w14:textId="77777777" w:rsidTr="00CA5B9E">
        <w:trPr>
          <w:jc w:val="center"/>
        </w:trPr>
        <w:tc>
          <w:tcPr>
            <w:tcW w:w="5000" w:type="pct"/>
            <w:gridSpan w:val="4"/>
            <w:shd w:val="clear" w:color="auto" w:fill="auto"/>
          </w:tcPr>
          <w:p w14:paraId="102227B8" w14:textId="77777777" w:rsidR="00BD7C7A" w:rsidRPr="00C3287D" w:rsidRDefault="005B4ABF" w:rsidP="00634D9F">
            <w:pPr>
              <w:jc w:val="center"/>
              <w:rPr>
                <w:rFonts w:ascii="Times New Roman" w:hAnsi="Times New Roman"/>
                <w:sz w:val="14"/>
                <w:szCs w:val="14"/>
              </w:rPr>
            </w:pPr>
            <w:r>
              <w:rPr>
                <w:rFonts w:ascii="Times New Roman" w:hAnsi="Times New Roman"/>
                <w:noProof/>
                <w:sz w:val="14"/>
                <w:szCs w:val="14"/>
                <w:lang w:val="es-AR" w:eastAsia="es-AR"/>
              </w:rPr>
              <w:drawing>
                <wp:inline distT="0" distB="0" distL="0" distR="0" wp14:anchorId="102227F0" wp14:editId="102227F1">
                  <wp:extent cx="1399540" cy="548640"/>
                  <wp:effectExtent l="0" t="0" r="0" b="3810"/>
                  <wp:docPr id="4" name="Picture 1" descr="cid:image001.jpg@01D2683E.DE0CFD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683E.DE0CFD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9540" cy="548640"/>
                          </a:xfrm>
                          <a:prstGeom prst="rect">
                            <a:avLst/>
                          </a:prstGeom>
                          <a:noFill/>
                          <a:ln>
                            <a:noFill/>
                          </a:ln>
                        </pic:spPr>
                      </pic:pic>
                    </a:graphicData>
                  </a:graphic>
                </wp:inline>
              </w:drawing>
            </w:r>
          </w:p>
        </w:tc>
      </w:tr>
      <w:tr w:rsidR="00BD7C7A" w:rsidRPr="00E74E20" w14:paraId="102227BE" w14:textId="77777777" w:rsidTr="00CA5B9E">
        <w:trPr>
          <w:jc w:val="center"/>
        </w:trPr>
        <w:tc>
          <w:tcPr>
            <w:tcW w:w="5000" w:type="pct"/>
            <w:gridSpan w:val="4"/>
            <w:shd w:val="clear" w:color="auto" w:fill="auto"/>
          </w:tcPr>
          <w:p w14:paraId="102227BA" w14:textId="77777777" w:rsidR="00BD7C7A" w:rsidRPr="00C3287D" w:rsidRDefault="00BD7C7A" w:rsidP="00634D9F">
            <w:pPr>
              <w:jc w:val="center"/>
              <w:rPr>
                <w:rFonts w:ascii="Times New Roman" w:hAnsi="Times New Roman"/>
                <w:b/>
                <w:sz w:val="14"/>
                <w:szCs w:val="14"/>
                <w:lang w:val="es-AR" w:eastAsia="es-AR"/>
              </w:rPr>
            </w:pPr>
            <w:r w:rsidRPr="00C3287D">
              <w:rPr>
                <w:rFonts w:ascii="Times New Roman" w:hAnsi="Times New Roman"/>
                <w:b/>
                <w:sz w:val="14"/>
                <w:szCs w:val="14"/>
                <w:lang w:val="es-AR" w:eastAsia="es-AR"/>
              </w:rPr>
              <w:t>Banco Macro S.A.</w:t>
            </w:r>
          </w:p>
          <w:p w14:paraId="102227BB" w14:textId="77777777" w:rsidR="00BD7C7A" w:rsidRPr="00C3287D" w:rsidRDefault="00BD7C7A" w:rsidP="00634D9F">
            <w:pPr>
              <w:jc w:val="center"/>
              <w:rPr>
                <w:rFonts w:ascii="Times New Roman" w:hAnsi="Times New Roman"/>
                <w:sz w:val="14"/>
                <w:szCs w:val="14"/>
                <w:lang w:val="es-AR" w:eastAsia="es-AR"/>
              </w:rPr>
            </w:pPr>
            <w:r w:rsidRPr="00C3287D">
              <w:rPr>
                <w:rFonts w:ascii="Times New Roman" w:hAnsi="Times New Roman"/>
                <w:sz w:val="14"/>
                <w:szCs w:val="14"/>
                <w:lang w:val="es-AR" w:eastAsia="es-AR"/>
              </w:rPr>
              <w:t xml:space="preserve">Matrícula </w:t>
            </w:r>
            <w:proofErr w:type="spellStart"/>
            <w:r w:rsidRPr="00C3287D">
              <w:rPr>
                <w:rFonts w:ascii="Times New Roman" w:hAnsi="Times New Roman"/>
                <w:sz w:val="14"/>
                <w:szCs w:val="14"/>
                <w:lang w:val="es-AR" w:eastAsia="es-AR"/>
              </w:rPr>
              <w:t>ALyC</w:t>
            </w:r>
            <w:proofErr w:type="spellEnd"/>
            <w:r w:rsidRPr="00C3287D">
              <w:rPr>
                <w:rFonts w:ascii="Times New Roman" w:hAnsi="Times New Roman"/>
                <w:sz w:val="14"/>
                <w:szCs w:val="14"/>
                <w:lang w:val="es-AR" w:eastAsia="es-AR"/>
              </w:rPr>
              <w:t xml:space="preserve"> y AN</w:t>
            </w:r>
          </w:p>
          <w:p w14:paraId="102227BC" w14:textId="77777777" w:rsidR="00BD7C7A" w:rsidRPr="00C3287D" w:rsidRDefault="00BD7C7A" w:rsidP="00634D9F">
            <w:pPr>
              <w:jc w:val="center"/>
              <w:rPr>
                <w:rFonts w:ascii="Times New Roman" w:hAnsi="Times New Roman"/>
                <w:sz w:val="14"/>
                <w:szCs w:val="14"/>
                <w:lang w:val="es-AR" w:eastAsia="es-AR"/>
              </w:rPr>
            </w:pPr>
            <w:r w:rsidRPr="00C3287D">
              <w:rPr>
                <w:rFonts w:ascii="Times New Roman" w:hAnsi="Times New Roman"/>
                <w:sz w:val="14"/>
                <w:szCs w:val="14"/>
                <w:lang w:val="es-AR" w:eastAsia="es-AR"/>
              </w:rPr>
              <w:t>Integral N°27</w:t>
            </w:r>
          </w:p>
          <w:p w14:paraId="102227BD" w14:textId="77777777" w:rsidR="00BD7C7A" w:rsidRPr="00C3287D" w:rsidRDefault="00BD7C7A" w:rsidP="00634D9F">
            <w:pPr>
              <w:jc w:val="center"/>
              <w:rPr>
                <w:rFonts w:ascii="Times New Roman" w:hAnsi="Times New Roman"/>
                <w:sz w:val="14"/>
                <w:szCs w:val="14"/>
              </w:rPr>
            </w:pPr>
          </w:p>
        </w:tc>
      </w:tr>
      <w:tr w:rsidR="00BD7C7A" w:rsidRPr="00E74E20" w14:paraId="102227C1" w14:textId="77777777" w:rsidTr="00CA5B9E">
        <w:trPr>
          <w:jc w:val="center"/>
        </w:trPr>
        <w:tc>
          <w:tcPr>
            <w:tcW w:w="5000" w:type="pct"/>
            <w:gridSpan w:val="4"/>
            <w:shd w:val="clear" w:color="auto" w:fill="auto"/>
          </w:tcPr>
          <w:p w14:paraId="102227BF" w14:textId="77777777" w:rsidR="00BD7C7A" w:rsidRDefault="00BD7C7A" w:rsidP="00634D9F">
            <w:pPr>
              <w:jc w:val="center"/>
              <w:rPr>
                <w:rFonts w:ascii="Times New Roman" w:hAnsi="Times New Roman"/>
                <w:b/>
                <w:sz w:val="14"/>
                <w:szCs w:val="14"/>
                <w:lang w:val="es-AR" w:eastAsia="es-AR"/>
              </w:rPr>
            </w:pPr>
            <w:r w:rsidRPr="00C3287D">
              <w:rPr>
                <w:rFonts w:ascii="Times New Roman" w:hAnsi="Times New Roman"/>
                <w:b/>
                <w:sz w:val="14"/>
                <w:szCs w:val="14"/>
                <w:lang w:val="es-AR" w:eastAsia="es-AR"/>
              </w:rPr>
              <w:t>Agentes Colocadores</w:t>
            </w:r>
          </w:p>
          <w:p w14:paraId="102227C0" w14:textId="77777777" w:rsidR="00BD7C7A" w:rsidRPr="00C3287D" w:rsidRDefault="00BD7C7A" w:rsidP="00634D9F">
            <w:pPr>
              <w:jc w:val="center"/>
              <w:rPr>
                <w:rFonts w:ascii="Times New Roman" w:hAnsi="Times New Roman"/>
                <w:sz w:val="14"/>
                <w:szCs w:val="14"/>
              </w:rPr>
            </w:pPr>
          </w:p>
        </w:tc>
      </w:tr>
      <w:tr w:rsidR="00BD7C7A" w:rsidRPr="00E74E20" w14:paraId="102227C5" w14:textId="77777777" w:rsidTr="00CA5B9E">
        <w:trPr>
          <w:trHeight w:val="717"/>
          <w:jc w:val="center"/>
        </w:trPr>
        <w:tc>
          <w:tcPr>
            <w:tcW w:w="1666" w:type="pct"/>
            <w:shd w:val="clear" w:color="auto" w:fill="auto"/>
            <w:vAlign w:val="bottom"/>
          </w:tcPr>
          <w:p w14:paraId="102227C2" w14:textId="77777777" w:rsidR="00BD7C7A" w:rsidRPr="00C3287D" w:rsidRDefault="00BD7C7A" w:rsidP="00634D9F">
            <w:pPr>
              <w:jc w:val="center"/>
              <w:rPr>
                <w:rFonts w:ascii="Times New Roman" w:hAnsi="Times New Roman"/>
                <w:sz w:val="14"/>
                <w:szCs w:val="14"/>
              </w:rPr>
            </w:pPr>
            <w:r w:rsidRPr="00C3287D">
              <w:rPr>
                <w:rFonts w:ascii="Times New Roman" w:hAnsi="Times New Roman"/>
                <w:noProof/>
                <w:sz w:val="14"/>
                <w:szCs w:val="14"/>
                <w:lang w:val="es-AR" w:eastAsia="es-AR"/>
              </w:rPr>
              <w:drawing>
                <wp:anchor distT="0" distB="0" distL="114300" distR="114300" simplePos="0" relativeHeight="251677696" behindDoc="0" locked="0" layoutInCell="1" allowOverlap="1" wp14:anchorId="102227F2" wp14:editId="102227F3">
                  <wp:simplePos x="0" y="0"/>
                  <wp:positionH relativeFrom="column">
                    <wp:posOffset>84455</wp:posOffset>
                  </wp:positionH>
                  <wp:positionV relativeFrom="paragraph">
                    <wp:posOffset>-408305</wp:posOffset>
                  </wp:positionV>
                  <wp:extent cx="1250950" cy="40259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0950" cy="4025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67" w:type="pct"/>
            <w:gridSpan w:val="2"/>
            <w:shd w:val="clear" w:color="auto" w:fill="auto"/>
            <w:vAlign w:val="bottom"/>
          </w:tcPr>
          <w:p w14:paraId="102227C3" w14:textId="77777777" w:rsidR="00BD7C7A" w:rsidRPr="00C3287D" w:rsidRDefault="00BD7C7A" w:rsidP="00634D9F">
            <w:pPr>
              <w:jc w:val="center"/>
              <w:rPr>
                <w:rFonts w:ascii="Times New Roman" w:hAnsi="Times New Roman"/>
                <w:sz w:val="14"/>
                <w:szCs w:val="14"/>
              </w:rPr>
            </w:pPr>
            <w:r w:rsidRPr="00C3287D">
              <w:rPr>
                <w:rFonts w:ascii="Times New Roman" w:hAnsi="Times New Roman"/>
                <w:noProof/>
                <w:sz w:val="14"/>
                <w:szCs w:val="14"/>
                <w:lang w:val="es-AR" w:eastAsia="es-AR"/>
              </w:rPr>
              <w:drawing>
                <wp:anchor distT="0" distB="0" distL="114300" distR="114300" simplePos="0" relativeHeight="251678720" behindDoc="1" locked="0" layoutInCell="1" allowOverlap="1" wp14:anchorId="102227F4" wp14:editId="102227F5">
                  <wp:simplePos x="0" y="0"/>
                  <wp:positionH relativeFrom="column">
                    <wp:posOffset>233045</wp:posOffset>
                  </wp:positionH>
                  <wp:positionV relativeFrom="paragraph">
                    <wp:posOffset>5715</wp:posOffset>
                  </wp:positionV>
                  <wp:extent cx="1196340" cy="287655"/>
                  <wp:effectExtent l="0" t="0" r="3810" b="0"/>
                  <wp:wrapTight wrapText="bothSides">
                    <wp:wrapPolygon edited="0">
                      <wp:start x="0" y="0"/>
                      <wp:lineTo x="0" y="20026"/>
                      <wp:lineTo x="21325" y="20026"/>
                      <wp:lineTo x="21325" y="0"/>
                      <wp:lineTo x="0" y="0"/>
                    </wp:wrapPolygon>
                  </wp:wrapTight>
                  <wp:docPr id="2" name="Picture 2" descr="Logo Bala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 Balanz"/>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96340" cy="2876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667" w:type="pct"/>
            <w:shd w:val="clear" w:color="auto" w:fill="auto"/>
            <w:vAlign w:val="bottom"/>
          </w:tcPr>
          <w:p w14:paraId="102227C4" w14:textId="77777777" w:rsidR="00BD7C7A" w:rsidRPr="00C3287D" w:rsidRDefault="00BD7C7A" w:rsidP="00634D9F">
            <w:pPr>
              <w:jc w:val="center"/>
              <w:rPr>
                <w:rFonts w:ascii="Times New Roman" w:hAnsi="Times New Roman"/>
                <w:b/>
                <w:i/>
                <w:sz w:val="14"/>
                <w:szCs w:val="14"/>
                <w:highlight w:val="yellow"/>
              </w:rPr>
            </w:pPr>
            <w:r w:rsidRPr="00C3287D">
              <w:rPr>
                <w:rFonts w:ascii="Times New Roman" w:hAnsi="Times New Roman"/>
                <w:noProof/>
                <w:sz w:val="14"/>
                <w:szCs w:val="14"/>
                <w:lang w:val="es-AR" w:eastAsia="es-AR"/>
              </w:rPr>
              <w:drawing>
                <wp:inline distT="0" distB="0" distL="0" distR="0" wp14:anchorId="102227F6" wp14:editId="102227F7">
                  <wp:extent cx="846455" cy="497840"/>
                  <wp:effectExtent l="0" t="0" r="0" b="0"/>
                  <wp:docPr id="3" name="Picture 3" descr="Itau BBA A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tau BBA Ar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6455" cy="497840"/>
                          </a:xfrm>
                          <a:prstGeom prst="rect">
                            <a:avLst/>
                          </a:prstGeom>
                          <a:noFill/>
                          <a:ln>
                            <a:noFill/>
                          </a:ln>
                        </pic:spPr>
                      </pic:pic>
                    </a:graphicData>
                  </a:graphic>
                </wp:inline>
              </w:drawing>
            </w:r>
          </w:p>
        </w:tc>
      </w:tr>
      <w:tr w:rsidR="00BD7C7A" w:rsidRPr="002B620B" w14:paraId="102227CC" w14:textId="77777777" w:rsidTr="00CA5B9E">
        <w:trPr>
          <w:trHeight w:val="560"/>
          <w:jc w:val="center"/>
        </w:trPr>
        <w:tc>
          <w:tcPr>
            <w:tcW w:w="1666" w:type="pct"/>
            <w:shd w:val="clear" w:color="auto" w:fill="auto"/>
          </w:tcPr>
          <w:p w14:paraId="102227C6" w14:textId="77777777" w:rsidR="00BD7C7A" w:rsidRPr="00C3287D" w:rsidRDefault="00BD7C7A" w:rsidP="00634D9F">
            <w:pPr>
              <w:keepNext/>
              <w:keepLines/>
              <w:autoSpaceDE w:val="0"/>
              <w:autoSpaceDN w:val="0"/>
              <w:adjustRightInd w:val="0"/>
              <w:jc w:val="center"/>
              <w:rPr>
                <w:rFonts w:ascii="Times New Roman" w:eastAsia="Calibri" w:hAnsi="Times New Roman"/>
                <w:sz w:val="14"/>
                <w:szCs w:val="14"/>
                <w:lang w:val="es-ES"/>
              </w:rPr>
            </w:pPr>
            <w:r w:rsidRPr="00C3287D">
              <w:rPr>
                <w:rFonts w:ascii="Times New Roman" w:eastAsia="Calibri" w:hAnsi="Times New Roman"/>
                <w:b/>
                <w:sz w:val="14"/>
                <w:szCs w:val="14"/>
                <w:lang w:val="es-ES"/>
              </w:rPr>
              <w:t xml:space="preserve">BACS Banco de Crédito y </w:t>
            </w:r>
            <w:proofErr w:type="spellStart"/>
            <w:r w:rsidRPr="00C3287D">
              <w:rPr>
                <w:rFonts w:ascii="Times New Roman" w:eastAsia="Calibri" w:hAnsi="Times New Roman"/>
                <w:b/>
                <w:sz w:val="14"/>
                <w:szCs w:val="14"/>
                <w:lang w:val="es-ES"/>
              </w:rPr>
              <w:t>Securitización</w:t>
            </w:r>
            <w:proofErr w:type="spellEnd"/>
            <w:r w:rsidRPr="00C3287D">
              <w:rPr>
                <w:rFonts w:ascii="Times New Roman" w:eastAsia="Calibri" w:hAnsi="Times New Roman"/>
                <w:b/>
                <w:sz w:val="14"/>
                <w:szCs w:val="14"/>
                <w:lang w:val="es-ES"/>
              </w:rPr>
              <w:t xml:space="preserve"> S.A</w:t>
            </w:r>
            <w:r w:rsidRPr="00C3287D">
              <w:rPr>
                <w:rFonts w:ascii="Times New Roman" w:eastAsia="Calibri" w:hAnsi="Times New Roman"/>
                <w:sz w:val="14"/>
                <w:szCs w:val="14"/>
                <w:lang w:val="es-ES"/>
              </w:rPr>
              <w:t>.</w:t>
            </w:r>
          </w:p>
          <w:p w14:paraId="102227C7" w14:textId="77777777" w:rsidR="00BD7C7A" w:rsidRPr="00C3287D" w:rsidRDefault="00BD7C7A" w:rsidP="00634D9F">
            <w:pPr>
              <w:jc w:val="center"/>
              <w:rPr>
                <w:rFonts w:ascii="Times New Roman" w:hAnsi="Times New Roman"/>
                <w:sz w:val="14"/>
                <w:szCs w:val="14"/>
                <w:lang w:val="es-ES"/>
              </w:rPr>
            </w:pPr>
            <w:r w:rsidRPr="00C3287D">
              <w:rPr>
                <w:rFonts w:ascii="Times New Roman" w:eastAsia="Calibri" w:hAnsi="Times New Roman"/>
                <w:sz w:val="14"/>
                <w:szCs w:val="14"/>
                <w:lang w:val="es-ES" w:eastAsia="es-AR"/>
              </w:rPr>
              <w:t xml:space="preserve">Matrícula </w:t>
            </w:r>
            <w:proofErr w:type="spellStart"/>
            <w:r w:rsidRPr="00C3287D">
              <w:rPr>
                <w:rFonts w:ascii="Times New Roman" w:eastAsia="Calibri" w:hAnsi="Times New Roman"/>
                <w:sz w:val="14"/>
                <w:szCs w:val="14"/>
                <w:lang w:val="es-ES" w:eastAsia="es-AR"/>
              </w:rPr>
              <w:t>ALyC</w:t>
            </w:r>
            <w:proofErr w:type="spellEnd"/>
            <w:r w:rsidRPr="00C3287D">
              <w:rPr>
                <w:rFonts w:ascii="Times New Roman" w:eastAsia="Calibri" w:hAnsi="Times New Roman"/>
                <w:sz w:val="14"/>
                <w:szCs w:val="14"/>
                <w:lang w:val="es-ES" w:eastAsia="es-AR"/>
              </w:rPr>
              <w:t xml:space="preserve"> y AN Integral N° 25.</w:t>
            </w:r>
          </w:p>
        </w:tc>
        <w:tc>
          <w:tcPr>
            <w:tcW w:w="1667" w:type="pct"/>
            <w:gridSpan w:val="2"/>
            <w:shd w:val="clear" w:color="auto" w:fill="auto"/>
          </w:tcPr>
          <w:p w14:paraId="102227C8" w14:textId="77777777" w:rsidR="00BD7C7A" w:rsidRPr="00C3287D" w:rsidRDefault="00BD7C7A" w:rsidP="00634D9F">
            <w:pPr>
              <w:keepNext/>
              <w:keepLines/>
              <w:autoSpaceDE w:val="0"/>
              <w:autoSpaceDN w:val="0"/>
              <w:adjustRightInd w:val="0"/>
              <w:spacing w:line="216" w:lineRule="auto"/>
              <w:jc w:val="center"/>
              <w:rPr>
                <w:rFonts w:ascii="Times New Roman" w:eastAsia="Calibri" w:hAnsi="Times New Roman"/>
                <w:b/>
                <w:sz w:val="14"/>
                <w:szCs w:val="14"/>
                <w:lang w:val="es-ES" w:eastAsia="es-AR"/>
              </w:rPr>
            </w:pPr>
            <w:proofErr w:type="spellStart"/>
            <w:r w:rsidRPr="00C3287D">
              <w:rPr>
                <w:rFonts w:ascii="Times New Roman" w:eastAsia="Calibri" w:hAnsi="Times New Roman"/>
                <w:b/>
                <w:sz w:val="14"/>
                <w:szCs w:val="14"/>
                <w:lang w:val="es-ES" w:eastAsia="es-AR"/>
              </w:rPr>
              <w:t>Balanz</w:t>
            </w:r>
            <w:proofErr w:type="spellEnd"/>
            <w:r w:rsidRPr="00C3287D">
              <w:rPr>
                <w:rFonts w:ascii="Times New Roman" w:eastAsia="Calibri" w:hAnsi="Times New Roman"/>
                <w:b/>
                <w:sz w:val="14"/>
                <w:szCs w:val="14"/>
                <w:lang w:val="es-ES" w:eastAsia="es-AR"/>
              </w:rPr>
              <w:t xml:space="preserve"> Capital Valores S.A.U.</w:t>
            </w:r>
          </w:p>
          <w:p w14:paraId="102227C9" w14:textId="77777777" w:rsidR="00BD7C7A" w:rsidRPr="00C3287D" w:rsidRDefault="00BD7C7A" w:rsidP="00634D9F">
            <w:pPr>
              <w:jc w:val="center"/>
              <w:rPr>
                <w:rFonts w:ascii="Times New Roman" w:hAnsi="Times New Roman"/>
                <w:sz w:val="14"/>
                <w:szCs w:val="14"/>
                <w:lang w:val="es-ES"/>
              </w:rPr>
            </w:pPr>
            <w:r w:rsidRPr="00C3287D">
              <w:rPr>
                <w:rFonts w:ascii="Times New Roman" w:eastAsia="Calibri" w:hAnsi="Times New Roman"/>
                <w:sz w:val="14"/>
                <w:szCs w:val="14"/>
                <w:lang w:val="es-ES" w:eastAsia="es-AR"/>
              </w:rPr>
              <w:t xml:space="preserve">Matrícula </w:t>
            </w:r>
            <w:proofErr w:type="spellStart"/>
            <w:r w:rsidRPr="00C3287D">
              <w:rPr>
                <w:rFonts w:ascii="Times New Roman" w:eastAsia="Calibri" w:hAnsi="Times New Roman"/>
                <w:sz w:val="14"/>
                <w:szCs w:val="14"/>
                <w:lang w:val="es-ES" w:eastAsia="es-AR"/>
              </w:rPr>
              <w:t>ALyC</w:t>
            </w:r>
            <w:proofErr w:type="spellEnd"/>
            <w:r w:rsidRPr="00C3287D">
              <w:rPr>
                <w:rFonts w:ascii="Times New Roman" w:eastAsia="Calibri" w:hAnsi="Times New Roman"/>
                <w:sz w:val="14"/>
                <w:szCs w:val="14"/>
                <w:lang w:val="es-ES" w:eastAsia="es-AR"/>
              </w:rPr>
              <w:t xml:space="preserve"> y AN Integral N°210.</w:t>
            </w:r>
          </w:p>
        </w:tc>
        <w:tc>
          <w:tcPr>
            <w:tcW w:w="1667" w:type="pct"/>
            <w:shd w:val="clear" w:color="auto" w:fill="auto"/>
          </w:tcPr>
          <w:p w14:paraId="102227CA" w14:textId="77777777" w:rsidR="00BD7C7A" w:rsidRPr="00C3287D" w:rsidRDefault="00BD7C7A" w:rsidP="00634D9F">
            <w:pPr>
              <w:jc w:val="center"/>
              <w:rPr>
                <w:rFonts w:ascii="Times New Roman" w:hAnsi="Times New Roman"/>
                <w:b/>
                <w:sz w:val="14"/>
                <w:szCs w:val="14"/>
                <w:lang w:val="es-AR" w:eastAsia="es-AR"/>
              </w:rPr>
            </w:pPr>
            <w:r w:rsidRPr="00C3287D">
              <w:rPr>
                <w:rFonts w:ascii="Times New Roman" w:hAnsi="Times New Roman"/>
                <w:b/>
                <w:sz w:val="14"/>
                <w:szCs w:val="14"/>
                <w:lang w:val="es-AR" w:eastAsia="es-AR"/>
              </w:rPr>
              <w:t>Banco Itaú Argentina S.A.</w:t>
            </w:r>
          </w:p>
          <w:p w14:paraId="102227CB" w14:textId="77777777" w:rsidR="00BD7C7A" w:rsidRPr="00C3287D" w:rsidRDefault="00BD7C7A" w:rsidP="00634D9F">
            <w:pPr>
              <w:jc w:val="center"/>
              <w:rPr>
                <w:rFonts w:ascii="Times New Roman" w:hAnsi="Times New Roman"/>
                <w:sz w:val="14"/>
                <w:szCs w:val="14"/>
                <w:highlight w:val="yellow"/>
                <w:lang w:val="es-ES"/>
              </w:rPr>
            </w:pPr>
            <w:r w:rsidRPr="00C3287D">
              <w:rPr>
                <w:rFonts w:ascii="Times New Roman" w:hAnsi="Times New Roman"/>
                <w:sz w:val="14"/>
                <w:szCs w:val="14"/>
                <w:lang w:val="es-AR" w:eastAsia="es-AR"/>
              </w:rPr>
              <w:t xml:space="preserve">Matrícula </w:t>
            </w:r>
            <w:proofErr w:type="spellStart"/>
            <w:r w:rsidRPr="00C3287D">
              <w:rPr>
                <w:rFonts w:ascii="Times New Roman" w:hAnsi="Times New Roman"/>
                <w:sz w:val="14"/>
                <w:szCs w:val="14"/>
                <w:lang w:val="es-AR" w:eastAsia="es-AR"/>
              </w:rPr>
              <w:t>ALyC</w:t>
            </w:r>
            <w:proofErr w:type="spellEnd"/>
            <w:r w:rsidRPr="00C3287D">
              <w:rPr>
                <w:rFonts w:ascii="Times New Roman" w:hAnsi="Times New Roman"/>
                <w:sz w:val="14"/>
                <w:szCs w:val="14"/>
                <w:lang w:val="es-AR" w:eastAsia="es-AR"/>
              </w:rPr>
              <w:t xml:space="preserve"> y AN Integral N° 70.</w:t>
            </w:r>
          </w:p>
        </w:tc>
      </w:tr>
      <w:tr w:rsidR="00BD7C7A" w:rsidRPr="00E74E20" w14:paraId="102227CF" w14:textId="77777777" w:rsidTr="00CA5B9E">
        <w:trPr>
          <w:trHeight w:val="962"/>
          <w:jc w:val="center"/>
        </w:trPr>
        <w:tc>
          <w:tcPr>
            <w:tcW w:w="2500" w:type="pct"/>
            <w:gridSpan w:val="2"/>
            <w:shd w:val="clear" w:color="auto" w:fill="auto"/>
            <w:vAlign w:val="center"/>
          </w:tcPr>
          <w:p w14:paraId="102227CD" w14:textId="77777777" w:rsidR="00BD7C7A" w:rsidRPr="00C3287D" w:rsidRDefault="00BD7C7A" w:rsidP="00634D9F">
            <w:pPr>
              <w:jc w:val="center"/>
              <w:rPr>
                <w:rFonts w:ascii="Times New Roman" w:hAnsi="Times New Roman"/>
                <w:b/>
                <w:sz w:val="14"/>
                <w:szCs w:val="14"/>
              </w:rPr>
            </w:pPr>
            <w:r w:rsidRPr="00C3287D">
              <w:rPr>
                <w:rFonts w:ascii="Times New Roman" w:hAnsi="Times New Roman"/>
                <w:noProof/>
                <w:sz w:val="14"/>
                <w:szCs w:val="14"/>
                <w:lang w:val="es-AR" w:eastAsia="es-AR"/>
              </w:rPr>
              <w:drawing>
                <wp:inline distT="0" distB="0" distL="0" distR="0" wp14:anchorId="102227F8" wp14:editId="102227F9">
                  <wp:extent cx="1378585" cy="409575"/>
                  <wp:effectExtent l="0" t="0" r="0" b="9525"/>
                  <wp:docPr id="5" name="Picture 5" descr="C:\Users\n.falabella\AppData\Local\Microsoft\Windows\INetCache\Content.Outlook\O5I2WLMC\FA_SANTANDER_RIO_PV_NEG_RG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n.falabella\AppData\Local\Microsoft\Windows\INetCache\Content.Outlook\O5I2WLMC\FA_SANTANDER_RIO_PV_NEG_RGB (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78585" cy="409575"/>
                          </a:xfrm>
                          <a:prstGeom prst="rect">
                            <a:avLst/>
                          </a:prstGeom>
                          <a:noFill/>
                          <a:ln>
                            <a:noFill/>
                          </a:ln>
                        </pic:spPr>
                      </pic:pic>
                    </a:graphicData>
                  </a:graphic>
                </wp:inline>
              </w:drawing>
            </w:r>
          </w:p>
        </w:tc>
        <w:tc>
          <w:tcPr>
            <w:tcW w:w="2500" w:type="pct"/>
            <w:gridSpan w:val="2"/>
            <w:shd w:val="clear" w:color="auto" w:fill="auto"/>
            <w:vAlign w:val="center"/>
          </w:tcPr>
          <w:p w14:paraId="102227CE" w14:textId="77777777" w:rsidR="00BD7C7A" w:rsidRPr="00C3287D" w:rsidRDefault="00BD7C7A" w:rsidP="00634D9F">
            <w:pPr>
              <w:jc w:val="center"/>
              <w:rPr>
                <w:rFonts w:ascii="Times New Roman" w:hAnsi="Times New Roman"/>
                <w:b/>
                <w:sz w:val="14"/>
                <w:szCs w:val="14"/>
              </w:rPr>
            </w:pPr>
            <w:r w:rsidRPr="00C3287D">
              <w:rPr>
                <w:rFonts w:ascii="Times New Roman" w:hAnsi="Times New Roman"/>
                <w:noProof/>
                <w:sz w:val="14"/>
                <w:szCs w:val="14"/>
                <w:lang w:val="es-AR" w:eastAsia="es-AR"/>
              </w:rPr>
              <w:drawing>
                <wp:anchor distT="0" distB="0" distL="114300" distR="114300" simplePos="0" relativeHeight="251671552" behindDoc="0" locked="0" layoutInCell="1" allowOverlap="1" wp14:anchorId="102227FA" wp14:editId="102227FB">
                  <wp:simplePos x="0" y="0"/>
                  <wp:positionH relativeFrom="column">
                    <wp:posOffset>379095</wp:posOffset>
                  </wp:positionH>
                  <wp:positionV relativeFrom="paragraph">
                    <wp:posOffset>0</wp:posOffset>
                  </wp:positionV>
                  <wp:extent cx="1504950" cy="619125"/>
                  <wp:effectExtent l="0" t="0" r="0"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04950" cy="619125"/>
                          </a:xfrm>
                          <a:prstGeom prst="rect">
                            <a:avLst/>
                          </a:prstGeom>
                          <a:noFill/>
                        </pic:spPr>
                      </pic:pic>
                    </a:graphicData>
                  </a:graphic>
                  <wp14:sizeRelH relativeFrom="page">
                    <wp14:pctWidth>0</wp14:pctWidth>
                  </wp14:sizeRelH>
                  <wp14:sizeRelV relativeFrom="page">
                    <wp14:pctHeight>0</wp14:pctHeight>
                  </wp14:sizeRelV>
                </wp:anchor>
              </w:drawing>
            </w:r>
          </w:p>
        </w:tc>
      </w:tr>
      <w:tr w:rsidR="00BD7C7A" w:rsidRPr="00E74E20" w14:paraId="102227D4" w14:textId="77777777" w:rsidTr="00CA5B9E">
        <w:trPr>
          <w:trHeight w:val="579"/>
          <w:jc w:val="center"/>
        </w:trPr>
        <w:tc>
          <w:tcPr>
            <w:tcW w:w="2500" w:type="pct"/>
            <w:gridSpan w:val="2"/>
            <w:shd w:val="clear" w:color="auto" w:fill="auto"/>
          </w:tcPr>
          <w:p w14:paraId="102227D0" w14:textId="77777777" w:rsidR="00BD7C7A" w:rsidRPr="00C3287D" w:rsidRDefault="00BD7C7A" w:rsidP="00634D9F">
            <w:pPr>
              <w:keepNext/>
              <w:keepLines/>
              <w:autoSpaceDE w:val="0"/>
              <w:autoSpaceDN w:val="0"/>
              <w:adjustRightInd w:val="0"/>
              <w:jc w:val="center"/>
              <w:rPr>
                <w:rFonts w:ascii="Times New Roman" w:eastAsia="Calibri" w:hAnsi="Times New Roman"/>
                <w:b/>
                <w:sz w:val="14"/>
                <w:szCs w:val="14"/>
                <w:lang w:val="es-ES"/>
              </w:rPr>
            </w:pPr>
            <w:r w:rsidRPr="00C3287D">
              <w:rPr>
                <w:rFonts w:ascii="Times New Roman" w:eastAsia="Calibri" w:hAnsi="Times New Roman"/>
                <w:b/>
                <w:sz w:val="14"/>
                <w:szCs w:val="14"/>
                <w:lang w:val="es-ES"/>
              </w:rPr>
              <w:t>Banco Santander Río S.A.</w:t>
            </w:r>
          </w:p>
          <w:p w14:paraId="102227D1" w14:textId="77777777" w:rsidR="00BD7C7A" w:rsidRPr="00C3287D" w:rsidRDefault="00BD7C7A" w:rsidP="00634D9F">
            <w:pPr>
              <w:jc w:val="center"/>
              <w:rPr>
                <w:rFonts w:ascii="Times New Roman" w:hAnsi="Times New Roman"/>
                <w:b/>
                <w:sz w:val="14"/>
                <w:szCs w:val="14"/>
                <w:lang w:val="es-ES"/>
              </w:rPr>
            </w:pPr>
            <w:r w:rsidRPr="00C3287D">
              <w:rPr>
                <w:rFonts w:ascii="Times New Roman" w:eastAsia="Calibri" w:hAnsi="Times New Roman"/>
                <w:sz w:val="14"/>
                <w:szCs w:val="14"/>
                <w:lang w:val="es-ES" w:eastAsia="es-AR"/>
              </w:rPr>
              <w:t xml:space="preserve">Número </w:t>
            </w:r>
            <w:proofErr w:type="spellStart"/>
            <w:r w:rsidRPr="00C3287D">
              <w:rPr>
                <w:rFonts w:ascii="Times New Roman" w:eastAsia="Calibri" w:hAnsi="Times New Roman"/>
                <w:sz w:val="14"/>
                <w:szCs w:val="14"/>
                <w:lang w:val="es-ES" w:eastAsia="es-AR"/>
              </w:rPr>
              <w:t>ALyC</w:t>
            </w:r>
            <w:proofErr w:type="spellEnd"/>
            <w:r w:rsidRPr="00C3287D">
              <w:rPr>
                <w:rFonts w:ascii="Times New Roman" w:eastAsia="Calibri" w:hAnsi="Times New Roman"/>
                <w:sz w:val="14"/>
                <w:szCs w:val="14"/>
                <w:lang w:val="es-ES" w:eastAsia="es-AR"/>
              </w:rPr>
              <w:t xml:space="preserve"> y AN Integral N° 72.</w:t>
            </w:r>
          </w:p>
        </w:tc>
        <w:tc>
          <w:tcPr>
            <w:tcW w:w="2500" w:type="pct"/>
            <w:gridSpan w:val="2"/>
            <w:shd w:val="clear" w:color="auto" w:fill="auto"/>
          </w:tcPr>
          <w:p w14:paraId="102227D2" w14:textId="77777777" w:rsidR="00BD7C7A" w:rsidRPr="00C3287D" w:rsidRDefault="00BD7C7A" w:rsidP="00634D9F">
            <w:pPr>
              <w:jc w:val="center"/>
              <w:rPr>
                <w:rFonts w:ascii="Times New Roman" w:hAnsi="Times New Roman"/>
                <w:b/>
                <w:sz w:val="14"/>
                <w:szCs w:val="14"/>
                <w:lang w:val="es-AR" w:eastAsia="es-AR"/>
              </w:rPr>
            </w:pPr>
            <w:r w:rsidRPr="00C3287D">
              <w:rPr>
                <w:rFonts w:ascii="Times New Roman" w:hAnsi="Times New Roman"/>
                <w:b/>
                <w:sz w:val="14"/>
                <w:szCs w:val="14"/>
                <w:lang w:val="es-AR" w:eastAsia="es-AR"/>
              </w:rPr>
              <w:t>Macro Securities S.A.</w:t>
            </w:r>
          </w:p>
          <w:p w14:paraId="102227D3" w14:textId="77777777" w:rsidR="00BD7C7A" w:rsidRPr="00C3287D" w:rsidRDefault="00BD7C7A" w:rsidP="00634D9F">
            <w:pPr>
              <w:jc w:val="center"/>
              <w:rPr>
                <w:rFonts w:ascii="Times New Roman" w:hAnsi="Times New Roman"/>
                <w:b/>
                <w:sz w:val="14"/>
                <w:szCs w:val="14"/>
              </w:rPr>
            </w:pPr>
            <w:r w:rsidRPr="00C3287D">
              <w:rPr>
                <w:rFonts w:ascii="Times New Roman" w:hAnsi="Times New Roman"/>
                <w:sz w:val="14"/>
                <w:szCs w:val="14"/>
                <w:lang w:val="es-AR" w:eastAsia="es-AR"/>
              </w:rPr>
              <w:t xml:space="preserve">Matrícula </w:t>
            </w:r>
            <w:proofErr w:type="spellStart"/>
            <w:r w:rsidRPr="00C3287D">
              <w:rPr>
                <w:rFonts w:ascii="Times New Roman" w:hAnsi="Times New Roman"/>
                <w:sz w:val="14"/>
                <w:szCs w:val="14"/>
                <w:lang w:val="es-AR" w:eastAsia="es-AR"/>
              </w:rPr>
              <w:t>ALyC</w:t>
            </w:r>
            <w:proofErr w:type="spellEnd"/>
            <w:r w:rsidRPr="00C3287D">
              <w:rPr>
                <w:rFonts w:ascii="Times New Roman" w:hAnsi="Times New Roman"/>
                <w:sz w:val="14"/>
                <w:szCs w:val="14"/>
                <w:lang w:val="es-AR" w:eastAsia="es-AR"/>
              </w:rPr>
              <w:t xml:space="preserve"> y AN Integral N°59</w:t>
            </w:r>
            <w:r>
              <w:rPr>
                <w:rFonts w:ascii="Times New Roman" w:hAnsi="Times New Roman"/>
                <w:sz w:val="14"/>
                <w:szCs w:val="14"/>
                <w:lang w:val="es-AR" w:eastAsia="es-AR"/>
              </w:rPr>
              <w:t>.</w:t>
            </w:r>
          </w:p>
        </w:tc>
      </w:tr>
      <w:tr w:rsidR="00BD7C7A" w:rsidRPr="00E74E20" w14:paraId="102227D7" w14:textId="77777777" w:rsidTr="00CA5B9E">
        <w:trPr>
          <w:jc w:val="center"/>
        </w:trPr>
        <w:tc>
          <w:tcPr>
            <w:tcW w:w="5000" w:type="pct"/>
            <w:gridSpan w:val="4"/>
            <w:shd w:val="clear" w:color="auto" w:fill="auto"/>
          </w:tcPr>
          <w:p w14:paraId="102227D5" w14:textId="77777777" w:rsidR="00BD7C7A" w:rsidRDefault="00BD7C7A" w:rsidP="00634D9F">
            <w:pPr>
              <w:jc w:val="center"/>
              <w:rPr>
                <w:rFonts w:ascii="Times New Roman" w:hAnsi="Times New Roman"/>
                <w:b/>
                <w:sz w:val="14"/>
                <w:szCs w:val="14"/>
                <w:lang w:val="es-AR" w:eastAsia="es-AR"/>
              </w:rPr>
            </w:pPr>
            <w:r w:rsidRPr="00C3287D">
              <w:rPr>
                <w:rFonts w:ascii="Times New Roman" w:hAnsi="Times New Roman"/>
                <w:b/>
                <w:sz w:val="14"/>
                <w:szCs w:val="14"/>
                <w:lang w:val="es-AR" w:eastAsia="es-AR"/>
              </w:rPr>
              <w:t xml:space="preserve">Agente </w:t>
            </w:r>
            <w:proofErr w:type="spellStart"/>
            <w:r w:rsidRPr="00C3287D">
              <w:rPr>
                <w:rFonts w:ascii="Times New Roman" w:hAnsi="Times New Roman"/>
                <w:b/>
                <w:sz w:val="14"/>
                <w:szCs w:val="14"/>
                <w:lang w:val="es-AR" w:eastAsia="es-AR"/>
              </w:rPr>
              <w:t>Subcolocador</w:t>
            </w:r>
            <w:proofErr w:type="spellEnd"/>
            <w:r w:rsidRPr="00C3287D">
              <w:rPr>
                <w:rFonts w:ascii="Times New Roman" w:hAnsi="Times New Roman"/>
                <w:b/>
                <w:sz w:val="14"/>
                <w:szCs w:val="14"/>
                <w:lang w:val="es-AR" w:eastAsia="es-AR"/>
              </w:rPr>
              <w:t xml:space="preserve"> Local</w:t>
            </w:r>
          </w:p>
          <w:p w14:paraId="102227D6" w14:textId="77777777" w:rsidR="00BD7C7A" w:rsidRPr="00C3287D" w:rsidRDefault="00BD7C7A" w:rsidP="00634D9F">
            <w:pPr>
              <w:jc w:val="center"/>
              <w:rPr>
                <w:rFonts w:ascii="Times New Roman" w:hAnsi="Times New Roman"/>
                <w:b/>
                <w:sz w:val="14"/>
                <w:szCs w:val="14"/>
                <w:lang w:val="es-AR" w:eastAsia="es-AR"/>
              </w:rPr>
            </w:pPr>
          </w:p>
        </w:tc>
      </w:tr>
      <w:tr w:rsidR="00BD7C7A" w:rsidRPr="00E74E20" w14:paraId="102227DA" w14:textId="77777777" w:rsidTr="00CA5B9E">
        <w:trPr>
          <w:trHeight w:val="796"/>
          <w:jc w:val="center"/>
        </w:trPr>
        <w:tc>
          <w:tcPr>
            <w:tcW w:w="5000" w:type="pct"/>
            <w:gridSpan w:val="4"/>
            <w:shd w:val="clear" w:color="auto" w:fill="auto"/>
          </w:tcPr>
          <w:p w14:paraId="102227D8" w14:textId="77777777" w:rsidR="00BD7C7A" w:rsidRPr="00C3287D" w:rsidRDefault="00BD7C7A" w:rsidP="00634D9F">
            <w:pPr>
              <w:rPr>
                <w:rFonts w:ascii="Times New Roman" w:hAnsi="Times New Roman"/>
                <w:sz w:val="14"/>
                <w:szCs w:val="14"/>
              </w:rPr>
            </w:pPr>
            <w:r w:rsidRPr="00C3287D">
              <w:rPr>
                <w:rFonts w:ascii="Times New Roman" w:hAnsi="Times New Roman"/>
                <w:noProof/>
                <w:sz w:val="14"/>
                <w:szCs w:val="14"/>
                <w:lang w:val="es-AR" w:eastAsia="es-AR"/>
              </w:rPr>
              <w:drawing>
                <wp:anchor distT="0" distB="0" distL="114300" distR="114300" simplePos="0" relativeHeight="251665408" behindDoc="1" locked="0" layoutInCell="1" allowOverlap="1" wp14:anchorId="102227FC" wp14:editId="102227FD">
                  <wp:simplePos x="0" y="0"/>
                  <wp:positionH relativeFrom="column">
                    <wp:posOffset>2097267</wp:posOffset>
                  </wp:positionH>
                  <wp:positionV relativeFrom="margin">
                    <wp:posOffset>20955</wp:posOffset>
                  </wp:positionV>
                  <wp:extent cx="1134110" cy="446405"/>
                  <wp:effectExtent l="0" t="0" r="8890" b="0"/>
                  <wp:wrapSquare wrapText="bothSides"/>
                  <wp:docPr id="11" name="Picture 11" descr="4063_BH_11-0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063_BH_11-05-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34110" cy="446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2227D9" w14:textId="77777777" w:rsidR="00BD7C7A" w:rsidRPr="00C3287D" w:rsidRDefault="00BD7C7A" w:rsidP="00634D9F">
            <w:pPr>
              <w:jc w:val="center"/>
              <w:rPr>
                <w:rFonts w:ascii="Times New Roman" w:hAnsi="Times New Roman"/>
                <w:sz w:val="14"/>
                <w:szCs w:val="14"/>
              </w:rPr>
            </w:pPr>
          </w:p>
        </w:tc>
      </w:tr>
      <w:tr w:rsidR="00BD7C7A" w:rsidRPr="002B620B" w14:paraId="102227DE" w14:textId="77777777" w:rsidTr="00CA5B9E">
        <w:trPr>
          <w:jc w:val="center"/>
        </w:trPr>
        <w:tc>
          <w:tcPr>
            <w:tcW w:w="5000" w:type="pct"/>
            <w:gridSpan w:val="4"/>
            <w:shd w:val="clear" w:color="auto" w:fill="auto"/>
          </w:tcPr>
          <w:p w14:paraId="102227DB" w14:textId="77777777" w:rsidR="00BD7C7A" w:rsidRPr="00C3287D" w:rsidRDefault="00BD7C7A" w:rsidP="00634D9F">
            <w:pPr>
              <w:jc w:val="center"/>
              <w:rPr>
                <w:rFonts w:ascii="Times New Roman" w:hAnsi="Times New Roman"/>
                <w:b/>
                <w:sz w:val="14"/>
                <w:szCs w:val="14"/>
                <w:lang w:val="es-AR" w:eastAsia="es-AR"/>
              </w:rPr>
            </w:pPr>
            <w:r w:rsidRPr="00C3287D">
              <w:rPr>
                <w:rFonts w:ascii="Times New Roman" w:hAnsi="Times New Roman"/>
                <w:b/>
                <w:sz w:val="14"/>
                <w:szCs w:val="14"/>
                <w:lang w:val="es-AR" w:eastAsia="es-AR"/>
              </w:rPr>
              <w:t>Banco Hipotecario S.A.</w:t>
            </w:r>
          </w:p>
          <w:p w14:paraId="102227DC" w14:textId="77777777" w:rsidR="00BD7C7A" w:rsidRPr="00C3287D" w:rsidRDefault="00BD7C7A" w:rsidP="00634D9F">
            <w:pPr>
              <w:jc w:val="center"/>
              <w:rPr>
                <w:rFonts w:ascii="Times New Roman" w:hAnsi="Times New Roman"/>
                <w:sz w:val="14"/>
                <w:szCs w:val="14"/>
                <w:lang w:val="es-AR" w:eastAsia="es-AR"/>
              </w:rPr>
            </w:pPr>
            <w:r w:rsidRPr="00C3287D">
              <w:rPr>
                <w:rFonts w:ascii="Times New Roman" w:hAnsi="Times New Roman"/>
                <w:sz w:val="14"/>
                <w:szCs w:val="14"/>
                <w:lang w:val="es-AR" w:eastAsia="es-AR"/>
              </w:rPr>
              <w:t xml:space="preserve">Agente </w:t>
            </w:r>
            <w:proofErr w:type="spellStart"/>
            <w:r w:rsidRPr="00C3287D">
              <w:rPr>
                <w:rFonts w:ascii="Times New Roman" w:hAnsi="Times New Roman"/>
                <w:sz w:val="14"/>
                <w:szCs w:val="14"/>
                <w:lang w:val="es-AR" w:eastAsia="es-AR"/>
              </w:rPr>
              <w:t>Subcolocador</w:t>
            </w:r>
            <w:proofErr w:type="spellEnd"/>
            <w:r w:rsidRPr="00C3287D">
              <w:rPr>
                <w:rFonts w:ascii="Times New Roman" w:hAnsi="Times New Roman"/>
                <w:sz w:val="14"/>
                <w:szCs w:val="14"/>
                <w:lang w:val="es-AR" w:eastAsia="es-AR"/>
              </w:rPr>
              <w:t xml:space="preserve"> </w:t>
            </w:r>
          </w:p>
          <w:p w14:paraId="102227DD" w14:textId="77777777" w:rsidR="00BD7C7A" w:rsidRPr="00A92FD7" w:rsidRDefault="00BD7C7A" w:rsidP="00634D9F">
            <w:pPr>
              <w:jc w:val="center"/>
              <w:rPr>
                <w:rFonts w:ascii="Times New Roman" w:hAnsi="Times New Roman"/>
                <w:sz w:val="14"/>
                <w:szCs w:val="14"/>
                <w:lang w:val="es-AR"/>
              </w:rPr>
            </w:pPr>
            <w:r w:rsidRPr="00C3287D">
              <w:rPr>
                <w:rFonts w:ascii="Times New Roman" w:hAnsi="Times New Roman"/>
                <w:sz w:val="14"/>
                <w:szCs w:val="14"/>
                <w:lang w:val="es-AR" w:eastAsia="es-AR"/>
              </w:rPr>
              <w:t xml:space="preserve">Matrícula </w:t>
            </w:r>
            <w:proofErr w:type="spellStart"/>
            <w:r w:rsidRPr="00C3287D">
              <w:rPr>
                <w:rFonts w:ascii="Times New Roman" w:hAnsi="Times New Roman"/>
                <w:sz w:val="14"/>
                <w:szCs w:val="14"/>
                <w:lang w:val="es-AR" w:eastAsia="es-AR"/>
              </w:rPr>
              <w:t>ALyC</w:t>
            </w:r>
            <w:proofErr w:type="spellEnd"/>
            <w:r w:rsidRPr="00C3287D">
              <w:rPr>
                <w:rFonts w:ascii="Times New Roman" w:hAnsi="Times New Roman"/>
                <w:sz w:val="14"/>
                <w:szCs w:val="14"/>
                <w:lang w:val="es-AR" w:eastAsia="es-AR"/>
              </w:rPr>
              <w:t xml:space="preserve"> y AN Integral N°40</w:t>
            </w:r>
            <w:r>
              <w:rPr>
                <w:rFonts w:ascii="Times New Roman" w:hAnsi="Times New Roman"/>
                <w:sz w:val="14"/>
                <w:szCs w:val="14"/>
                <w:lang w:val="es-AR" w:eastAsia="es-AR"/>
              </w:rPr>
              <w:t>.</w:t>
            </w:r>
          </w:p>
        </w:tc>
      </w:tr>
    </w:tbl>
    <w:p w14:paraId="102227DF" w14:textId="77777777" w:rsidR="000063DC" w:rsidRPr="00CA5B9E" w:rsidRDefault="000063DC" w:rsidP="00764078">
      <w:pPr>
        <w:ind w:left="-709" w:right="-851"/>
        <w:jc w:val="center"/>
        <w:rPr>
          <w:rFonts w:ascii="Times New Roman" w:hAnsi="Times New Roman"/>
          <w:b/>
          <w:sz w:val="18"/>
          <w:lang w:val="es-AR"/>
        </w:rPr>
      </w:pPr>
    </w:p>
    <w:p w14:paraId="102227E0" w14:textId="77777777" w:rsidR="00F9061E" w:rsidRPr="000063DC" w:rsidRDefault="00F9061E" w:rsidP="00F9061E">
      <w:pPr>
        <w:jc w:val="center"/>
        <w:rPr>
          <w:rFonts w:ascii="Times New Roman" w:hAnsi="Times New Roman"/>
          <w:sz w:val="18"/>
          <w:lang w:val="es-AR"/>
        </w:rPr>
      </w:pPr>
    </w:p>
    <w:p w14:paraId="102227E1" w14:textId="77777777" w:rsidR="00B96EBE" w:rsidRPr="000063DC" w:rsidRDefault="00B96EBE" w:rsidP="00F9061E">
      <w:pPr>
        <w:jc w:val="center"/>
        <w:rPr>
          <w:rFonts w:ascii="Times New Roman" w:hAnsi="Times New Roman"/>
          <w:sz w:val="18"/>
          <w:lang w:val="es-ES"/>
        </w:rPr>
      </w:pPr>
    </w:p>
    <w:p w14:paraId="102227E2" w14:textId="77777777" w:rsidR="000063DC" w:rsidRDefault="000063DC" w:rsidP="00F9061E">
      <w:pPr>
        <w:jc w:val="center"/>
        <w:rPr>
          <w:rFonts w:ascii="Times New Roman" w:hAnsi="Times New Roman"/>
          <w:sz w:val="18"/>
          <w:lang w:val="es-ES"/>
        </w:rPr>
      </w:pPr>
    </w:p>
    <w:p w14:paraId="102227E3" w14:textId="77777777" w:rsidR="00F9061E" w:rsidRPr="000063DC" w:rsidRDefault="00F9061E" w:rsidP="00F9061E">
      <w:pPr>
        <w:jc w:val="center"/>
        <w:rPr>
          <w:rFonts w:ascii="Times New Roman" w:hAnsi="Times New Roman"/>
          <w:sz w:val="18"/>
          <w:lang w:val="es-ES"/>
        </w:rPr>
      </w:pPr>
      <w:r w:rsidRPr="000063DC">
        <w:rPr>
          <w:rFonts w:ascii="Times New Roman" w:hAnsi="Times New Roman"/>
          <w:sz w:val="18"/>
          <w:lang w:val="es-ES"/>
        </w:rPr>
        <w:t xml:space="preserve">La fecha de este Aviso de </w:t>
      </w:r>
      <w:r w:rsidR="00B96EBE" w:rsidRPr="000063DC">
        <w:rPr>
          <w:rFonts w:ascii="Times New Roman" w:hAnsi="Times New Roman"/>
          <w:sz w:val="18"/>
          <w:lang w:val="es-ES"/>
        </w:rPr>
        <w:t>Resultados</w:t>
      </w:r>
      <w:r w:rsidRPr="000063DC">
        <w:rPr>
          <w:rFonts w:ascii="Times New Roman" w:hAnsi="Times New Roman"/>
          <w:sz w:val="18"/>
          <w:lang w:val="es-ES"/>
        </w:rPr>
        <w:t xml:space="preserve"> es </w:t>
      </w:r>
      <w:r w:rsidR="002B620B">
        <w:rPr>
          <w:rFonts w:ascii="Times New Roman" w:hAnsi="Times New Roman"/>
          <w:sz w:val="18"/>
          <w:lang w:val="es-ES"/>
        </w:rPr>
        <w:t>15</w:t>
      </w:r>
      <w:r w:rsidRPr="000063DC">
        <w:rPr>
          <w:rFonts w:ascii="Times New Roman" w:hAnsi="Times New Roman"/>
          <w:sz w:val="18"/>
          <w:lang w:val="es-ES"/>
        </w:rPr>
        <w:t xml:space="preserve"> de </w:t>
      </w:r>
      <w:r w:rsidR="00693E37" w:rsidRPr="000063DC">
        <w:rPr>
          <w:rFonts w:ascii="Times New Roman" w:hAnsi="Times New Roman"/>
          <w:sz w:val="18"/>
          <w:lang w:val="es-ES"/>
        </w:rPr>
        <w:t>noviembre</w:t>
      </w:r>
      <w:r w:rsidRPr="000063DC">
        <w:rPr>
          <w:rFonts w:ascii="Times New Roman" w:hAnsi="Times New Roman"/>
          <w:sz w:val="18"/>
          <w:lang w:val="es-ES"/>
        </w:rPr>
        <w:t xml:space="preserve"> de 2018.</w:t>
      </w:r>
    </w:p>
    <w:p w14:paraId="102227E4" w14:textId="77777777" w:rsidR="00F9061E" w:rsidRPr="000063DC" w:rsidRDefault="00F9061E" w:rsidP="00F9061E">
      <w:pPr>
        <w:jc w:val="center"/>
        <w:rPr>
          <w:rFonts w:ascii="Times New Roman" w:hAnsi="Times New Roman"/>
          <w:sz w:val="18"/>
          <w:lang w:val="es-ES"/>
        </w:rPr>
      </w:pPr>
    </w:p>
    <w:p w14:paraId="102227E5" w14:textId="77777777" w:rsidR="00F9061E" w:rsidRPr="000063DC" w:rsidRDefault="00F9061E" w:rsidP="00F9061E">
      <w:pPr>
        <w:jc w:val="center"/>
        <w:rPr>
          <w:rFonts w:ascii="Times New Roman" w:hAnsi="Times New Roman"/>
          <w:sz w:val="18"/>
          <w:lang w:val="es-ES"/>
        </w:rPr>
      </w:pPr>
    </w:p>
    <w:p w14:paraId="102227E6" w14:textId="77777777" w:rsidR="00F9061E" w:rsidRDefault="00F9061E" w:rsidP="00F9061E">
      <w:pPr>
        <w:jc w:val="center"/>
        <w:rPr>
          <w:rFonts w:ascii="Times New Roman" w:hAnsi="Times New Roman"/>
          <w:sz w:val="18"/>
          <w:lang w:val="es-ES"/>
        </w:rPr>
      </w:pPr>
    </w:p>
    <w:p w14:paraId="102227E7" w14:textId="77777777" w:rsidR="000063DC" w:rsidRPr="000063DC" w:rsidRDefault="000063DC" w:rsidP="00F9061E">
      <w:pPr>
        <w:jc w:val="center"/>
        <w:rPr>
          <w:rFonts w:ascii="Times New Roman" w:hAnsi="Times New Roman"/>
          <w:sz w:val="18"/>
          <w:lang w:val="es-ES"/>
        </w:rPr>
      </w:pPr>
    </w:p>
    <w:p w14:paraId="102227E8" w14:textId="77777777" w:rsidR="00F9061E" w:rsidRDefault="00F9061E" w:rsidP="00F9061E">
      <w:pPr>
        <w:jc w:val="center"/>
        <w:rPr>
          <w:rFonts w:ascii="Times New Roman" w:hAnsi="Times New Roman"/>
          <w:sz w:val="18"/>
          <w:lang w:val="es-ES"/>
        </w:rPr>
      </w:pPr>
    </w:p>
    <w:p w14:paraId="102227E9" w14:textId="77777777" w:rsidR="000063DC" w:rsidRPr="000063DC" w:rsidRDefault="000063DC" w:rsidP="00F9061E">
      <w:pPr>
        <w:jc w:val="center"/>
        <w:rPr>
          <w:rFonts w:ascii="Times New Roman" w:hAnsi="Times New Roman"/>
          <w:sz w:val="18"/>
          <w:lang w:val="es-ES"/>
        </w:rPr>
      </w:pPr>
    </w:p>
    <w:p w14:paraId="102227EA" w14:textId="77777777" w:rsidR="00F9061E" w:rsidRPr="000063DC" w:rsidRDefault="00F9061E" w:rsidP="00F9061E">
      <w:pPr>
        <w:pStyle w:val="Ttulo7"/>
        <w:ind w:firstLine="0"/>
        <w:jc w:val="center"/>
        <w:rPr>
          <w:sz w:val="18"/>
          <w:szCs w:val="20"/>
        </w:rPr>
      </w:pPr>
      <w:r w:rsidRPr="000063DC">
        <w:rPr>
          <w:sz w:val="18"/>
          <w:szCs w:val="20"/>
        </w:rPr>
        <w:t>___________________________</w:t>
      </w:r>
    </w:p>
    <w:p w14:paraId="102227EB" w14:textId="77777777" w:rsidR="00F9061E" w:rsidRPr="000063DC" w:rsidRDefault="00F9061E" w:rsidP="00F9061E">
      <w:pPr>
        <w:jc w:val="center"/>
        <w:rPr>
          <w:rFonts w:ascii="Times New Roman" w:hAnsi="Times New Roman"/>
          <w:b/>
          <w:sz w:val="18"/>
        </w:rPr>
      </w:pPr>
      <w:r w:rsidRPr="000063DC">
        <w:rPr>
          <w:rFonts w:ascii="Times New Roman" w:hAnsi="Times New Roman"/>
          <w:b/>
          <w:sz w:val="18"/>
        </w:rPr>
        <w:t>Pablo Schreiber</w:t>
      </w:r>
    </w:p>
    <w:p w14:paraId="102227EC" w14:textId="77777777" w:rsidR="00F9061E" w:rsidRPr="000063DC" w:rsidRDefault="00F9061E" w:rsidP="00F9061E">
      <w:pPr>
        <w:jc w:val="center"/>
        <w:rPr>
          <w:rFonts w:ascii="Times New Roman" w:hAnsi="Times New Roman"/>
          <w:b/>
          <w:sz w:val="18"/>
        </w:rPr>
      </w:pPr>
      <w:proofErr w:type="spellStart"/>
      <w:r w:rsidRPr="000063DC">
        <w:rPr>
          <w:rFonts w:ascii="Times New Roman" w:hAnsi="Times New Roman"/>
          <w:b/>
          <w:sz w:val="18"/>
        </w:rPr>
        <w:t>Autorizado</w:t>
      </w:r>
      <w:proofErr w:type="spellEnd"/>
    </w:p>
    <w:p w14:paraId="102227ED" w14:textId="77777777" w:rsidR="00EF5419" w:rsidRPr="000063DC" w:rsidRDefault="00EF5419" w:rsidP="00764078">
      <w:pPr>
        <w:tabs>
          <w:tab w:val="center" w:pos="3119"/>
          <w:tab w:val="center" w:pos="7513"/>
        </w:tabs>
        <w:ind w:left="-709" w:right="-851"/>
        <w:jc w:val="center"/>
        <w:rPr>
          <w:rFonts w:ascii="Times New Roman" w:hAnsi="Times New Roman"/>
          <w:b/>
          <w:bCs/>
          <w:sz w:val="18"/>
          <w:lang w:val="es-AR"/>
        </w:rPr>
      </w:pPr>
    </w:p>
    <w:sectPr w:rsidR="00EF5419" w:rsidRPr="000063DC" w:rsidSect="00CA5B9E">
      <w:headerReference w:type="even" r:id="rId21"/>
      <w:headerReference w:type="default" r:id="rId22"/>
      <w:pgSz w:w="11907" w:h="16839" w:code="9"/>
      <w:pgMar w:top="1440" w:right="1440" w:bottom="1440" w:left="1440" w:header="1134" w:footer="720" w:gutter="0"/>
      <w:pgBorders w:offsetFrom="page">
        <w:top w:val="single" w:sz="4" w:space="24" w:color="auto"/>
        <w:left w:val="single" w:sz="4" w:space="24" w:color="auto"/>
        <w:bottom w:val="single" w:sz="4" w:space="24" w:color="auto"/>
        <w:right w:val="single" w:sz="4"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22800" w14:textId="77777777" w:rsidR="0026256C" w:rsidRDefault="0026256C">
      <w:r>
        <w:separator/>
      </w:r>
    </w:p>
  </w:endnote>
  <w:endnote w:type="continuationSeparator" w:id="0">
    <w:p w14:paraId="10222801" w14:textId="77777777" w:rsidR="0026256C" w:rsidRDefault="00262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227FE" w14:textId="77777777" w:rsidR="0026256C" w:rsidRDefault="0026256C">
      <w:r>
        <w:separator/>
      </w:r>
    </w:p>
  </w:footnote>
  <w:footnote w:type="continuationSeparator" w:id="0">
    <w:p w14:paraId="102227FF" w14:textId="77777777" w:rsidR="0026256C" w:rsidRDefault="00262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22802" w14:textId="77777777" w:rsidR="007719C7" w:rsidRDefault="007719C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0222803" w14:textId="77777777" w:rsidR="007719C7" w:rsidRDefault="007719C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22804" w14:textId="77777777" w:rsidR="007719C7" w:rsidRDefault="007719C7">
    <w:pPr>
      <w:pStyle w:val="Encabezado"/>
      <w:tabs>
        <w:tab w:val="clear" w:pos="4419"/>
        <w:tab w:val="clear" w:pos="8838"/>
        <w:tab w:val="right" w:pos="8220"/>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B6BA8"/>
    <w:multiLevelType w:val="singleLevel"/>
    <w:tmpl w:val="26EED8B0"/>
    <w:lvl w:ilvl="0">
      <w:start w:val="1"/>
      <w:numFmt w:val="decimal"/>
      <w:pStyle w:val="Notaalpie"/>
      <w:lvlText w:val="%1"/>
      <w:lvlJc w:val="left"/>
      <w:pPr>
        <w:tabs>
          <w:tab w:val="num" w:pos="360"/>
        </w:tabs>
        <w:ind w:left="0" w:firstLine="0"/>
      </w:pPr>
      <w:rPr>
        <w:rFonts w:ascii="Arial" w:hAnsi="Arial" w:hint="default"/>
        <w:b w:val="0"/>
        <w:i w:val="0"/>
        <w:sz w:val="16"/>
        <w:vertAlign w:val="superscript"/>
      </w:rPr>
    </w:lvl>
  </w:abstractNum>
  <w:abstractNum w:abstractNumId="1" w15:restartNumberingAfterBreak="0">
    <w:nsid w:val="057D3E74"/>
    <w:multiLevelType w:val="hybridMultilevel"/>
    <w:tmpl w:val="72045E9E"/>
    <w:lvl w:ilvl="0" w:tplc="77F69C5A">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5E024F0"/>
    <w:multiLevelType w:val="multilevel"/>
    <w:tmpl w:val="9FECBC0A"/>
    <w:lvl w:ilvl="0">
      <w:start w:val="1"/>
      <w:numFmt w:val="upperRoman"/>
      <w:pStyle w:val="NUM1"/>
      <w:lvlText w:val="%1."/>
      <w:lvlJc w:val="left"/>
      <w:pPr>
        <w:tabs>
          <w:tab w:val="num" w:pos="720"/>
        </w:tabs>
        <w:ind w:left="0" w:firstLine="0"/>
      </w:pPr>
      <w:rPr>
        <w:rFonts w:ascii="Arial" w:hAnsi="Arial" w:hint="default"/>
        <w:b/>
        <w:i w:val="0"/>
        <w:sz w:val="22"/>
      </w:rPr>
    </w:lvl>
    <w:lvl w:ilvl="1">
      <w:start w:val="1"/>
      <w:numFmt w:val="decimal"/>
      <w:pStyle w:val="NUM2"/>
      <w:isLgl/>
      <w:suff w:val="space"/>
      <w:lvlText w:val="%1.%2."/>
      <w:lvlJc w:val="left"/>
      <w:pPr>
        <w:ind w:left="0" w:firstLine="0"/>
      </w:pPr>
      <w:rPr>
        <w:rFonts w:ascii="Arial" w:hAnsi="Arial" w:hint="default"/>
        <w:b w:val="0"/>
        <w:i w:val="0"/>
      </w:rPr>
    </w:lvl>
    <w:lvl w:ilvl="2">
      <w:start w:val="1"/>
      <w:numFmt w:val="decimal"/>
      <w:pStyle w:val="NUM3"/>
      <w:isLgl/>
      <w:suff w:val="space"/>
      <w:lvlText w:val="%1.%2.%3."/>
      <w:lvlJc w:val="left"/>
      <w:pPr>
        <w:ind w:left="0" w:firstLine="0"/>
      </w:pPr>
    </w:lvl>
    <w:lvl w:ilvl="3">
      <w:start w:val="1"/>
      <w:numFmt w:val="lowerRoman"/>
      <w:pStyle w:val="NUM4"/>
      <w:suff w:val="space"/>
      <w:lvlText w:val="(%4)"/>
      <w:lvlJc w:val="left"/>
      <w:pPr>
        <w:ind w:left="0" w:firstLine="567"/>
      </w:pPr>
      <w:rPr>
        <w:rFonts w:hint="default"/>
      </w:rPr>
    </w:lvl>
    <w:lvl w:ilvl="4">
      <w:start w:val="1"/>
      <w:numFmt w:val="bullet"/>
      <w:pStyle w:val="Num5"/>
      <w:lvlText w:val=""/>
      <w:lvlJc w:val="left"/>
      <w:pPr>
        <w:tabs>
          <w:tab w:val="num" w:pos="1134"/>
        </w:tabs>
        <w:ind w:left="1134" w:hanging="567"/>
      </w:pPr>
      <w:rPr>
        <w:rFonts w:ascii="Symbol" w:hAnsi="Symbol" w:hint="default"/>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D67427C"/>
    <w:multiLevelType w:val="multilevel"/>
    <w:tmpl w:val="01A432AC"/>
    <w:lvl w:ilvl="0">
      <w:start w:val="1"/>
      <w:numFmt w:val="upperRoman"/>
      <w:lvlText w:val="%1."/>
      <w:lvlJc w:val="left"/>
      <w:pPr>
        <w:tabs>
          <w:tab w:val="num" w:pos="680"/>
        </w:tabs>
        <w:ind w:left="680" w:hanging="680"/>
      </w:pPr>
      <w:rPr>
        <w:rFonts w:ascii="Arial" w:hAnsi="Arial" w:hint="default"/>
        <w:b/>
        <w:i w:val="0"/>
        <w:sz w:val="22"/>
        <w:u w:val="single"/>
      </w:rPr>
    </w:lvl>
    <w:lvl w:ilvl="1">
      <w:start w:val="1"/>
      <w:numFmt w:val="decimal"/>
      <w:isLgl/>
      <w:suff w:val="space"/>
      <w:lvlText w:val="%1.%2."/>
      <w:lvlJc w:val="left"/>
      <w:pPr>
        <w:ind w:left="0" w:firstLine="0"/>
      </w:pPr>
      <w:rPr>
        <w:rFonts w:ascii="Arial" w:hAnsi="Arial" w:hint="default"/>
        <w:b w:val="0"/>
        <w:i w:val="0"/>
        <w:sz w:val="22"/>
        <w:u w:val="none"/>
      </w:rPr>
    </w:lvl>
    <w:lvl w:ilvl="2">
      <w:start w:val="1"/>
      <w:numFmt w:val="decimal"/>
      <w:isLgl/>
      <w:suff w:val="space"/>
      <w:lvlText w:val="%1.%2.%3."/>
      <w:lvlJc w:val="left"/>
      <w:pPr>
        <w:ind w:left="0" w:firstLine="0"/>
      </w:pPr>
      <w:rPr>
        <w:rFonts w:ascii="Arial" w:hAnsi="Arial" w:hint="default"/>
        <w:b w:val="0"/>
        <w:i w:val="0"/>
        <w:sz w:val="22"/>
      </w:rPr>
    </w:lvl>
    <w:lvl w:ilvl="3">
      <w:start w:val="1"/>
      <w:numFmt w:val="lowerRoman"/>
      <w:pStyle w:val="Romanitos"/>
      <w:lvlText w:val="(%4)"/>
      <w:lvlJc w:val="left"/>
      <w:pPr>
        <w:tabs>
          <w:tab w:val="num" w:pos="720"/>
        </w:tabs>
        <w:ind w:left="680" w:hanging="680"/>
      </w:pPr>
      <w:rPr>
        <w:rFonts w:ascii="Arial" w:hAnsi="Arial" w:hint="default"/>
        <w:sz w:val="22"/>
      </w:rPr>
    </w:lvl>
    <w:lvl w:ilvl="4">
      <w:start w:val="1"/>
      <w:numFmt w:val="bullet"/>
      <w:pStyle w:val="Vietas"/>
      <w:lvlText w:val=""/>
      <w:lvlJc w:val="left"/>
      <w:pPr>
        <w:tabs>
          <w:tab w:val="num" w:pos="1080"/>
        </w:tabs>
        <w:ind w:left="1080" w:hanging="400"/>
      </w:pPr>
      <w:rPr>
        <w:rFonts w:ascii="Symbol" w:hAnsi="Symbol"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2CD5252D"/>
    <w:multiLevelType w:val="hybridMultilevel"/>
    <w:tmpl w:val="DD06B2B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CEE3AE0"/>
    <w:multiLevelType w:val="hybridMultilevel"/>
    <w:tmpl w:val="7B54A156"/>
    <w:lvl w:ilvl="0" w:tplc="F0D6FBEC">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5B9412A3"/>
    <w:multiLevelType w:val="hybridMultilevel"/>
    <w:tmpl w:val="DC9285F0"/>
    <w:lvl w:ilvl="0" w:tplc="77F69C5A">
      <w:start w:val="1"/>
      <w:numFmt w:val="decimal"/>
      <w:lvlText w:val="%1)"/>
      <w:lvlJc w:val="left"/>
      <w:pPr>
        <w:ind w:left="720" w:hanging="360"/>
      </w:pPr>
      <w:rPr>
        <w:rFonts w:hint="default"/>
        <w:b/>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74023001"/>
    <w:multiLevelType w:val="hybridMultilevel"/>
    <w:tmpl w:val="BD7A962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0"/>
  </w:num>
  <w:num w:numId="7">
    <w:abstractNumId w:val="3"/>
  </w:num>
  <w:num w:numId="8">
    <w:abstractNumId w:val="3"/>
  </w:num>
  <w:num w:numId="9">
    <w:abstractNumId w:val="7"/>
  </w:num>
  <w:num w:numId="10">
    <w:abstractNumId w:val="4"/>
  </w:num>
  <w:num w:numId="11">
    <w:abstractNumId w:val="6"/>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C66"/>
    <w:rsid w:val="000063DC"/>
    <w:rsid w:val="00023F8C"/>
    <w:rsid w:val="000355AA"/>
    <w:rsid w:val="00040E2B"/>
    <w:rsid w:val="0004276F"/>
    <w:rsid w:val="00060351"/>
    <w:rsid w:val="00061F3F"/>
    <w:rsid w:val="000A154A"/>
    <w:rsid w:val="000B3D5E"/>
    <w:rsid w:val="000B68AA"/>
    <w:rsid w:val="000D6ABC"/>
    <w:rsid w:val="000E6BEA"/>
    <w:rsid w:val="0011322C"/>
    <w:rsid w:val="001528C6"/>
    <w:rsid w:val="00172515"/>
    <w:rsid w:val="001825CE"/>
    <w:rsid w:val="00197425"/>
    <w:rsid w:val="001A0A5A"/>
    <w:rsid w:val="001B7877"/>
    <w:rsid w:val="001E58BF"/>
    <w:rsid w:val="001F60FF"/>
    <w:rsid w:val="001F6343"/>
    <w:rsid w:val="001F77EB"/>
    <w:rsid w:val="00212F92"/>
    <w:rsid w:val="00246062"/>
    <w:rsid w:val="00246CBB"/>
    <w:rsid w:val="002508F8"/>
    <w:rsid w:val="0026256C"/>
    <w:rsid w:val="00290098"/>
    <w:rsid w:val="00291DDB"/>
    <w:rsid w:val="002A0829"/>
    <w:rsid w:val="002A33FF"/>
    <w:rsid w:val="002B55BD"/>
    <w:rsid w:val="002B620B"/>
    <w:rsid w:val="002B7433"/>
    <w:rsid w:val="002F1627"/>
    <w:rsid w:val="002F3B46"/>
    <w:rsid w:val="003140B6"/>
    <w:rsid w:val="00320260"/>
    <w:rsid w:val="00331CA7"/>
    <w:rsid w:val="003439B9"/>
    <w:rsid w:val="003918C7"/>
    <w:rsid w:val="00392BCF"/>
    <w:rsid w:val="003A0831"/>
    <w:rsid w:val="003A55F2"/>
    <w:rsid w:val="003C0635"/>
    <w:rsid w:val="003C2169"/>
    <w:rsid w:val="003D011B"/>
    <w:rsid w:val="003D023B"/>
    <w:rsid w:val="003D3163"/>
    <w:rsid w:val="003E298F"/>
    <w:rsid w:val="003E37FC"/>
    <w:rsid w:val="003F75C7"/>
    <w:rsid w:val="00424127"/>
    <w:rsid w:val="00432BA7"/>
    <w:rsid w:val="004663D5"/>
    <w:rsid w:val="00480489"/>
    <w:rsid w:val="00494384"/>
    <w:rsid w:val="004C32F0"/>
    <w:rsid w:val="004C6BE4"/>
    <w:rsid w:val="004C7430"/>
    <w:rsid w:val="004D3CEA"/>
    <w:rsid w:val="004D7332"/>
    <w:rsid w:val="004E64B5"/>
    <w:rsid w:val="00542906"/>
    <w:rsid w:val="00546A67"/>
    <w:rsid w:val="00550E43"/>
    <w:rsid w:val="00573418"/>
    <w:rsid w:val="00575D4C"/>
    <w:rsid w:val="00580A3D"/>
    <w:rsid w:val="00584407"/>
    <w:rsid w:val="00591243"/>
    <w:rsid w:val="00596AB3"/>
    <w:rsid w:val="005A24F6"/>
    <w:rsid w:val="005B4ABF"/>
    <w:rsid w:val="005C3813"/>
    <w:rsid w:val="005C5FE3"/>
    <w:rsid w:val="005D1543"/>
    <w:rsid w:val="005D3C44"/>
    <w:rsid w:val="005D616A"/>
    <w:rsid w:val="005D7BDC"/>
    <w:rsid w:val="005E4453"/>
    <w:rsid w:val="005E6347"/>
    <w:rsid w:val="00602702"/>
    <w:rsid w:val="0061094E"/>
    <w:rsid w:val="0061341B"/>
    <w:rsid w:val="00613DB4"/>
    <w:rsid w:val="00616BD4"/>
    <w:rsid w:val="0061746C"/>
    <w:rsid w:val="00620272"/>
    <w:rsid w:val="00621821"/>
    <w:rsid w:val="00693E37"/>
    <w:rsid w:val="006A19A6"/>
    <w:rsid w:val="006C252A"/>
    <w:rsid w:val="006D0999"/>
    <w:rsid w:val="006D2BBB"/>
    <w:rsid w:val="006D5921"/>
    <w:rsid w:val="006E6ED6"/>
    <w:rsid w:val="00703AB4"/>
    <w:rsid w:val="00754750"/>
    <w:rsid w:val="00764078"/>
    <w:rsid w:val="0077112C"/>
    <w:rsid w:val="007719C7"/>
    <w:rsid w:val="007921AE"/>
    <w:rsid w:val="007A6796"/>
    <w:rsid w:val="007B3349"/>
    <w:rsid w:val="007C7D01"/>
    <w:rsid w:val="007D0BA1"/>
    <w:rsid w:val="007E07D5"/>
    <w:rsid w:val="007E490D"/>
    <w:rsid w:val="007E585E"/>
    <w:rsid w:val="007F1672"/>
    <w:rsid w:val="007F5653"/>
    <w:rsid w:val="008016D6"/>
    <w:rsid w:val="00861DB8"/>
    <w:rsid w:val="00863E77"/>
    <w:rsid w:val="008654B7"/>
    <w:rsid w:val="008810AC"/>
    <w:rsid w:val="0088599D"/>
    <w:rsid w:val="00895D3D"/>
    <w:rsid w:val="008A60DD"/>
    <w:rsid w:val="008B0DB6"/>
    <w:rsid w:val="008B7F8A"/>
    <w:rsid w:val="008C0319"/>
    <w:rsid w:val="008C2DD9"/>
    <w:rsid w:val="008D56B9"/>
    <w:rsid w:val="008F3263"/>
    <w:rsid w:val="00900BD1"/>
    <w:rsid w:val="00983130"/>
    <w:rsid w:val="009B4F74"/>
    <w:rsid w:val="00A300CF"/>
    <w:rsid w:val="00A3529D"/>
    <w:rsid w:val="00A5105B"/>
    <w:rsid w:val="00A72A5F"/>
    <w:rsid w:val="00A873B8"/>
    <w:rsid w:val="00AA0586"/>
    <w:rsid w:val="00AA416C"/>
    <w:rsid w:val="00AA7E35"/>
    <w:rsid w:val="00AB68D3"/>
    <w:rsid w:val="00AC59D1"/>
    <w:rsid w:val="00AD1EFD"/>
    <w:rsid w:val="00AD5745"/>
    <w:rsid w:val="00AE3C93"/>
    <w:rsid w:val="00AF088E"/>
    <w:rsid w:val="00AF3EC8"/>
    <w:rsid w:val="00AF4ECB"/>
    <w:rsid w:val="00B13CE3"/>
    <w:rsid w:val="00B440D7"/>
    <w:rsid w:val="00B83347"/>
    <w:rsid w:val="00B96EBE"/>
    <w:rsid w:val="00BA207A"/>
    <w:rsid w:val="00BD7C7A"/>
    <w:rsid w:val="00BE16B6"/>
    <w:rsid w:val="00BE200D"/>
    <w:rsid w:val="00BE76F8"/>
    <w:rsid w:val="00BF1C66"/>
    <w:rsid w:val="00C033C3"/>
    <w:rsid w:val="00C214E7"/>
    <w:rsid w:val="00C376BD"/>
    <w:rsid w:val="00C66DB0"/>
    <w:rsid w:val="00C67C68"/>
    <w:rsid w:val="00C75C60"/>
    <w:rsid w:val="00C8240C"/>
    <w:rsid w:val="00C86ABC"/>
    <w:rsid w:val="00CA5B9E"/>
    <w:rsid w:val="00CE30E0"/>
    <w:rsid w:val="00CF4E68"/>
    <w:rsid w:val="00D07F7B"/>
    <w:rsid w:val="00D26A3E"/>
    <w:rsid w:val="00D27666"/>
    <w:rsid w:val="00D27EFB"/>
    <w:rsid w:val="00D33AAB"/>
    <w:rsid w:val="00D40B72"/>
    <w:rsid w:val="00D42B95"/>
    <w:rsid w:val="00D55ECA"/>
    <w:rsid w:val="00D83853"/>
    <w:rsid w:val="00DB3094"/>
    <w:rsid w:val="00DC2EFF"/>
    <w:rsid w:val="00DF3E07"/>
    <w:rsid w:val="00E15F61"/>
    <w:rsid w:val="00E22774"/>
    <w:rsid w:val="00E25226"/>
    <w:rsid w:val="00E329FA"/>
    <w:rsid w:val="00E36EE9"/>
    <w:rsid w:val="00E4776F"/>
    <w:rsid w:val="00E72235"/>
    <w:rsid w:val="00E76445"/>
    <w:rsid w:val="00EC3935"/>
    <w:rsid w:val="00ED5258"/>
    <w:rsid w:val="00EE6607"/>
    <w:rsid w:val="00EF5419"/>
    <w:rsid w:val="00F04608"/>
    <w:rsid w:val="00F40DA6"/>
    <w:rsid w:val="00F47C60"/>
    <w:rsid w:val="00F502B6"/>
    <w:rsid w:val="00F5587D"/>
    <w:rsid w:val="00F55B2C"/>
    <w:rsid w:val="00F65C53"/>
    <w:rsid w:val="00F704A4"/>
    <w:rsid w:val="00F82459"/>
    <w:rsid w:val="00F844CB"/>
    <w:rsid w:val="00F9061E"/>
    <w:rsid w:val="00F943A4"/>
    <w:rsid w:val="00FA4CAD"/>
    <w:rsid w:val="00FA571D"/>
    <w:rsid w:val="00FA588A"/>
    <w:rsid w:val="00FC1E6D"/>
    <w:rsid w:val="00FD14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2278E"/>
  <w15:docId w15:val="{FA4D328C-F543-4541-B265-0FF1DB2E1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1C66"/>
    <w:rPr>
      <w:rFonts w:ascii="Garamond" w:hAnsi="Garamond"/>
      <w:sz w:val="24"/>
      <w:lang w:val="en-GB" w:eastAsia="en-US"/>
    </w:rPr>
  </w:style>
  <w:style w:type="paragraph" w:styleId="Ttulo7">
    <w:name w:val="heading 7"/>
    <w:basedOn w:val="Normal"/>
    <w:next w:val="Normal"/>
    <w:link w:val="Ttulo7Car"/>
    <w:qFormat/>
    <w:rsid w:val="00BF1C66"/>
    <w:pPr>
      <w:keepNext/>
      <w:ind w:firstLine="720"/>
      <w:outlineLvl w:val="6"/>
    </w:pPr>
    <w:rPr>
      <w:rFonts w:ascii="Times New Roman" w:hAnsi="Times New Roman"/>
      <w:b/>
      <w:bCs/>
      <w:sz w:val="22"/>
      <w:szCs w:val="22"/>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UM1">
    <w:name w:val="NUM1"/>
    <w:basedOn w:val="Normal"/>
    <w:next w:val="Normal"/>
    <w:autoRedefine/>
    <w:pPr>
      <w:numPr>
        <w:numId w:val="1"/>
      </w:numPr>
      <w:spacing w:before="240" w:after="240"/>
      <w:jc w:val="both"/>
    </w:pPr>
    <w:rPr>
      <w:rFonts w:ascii="Arial" w:hAnsi="Arial"/>
      <w:b/>
      <w:caps/>
      <w:snapToGrid w:val="0"/>
      <w:sz w:val="22"/>
      <w:u w:val="single"/>
      <w:lang w:val="es-ES_tradnl" w:eastAsia="es-ES"/>
    </w:rPr>
  </w:style>
  <w:style w:type="paragraph" w:customStyle="1" w:styleId="NUM2">
    <w:name w:val="NUM2"/>
    <w:basedOn w:val="Normal"/>
    <w:pPr>
      <w:numPr>
        <w:ilvl w:val="1"/>
        <w:numId w:val="2"/>
      </w:numPr>
      <w:spacing w:after="240"/>
      <w:jc w:val="both"/>
    </w:pPr>
    <w:rPr>
      <w:rFonts w:ascii="Arial" w:hAnsi="Arial"/>
      <w:snapToGrid w:val="0"/>
      <w:sz w:val="22"/>
      <w:lang w:val="es-ES_tradnl" w:eastAsia="es-ES"/>
    </w:rPr>
  </w:style>
  <w:style w:type="paragraph" w:customStyle="1" w:styleId="NUM3">
    <w:name w:val="NUM3"/>
    <w:basedOn w:val="NUM2"/>
    <w:pPr>
      <w:numPr>
        <w:ilvl w:val="2"/>
        <w:numId w:val="3"/>
      </w:numPr>
    </w:pPr>
  </w:style>
  <w:style w:type="paragraph" w:customStyle="1" w:styleId="NUM4">
    <w:name w:val="NUM4"/>
    <w:basedOn w:val="NUM3"/>
    <w:pPr>
      <w:numPr>
        <w:ilvl w:val="3"/>
        <w:numId w:val="4"/>
      </w:numPr>
    </w:pPr>
  </w:style>
  <w:style w:type="paragraph" w:customStyle="1" w:styleId="Num5">
    <w:name w:val="Num5"/>
    <w:basedOn w:val="Normal"/>
    <w:pPr>
      <w:widowControl w:val="0"/>
      <w:numPr>
        <w:ilvl w:val="4"/>
        <w:numId w:val="5"/>
      </w:numPr>
    </w:pPr>
    <w:rPr>
      <w:rFonts w:ascii="Arial" w:hAnsi="Arial"/>
      <w:snapToGrid w:val="0"/>
      <w:sz w:val="22"/>
      <w:lang w:val="es-ES_tradnl" w:eastAsia="es-ES"/>
    </w:rPr>
  </w:style>
  <w:style w:type="paragraph" w:customStyle="1" w:styleId="Notaalpie">
    <w:name w:val="Nota al pie"/>
    <w:basedOn w:val="Normal"/>
    <w:pPr>
      <w:numPr>
        <w:numId w:val="6"/>
      </w:numPr>
      <w:jc w:val="both"/>
    </w:pPr>
    <w:rPr>
      <w:rFonts w:ascii="Arial" w:hAnsi="Arial"/>
      <w:sz w:val="16"/>
    </w:rPr>
  </w:style>
  <w:style w:type="character" w:styleId="Refdenotaalpie">
    <w:name w:val="footnote reference"/>
    <w:semiHidden/>
    <w:rPr>
      <w:rFonts w:ascii="Arial" w:hAnsi="Arial"/>
      <w:sz w:val="16"/>
      <w:vertAlign w:val="superscript"/>
    </w:rPr>
  </w:style>
  <w:style w:type="paragraph" w:styleId="Textoindependiente">
    <w:name w:val="Body Text"/>
    <w:aliases w:val="Borrador"/>
    <w:basedOn w:val="Normal"/>
    <w:pPr>
      <w:jc w:val="both"/>
    </w:pPr>
    <w:rPr>
      <w:rFonts w:ascii="Arial" w:hAnsi="Arial"/>
      <w:sz w:val="22"/>
    </w:rPr>
  </w:style>
  <w:style w:type="paragraph" w:styleId="Textonotapie">
    <w:name w:val="footnote text"/>
    <w:basedOn w:val="Normal"/>
    <w:semiHidden/>
    <w:pPr>
      <w:jc w:val="both"/>
    </w:pPr>
    <w:rPr>
      <w:rFonts w:ascii="Arial" w:hAnsi="Arial"/>
      <w:sz w:val="16"/>
    </w:rPr>
  </w:style>
  <w:style w:type="paragraph" w:customStyle="1" w:styleId="Vietas">
    <w:name w:val="Viñetas"/>
    <w:basedOn w:val="Normal"/>
    <w:pPr>
      <w:numPr>
        <w:ilvl w:val="4"/>
        <w:numId w:val="7"/>
      </w:numPr>
      <w:spacing w:after="120"/>
      <w:jc w:val="both"/>
    </w:pPr>
    <w:rPr>
      <w:rFonts w:ascii="Arial" w:hAnsi="Arial"/>
      <w:sz w:val="22"/>
      <w:lang w:val="es-ES_tradnl"/>
    </w:rPr>
  </w:style>
  <w:style w:type="paragraph" w:customStyle="1" w:styleId="Romanitos">
    <w:name w:val="Romanitos"/>
    <w:basedOn w:val="Normal"/>
    <w:autoRedefine/>
    <w:pPr>
      <w:numPr>
        <w:ilvl w:val="3"/>
        <w:numId w:val="8"/>
      </w:numPr>
      <w:spacing w:after="240"/>
      <w:jc w:val="both"/>
    </w:pPr>
    <w:rPr>
      <w:rFonts w:ascii="Arial" w:hAnsi="Arial"/>
      <w:sz w:val="22"/>
      <w:lang w:val="es-ES_tradnl"/>
    </w:rPr>
  </w:style>
  <w:style w:type="paragraph" w:styleId="Encabezado">
    <w:name w:val="header"/>
    <w:basedOn w:val="Normal"/>
    <w:pPr>
      <w:tabs>
        <w:tab w:val="center" w:pos="4419"/>
        <w:tab w:val="right" w:pos="8838"/>
      </w:tabs>
    </w:pPr>
  </w:style>
  <w:style w:type="character" w:styleId="Nmerodepgina">
    <w:name w:val="page number"/>
    <w:basedOn w:val="Fuentedeprrafopredeter"/>
  </w:style>
  <w:style w:type="paragraph" w:styleId="Piedepgina">
    <w:name w:val="footer"/>
    <w:basedOn w:val="Normal"/>
    <w:pPr>
      <w:tabs>
        <w:tab w:val="center" w:pos="4419"/>
        <w:tab w:val="right" w:pos="8838"/>
      </w:tabs>
    </w:pPr>
  </w:style>
  <w:style w:type="paragraph" w:styleId="Sangra3detindependiente">
    <w:name w:val="Body Text Indent 3"/>
    <w:basedOn w:val="Normal"/>
    <w:link w:val="Sangra3detindependienteCar"/>
    <w:rsid w:val="00BF1C66"/>
    <w:pPr>
      <w:spacing w:after="120"/>
      <w:ind w:left="283"/>
    </w:pPr>
    <w:rPr>
      <w:sz w:val="16"/>
      <w:szCs w:val="16"/>
    </w:rPr>
  </w:style>
  <w:style w:type="character" w:customStyle="1" w:styleId="Sangra3detindependienteCar">
    <w:name w:val="Sangría 3 de t. independiente Car"/>
    <w:link w:val="Sangra3detindependiente"/>
    <w:rsid w:val="00BF1C66"/>
    <w:rPr>
      <w:rFonts w:ascii="Arial" w:hAnsi="Arial"/>
      <w:sz w:val="16"/>
      <w:szCs w:val="16"/>
      <w:lang w:val="es-AR"/>
    </w:rPr>
  </w:style>
  <w:style w:type="character" w:customStyle="1" w:styleId="Ttulo7Car">
    <w:name w:val="Título 7 Car"/>
    <w:link w:val="Ttulo7"/>
    <w:rsid w:val="00BF1C66"/>
    <w:rPr>
      <w:b/>
      <w:bCs/>
      <w:sz w:val="22"/>
      <w:szCs w:val="22"/>
      <w:lang w:val="es-AR" w:eastAsia="en-US"/>
    </w:rPr>
  </w:style>
  <w:style w:type="paragraph" w:styleId="Ttulo">
    <w:name w:val="Title"/>
    <w:basedOn w:val="Normal"/>
    <w:link w:val="TtuloCar"/>
    <w:qFormat/>
    <w:rsid w:val="00BF1C66"/>
    <w:pPr>
      <w:jc w:val="center"/>
    </w:pPr>
    <w:rPr>
      <w:rFonts w:ascii="Times New Roman" w:hAnsi="Times New Roman"/>
      <w:b/>
      <w:bCs/>
      <w:lang w:val="es-AR"/>
    </w:rPr>
  </w:style>
  <w:style w:type="character" w:customStyle="1" w:styleId="TtuloCar">
    <w:name w:val="Título Car"/>
    <w:link w:val="Ttulo"/>
    <w:rsid w:val="00BF1C66"/>
    <w:rPr>
      <w:b/>
      <w:bCs/>
      <w:sz w:val="24"/>
      <w:lang w:val="es-AR" w:eastAsia="en-US"/>
    </w:rPr>
  </w:style>
  <w:style w:type="character" w:customStyle="1" w:styleId="a1">
    <w:name w:val="a1"/>
    <w:rsid w:val="00BF1C66"/>
    <w:rPr>
      <w:rFonts w:ascii="Courier" w:hAnsi="Courier"/>
      <w:noProof w:val="0"/>
      <w:sz w:val="24"/>
      <w:lang w:val="en-US"/>
    </w:rPr>
  </w:style>
  <w:style w:type="paragraph" w:styleId="Prrafodelista">
    <w:name w:val="List Paragraph"/>
    <w:basedOn w:val="Normal"/>
    <w:uiPriority w:val="34"/>
    <w:qFormat/>
    <w:rsid w:val="00BF1C66"/>
    <w:pPr>
      <w:ind w:left="720"/>
      <w:contextualSpacing/>
    </w:pPr>
  </w:style>
  <w:style w:type="paragraph" w:customStyle="1" w:styleId="DPWfdPF">
    <w:name w:val="DPW fd PF"/>
    <w:aliases w:val="pf,p,f,DPW PF,f Car,D,DPW fd PF Char1 Char Char,DPW fd PF Char1 Char Char1,DPW fd PF Char1 Char Char Char Char Char Char,DPW fd PF Char1 Char Char Char Char Char Char Char Char"/>
    <w:basedOn w:val="Normal"/>
    <w:rsid w:val="00BF1C66"/>
    <w:pPr>
      <w:autoSpaceDE w:val="0"/>
      <w:autoSpaceDN w:val="0"/>
      <w:adjustRightInd w:val="0"/>
      <w:spacing w:after="200"/>
      <w:ind w:firstLine="360"/>
    </w:pPr>
    <w:rPr>
      <w:rFonts w:ascii="Times New Roman" w:hAnsi="Times New Roman"/>
      <w:sz w:val="20"/>
      <w:lang w:val="en-US"/>
    </w:rPr>
  </w:style>
  <w:style w:type="character" w:styleId="Textodelmarcadordeposicin">
    <w:name w:val="Placeholder Text"/>
    <w:uiPriority w:val="99"/>
    <w:semiHidden/>
    <w:rsid w:val="00BF1C66"/>
    <w:rPr>
      <w:color w:val="808080"/>
    </w:rPr>
  </w:style>
  <w:style w:type="paragraph" w:styleId="Textodeglobo">
    <w:name w:val="Balloon Text"/>
    <w:basedOn w:val="Normal"/>
    <w:link w:val="TextodegloboCar"/>
    <w:rsid w:val="008D56B9"/>
    <w:rPr>
      <w:rFonts w:ascii="Tahoma" w:hAnsi="Tahoma" w:cs="Tahoma"/>
      <w:sz w:val="16"/>
      <w:szCs w:val="16"/>
    </w:rPr>
  </w:style>
  <w:style w:type="character" w:customStyle="1" w:styleId="TextodegloboCar">
    <w:name w:val="Texto de globo Car"/>
    <w:link w:val="Textodeglobo"/>
    <w:rsid w:val="008D56B9"/>
    <w:rPr>
      <w:rFonts w:ascii="Tahoma" w:hAnsi="Tahoma" w:cs="Tahoma"/>
      <w:sz w:val="16"/>
      <w:szCs w:val="16"/>
      <w:lang w:val="en-GB" w:eastAsia="en-US"/>
    </w:rPr>
  </w:style>
  <w:style w:type="character" w:styleId="Hipervnculo">
    <w:name w:val="Hyperlink"/>
    <w:rsid w:val="009B4F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00666">
      <w:bodyDiv w:val="1"/>
      <w:marLeft w:val="0"/>
      <w:marRight w:val="0"/>
      <w:marTop w:val="0"/>
      <w:marBottom w:val="0"/>
      <w:divBdr>
        <w:top w:val="none" w:sz="0" w:space="0" w:color="auto"/>
        <w:left w:val="none" w:sz="0" w:space="0" w:color="auto"/>
        <w:bottom w:val="none" w:sz="0" w:space="0" w:color="auto"/>
        <w:right w:val="none" w:sz="0" w:space="0" w:color="auto"/>
      </w:divBdr>
    </w:div>
    <w:div w:id="915015039">
      <w:bodyDiv w:val="1"/>
      <w:marLeft w:val="0"/>
      <w:marRight w:val="0"/>
      <w:marTop w:val="0"/>
      <w:marBottom w:val="0"/>
      <w:divBdr>
        <w:top w:val="none" w:sz="0" w:space="0" w:color="auto"/>
        <w:left w:val="none" w:sz="0" w:space="0" w:color="auto"/>
        <w:bottom w:val="none" w:sz="0" w:space="0" w:color="auto"/>
        <w:right w:val="none" w:sz="0" w:space="0" w:color="auto"/>
      </w:divBdr>
    </w:div>
    <w:div w:id="1012294685">
      <w:bodyDiv w:val="1"/>
      <w:marLeft w:val="0"/>
      <w:marRight w:val="0"/>
      <w:marTop w:val="0"/>
      <w:marBottom w:val="0"/>
      <w:divBdr>
        <w:top w:val="none" w:sz="0" w:space="0" w:color="auto"/>
        <w:left w:val="none" w:sz="0" w:space="0" w:color="auto"/>
        <w:bottom w:val="none" w:sz="0" w:space="0" w:color="auto"/>
        <w:right w:val="none" w:sz="0" w:space="0" w:color="auto"/>
      </w:divBdr>
    </w:div>
    <w:div w:id="150917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nv.gob.ar" TargetMode="External"/><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Areadepractica xmlns="533da224-ddb4-4685-a9ee-13c5afe9e007">Financiero</Areadepractica>
    <Descripcion xmlns="533da224-ddb4-4685-a9ee-13c5afe9e007" xsi:nil="true"/>
    <Autor xmlns="533da224-ddb4-4685-a9ee-13c5afe9e007">ibm</Autor>
    <Idcliente xmlns="533da224-ddb4-4685-a9ee-13c5afe9e007">100528</Idcliente>
    <Estado xmlns="533da224-ddb4-4685-a9ee-13c5afe9e007">Inicial</Estado>
    <Idioma xmlns="533da224-ddb4-4685-a9ee-13c5afe9e007">Español</Idioma>
    <Idcarpetafisica xmlns="533da224-ddb4-4685-a9ee-13c5afe9e007" xsi:nil="true"/>
    <_DCDateModified xmlns="http://schemas.microsoft.com/sharepoint/v3/fields" xsi:nil="true"/>
    <Voces xmlns="533da224-ddb4-4685-a9ee-13c5afe9e007"/>
    <TaxCatchAll xmlns="533da224-ddb4-4685-a9ee-13c5afe9e007">
      <Value>4</Value>
    </TaxCatchAll>
    <Relevancia xmlns="533da224-ddb4-4685-a9ee-13c5afe9e007">Normal</Relevancia>
    <Nombreoriginal xmlns="533da224-ddb4-4685-a9ee-13c5afe9e007">672039_Aviso_de_resultados_-_Genneia_S_A_.docx</Nombreoriginal>
    <Numeromodelo xmlns="533da224-ddb4-4685-a9ee-13c5afe9e007" xsi:nil="true"/>
    <HtmlDocument xmlns="533da224-ddb4-4685-a9ee-13c5afe9e007">
      <Url xsi:nil="true"/>
      <Description xsi:nil="true"/>
    </HtmlDocument>
    <DocumentTypeId xmlns="533da224-ddb4-4685-a9ee-13c5afe9e007">77368ad2-b60a-47c8-84b0-e1c8f9388237</DocumentTypeId>
    <ob290c312b7b4f2681f2a66b962cd45d xmlns="533da224-ddb4-4685-a9ee-13c5afe9e007">
      <Terms xmlns="http://schemas.microsoft.com/office/infopath/2007/PartnerControls">
        <TermInfo xmlns="http://schemas.microsoft.com/office/infopath/2007/PartnerControls">
          <TermName xmlns="http://schemas.microsoft.com/office/infopath/2007/PartnerControls">Profesionales</TermName>
          <TermId xmlns="http://schemas.microsoft.com/office/infopath/2007/PartnerControls">6fcfc387-321f-4ac2-8517-420a2a3a0305</TermId>
        </TermInfo>
      </Terms>
    </ob290c312b7b4f2681f2a66b962cd45d>
    <FolderUrl xmlns="533da224-ddb4-4685-a9ee-13c5afe9e007">http://appshare:81/Default/Bomchil/Profesionales</FolderUrl>
    <Descripcioncliente xmlns="533da224-ddb4-4685-a9ee-13c5afe9e007">JP Morgan </Descripcioncliente>
    <Idasunto xmlns="533da224-ddb4-4685-a9ee-13c5afe9e007">1</Idasunto>
    <SubtipoProspectos xmlns="533da224-ddb4-4685-a9ee-13c5afe9e007">Obligaciones negociables</SubtipoProspectos>
    <Descripcionasunto xmlns="533da224-ddb4-4685-a9ee-13c5afe9e007">Genneia - emisión bono internacional</Descripcionasunto>
    <Numero xmlns="533da224-ddb4-4685-a9ee-13c5afe9e007">672039</Numero>
  </documentManagement>
</p:properties>
</file>

<file path=customXml/item3.xml><?xml version="1.0" encoding="utf-8"?>
<ct:contentTypeSchema xmlns:ct="http://schemas.microsoft.com/office/2006/metadata/contentType" xmlns:ma="http://schemas.microsoft.com/office/2006/metadata/properties/metaAttributes" ct:_="" ma:_="" ma:contentTypeName="Prospectos" ma:contentTypeID="0x010100C180C34B9FEFC347800E809BDCDFD79A022900277935E3D4133C4FBFC17D604BB42EAC" ma:contentTypeVersion="33" ma:contentTypeDescription="" ma:contentTypeScope="" ma:versionID="975311c793001e290d9298676c532b7d">
  <xsd:schema xmlns:xsd="http://www.w3.org/2001/XMLSchema" xmlns:xs="http://www.w3.org/2001/XMLSchema" xmlns:p="http://schemas.microsoft.com/office/2006/metadata/properties" xmlns:ns2="533da224-ddb4-4685-a9ee-13c5afe9e007" xmlns:ns3="http://schemas.microsoft.com/sharepoint/v3/fields" targetNamespace="http://schemas.microsoft.com/office/2006/metadata/properties" ma:root="true" ma:fieldsID="02a3092c8b32fb176d4bb11be9558015" ns2:_="" ns3:_="">
    <xsd:import namespace="533da224-ddb4-4685-a9ee-13c5afe9e007"/>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2:HtmlDocument" minOccurs="0"/>
                <xsd:element ref="ns2:ob290c312b7b4f2681f2a66b962cd45d" minOccurs="0"/>
                <xsd:element ref="ns2:TaxCatchAll" minOccurs="0"/>
                <xsd:element ref="ns2:TaxCatchAllLabel" minOccurs="0"/>
                <xsd:element ref="ns2:SubtipoProspectos" minOccurs="0"/>
                <xsd:element ref="ns2:Areadepractica" minOccurs="0"/>
                <xsd:element ref="ns2:Estado" minOccurs="0"/>
                <xsd:element ref="ns2:Idioma" minOccurs="0"/>
                <xsd:element ref="ns2:Numeromodelo" minOccurs="0"/>
                <xsd:element ref="ns2:Relevancia" minOccurs="0"/>
                <xsd:element ref="ns2:Voces" minOccurs="0"/>
                <xsd:element ref="ns2:Descripcionasunto" minOccurs="0"/>
                <xsd:element ref="ns2:Descripcioncliente" minOccurs="0"/>
                <xsd:element ref="ns2:Idasunto" minOccurs="0"/>
                <xsd:element ref="ns2:Idcliente" minOccurs="0"/>
                <xsd:element ref="ns2:Autor" minOccurs="0"/>
                <xsd:element ref="ns2:Descripcion" minOccurs="0"/>
                <xsd:element ref="ns2:DocumentTypeId" minOccurs="0"/>
                <xsd:element ref="ns2:FolderUrl" minOccurs="0"/>
                <xsd:element ref="ns2:Idcarpetafisica" minOccurs="0"/>
                <xsd:element ref="ns2:Nombreoriginal" minOccurs="0"/>
                <xsd:element ref="ns2:Numero"/>
                <xsd:element ref="ns3: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da224-ddb4-4685-a9ee-13c5afe9e0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tmlDocument" ma:index="11" nillable="true" ma:displayName="HtmlDocument" ma:format="Hyperlink" ma:internalName="HtmlDocument">
      <xsd:complexType>
        <xsd:complexContent>
          <xsd:extension base="dms:URL">
            <xsd:sequence>
              <xsd:element name="Url" type="dms:ValidUrl" minOccurs="0" nillable="true"/>
              <xsd:element name="Description" type="xsd:string" nillable="true"/>
            </xsd:sequence>
          </xsd:extension>
        </xsd:complexContent>
      </xsd:complexType>
    </xsd:element>
    <xsd:element name="ob290c312b7b4f2681f2a66b962cd45d" ma:index="12" ma:taxonomy="true" ma:internalName="ob290c312b7b4f2681f2a66b962cd45d" ma:taxonomyFieldName="IntellikonLocation" ma:displayName="IntellikonLocation" ma:default="" ma:fieldId="{8b290c31-2b7b-4f26-81f2-a66b962cd45d}" ma:sspId="f6757204-16a3-4821-8ec3-df622a35045f" ma:termSetId="5811a3dd-b08a-4668-b969-6223c88fcc19"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8b77c3fd-ecef-472f-8295-6ae56a018e96}" ma:internalName="TaxCatchAll" ma:showField="CatchAllData" ma:web="533da224-ddb4-4685-a9ee-13c5afe9e00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8b77c3fd-ecef-472f-8295-6ae56a018e96}" ma:internalName="TaxCatchAllLabel" ma:readOnly="true" ma:showField="CatchAllDataLabel" ma:web="533da224-ddb4-4685-a9ee-13c5afe9e007">
      <xsd:complexType>
        <xsd:complexContent>
          <xsd:extension base="dms:MultiChoiceLookup">
            <xsd:sequence>
              <xsd:element name="Value" type="dms:Lookup" maxOccurs="unbounded" minOccurs="0" nillable="true"/>
            </xsd:sequence>
          </xsd:extension>
        </xsd:complexContent>
      </xsd:complexType>
    </xsd:element>
    <xsd:element name="SubtipoProspectos" ma:index="16" nillable="true" ma:displayName="Subtipo Prospectos" ma:description="" ma:format="Dropdown" ma:internalName="SubtipoProspectos">
      <xsd:simpleType>
        <xsd:restriction base="dms:Choice">
          <xsd:enumeration value="Acciones"/>
          <xsd:enumeration value="Fideicomiso financiero"/>
          <xsd:enumeration value="Fusión"/>
          <xsd:enumeration value="Obligaciones negociables"/>
          <xsd:enumeration value="Suplemento de precio"/>
        </xsd:restriction>
      </xsd:simpleType>
    </xsd:element>
    <xsd:element name="Areadepractica" ma:index="17" nillable="true" ma:displayName="Area de practica" ma:description="" ma:format="Dropdown" ma:internalName="Areadepractica">
      <xsd:simpleType>
        <xsd:restriction base="dms:Choice">
          <xsd:enumeration value="Administrativo y regulación económica"/>
          <xsd:enumeration value="Aduanero y comercio exterior"/>
          <xsd:enumeration value="Ambiental"/>
          <xsd:enumeration value="Apoyo al negocio"/>
          <xsd:enumeration value="Arbitraje internacional"/>
          <xsd:enumeration value="Comercial"/>
          <xsd:enumeration value="Societario y concursal"/>
          <xsd:enumeration value="Contencioso y arbitrajes"/>
          <xsd:enumeration value="Defensa de la competencia"/>
          <xsd:enumeration value="Dirección general"/>
          <xsd:enumeration value="Entretenimiento"/>
          <xsd:enumeration value="Financiero"/>
          <xsd:enumeration value="Fusiones y adquisiciones"/>
          <xsd:enumeration value="Impuestos y cargas sociales"/>
          <xsd:enumeration value="Inmobiliario y construcción"/>
          <xsd:enumeration value="Laboral y seguridad social"/>
          <xsd:enumeration value="Pool de edición"/>
          <xsd:enumeration value="Profesionales contables"/>
          <xsd:enumeration value="Propiedad intelectual"/>
          <xsd:enumeration value="Telecomunicaciones"/>
        </xsd:restriction>
      </xsd:simpleType>
    </xsd:element>
    <xsd:element name="Estado" ma:index="18" nillable="true" ma:displayName="Estado" ma:description="" ma:format="Dropdown" ma:internalName="Estado">
      <xsd:simpleType>
        <xsd:restriction base="dms:Choice">
          <xsd:enumeration value="Inicial"/>
          <xsd:enumeration value="Enviado"/>
          <xsd:enumeration value="En negociación"/>
          <xsd:enumeration value="Final"/>
        </xsd:restriction>
      </xsd:simpleType>
    </xsd:element>
    <xsd:element name="Idioma" ma:index="19" nillable="true" ma:displayName="Idioma" ma:description="" ma:format="Dropdown" ma:internalName="Idioma">
      <xsd:simpleType>
        <xsd:restriction base="dms:Choice">
          <xsd:enumeration value="Español"/>
          <xsd:enumeration value="Inglés"/>
          <xsd:enumeration value="Francés"/>
          <xsd:enumeration value="Alemán"/>
          <xsd:enumeration value="Chino"/>
          <xsd:enumeration value="Multilingüe"/>
          <xsd:enumeration value="Italiano"/>
          <xsd:enumeration value="Portugués"/>
        </xsd:restriction>
      </xsd:simpleType>
    </xsd:element>
    <xsd:element name="Numeromodelo" ma:index="20" nillable="true" ma:displayName="Numero modelo" ma:description="Número del modelo en el que se basa el documento" ma:internalName="Numeromodelo">
      <xsd:simpleType>
        <xsd:restriction base="dms:Number"/>
      </xsd:simpleType>
    </xsd:element>
    <xsd:element name="Relevancia" ma:index="21" nillable="true" ma:displayName="Relevancia" ma:description="" ma:format="Dropdown" ma:internalName="Relevancia">
      <xsd:simpleType>
        <xsd:restriction base="dms:Choice">
          <xsd:enumeration value="Normal"/>
          <xsd:enumeration value="Relevante"/>
        </xsd:restriction>
      </xsd:simpleType>
    </xsd:element>
    <xsd:element name="Voces" ma:index="22" nillable="true" ma:displayName="Voces" ma:description="" ma:internalName="Voces">
      <xsd:complexType>
        <xsd:complexContent>
          <xsd:extension base="dms:MultiChoice">
            <xsd:sequence>
              <xsd:element name="Value" maxOccurs="unbounded" minOccurs="0" nillable="true">
                <xsd:simpleType>
                  <xsd:restriction base="dms:Choice">
                    <xsd:enumeration value="Certificado"/>
                    <xsd:enumeration value="Circular - Convocatoria"/>
                    <xsd:enumeration value="Circular interna"/>
                    <xsd:enumeration value="Cláusula - Arbitral"/>
                    <xsd:enumeration value="Cláusula - Contrato sellos"/>
                    <xsd:enumeration value="Cláusula - Grosing UP"/>
                    <xsd:enumeration value="Compromiso - Arbitral"/>
                    <xsd:enumeration value="Convenio Colectivo"/>
                    <xsd:enumeration value="Curriculum Vitae - Abreviado"/>
                    <xsd:enumeration value="Curriculum Vitae - Expertos"/>
                    <xsd:enumeration value="Curriculum Vitae - Extenso"/>
                    <xsd:enumeration value="Curriculum Vitae - Profesionales"/>
                    <xsd:enumeration value="Doctrina - Administrativo"/>
                    <xsd:enumeration value="Doctrina - Ambiental"/>
                    <xsd:enumeration value="Doctrina - Comercial"/>
                    <xsd:enumeration value="Doctrina - Defensa de la competencia"/>
                    <xsd:enumeration value="Doctrina - Financiero"/>
                    <xsd:enumeration value="Doctrina - Impuestos"/>
                    <xsd:enumeration value="Doctrina - Laboral"/>
                    <xsd:enumeration value="Doctrina - Otros"/>
                    <xsd:enumeration value="Doctrina - Patentes y marcas"/>
                    <xsd:enumeration value="Doctrina - Procesal"/>
                    <xsd:enumeration value="Doctrina - Societario"/>
                    <xsd:enumeration value="Emisión"/>
                    <xsd:enumeration value="EXAMEN - de caso"/>
                    <xsd:enumeration value="EXAMEN - Preguntas conceptuales"/>
                    <xsd:enumeration value="Factura"/>
                    <xsd:enumeration value="FAX"/>
                    <xsd:enumeration value="Flyers - Académico"/>
                    <xsd:enumeration value="Glosario"/>
                    <xsd:enumeration value="Grabación de audio"/>
                    <xsd:enumeration value="Guía"/>
                    <xsd:enumeration value="Hoja verde"/>
                    <xsd:enumeration value="Hoja verde - Desgrabación"/>
                    <xsd:enumeration value="Hoja verde - Digital"/>
                    <xsd:enumeration value="Índice - Anexo"/>
                    <xsd:enumeration value="Índice - Autoridad Legal"/>
                    <xsd:enumeration value="Índice - Carátula"/>
                    <xsd:enumeration value="Índice - Publicación"/>
                    <xsd:enumeration value="Informe - Auditores"/>
                    <xsd:enumeration value="Informe - Cliente"/>
                    <xsd:enumeration value="Informe - de experto"/>
                    <xsd:enumeration value="INFORME - de Juicio"/>
                    <xsd:enumeration value="Informe - Interno"/>
                    <xsd:enumeration value="Instructivo - Instrucciones"/>
                    <xsd:enumeration value="Interrogatorio - D peritos en arbitrajes"/>
                    <xsd:enumeration value="Interrogatorio - De testigos en arbitraje"/>
                    <xsd:enumeration value="Interrogatorio - De testigos en sede judicial"/>
                    <xsd:enumeration value="Jurisprudencia"/>
                    <xsd:enumeration value="Legislación - decreto"/>
                    <xsd:enumeration value="Legislación - Ley"/>
                    <xsd:enumeration value="Legislación - ordenanza"/>
                    <xsd:enumeration value="Legislación - otros"/>
                    <xsd:enumeration value="Legislación - resolución"/>
                    <xsd:enumeration value="LEY - Extranjeras"/>
                    <xsd:enumeration value="LEY - Nacional"/>
                    <xsd:enumeration value="LEY - Provincial"/>
                    <xsd:enumeration value="Leyend - res Gral. 7/05"/>
                    <xsd:enumeration value="Listado - Corresponsales"/>
                    <xsd:enumeration value="Listado - Juicios"/>
                    <xsd:enumeration value="Mail - Enviado"/>
                    <xsd:enumeration value="Mail - Recibido"/>
                    <xsd:enumeration value="Manual - de estilo"/>
                    <xsd:enumeration value="Memoria"/>
                    <xsd:enumeration value="Minutas - Ver dms"/>
                    <xsd:enumeration value="Notificación - (áreas de doctrinas)"/>
                    <xsd:enumeration value="Notificación - Afip Fondo de Comercio"/>
                    <xsd:enumeration value="Novedades Legales"/>
                    <xsd:enumeration value="OFRECIMIENTO - de pago"/>
                    <xsd:enumeration value="OFRECIMIENTO - de prueba"/>
                    <xsd:enumeration value="Orden Procesal - Arbitraje ad hoc"/>
                    <xsd:enumeration value="Orden Procesal - CAM santiago"/>
                    <xsd:enumeration value="Orden Procesal - CCI"/>
                    <xsd:enumeration value="Orden Procesal - CIADI"/>
                    <xsd:enumeration value="OUTLINE - Escrito Judicial"/>
                    <xsd:enumeration value="OUTLINE - Memorial Arbitral"/>
                    <xsd:enumeration value="PRESENTACIÓN"/>
                    <xsd:enumeration value="Presentaciones - Institucional"/>
                    <xsd:enumeration value="Presupuesto"/>
                    <xsd:enumeration value="Presupuesto - De Proveedores"/>
                    <xsd:enumeration value="PROCEDIMIENTO"/>
                    <xsd:enumeration value="Proyectos de honorarios - nombres de tipos sin nómina"/>
                    <xsd:enumeration value="Publicaciones - Ambientales"/>
                    <xsd:enumeration value="Recibo"/>
                    <xsd:enumeration value="Resumen - Ver dms"/>
                    <xsd:enumeration value="Títulos"/>
                  </xsd:restriction>
                </xsd:simpleType>
              </xsd:element>
            </xsd:sequence>
          </xsd:extension>
        </xsd:complexContent>
      </xsd:complexType>
    </xsd:element>
    <xsd:element name="Descripcionasunto" ma:index="23" nillable="true" ma:displayName="Descripcion asunto" ma:description="" ma:internalName="Descripcionasunto">
      <xsd:simpleType>
        <xsd:restriction base="dms:Text">
          <xsd:maxLength value="255"/>
        </xsd:restriction>
      </xsd:simpleType>
    </xsd:element>
    <xsd:element name="Descripcioncliente" ma:index="24" nillable="true" ma:displayName="Descripcion cliente" ma:description="" ma:internalName="Descripcioncliente">
      <xsd:simpleType>
        <xsd:restriction base="dms:Text">
          <xsd:maxLength value="255"/>
        </xsd:restriction>
      </xsd:simpleType>
    </xsd:element>
    <xsd:element name="Idasunto" ma:index="25" nillable="true" ma:displayName="Id asunto" ma:description="" ma:internalName="Idasunto">
      <xsd:simpleType>
        <xsd:restriction base="dms:Number"/>
      </xsd:simpleType>
    </xsd:element>
    <xsd:element name="Idcliente" ma:index="26" nillable="true" ma:displayName="Id cliente" ma:description="" ma:internalName="Idcliente">
      <xsd:simpleType>
        <xsd:restriction base="dms:Number"/>
      </xsd:simpleType>
    </xsd:element>
    <xsd:element name="Autor" ma:index="27" nillable="true" ma:displayName="Autor" ma:description="" ma:internalName="Autor">
      <xsd:simpleType>
        <xsd:restriction base="dms:Text">
          <xsd:maxLength value="255"/>
        </xsd:restriction>
      </xsd:simpleType>
    </xsd:element>
    <xsd:element name="Descripcion" ma:index="28" nillable="true" ma:displayName="Descripcion" ma:description="" ma:internalName="Descripcion">
      <xsd:simpleType>
        <xsd:restriction base="dms:Note">
          <xsd:maxLength value="255"/>
        </xsd:restriction>
      </xsd:simpleType>
    </xsd:element>
    <xsd:element name="DocumentTypeId" ma:index="29" nillable="true" ma:displayName="DocumentTypeId" ma:description="" ma:internalName="DocumentTypeId">
      <xsd:simpleType>
        <xsd:restriction base="dms:Text">
          <xsd:maxLength value="255"/>
        </xsd:restriction>
      </xsd:simpleType>
    </xsd:element>
    <xsd:element name="FolderUrl" ma:index="30" nillable="true" ma:displayName="FolderUrl" ma:description="" ma:internalName="FolderUrl">
      <xsd:simpleType>
        <xsd:restriction base="dms:Text">
          <xsd:maxLength value="255"/>
        </xsd:restriction>
      </xsd:simpleType>
    </xsd:element>
    <xsd:element name="Idcarpetafisica" ma:index="31" nillable="true" ma:displayName="Id carpeta fisica" ma:description="" ma:internalName="Idcarpetafisica">
      <xsd:simpleType>
        <xsd:restriction base="dms:Text">
          <xsd:maxLength value="255"/>
        </xsd:restriction>
      </xsd:simpleType>
    </xsd:element>
    <xsd:element name="Nombreoriginal" ma:index="32" nillable="true" ma:displayName="Nombre original" ma:description="" ma:internalName="Nombreoriginal">
      <xsd:simpleType>
        <xsd:restriction base="dms:Text">
          <xsd:maxLength value="255"/>
        </xsd:restriction>
      </xsd:simpleType>
    </xsd:element>
    <xsd:element name="Numero" ma:index="33" ma:displayName="Numero" ma:description="" ma:indexed="true" ma:internalName="Numero">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34"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7EBED-DAE7-46A0-BE25-CD0C5DA295B7}">
  <ds:schemaRefs>
    <ds:schemaRef ds:uri="http://schemas.microsoft.com/sharepoint/events"/>
  </ds:schemaRefs>
</ds:datastoreItem>
</file>

<file path=customXml/itemProps2.xml><?xml version="1.0" encoding="utf-8"?>
<ds:datastoreItem xmlns:ds="http://schemas.openxmlformats.org/officeDocument/2006/customXml" ds:itemID="{58C5EA6D-A137-406A-8FF2-73AC83670B1B}">
  <ds:schemaRefs>
    <ds:schemaRef ds:uri="http://schemas.microsoft.com/office/2006/documentManagement/types"/>
    <ds:schemaRef ds:uri="http://purl.org/dc/elements/1.1/"/>
    <ds:schemaRef ds:uri="http://purl.org/dc/dcmitype/"/>
    <ds:schemaRef ds:uri="http://www.w3.org/XML/1998/namespace"/>
    <ds:schemaRef ds:uri="http://schemas.microsoft.com/office/2006/metadata/properties"/>
    <ds:schemaRef ds:uri="http://schemas.openxmlformats.org/package/2006/metadata/core-properties"/>
    <ds:schemaRef ds:uri="http://schemas.microsoft.com/sharepoint/v3/fields"/>
    <ds:schemaRef ds:uri="http://schemas.microsoft.com/office/infopath/2007/PartnerControls"/>
    <ds:schemaRef ds:uri="533da224-ddb4-4685-a9ee-13c5afe9e007"/>
    <ds:schemaRef ds:uri="http://purl.org/dc/terms/"/>
  </ds:schemaRefs>
</ds:datastoreItem>
</file>

<file path=customXml/itemProps3.xml><?xml version="1.0" encoding="utf-8"?>
<ds:datastoreItem xmlns:ds="http://schemas.openxmlformats.org/officeDocument/2006/customXml" ds:itemID="{95B2FF15-69CC-4D03-AB40-44809F580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da224-ddb4-4685-a9ee-13c5afe9e00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791097-D33A-4BAB-B834-E40E83A9F73B}">
  <ds:schemaRefs>
    <ds:schemaRef ds:uri="http://schemas.microsoft.com/sharepoint/v3/contenttype/forms"/>
  </ds:schemaRefs>
</ds:datastoreItem>
</file>

<file path=customXml/itemProps5.xml><?xml version="1.0" encoding="utf-8"?>
<ds:datastoreItem xmlns:ds="http://schemas.openxmlformats.org/officeDocument/2006/customXml" ds:itemID="{2A213108-79E3-4E65-98EB-DA652685B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843</Words>
  <Characters>4315</Characters>
  <Application>Microsoft Office Word</Application>
  <DocSecurity>0</DocSecurity>
  <Lines>35</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Aviso de resultados - Genneia S.A.</vt:lpstr>
      <vt:lpstr>Aviso de resultados - Genneia S.A.</vt:lpstr>
    </vt:vector>
  </TitlesOfParts>
  <Company>Hewlett-Packard Company</Company>
  <LinksUpToDate>false</LinksUpToDate>
  <CharactersWithSpaces>5148</CharactersWithSpaces>
  <SharedDoc>false</SharedDoc>
  <HLinks>
    <vt:vector size="6" baseType="variant">
      <vt:variant>
        <vt:i4>6684719</vt:i4>
      </vt:variant>
      <vt:variant>
        <vt:i4>0</vt:i4>
      </vt:variant>
      <vt:variant>
        <vt:i4>0</vt:i4>
      </vt:variant>
      <vt:variant>
        <vt:i4>5</vt:i4>
      </vt:variant>
      <vt:variant>
        <vt:lpwstr>http://www.genneia.com.ar/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resultados - Genneia S.A.</dc:title>
  <dc:creator>Iván Bovio Marenco</dc:creator>
  <cp:lastModifiedBy>Fraga, Matias Julian</cp:lastModifiedBy>
  <cp:revision>8</cp:revision>
  <cp:lastPrinted>2018-01-23T23:52:00Z</cp:lastPrinted>
  <dcterms:created xsi:type="dcterms:W3CDTF">2018-11-15T15:42:00Z</dcterms:created>
  <dcterms:modified xsi:type="dcterms:W3CDTF">2018-11-21T12:52:00Z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Aviso de resultados - Genneia S.A.</vt:lpwstr>
  </property>
  <property fmtid="{D5CDD505-2E9C-101B-9397-08002B2CF9AE}" pid="3" name="NodeId">
    <vt:lpwstr>8ab2ba85-a8b1-4fb0-b83b-463d3f1784e4</vt:lpwstr>
  </property>
  <property fmtid="{D5CDD505-2E9C-101B-9397-08002B2CF9AE}" pid="4" name="ContentTypeId">
    <vt:lpwstr>0x010100C180C34B9FEFC347800E809BDCDFD79A0229</vt:lpwstr>
  </property>
  <property fmtid="{D5CDD505-2E9C-101B-9397-08002B2CF9AE}" pid="5" name="IntellikonLocation">
    <vt:lpwstr>4;#Profesionales|6fcfc387-321f-4ac2-8517-420a2a3a0305</vt:lpwstr>
  </property>
  <property fmtid="{D5CDD505-2E9C-101B-9397-08002B2CF9AE}" pid="6" name="_dlc_DocIdItemGuid">
    <vt:lpwstr>08088fe1-f26f-4a24-b58b-cdf59c5f24da</vt:lpwstr>
  </property>
  <property fmtid="{D5CDD505-2E9C-101B-9397-08002B2CF9AE}" pid="7" name="_dlc_DocId">
    <vt:lpwstr>SYNX3VKKCEUS-4-366205</vt:lpwstr>
  </property>
  <property fmtid="{D5CDD505-2E9C-101B-9397-08002B2CF9AE}" pid="8" name="_dlc_DocIdUrl">
    <vt:lpwstr>http://appshare:81/_layouts/DocIdRedir.aspx?ID=SYNX3VKKCEUS-4-366205, SYNX3VKKCEUS-4-366205</vt:lpwstr>
  </property>
</Properties>
</file>