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77ED0" w14:textId="57E2AA4E" w:rsidR="004761A6" w:rsidRDefault="004761A6" w:rsidP="004761A6">
      <w:pPr>
        <w:spacing w:after="0" w:line="320" w:lineRule="exact"/>
        <w:jc w:val="right"/>
        <w:rPr>
          <w:rFonts w:ascii="Times New Roman" w:hAnsi="Times New Roman"/>
        </w:rPr>
      </w:pPr>
      <w:r>
        <w:rPr>
          <w:rFonts w:ascii="Times New Roman" w:hAnsi="Times New Roman"/>
        </w:rPr>
        <w:t xml:space="preserve">Ciudad Autónoma de Buenos Aires, </w:t>
      </w:r>
      <w:r w:rsidR="00042F67">
        <w:rPr>
          <w:rFonts w:ascii="Times New Roman" w:hAnsi="Times New Roman"/>
        </w:rPr>
        <w:t>23</w:t>
      </w:r>
      <w:r>
        <w:rPr>
          <w:rFonts w:ascii="Times New Roman" w:hAnsi="Times New Roman"/>
        </w:rPr>
        <w:t xml:space="preserve"> de </w:t>
      </w:r>
      <w:r w:rsidR="00042F67">
        <w:rPr>
          <w:rFonts w:ascii="Times New Roman" w:hAnsi="Times New Roman"/>
        </w:rPr>
        <w:t>abril d</w:t>
      </w:r>
      <w:r>
        <w:rPr>
          <w:rFonts w:ascii="Times New Roman" w:hAnsi="Times New Roman"/>
        </w:rPr>
        <w:t>e 2021</w:t>
      </w:r>
    </w:p>
    <w:p w14:paraId="06B8E81A" w14:textId="77777777" w:rsidR="004761A6" w:rsidRDefault="004761A6" w:rsidP="004761A6">
      <w:pPr>
        <w:spacing w:after="0" w:line="320" w:lineRule="exact"/>
        <w:jc w:val="right"/>
        <w:rPr>
          <w:rFonts w:ascii="Times New Roman" w:hAnsi="Times New Roman"/>
        </w:rPr>
      </w:pPr>
    </w:p>
    <w:p w14:paraId="7EACEEB4" w14:textId="77777777" w:rsidR="004761A6" w:rsidRDefault="004761A6" w:rsidP="004761A6">
      <w:pPr>
        <w:spacing w:after="0" w:line="320" w:lineRule="exact"/>
        <w:jc w:val="both"/>
        <w:rPr>
          <w:rFonts w:ascii="Times New Roman" w:hAnsi="Times New Roman"/>
        </w:rPr>
      </w:pPr>
      <w:r>
        <w:rPr>
          <w:rFonts w:ascii="Times New Roman" w:hAnsi="Times New Roman"/>
        </w:rPr>
        <w:t>Señores</w:t>
      </w:r>
    </w:p>
    <w:p w14:paraId="4B4E779C" w14:textId="77777777" w:rsidR="004761A6" w:rsidRDefault="004761A6" w:rsidP="004761A6">
      <w:pPr>
        <w:spacing w:line="320" w:lineRule="exact"/>
        <w:contextualSpacing/>
        <w:jc w:val="both"/>
        <w:rPr>
          <w:rFonts w:ascii="Times New Roman" w:hAnsi="Times New Roman"/>
          <w:b/>
        </w:rPr>
      </w:pPr>
      <w:r>
        <w:rPr>
          <w:rFonts w:ascii="Times New Roman" w:hAnsi="Times New Roman"/>
          <w:b/>
        </w:rPr>
        <w:t>COMISION NACIONAL DE VALORES</w:t>
      </w:r>
    </w:p>
    <w:p w14:paraId="1C4F7E35" w14:textId="77777777" w:rsidR="004761A6" w:rsidRDefault="004761A6" w:rsidP="004761A6">
      <w:pPr>
        <w:spacing w:line="320" w:lineRule="exact"/>
        <w:contextualSpacing/>
        <w:jc w:val="both"/>
        <w:rPr>
          <w:rFonts w:ascii="Times New Roman" w:hAnsi="Times New Roman"/>
          <w:b/>
        </w:rPr>
      </w:pPr>
      <w:r>
        <w:rPr>
          <w:rFonts w:ascii="Times New Roman" w:hAnsi="Times New Roman"/>
          <w:b/>
        </w:rPr>
        <w:t>MERCADO ABIERTO ELECTRONICO</w:t>
      </w:r>
    </w:p>
    <w:p w14:paraId="30A96543" w14:textId="77777777" w:rsidR="004761A6" w:rsidRDefault="004761A6" w:rsidP="004761A6">
      <w:pPr>
        <w:spacing w:line="320" w:lineRule="exact"/>
        <w:contextualSpacing/>
        <w:jc w:val="both"/>
        <w:rPr>
          <w:rFonts w:ascii="Times New Roman" w:hAnsi="Times New Roman"/>
          <w:b/>
        </w:rPr>
      </w:pPr>
      <w:r>
        <w:rPr>
          <w:rFonts w:ascii="Times New Roman" w:hAnsi="Times New Roman"/>
          <w:b/>
        </w:rPr>
        <w:t xml:space="preserve">BOLSAS Y MERCADOS ARGENTINOS </w:t>
      </w:r>
    </w:p>
    <w:p w14:paraId="6D9E830B" w14:textId="77777777" w:rsidR="004761A6" w:rsidRDefault="004761A6" w:rsidP="004761A6">
      <w:pPr>
        <w:spacing w:line="320" w:lineRule="exact"/>
        <w:contextualSpacing/>
        <w:jc w:val="both"/>
        <w:rPr>
          <w:rFonts w:ascii="Times New Roman" w:hAnsi="Times New Roman"/>
          <w:u w:val="single"/>
        </w:rPr>
      </w:pPr>
      <w:r>
        <w:rPr>
          <w:rFonts w:ascii="Times New Roman" w:hAnsi="Times New Roman"/>
          <w:u w:val="single"/>
        </w:rPr>
        <w:t>Presente</w:t>
      </w:r>
    </w:p>
    <w:p w14:paraId="751636AD" w14:textId="77777777" w:rsidR="004761A6" w:rsidRDefault="004761A6" w:rsidP="004761A6">
      <w:pPr>
        <w:spacing w:after="0" w:line="320" w:lineRule="exact"/>
        <w:jc w:val="right"/>
        <w:rPr>
          <w:rFonts w:ascii="Times New Roman" w:hAnsi="Times New Roman"/>
          <w:u w:val="single"/>
        </w:rPr>
      </w:pPr>
    </w:p>
    <w:p w14:paraId="703C8A73" w14:textId="77777777" w:rsidR="004761A6" w:rsidRDefault="004761A6" w:rsidP="004761A6">
      <w:pPr>
        <w:spacing w:after="0" w:line="320" w:lineRule="exact"/>
        <w:jc w:val="right"/>
        <w:rPr>
          <w:rFonts w:ascii="Times New Roman" w:hAnsi="Times New Roman"/>
        </w:rPr>
      </w:pPr>
      <w:r>
        <w:rPr>
          <w:rFonts w:ascii="Times New Roman" w:hAnsi="Times New Roman"/>
          <w:u w:val="single"/>
        </w:rPr>
        <w:t>Ref.</w:t>
      </w:r>
      <w:r>
        <w:rPr>
          <w:rFonts w:ascii="Times New Roman" w:hAnsi="Times New Roman"/>
        </w:rPr>
        <w:t>: HR- Convocatoria a Asamblea</w:t>
      </w:r>
    </w:p>
    <w:p w14:paraId="5D984481" w14:textId="77777777" w:rsidR="004761A6" w:rsidRDefault="004761A6" w:rsidP="004761A6">
      <w:pPr>
        <w:spacing w:after="0" w:line="320" w:lineRule="exact"/>
        <w:jc w:val="right"/>
        <w:rPr>
          <w:rFonts w:ascii="Times New Roman" w:hAnsi="Times New Roman"/>
        </w:rPr>
      </w:pPr>
    </w:p>
    <w:p w14:paraId="3588E3E7" w14:textId="77777777" w:rsidR="004761A6" w:rsidRDefault="004761A6" w:rsidP="004761A6">
      <w:pPr>
        <w:spacing w:after="0" w:line="320" w:lineRule="exact"/>
        <w:jc w:val="both"/>
        <w:rPr>
          <w:rFonts w:ascii="Times New Roman" w:hAnsi="Times New Roman"/>
        </w:rPr>
      </w:pPr>
      <w:r>
        <w:rPr>
          <w:rFonts w:ascii="Times New Roman" w:hAnsi="Times New Roman"/>
        </w:rPr>
        <w:t>De mi consideración:</w:t>
      </w:r>
    </w:p>
    <w:p w14:paraId="5F9BE2FE" w14:textId="6DBBB97B" w:rsidR="004761A6" w:rsidRDefault="004761A6" w:rsidP="004761A6">
      <w:pPr>
        <w:spacing w:after="0" w:line="320" w:lineRule="exact"/>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Tengo el agrado de dirigirme a Uds. en mi carácter de Responsable de Relaciones con el Mercado de</w:t>
      </w:r>
      <w:r w:rsidR="00FC579A">
        <w:rPr>
          <w:rFonts w:ascii="Times New Roman" w:hAnsi="Times New Roman"/>
        </w:rPr>
        <w:t xml:space="preserve"> Generación Mediterránea</w:t>
      </w:r>
      <w:r>
        <w:rPr>
          <w:rFonts w:ascii="Times New Roman" w:hAnsi="Times New Roman"/>
        </w:rPr>
        <w:t xml:space="preserve"> S.A. (la “</w:t>
      </w:r>
      <w:r>
        <w:rPr>
          <w:rFonts w:ascii="Times New Roman" w:hAnsi="Times New Roman"/>
          <w:u w:val="single"/>
        </w:rPr>
        <w:t>Sociedad</w:t>
      </w:r>
      <w:r>
        <w:rPr>
          <w:rFonts w:ascii="Times New Roman" w:hAnsi="Times New Roman"/>
        </w:rPr>
        <w:t xml:space="preserve">”) a efectos de informar que </w:t>
      </w:r>
      <w:r w:rsidR="00042F67">
        <w:rPr>
          <w:rFonts w:ascii="Times New Roman" w:hAnsi="Times New Roman"/>
        </w:rPr>
        <w:t>con fecha 19 de marzo de 2021</w:t>
      </w:r>
      <w:r>
        <w:rPr>
          <w:rFonts w:ascii="Times New Roman" w:hAnsi="Times New Roman"/>
        </w:rPr>
        <w:t xml:space="preserve"> se celebró una reunión de Directorio de la Sociedad, a la cual han comparecido los siguientes miembros titulares del Directorio: Armando Losón (h), Guillermo Gonzalo Brun, Julián Pablo Sarti, Carlos Alfredo Bauzas, Sebastián Andrés Sánchez Ramos</w:t>
      </w:r>
      <w:r w:rsidR="00FC579A">
        <w:rPr>
          <w:rFonts w:ascii="Times New Roman" w:hAnsi="Times New Roman"/>
        </w:rPr>
        <w:t>,</w:t>
      </w:r>
      <w:r>
        <w:rPr>
          <w:rFonts w:ascii="Times New Roman" w:hAnsi="Times New Roman"/>
        </w:rPr>
        <w:t xml:space="preserve"> Oscar Camilo De Luise</w:t>
      </w:r>
      <w:r w:rsidR="00FC579A">
        <w:rPr>
          <w:rFonts w:ascii="Times New Roman" w:hAnsi="Times New Roman"/>
        </w:rPr>
        <w:t xml:space="preserve"> y Ricardo Martín López</w:t>
      </w:r>
      <w:r>
        <w:rPr>
          <w:rFonts w:ascii="Times New Roman" w:hAnsi="Times New Roman"/>
        </w:rPr>
        <w:t xml:space="preserve">, existiendo el quórum estatutario suficiente para sesionar. Asimismo, se encontraba presente el Sr. Marcelo Pablo Lerner en representación de la Comisión Fiscalizadora. En la referida reunión de Directorio se resolvió por unanimidad de los presentes convocar a </w:t>
      </w:r>
      <w:r>
        <w:rPr>
          <w:rFonts w:ascii="Times New Roman" w:hAnsi="Times New Roman"/>
          <w:b/>
        </w:rPr>
        <w:t xml:space="preserve">Asamblea General Extraordinaria para el día </w:t>
      </w:r>
      <w:r w:rsidR="00DE2F90">
        <w:rPr>
          <w:rFonts w:ascii="Times New Roman" w:hAnsi="Times New Roman"/>
          <w:b/>
        </w:rPr>
        <w:t>1</w:t>
      </w:r>
      <w:r w:rsidR="00DF4ECA">
        <w:rPr>
          <w:rFonts w:ascii="Times New Roman" w:hAnsi="Times New Roman"/>
          <w:b/>
        </w:rPr>
        <w:t>1</w:t>
      </w:r>
      <w:r>
        <w:rPr>
          <w:rFonts w:ascii="Times New Roman" w:hAnsi="Times New Roman"/>
          <w:b/>
          <w:bCs/>
        </w:rPr>
        <w:t xml:space="preserve"> de mayo de 2021 a las 10:30 horas</w:t>
      </w:r>
      <w:r>
        <w:rPr>
          <w:rFonts w:ascii="Times New Roman" w:hAnsi="Times New Roman"/>
        </w:rPr>
        <w:t xml:space="preserve"> a celebrarse en la sede social sito en Av. Leandro N. Alem 855, piso 14 de esta Ciudad, a efectos de considerar el siguiente Orden del Día:</w:t>
      </w:r>
    </w:p>
    <w:p w14:paraId="7A600E73" w14:textId="77777777" w:rsidR="004761A6" w:rsidRDefault="004761A6" w:rsidP="004761A6">
      <w:pPr>
        <w:spacing w:after="0" w:line="320" w:lineRule="exact"/>
        <w:jc w:val="both"/>
        <w:rPr>
          <w:rFonts w:ascii="Times New Roman" w:hAnsi="Times New Roman"/>
        </w:rPr>
      </w:pPr>
    </w:p>
    <w:p w14:paraId="407EDD9D" w14:textId="77777777" w:rsidR="004761A6" w:rsidRPr="001F2DE0" w:rsidRDefault="004761A6" w:rsidP="004761A6">
      <w:pPr>
        <w:spacing w:after="0" w:line="360" w:lineRule="auto"/>
        <w:ind w:right="-476"/>
        <w:contextualSpacing/>
        <w:jc w:val="both"/>
        <w:rPr>
          <w:rFonts w:ascii="Times New Roman" w:hAnsi="Times New Roman"/>
          <w:b/>
          <w:sz w:val="24"/>
          <w:szCs w:val="24"/>
          <w:lang w:val="es-ES"/>
        </w:rPr>
      </w:pPr>
      <w:r w:rsidRPr="001F2DE0">
        <w:rPr>
          <w:rFonts w:ascii="Times New Roman" w:hAnsi="Times New Roman"/>
          <w:b/>
          <w:sz w:val="24"/>
          <w:szCs w:val="24"/>
          <w:lang w:val="es-ES"/>
        </w:rPr>
        <w:t>1) Designación de dos accionistas para que firmen el acta.</w:t>
      </w:r>
    </w:p>
    <w:p w14:paraId="5E08A2D4" w14:textId="77777777" w:rsidR="004761A6" w:rsidRPr="001F2DE0" w:rsidRDefault="004761A6" w:rsidP="004761A6">
      <w:pPr>
        <w:spacing w:after="0" w:line="360" w:lineRule="auto"/>
        <w:ind w:right="-476"/>
        <w:contextualSpacing/>
        <w:jc w:val="both"/>
        <w:rPr>
          <w:rFonts w:ascii="Times New Roman" w:hAnsi="Times New Roman"/>
          <w:b/>
          <w:sz w:val="24"/>
          <w:szCs w:val="24"/>
          <w:lang w:val="es-ES"/>
        </w:rPr>
      </w:pPr>
      <w:r w:rsidRPr="001F2DE0">
        <w:rPr>
          <w:rFonts w:ascii="Times New Roman" w:hAnsi="Times New Roman"/>
          <w:b/>
          <w:sz w:val="24"/>
          <w:szCs w:val="24"/>
          <w:lang w:val="es-ES"/>
        </w:rPr>
        <w:t>2) Consideración de la fusión por absorción de Albanesi S.A. y Generación Centro S.A., como sociedades absorbidas, por parte de Generación Mediterránea S.A., como sociedad absorbente, en los términos del artículo 82, siguientes y concordantes, de la Ley General de Sociedades Nro. 19.550 y normas complementarias. Consideración de los siguientes documentos: (i) Compromiso Previo de Fusión; (</w:t>
      </w:r>
      <w:proofErr w:type="spellStart"/>
      <w:r w:rsidRPr="001F2DE0">
        <w:rPr>
          <w:rFonts w:ascii="Times New Roman" w:hAnsi="Times New Roman"/>
          <w:b/>
          <w:sz w:val="24"/>
          <w:szCs w:val="24"/>
          <w:lang w:val="es-ES"/>
        </w:rPr>
        <w:t>ii</w:t>
      </w:r>
      <w:proofErr w:type="spellEnd"/>
      <w:r w:rsidRPr="001F2DE0">
        <w:rPr>
          <w:rFonts w:ascii="Times New Roman" w:hAnsi="Times New Roman"/>
          <w:b/>
          <w:sz w:val="24"/>
          <w:szCs w:val="24"/>
          <w:lang w:val="es-ES"/>
        </w:rPr>
        <w:t>) Estados Especiales de Situación Financiera de Generación Mediterránea S.A., confeccionados al 31 de diciembre de 2020, Estado Especial de Situación Financiera Consolidado de Fusión al 31 de diciembre de 2020 y los respectivos informes de la Comisión Fiscalizadora y el Auditor Externo de la Sociedad; (</w:t>
      </w:r>
      <w:proofErr w:type="spellStart"/>
      <w:r w:rsidRPr="001F2DE0">
        <w:rPr>
          <w:rFonts w:ascii="Times New Roman" w:hAnsi="Times New Roman"/>
          <w:b/>
          <w:sz w:val="24"/>
          <w:szCs w:val="24"/>
          <w:lang w:val="es-ES"/>
        </w:rPr>
        <w:t>iii</w:t>
      </w:r>
      <w:proofErr w:type="spellEnd"/>
      <w:r w:rsidRPr="001F2DE0">
        <w:rPr>
          <w:rFonts w:ascii="Times New Roman" w:hAnsi="Times New Roman"/>
          <w:b/>
          <w:sz w:val="24"/>
          <w:szCs w:val="24"/>
          <w:lang w:val="es-ES"/>
        </w:rPr>
        <w:t>) Prospecto de Fusión presentado ante la Comisión Nacional de Valores y (</w:t>
      </w:r>
      <w:proofErr w:type="spellStart"/>
      <w:r w:rsidRPr="001F2DE0">
        <w:rPr>
          <w:rFonts w:ascii="Times New Roman" w:hAnsi="Times New Roman"/>
          <w:b/>
          <w:sz w:val="24"/>
          <w:szCs w:val="24"/>
          <w:lang w:val="es-ES"/>
        </w:rPr>
        <w:t>iv</w:t>
      </w:r>
      <w:proofErr w:type="spellEnd"/>
      <w:r w:rsidRPr="001F2DE0">
        <w:rPr>
          <w:rFonts w:ascii="Times New Roman" w:hAnsi="Times New Roman"/>
          <w:b/>
          <w:sz w:val="24"/>
          <w:szCs w:val="24"/>
          <w:lang w:val="es-ES"/>
        </w:rPr>
        <w:t xml:space="preserve">) autorización para la suscripción en nombre y representación de Generación Mediterránea S.A. del Acuerdo Definitivo de Fusión; </w:t>
      </w:r>
    </w:p>
    <w:p w14:paraId="0C5B9435" w14:textId="77777777" w:rsidR="004761A6" w:rsidRPr="001F2DE0" w:rsidRDefault="004761A6" w:rsidP="004761A6">
      <w:pPr>
        <w:spacing w:after="0" w:line="360" w:lineRule="auto"/>
        <w:ind w:right="-476"/>
        <w:contextualSpacing/>
        <w:jc w:val="both"/>
        <w:rPr>
          <w:rFonts w:ascii="Times New Roman" w:hAnsi="Times New Roman"/>
          <w:b/>
          <w:sz w:val="24"/>
          <w:szCs w:val="24"/>
          <w:lang w:val="es-ES"/>
        </w:rPr>
      </w:pPr>
      <w:r w:rsidRPr="001F2DE0">
        <w:rPr>
          <w:rFonts w:ascii="Times New Roman" w:hAnsi="Times New Roman"/>
          <w:b/>
          <w:sz w:val="24"/>
          <w:szCs w:val="24"/>
          <w:lang w:val="es-ES"/>
        </w:rPr>
        <w:t xml:space="preserve">3) Consideración del aumento de capital de Generación Mediterránea S.A. </w:t>
      </w:r>
    </w:p>
    <w:p w14:paraId="30516C07" w14:textId="77777777" w:rsidR="004761A6" w:rsidRPr="001F2DE0" w:rsidRDefault="004761A6" w:rsidP="004761A6">
      <w:pPr>
        <w:spacing w:after="0" w:line="360" w:lineRule="auto"/>
        <w:ind w:right="-476"/>
        <w:contextualSpacing/>
        <w:jc w:val="both"/>
        <w:rPr>
          <w:rFonts w:ascii="Times New Roman" w:hAnsi="Times New Roman"/>
          <w:b/>
          <w:sz w:val="24"/>
          <w:szCs w:val="24"/>
          <w:lang w:val="es-ES"/>
        </w:rPr>
      </w:pPr>
      <w:r w:rsidRPr="001F2DE0">
        <w:rPr>
          <w:rFonts w:ascii="Times New Roman" w:hAnsi="Times New Roman"/>
          <w:b/>
          <w:sz w:val="24"/>
          <w:szCs w:val="24"/>
          <w:lang w:val="es-ES"/>
        </w:rPr>
        <w:lastRenderedPageBreak/>
        <w:t xml:space="preserve">4) Consideración del destino de las acciones de Generación Mediterránea S.A. de titularidad de Albanesi S.A.   </w:t>
      </w:r>
    </w:p>
    <w:p w14:paraId="3EAA19EA" w14:textId="77777777" w:rsidR="004761A6" w:rsidRPr="001F2DE0" w:rsidRDefault="004761A6" w:rsidP="004761A6">
      <w:pPr>
        <w:spacing w:after="0" w:line="360" w:lineRule="auto"/>
        <w:ind w:right="-476"/>
        <w:contextualSpacing/>
        <w:jc w:val="both"/>
        <w:rPr>
          <w:rFonts w:ascii="Times New Roman" w:hAnsi="Times New Roman"/>
          <w:b/>
          <w:sz w:val="24"/>
          <w:szCs w:val="24"/>
          <w:lang w:val="es-ES"/>
        </w:rPr>
      </w:pPr>
      <w:r w:rsidRPr="001F2DE0">
        <w:rPr>
          <w:rFonts w:ascii="Times New Roman" w:hAnsi="Times New Roman"/>
          <w:b/>
          <w:sz w:val="24"/>
          <w:szCs w:val="24"/>
          <w:lang w:val="es-ES"/>
        </w:rPr>
        <w:t>5) Otorgamiento de las autorizaciones para la realización de los trámites correspondientes ante las autoridades de contralor pertinentes y toda otra que sea necesaria y facultad del Directorio de efectuar modificaciones que eventualmente sugieran los organismos de control en la relación a la Reorganización Societaria y los restantes puntos del Orden del Día.</w:t>
      </w:r>
    </w:p>
    <w:p w14:paraId="3ACB9465" w14:textId="77777777" w:rsidR="004761A6" w:rsidRDefault="004761A6" w:rsidP="004761A6">
      <w:pPr>
        <w:spacing w:after="0" w:line="320" w:lineRule="exact"/>
        <w:jc w:val="both"/>
        <w:rPr>
          <w:rFonts w:ascii="Times New Roman" w:hAnsi="Times New Roman"/>
          <w:lang w:val="es-ES_tradnl"/>
        </w:rPr>
      </w:pPr>
    </w:p>
    <w:p w14:paraId="2F08AE2D" w14:textId="77777777" w:rsidR="004761A6" w:rsidRDefault="004761A6" w:rsidP="004761A6">
      <w:pPr>
        <w:widowControl w:val="0"/>
        <w:spacing w:after="0" w:line="320" w:lineRule="exact"/>
        <w:jc w:val="both"/>
        <w:rPr>
          <w:rFonts w:ascii="Times New Roman" w:hAnsi="Times New Roman"/>
        </w:rPr>
      </w:pPr>
      <w:r>
        <w:rPr>
          <w:rFonts w:ascii="Times New Roman" w:hAnsi="Times New Roman"/>
        </w:rPr>
        <w:t>Asimismo, se informa que la totalidad de los accionistas están en conocimiento del temario de la Asamblea que se convocara y que han asegurado su asistencia a la Asamblea, como asimismo su decisión de votar en un mismo sentido los temas a tratar, por lo cual no se realizarán las publicaciones de ley.</w:t>
      </w:r>
    </w:p>
    <w:p w14:paraId="7B0EB2C2" w14:textId="77777777" w:rsidR="004761A6" w:rsidRDefault="004761A6" w:rsidP="004761A6">
      <w:pPr>
        <w:widowControl w:val="0"/>
        <w:spacing w:after="0" w:line="320" w:lineRule="exact"/>
        <w:ind w:firstLine="2126"/>
        <w:jc w:val="both"/>
        <w:rPr>
          <w:rFonts w:ascii="Times New Roman" w:hAnsi="Times New Roman"/>
        </w:rPr>
      </w:pPr>
    </w:p>
    <w:p w14:paraId="7DECC870" w14:textId="77777777" w:rsidR="004761A6" w:rsidRDefault="004761A6" w:rsidP="004761A6">
      <w:pPr>
        <w:widowControl w:val="0"/>
        <w:spacing w:after="0" w:line="320" w:lineRule="exact"/>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Sin otro particular, saludo a Ustedes atentamente.</w:t>
      </w:r>
    </w:p>
    <w:p w14:paraId="7FD27C93" w14:textId="77777777" w:rsidR="004761A6" w:rsidRDefault="004761A6" w:rsidP="004761A6">
      <w:pPr>
        <w:spacing w:after="0" w:line="320" w:lineRule="exact"/>
        <w:ind w:left="1418" w:firstLine="709"/>
        <w:jc w:val="both"/>
        <w:rPr>
          <w:rFonts w:ascii="Times New Roman" w:hAnsi="Times New Roman"/>
        </w:rPr>
      </w:pPr>
    </w:p>
    <w:p w14:paraId="49021866" w14:textId="77777777" w:rsidR="004761A6" w:rsidRDefault="004761A6" w:rsidP="004761A6">
      <w:pPr>
        <w:spacing w:after="0" w:line="320" w:lineRule="exact"/>
        <w:ind w:left="1418" w:firstLine="709"/>
        <w:jc w:val="both"/>
        <w:rPr>
          <w:rFonts w:ascii="Times New Roman" w:hAnsi="Times New Roman"/>
        </w:rPr>
      </w:pPr>
    </w:p>
    <w:p w14:paraId="706EEAC7" w14:textId="77777777" w:rsidR="004761A6" w:rsidRDefault="004761A6" w:rsidP="004761A6">
      <w:pPr>
        <w:spacing w:after="0" w:line="320" w:lineRule="exact"/>
        <w:ind w:left="1418" w:firstLine="709"/>
        <w:jc w:val="both"/>
        <w:rPr>
          <w:rFonts w:ascii="Times New Roman" w:hAnsi="Times New Roman"/>
        </w:rPr>
      </w:pPr>
    </w:p>
    <w:p w14:paraId="6A31B972" w14:textId="77777777" w:rsidR="004761A6" w:rsidRDefault="004761A6" w:rsidP="004761A6">
      <w:pPr>
        <w:spacing w:line="320" w:lineRule="exact"/>
        <w:contextualSpacing/>
        <w:jc w:val="center"/>
        <w:rPr>
          <w:rFonts w:ascii="Times New Roman" w:hAnsi="Times New Roman"/>
        </w:rPr>
      </w:pPr>
      <w:r>
        <w:rPr>
          <w:rFonts w:ascii="Times New Roman" w:hAnsi="Times New Roman"/>
        </w:rPr>
        <w:t>____________________________</w:t>
      </w:r>
    </w:p>
    <w:p w14:paraId="10A42CA6" w14:textId="77777777" w:rsidR="004761A6" w:rsidRDefault="004761A6" w:rsidP="004761A6">
      <w:pPr>
        <w:spacing w:after="0" w:line="320" w:lineRule="exact"/>
        <w:jc w:val="center"/>
        <w:rPr>
          <w:rFonts w:ascii="Times New Roman" w:hAnsi="Times New Roman"/>
        </w:rPr>
      </w:pPr>
      <w:r>
        <w:rPr>
          <w:rFonts w:ascii="Times New Roman" w:hAnsi="Times New Roman"/>
        </w:rPr>
        <w:t>Guillermo Gonzalo Brun</w:t>
      </w:r>
    </w:p>
    <w:p w14:paraId="055194CE" w14:textId="77777777" w:rsidR="004761A6" w:rsidRDefault="004761A6" w:rsidP="004761A6">
      <w:pPr>
        <w:spacing w:after="0" w:line="320" w:lineRule="exact"/>
        <w:jc w:val="center"/>
        <w:rPr>
          <w:rFonts w:ascii="Times New Roman" w:hAnsi="Times New Roman"/>
        </w:rPr>
      </w:pPr>
      <w:r>
        <w:rPr>
          <w:rFonts w:ascii="Times New Roman" w:hAnsi="Times New Roman"/>
        </w:rPr>
        <w:t xml:space="preserve">Responsable de Relaciones con el Mercado </w:t>
      </w:r>
    </w:p>
    <w:p w14:paraId="5370F478" w14:textId="77777777" w:rsidR="002E3AF8" w:rsidRPr="00A73F0F" w:rsidRDefault="002E3AF8" w:rsidP="004761A6">
      <w:pPr>
        <w:spacing w:after="0" w:line="320" w:lineRule="exact"/>
        <w:jc w:val="both"/>
        <w:rPr>
          <w:rFonts w:ascii="Times New Roman" w:hAnsi="Times New Roman"/>
        </w:rPr>
      </w:pPr>
    </w:p>
    <w:sectPr w:rsidR="002E3AF8" w:rsidRPr="00A73F0F" w:rsidSect="005D1564">
      <w:headerReference w:type="even" r:id="rId7"/>
      <w:headerReference w:type="default" r:id="rId8"/>
      <w:footerReference w:type="even" r:id="rId9"/>
      <w:footerReference w:type="default" r:id="rId10"/>
      <w:headerReference w:type="first" r:id="rId11"/>
      <w:footerReference w:type="first" r:id="rId12"/>
      <w:pgSz w:w="11907" w:h="16839" w:code="9"/>
      <w:pgMar w:top="1644"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FF390" w14:textId="77777777" w:rsidR="003A0763" w:rsidRDefault="003A0763">
      <w:pPr>
        <w:spacing w:after="0" w:line="240" w:lineRule="auto"/>
      </w:pPr>
      <w:r>
        <w:separator/>
      </w:r>
    </w:p>
  </w:endnote>
  <w:endnote w:type="continuationSeparator" w:id="0">
    <w:p w14:paraId="71EC0861" w14:textId="77777777" w:rsidR="003A0763" w:rsidRDefault="003A0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AAA5C" w14:textId="77777777" w:rsidR="002314A8" w:rsidRDefault="002314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E9661" w14:textId="77777777" w:rsidR="002314A8" w:rsidRDefault="002314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6A4D0" w14:textId="77777777" w:rsidR="002314A8" w:rsidRDefault="002314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2CDA7" w14:textId="77777777" w:rsidR="003A0763" w:rsidRDefault="003A0763">
      <w:pPr>
        <w:spacing w:after="0" w:line="240" w:lineRule="auto"/>
      </w:pPr>
      <w:r>
        <w:separator/>
      </w:r>
    </w:p>
  </w:footnote>
  <w:footnote w:type="continuationSeparator" w:id="0">
    <w:p w14:paraId="7327EF8C" w14:textId="77777777" w:rsidR="003A0763" w:rsidRDefault="003A0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E9A07" w14:textId="77777777" w:rsidR="002314A8" w:rsidRDefault="002314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220DB" w14:textId="6153E445" w:rsidR="00D42434" w:rsidRDefault="002314A8" w:rsidP="002314A8">
    <w:pPr>
      <w:pStyle w:val="Encabezado"/>
      <w:jc w:val="center"/>
    </w:pPr>
    <w:r w:rsidRPr="005E4E1D">
      <w:rPr>
        <w:noProof/>
        <w:lang w:eastAsia="es-AR"/>
      </w:rPr>
      <w:drawing>
        <wp:inline distT="0" distB="0" distL="0" distR="0" wp14:anchorId="6A69140A" wp14:editId="5C32AFD4">
          <wp:extent cx="2432050" cy="933450"/>
          <wp:effectExtent l="0" t="0" r="0" b="0"/>
          <wp:docPr id="1" name="Imagen 5" descr="Descripción: Descripción: Logo GM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Descripción: Logo GM al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050" cy="933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D6164" w14:textId="77777777" w:rsidR="002314A8" w:rsidRDefault="002314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6251C6"/>
    <w:multiLevelType w:val="hybridMultilevel"/>
    <w:tmpl w:val="8D649E6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0F"/>
    <w:rsid w:val="00020166"/>
    <w:rsid w:val="00026092"/>
    <w:rsid w:val="00042F67"/>
    <w:rsid w:val="001369C4"/>
    <w:rsid w:val="00156C8B"/>
    <w:rsid w:val="00161324"/>
    <w:rsid w:val="00161E89"/>
    <w:rsid w:val="00174634"/>
    <w:rsid w:val="001B4716"/>
    <w:rsid w:val="001D0983"/>
    <w:rsid w:val="001E61C6"/>
    <w:rsid w:val="0020786B"/>
    <w:rsid w:val="002314A8"/>
    <w:rsid w:val="002E3AF8"/>
    <w:rsid w:val="00316B9D"/>
    <w:rsid w:val="00335C74"/>
    <w:rsid w:val="00363CE8"/>
    <w:rsid w:val="003804CF"/>
    <w:rsid w:val="003A0763"/>
    <w:rsid w:val="003F24E1"/>
    <w:rsid w:val="00411DB5"/>
    <w:rsid w:val="00445B4F"/>
    <w:rsid w:val="004467BE"/>
    <w:rsid w:val="004761A6"/>
    <w:rsid w:val="00484122"/>
    <w:rsid w:val="00496E52"/>
    <w:rsid w:val="004A0ADC"/>
    <w:rsid w:val="00523204"/>
    <w:rsid w:val="00565D05"/>
    <w:rsid w:val="005709CB"/>
    <w:rsid w:val="005B3652"/>
    <w:rsid w:val="005D1564"/>
    <w:rsid w:val="005E390B"/>
    <w:rsid w:val="0062315B"/>
    <w:rsid w:val="00651E30"/>
    <w:rsid w:val="00681DB8"/>
    <w:rsid w:val="00687D38"/>
    <w:rsid w:val="00690FE5"/>
    <w:rsid w:val="006B4BAF"/>
    <w:rsid w:val="006F2237"/>
    <w:rsid w:val="006F7AC2"/>
    <w:rsid w:val="00701536"/>
    <w:rsid w:val="0077681E"/>
    <w:rsid w:val="007B5C59"/>
    <w:rsid w:val="00801363"/>
    <w:rsid w:val="008C7D5B"/>
    <w:rsid w:val="008D50AF"/>
    <w:rsid w:val="00961647"/>
    <w:rsid w:val="009C0C50"/>
    <w:rsid w:val="009C2A08"/>
    <w:rsid w:val="009F0595"/>
    <w:rsid w:val="009F3DF5"/>
    <w:rsid w:val="00A022BA"/>
    <w:rsid w:val="00A60B67"/>
    <w:rsid w:val="00A73F0F"/>
    <w:rsid w:val="00A77303"/>
    <w:rsid w:val="00A77727"/>
    <w:rsid w:val="00A931C6"/>
    <w:rsid w:val="00AE49AE"/>
    <w:rsid w:val="00AE52AF"/>
    <w:rsid w:val="00AE70C1"/>
    <w:rsid w:val="00B45C1F"/>
    <w:rsid w:val="00C736EB"/>
    <w:rsid w:val="00C87491"/>
    <w:rsid w:val="00D42434"/>
    <w:rsid w:val="00DD6AED"/>
    <w:rsid w:val="00DE2F90"/>
    <w:rsid w:val="00DE67FC"/>
    <w:rsid w:val="00DF4ECA"/>
    <w:rsid w:val="00E32753"/>
    <w:rsid w:val="00EA5983"/>
    <w:rsid w:val="00F07938"/>
    <w:rsid w:val="00F447BD"/>
    <w:rsid w:val="00FC57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7868"/>
  <w15:chartTrackingRefBased/>
  <w15:docId w15:val="{622055CE-D52B-4160-9BBA-BA44B699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F0F"/>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F0F"/>
    <w:pPr>
      <w:tabs>
        <w:tab w:val="center" w:pos="4419"/>
        <w:tab w:val="right" w:pos="8838"/>
      </w:tabs>
      <w:spacing w:after="0" w:line="240" w:lineRule="auto"/>
    </w:pPr>
  </w:style>
  <w:style w:type="character" w:customStyle="1" w:styleId="EncabezadoCar">
    <w:name w:val="Encabezado Car"/>
    <w:link w:val="Encabezado"/>
    <w:uiPriority w:val="99"/>
    <w:rsid w:val="00A73F0F"/>
    <w:rPr>
      <w:rFonts w:ascii="Calibri" w:eastAsia="Calibri" w:hAnsi="Calibri" w:cs="Times New Roman"/>
    </w:rPr>
  </w:style>
  <w:style w:type="paragraph" w:styleId="Prrafodelista">
    <w:name w:val="List Paragraph"/>
    <w:basedOn w:val="Normal"/>
    <w:uiPriority w:val="34"/>
    <w:qFormat/>
    <w:rsid w:val="00A73F0F"/>
    <w:pPr>
      <w:ind w:left="720"/>
      <w:contextualSpacing/>
    </w:pPr>
  </w:style>
  <w:style w:type="paragraph" w:styleId="Textodeglobo">
    <w:name w:val="Balloon Text"/>
    <w:basedOn w:val="Normal"/>
    <w:link w:val="TextodegloboCar"/>
    <w:uiPriority w:val="99"/>
    <w:semiHidden/>
    <w:unhideWhenUsed/>
    <w:rsid w:val="006F2237"/>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6F2237"/>
    <w:rPr>
      <w:rFonts w:ascii="Segoe UI" w:hAnsi="Segoe UI" w:cs="Segoe UI"/>
      <w:sz w:val="18"/>
      <w:szCs w:val="18"/>
      <w:lang w:eastAsia="en-US"/>
    </w:rPr>
  </w:style>
  <w:style w:type="paragraph" w:styleId="Piedepgina">
    <w:name w:val="footer"/>
    <w:basedOn w:val="Normal"/>
    <w:link w:val="PiedepginaCar"/>
    <w:uiPriority w:val="99"/>
    <w:unhideWhenUsed/>
    <w:rsid w:val="00B45C1F"/>
    <w:pPr>
      <w:tabs>
        <w:tab w:val="center" w:pos="4419"/>
        <w:tab w:val="right" w:pos="8838"/>
      </w:tabs>
    </w:pPr>
  </w:style>
  <w:style w:type="character" w:customStyle="1" w:styleId="PiedepginaCar">
    <w:name w:val="Pie de página Car"/>
    <w:link w:val="Piedepgina"/>
    <w:uiPriority w:val="99"/>
    <w:rsid w:val="00B45C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68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486</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Soledad Baratta</dc:creator>
  <cp:keywords/>
  <dc:description/>
  <cp:lastModifiedBy>Soledad Baratta</cp:lastModifiedBy>
  <cp:revision>6</cp:revision>
  <cp:lastPrinted>2020-03-10T12:13:00Z</cp:lastPrinted>
  <dcterms:created xsi:type="dcterms:W3CDTF">2021-03-19T00:24:00Z</dcterms:created>
  <dcterms:modified xsi:type="dcterms:W3CDTF">2021-04-22T18:48:00Z</dcterms:modified>
</cp:coreProperties>
</file>