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E177E" w14:textId="77777777" w:rsidR="00A73F0F" w:rsidRPr="00430937" w:rsidRDefault="00A73F0F" w:rsidP="00430937">
      <w:pPr>
        <w:spacing w:after="0" w:line="240" w:lineRule="auto"/>
        <w:jc w:val="right"/>
        <w:rPr>
          <w:rFonts w:ascii="Times New Roman" w:hAnsi="Times New Roman"/>
        </w:rPr>
      </w:pPr>
    </w:p>
    <w:p w14:paraId="3997EA68" w14:textId="77777777" w:rsidR="00A73F0F" w:rsidRPr="00430937" w:rsidRDefault="00A73F0F" w:rsidP="00430937">
      <w:pPr>
        <w:spacing w:after="0" w:line="240" w:lineRule="auto"/>
        <w:jc w:val="both"/>
        <w:rPr>
          <w:rFonts w:ascii="Times New Roman" w:hAnsi="Times New Roman"/>
        </w:rPr>
      </w:pPr>
      <w:r w:rsidRPr="00430937">
        <w:rPr>
          <w:rFonts w:ascii="Times New Roman" w:hAnsi="Times New Roman"/>
        </w:rPr>
        <w:t>Señores</w:t>
      </w:r>
    </w:p>
    <w:p w14:paraId="14086303" w14:textId="77777777" w:rsidR="00B45C1F" w:rsidRPr="00430937" w:rsidRDefault="00B45C1F" w:rsidP="00430937">
      <w:pPr>
        <w:spacing w:after="0" w:line="240" w:lineRule="auto"/>
        <w:contextualSpacing/>
        <w:jc w:val="both"/>
        <w:rPr>
          <w:rFonts w:ascii="Times New Roman" w:hAnsi="Times New Roman"/>
          <w:b/>
        </w:rPr>
      </w:pPr>
      <w:r w:rsidRPr="00430937">
        <w:rPr>
          <w:rFonts w:ascii="Times New Roman" w:hAnsi="Times New Roman"/>
          <w:b/>
        </w:rPr>
        <w:t>COMISION NACIONAL DE VALORES</w:t>
      </w:r>
    </w:p>
    <w:p w14:paraId="20CB2BA8" w14:textId="77777777" w:rsidR="00B45C1F" w:rsidRPr="00430937" w:rsidRDefault="00B45C1F" w:rsidP="00430937">
      <w:pPr>
        <w:spacing w:after="0" w:line="240" w:lineRule="auto"/>
        <w:contextualSpacing/>
        <w:jc w:val="both"/>
        <w:rPr>
          <w:rFonts w:ascii="Times New Roman" w:hAnsi="Times New Roman"/>
          <w:b/>
        </w:rPr>
      </w:pPr>
      <w:r w:rsidRPr="00430937">
        <w:rPr>
          <w:rFonts w:ascii="Times New Roman" w:hAnsi="Times New Roman"/>
          <w:b/>
        </w:rPr>
        <w:t>MERCADO ABIERTO ELECTRONICO</w:t>
      </w:r>
    </w:p>
    <w:p w14:paraId="2D567D09" w14:textId="77777777" w:rsidR="00B45C1F" w:rsidRPr="00430937" w:rsidRDefault="00B45C1F" w:rsidP="00430937">
      <w:pPr>
        <w:spacing w:after="0" w:line="240" w:lineRule="auto"/>
        <w:contextualSpacing/>
        <w:jc w:val="both"/>
        <w:rPr>
          <w:rFonts w:ascii="Times New Roman" w:hAnsi="Times New Roman"/>
          <w:b/>
        </w:rPr>
      </w:pPr>
      <w:r w:rsidRPr="00430937">
        <w:rPr>
          <w:rFonts w:ascii="Times New Roman" w:hAnsi="Times New Roman"/>
          <w:b/>
        </w:rPr>
        <w:t xml:space="preserve">BOLSAS Y MERCADOS ARGENTINOS </w:t>
      </w:r>
    </w:p>
    <w:p w14:paraId="6A07942A" w14:textId="77777777" w:rsidR="00A73F0F" w:rsidRPr="00430937" w:rsidRDefault="00A73F0F" w:rsidP="00430937">
      <w:pPr>
        <w:spacing w:after="0" w:line="240" w:lineRule="auto"/>
        <w:contextualSpacing/>
        <w:jc w:val="both"/>
        <w:rPr>
          <w:rFonts w:ascii="Times New Roman" w:hAnsi="Times New Roman"/>
          <w:u w:val="single"/>
        </w:rPr>
      </w:pPr>
      <w:r w:rsidRPr="00430937">
        <w:rPr>
          <w:rFonts w:ascii="Times New Roman" w:hAnsi="Times New Roman"/>
          <w:u w:val="single"/>
        </w:rPr>
        <w:t>Presente</w:t>
      </w:r>
    </w:p>
    <w:p w14:paraId="3FCBFD8D" w14:textId="77777777" w:rsidR="00A73F0F" w:rsidRPr="00430937" w:rsidRDefault="00A73F0F" w:rsidP="00430937">
      <w:pPr>
        <w:spacing w:after="0" w:line="240" w:lineRule="auto"/>
        <w:jc w:val="right"/>
        <w:rPr>
          <w:rFonts w:ascii="Times New Roman" w:hAnsi="Times New Roman"/>
          <w:u w:val="single"/>
        </w:rPr>
      </w:pPr>
    </w:p>
    <w:p w14:paraId="0FCAF274" w14:textId="50E019CB" w:rsidR="00A73F0F" w:rsidRPr="00430937" w:rsidRDefault="00A73F0F" w:rsidP="00430937">
      <w:pPr>
        <w:spacing w:after="0" w:line="240" w:lineRule="auto"/>
        <w:jc w:val="right"/>
        <w:rPr>
          <w:rFonts w:ascii="Times New Roman" w:hAnsi="Times New Roman"/>
        </w:rPr>
      </w:pPr>
      <w:r w:rsidRPr="00430937">
        <w:rPr>
          <w:rFonts w:ascii="Times New Roman" w:hAnsi="Times New Roman"/>
          <w:u w:val="single"/>
        </w:rPr>
        <w:t>Ref.</w:t>
      </w:r>
      <w:r w:rsidRPr="00430937">
        <w:rPr>
          <w:rFonts w:ascii="Times New Roman" w:hAnsi="Times New Roman"/>
        </w:rPr>
        <w:t xml:space="preserve">: </w:t>
      </w:r>
      <w:r w:rsidR="00542353">
        <w:rPr>
          <w:rFonts w:ascii="Times New Roman" w:hAnsi="Times New Roman"/>
        </w:rPr>
        <w:t xml:space="preserve">HR - </w:t>
      </w:r>
      <w:r w:rsidRPr="00430937">
        <w:rPr>
          <w:rFonts w:ascii="Times New Roman" w:hAnsi="Times New Roman"/>
        </w:rPr>
        <w:t>Convocatoria a Asamblea</w:t>
      </w:r>
      <w:r w:rsidR="006B4BAF" w:rsidRPr="00430937">
        <w:rPr>
          <w:rFonts w:ascii="Times New Roman" w:hAnsi="Times New Roman"/>
        </w:rPr>
        <w:t xml:space="preserve"> General Ordinaria</w:t>
      </w:r>
    </w:p>
    <w:p w14:paraId="77C3F2A7" w14:textId="77777777" w:rsidR="00A73F0F" w:rsidRPr="00430937" w:rsidRDefault="00A73F0F" w:rsidP="00430937">
      <w:pPr>
        <w:spacing w:after="0" w:line="240" w:lineRule="auto"/>
        <w:jc w:val="right"/>
        <w:rPr>
          <w:rFonts w:ascii="Times New Roman" w:hAnsi="Times New Roman"/>
        </w:rPr>
      </w:pPr>
    </w:p>
    <w:p w14:paraId="3340D872" w14:textId="77777777" w:rsidR="00C87491" w:rsidRPr="00430937" w:rsidRDefault="00C87491" w:rsidP="00430937">
      <w:pPr>
        <w:spacing w:after="0" w:line="240" w:lineRule="auto"/>
        <w:jc w:val="both"/>
        <w:rPr>
          <w:rFonts w:ascii="Times New Roman" w:hAnsi="Times New Roman"/>
        </w:rPr>
      </w:pPr>
    </w:p>
    <w:p w14:paraId="59BC56EB" w14:textId="77777777" w:rsidR="00A73F0F" w:rsidRPr="00430937" w:rsidRDefault="00A73F0F" w:rsidP="00430937">
      <w:pPr>
        <w:spacing w:after="0" w:line="240" w:lineRule="auto"/>
        <w:jc w:val="both"/>
        <w:rPr>
          <w:rFonts w:ascii="Times New Roman" w:hAnsi="Times New Roman"/>
        </w:rPr>
      </w:pPr>
      <w:r w:rsidRPr="00430937">
        <w:rPr>
          <w:rFonts w:ascii="Times New Roman" w:hAnsi="Times New Roman"/>
        </w:rPr>
        <w:t>De mi consideración:</w:t>
      </w:r>
    </w:p>
    <w:p w14:paraId="295F567B" w14:textId="77777777" w:rsidR="00C87491" w:rsidRPr="00430937" w:rsidRDefault="00C87491" w:rsidP="00430937">
      <w:pPr>
        <w:spacing w:after="0" w:line="240" w:lineRule="auto"/>
        <w:jc w:val="both"/>
        <w:rPr>
          <w:rFonts w:ascii="Times New Roman" w:hAnsi="Times New Roman"/>
        </w:rPr>
      </w:pPr>
    </w:p>
    <w:p w14:paraId="49856FBF" w14:textId="255BB819" w:rsidR="00A73F0F" w:rsidRPr="00430937" w:rsidRDefault="00A73F0F" w:rsidP="00430937">
      <w:pPr>
        <w:spacing w:after="0" w:line="240" w:lineRule="auto"/>
        <w:jc w:val="both"/>
        <w:rPr>
          <w:rFonts w:ascii="Times New Roman" w:hAnsi="Times New Roman"/>
        </w:rPr>
      </w:pPr>
      <w:r w:rsidRPr="00430937">
        <w:rPr>
          <w:rFonts w:ascii="Times New Roman" w:hAnsi="Times New Roman"/>
        </w:rPr>
        <w:tab/>
      </w:r>
      <w:r w:rsidRPr="00430937">
        <w:rPr>
          <w:rFonts w:ascii="Times New Roman" w:hAnsi="Times New Roman"/>
        </w:rPr>
        <w:tab/>
      </w:r>
      <w:r w:rsidRPr="00430937">
        <w:rPr>
          <w:rFonts w:ascii="Times New Roman" w:hAnsi="Times New Roman"/>
        </w:rPr>
        <w:tab/>
        <w:t>Tengo el agrado de dirigirme a Uds. en mi carácter de Responsable de Relaciones con el Mercado</w:t>
      </w:r>
      <w:r w:rsidR="009F0595" w:rsidRPr="00430937">
        <w:rPr>
          <w:rFonts w:ascii="Times New Roman" w:hAnsi="Times New Roman"/>
        </w:rPr>
        <w:t xml:space="preserve"> </w:t>
      </w:r>
      <w:r w:rsidRPr="00430937">
        <w:rPr>
          <w:rFonts w:ascii="Times New Roman" w:hAnsi="Times New Roman"/>
        </w:rPr>
        <w:t xml:space="preserve">de </w:t>
      </w:r>
      <w:r w:rsidR="00701536" w:rsidRPr="00430937">
        <w:rPr>
          <w:rFonts w:ascii="Times New Roman" w:hAnsi="Times New Roman"/>
          <w:b/>
          <w:bCs/>
        </w:rPr>
        <w:t>Generación Mediterránea</w:t>
      </w:r>
      <w:r w:rsidRPr="00430937">
        <w:rPr>
          <w:rFonts w:ascii="Times New Roman" w:hAnsi="Times New Roman"/>
          <w:b/>
        </w:rPr>
        <w:t xml:space="preserve"> S.A.</w:t>
      </w:r>
      <w:r w:rsidRPr="00430937">
        <w:rPr>
          <w:rFonts w:ascii="Times New Roman" w:hAnsi="Times New Roman"/>
        </w:rPr>
        <w:t xml:space="preserve"> (la “</w:t>
      </w:r>
      <w:r w:rsidRPr="00430937">
        <w:rPr>
          <w:rFonts w:ascii="Times New Roman" w:hAnsi="Times New Roman"/>
          <w:u w:val="single"/>
        </w:rPr>
        <w:t>Sociedad</w:t>
      </w:r>
      <w:r w:rsidRPr="00430937">
        <w:rPr>
          <w:rFonts w:ascii="Times New Roman" w:hAnsi="Times New Roman"/>
        </w:rPr>
        <w:t>”) a efectos de informar que el día</w:t>
      </w:r>
      <w:r w:rsidR="00026092" w:rsidRPr="00430937">
        <w:rPr>
          <w:rFonts w:ascii="Times New Roman" w:hAnsi="Times New Roman"/>
        </w:rPr>
        <w:t xml:space="preserve"> </w:t>
      </w:r>
      <w:r w:rsidR="0050223B" w:rsidRPr="00430937">
        <w:rPr>
          <w:rFonts w:ascii="Times New Roman" w:hAnsi="Times New Roman"/>
        </w:rPr>
        <w:t>23</w:t>
      </w:r>
      <w:r w:rsidR="00026092" w:rsidRPr="00430937">
        <w:rPr>
          <w:rFonts w:ascii="Times New Roman" w:hAnsi="Times New Roman"/>
        </w:rPr>
        <w:t xml:space="preserve"> de </w:t>
      </w:r>
      <w:r w:rsidR="0050223B" w:rsidRPr="00430937">
        <w:rPr>
          <w:rFonts w:ascii="Times New Roman" w:hAnsi="Times New Roman"/>
        </w:rPr>
        <w:t>diciembre</w:t>
      </w:r>
      <w:r w:rsidR="00026092" w:rsidRPr="00430937">
        <w:rPr>
          <w:rFonts w:ascii="Times New Roman" w:hAnsi="Times New Roman"/>
        </w:rPr>
        <w:t xml:space="preserve"> de 20</w:t>
      </w:r>
      <w:r w:rsidR="00961647" w:rsidRPr="00430937">
        <w:rPr>
          <w:rFonts w:ascii="Times New Roman" w:hAnsi="Times New Roman"/>
        </w:rPr>
        <w:t>2</w:t>
      </w:r>
      <w:r w:rsidR="00176B8D" w:rsidRPr="00430937">
        <w:rPr>
          <w:rFonts w:ascii="Times New Roman" w:hAnsi="Times New Roman"/>
        </w:rPr>
        <w:t>1</w:t>
      </w:r>
      <w:r w:rsidRPr="00430937">
        <w:rPr>
          <w:rFonts w:ascii="Times New Roman" w:hAnsi="Times New Roman"/>
        </w:rPr>
        <w:t xml:space="preserve"> se celebró una reunión de Directorio de la Sociedad, a la cual han comparecido los siguientes miembros titulares del Directorio: </w:t>
      </w:r>
      <w:r w:rsidR="006E511A" w:rsidRPr="00430937">
        <w:rPr>
          <w:rFonts w:ascii="Times New Roman" w:hAnsi="Times New Roman"/>
        </w:rPr>
        <w:t xml:space="preserve">Armando Losón (h), Guillermo Gonzalo Brun, Julián Pablo Sarti, </w:t>
      </w:r>
      <w:r w:rsidR="0050223B" w:rsidRPr="00430937">
        <w:rPr>
          <w:rFonts w:ascii="Times New Roman" w:hAnsi="Times New Roman"/>
        </w:rPr>
        <w:t xml:space="preserve">María Eleonora Bauzas, </w:t>
      </w:r>
      <w:r w:rsidR="006E511A" w:rsidRPr="00430937">
        <w:rPr>
          <w:rFonts w:ascii="Times New Roman" w:hAnsi="Times New Roman"/>
        </w:rPr>
        <w:t>Oscar Camilo De Luise, Ricardo Martín López</w:t>
      </w:r>
      <w:r w:rsidRPr="00430937">
        <w:rPr>
          <w:rFonts w:ascii="Times New Roman" w:hAnsi="Times New Roman"/>
        </w:rPr>
        <w:t xml:space="preserve">, </w:t>
      </w:r>
      <w:r w:rsidR="0050223B" w:rsidRPr="00430937">
        <w:rPr>
          <w:rFonts w:ascii="Times New Roman" w:hAnsi="Times New Roman"/>
        </w:rPr>
        <w:t xml:space="preserve">Romina Solange Kelleyian y Osvaldo Enrique Alberto Cado </w:t>
      </w:r>
      <w:r w:rsidRPr="00430937">
        <w:rPr>
          <w:rFonts w:ascii="Times New Roman" w:hAnsi="Times New Roman"/>
        </w:rPr>
        <w:t xml:space="preserve">existiendo el quórum estatutario suficiente para sesionar. Asimismo, se encontraba presente el Sr. Marcelo Pablo Lerner en representación de la Comisión Fiscalizadora. En la referida reunión de Directorio se resolvió por unanimidad de los presentes convocar a </w:t>
      </w:r>
      <w:r w:rsidRPr="00430937">
        <w:rPr>
          <w:rFonts w:ascii="Times New Roman" w:hAnsi="Times New Roman"/>
          <w:b/>
        </w:rPr>
        <w:t>Asamblea General</w:t>
      </w:r>
      <w:r w:rsidR="00026092" w:rsidRPr="00430937">
        <w:rPr>
          <w:rFonts w:ascii="Times New Roman" w:hAnsi="Times New Roman"/>
          <w:b/>
        </w:rPr>
        <w:t xml:space="preserve"> O</w:t>
      </w:r>
      <w:r w:rsidRPr="00430937">
        <w:rPr>
          <w:rFonts w:ascii="Times New Roman" w:hAnsi="Times New Roman"/>
          <w:b/>
        </w:rPr>
        <w:t>rdinaria</w:t>
      </w:r>
      <w:r w:rsidR="00051F70" w:rsidRPr="00430937">
        <w:rPr>
          <w:rFonts w:ascii="Times New Roman" w:hAnsi="Times New Roman"/>
          <w:b/>
        </w:rPr>
        <w:t xml:space="preserve"> de la Sociedad</w:t>
      </w:r>
      <w:r w:rsidRPr="00430937">
        <w:rPr>
          <w:rFonts w:ascii="Times New Roman" w:hAnsi="Times New Roman"/>
          <w:b/>
        </w:rPr>
        <w:t xml:space="preserve"> para el día </w:t>
      </w:r>
      <w:r w:rsidR="0050223B" w:rsidRPr="00430937">
        <w:rPr>
          <w:rFonts w:ascii="Times New Roman" w:hAnsi="Times New Roman"/>
          <w:b/>
        </w:rPr>
        <w:t xml:space="preserve">18 de enero de 2022 </w:t>
      </w:r>
      <w:r w:rsidRPr="00430937">
        <w:rPr>
          <w:rFonts w:ascii="Times New Roman" w:hAnsi="Times New Roman"/>
          <w:b/>
          <w:bCs/>
        </w:rPr>
        <w:t xml:space="preserve">a las </w:t>
      </w:r>
      <w:r w:rsidR="00AE52AF" w:rsidRPr="00430937">
        <w:rPr>
          <w:rFonts w:ascii="Times New Roman" w:hAnsi="Times New Roman"/>
          <w:b/>
          <w:bCs/>
        </w:rPr>
        <w:t>1</w:t>
      </w:r>
      <w:r w:rsidR="0050223B" w:rsidRPr="00430937">
        <w:rPr>
          <w:rFonts w:ascii="Times New Roman" w:hAnsi="Times New Roman"/>
          <w:b/>
          <w:bCs/>
        </w:rPr>
        <w:t>1</w:t>
      </w:r>
      <w:r w:rsidR="006E511A" w:rsidRPr="00430937">
        <w:rPr>
          <w:rFonts w:ascii="Times New Roman" w:hAnsi="Times New Roman"/>
          <w:b/>
          <w:bCs/>
        </w:rPr>
        <w:t>:</w:t>
      </w:r>
      <w:r w:rsidR="0050223B" w:rsidRPr="00430937">
        <w:rPr>
          <w:rFonts w:ascii="Times New Roman" w:hAnsi="Times New Roman"/>
          <w:b/>
          <w:bCs/>
        </w:rPr>
        <w:t>0</w:t>
      </w:r>
      <w:r w:rsidR="00B45C1F" w:rsidRPr="00430937">
        <w:rPr>
          <w:rFonts w:ascii="Times New Roman" w:hAnsi="Times New Roman"/>
          <w:b/>
          <w:bCs/>
        </w:rPr>
        <w:t>0</w:t>
      </w:r>
      <w:r w:rsidR="0050223B" w:rsidRPr="00430937">
        <w:rPr>
          <w:rFonts w:ascii="Times New Roman" w:hAnsi="Times New Roman"/>
          <w:b/>
          <w:bCs/>
        </w:rPr>
        <w:t xml:space="preserve"> y 14:00</w:t>
      </w:r>
      <w:r w:rsidRPr="00430937">
        <w:rPr>
          <w:rFonts w:ascii="Times New Roman" w:hAnsi="Times New Roman"/>
          <w:b/>
          <w:bCs/>
        </w:rPr>
        <w:t xml:space="preserve"> horas</w:t>
      </w:r>
      <w:r w:rsidR="0050223B" w:rsidRPr="00430937">
        <w:rPr>
          <w:rFonts w:ascii="Times New Roman" w:hAnsi="Times New Roman"/>
          <w:b/>
          <w:bCs/>
        </w:rPr>
        <w:t xml:space="preserve"> en primera y segunda convocatoria</w:t>
      </w:r>
      <w:r w:rsidRPr="00430937">
        <w:rPr>
          <w:rFonts w:ascii="Times New Roman" w:hAnsi="Times New Roman"/>
        </w:rPr>
        <w:t xml:space="preserve"> a celebrarse en la sede social sit</w:t>
      </w:r>
      <w:r w:rsidR="00026092" w:rsidRPr="00430937">
        <w:rPr>
          <w:rFonts w:ascii="Times New Roman" w:hAnsi="Times New Roman"/>
        </w:rPr>
        <w:t>a</w:t>
      </w:r>
      <w:r w:rsidRPr="00430937">
        <w:rPr>
          <w:rFonts w:ascii="Times New Roman" w:hAnsi="Times New Roman"/>
        </w:rPr>
        <w:t xml:space="preserve"> en Av. Leandro N. Alem 855, piso 14 de esta Ciudad, a efectos de considerar el siguiente Orden del Día:</w:t>
      </w:r>
    </w:p>
    <w:p w14:paraId="1F1CBBAB" w14:textId="77777777" w:rsidR="00335C74" w:rsidRPr="00430937" w:rsidRDefault="00335C74" w:rsidP="00430937">
      <w:pPr>
        <w:spacing w:after="0" w:line="240" w:lineRule="auto"/>
        <w:jc w:val="both"/>
        <w:rPr>
          <w:rFonts w:ascii="Times New Roman" w:hAnsi="Times New Roman"/>
        </w:rPr>
      </w:pPr>
    </w:p>
    <w:p w14:paraId="3FBD6D8A" w14:textId="77777777" w:rsidR="0050223B" w:rsidRPr="0050223B" w:rsidRDefault="0050223B" w:rsidP="00430937">
      <w:pPr>
        <w:spacing w:after="0" w:line="240" w:lineRule="auto"/>
        <w:jc w:val="both"/>
        <w:rPr>
          <w:rFonts w:ascii="Times New Roman" w:eastAsia="Arial Unicode MS" w:hAnsi="Times New Roman"/>
          <w:b/>
          <w:bCs/>
          <w:color w:val="000000"/>
          <w:u w:color="000000"/>
          <w:lang w:val="es-ES_tradnl"/>
        </w:rPr>
      </w:pPr>
      <w:r w:rsidRPr="0050223B">
        <w:rPr>
          <w:rFonts w:ascii="Times New Roman" w:eastAsia="Arial Unicode MS" w:hAnsi="Times New Roman"/>
          <w:b/>
          <w:bCs/>
          <w:color w:val="000000"/>
          <w:u w:color="000000"/>
          <w:lang w:val="es-ES_tradnl"/>
        </w:rPr>
        <w:t xml:space="preserve">1°) Consideración, de corresponder, de la celebración de la Asamblea General Ordinaria de Accionistas a distancia; </w:t>
      </w:r>
    </w:p>
    <w:p w14:paraId="61202385" w14:textId="77777777" w:rsidR="0050223B" w:rsidRPr="0050223B" w:rsidRDefault="0050223B" w:rsidP="00430937">
      <w:pPr>
        <w:spacing w:after="0" w:line="240" w:lineRule="auto"/>
        <w:jc w:val="both"/>
        <w:rPr>
          <w:rFonts w:ascii="Times New Roman" w:eastAsia="Arial Unicode MS" w:hAnsi="Times New Roman"/>
          <w:b/>
          <w:bCs/>
          <w:color w:val="000000"/>
          <w:u w:color="000000"/>
          <w:lang w:val="es-ES_tradnl"/>
        </w:rPr>
      </w:pPr>
      <w:r w:rsidRPr="0050223B">
        <w:rPr>
          <w:rFonts w:ascii="Times New Roman" w:eastAsia="Arial Unicode MS" w:hAnsi="Times New Roman"/>
          <w:b/>
          <w:bCs/>
          <w:color w:val="000000"/>
          <w:u w:color="000000"/>
          <w:lang w:val="es-ES_tradnl"/>
        </w:rPr>
        <w:t xml:space="preserve">2°) Designación de accionistas para firmar el acta; </w:t>
      </w:r>
    </w:p>
    <w:p w14:paraId="28FF7DBC" w14:textId="77777777" w:rsidR="0050223B" w:rsidRPr="0050223B" w:rsidRDefault="0050223B" w:rsidP="00430937">
      <w:pPr>
        <w:spacing w:after="0" w:line="240" w:lineRule="auto"/>
        <w:jc w:val="both"/>
        <w:rPr>
          <w:rFonts w:ascii="Times New Roman" w:eastAsia="SimSun" w:hAnsi="Times New Roman" w:cs="Arial Unicode MS"/>
          <w:b/>
          <w:bCs/>
          <w:color w:val="000000"/>
          <w:u w:color="000000"/>
          <w:lang w:val="es-MX" w:eastAsia="zh-CN"/>
        </w:rPr>
      </w:pPr>
      <w:r w:rsidRPr="0050223B">
        <w:rPr>
          <w:rFonts w:ascii="Times New Roman" w:eastAsia="Arial Unicode MS" w:hAnsi="Times New Roman"/>
          <w:b/>
          <w:bCs/>
          <w:color w:val="000000"/>
          <w:u w:color="000000"/>
          <w:lang w:val="es-ES_tradnl"/>
        </w:rPr>
        <w:t xml:space="preserve">3°) </w:t>
      </w:r>
      <w:r w:rsidRPr="0050223B">
        <w:rPr>
          <w:rFonts w:ascii="Times New Roman" w:eastAsia="SimSun" w:hAnsi="Times New Roman" w:cs="Arial Unicode MS"/>
          <w:b/>
          <w:bCs/>
          <w:color w:val="000000"/>
          <w:u w:color="000000"/>
          <w:lang w:val="es-MX" w:eastAsia="zh-CN"/>
        </w:rPr>
        <w:t xml:space="preserve">Consideración de la ampliación del monto máximo del </w:t>
      </w:r>
      <w:r w:rsidRPr="0050223B">
        <w:rPr>
          <w:rFonts w:ascii="Times New Roman" w:eastAsia="Arial Unicode MS" w:hAnsi="Times New Roman" w:cs="Arial Unicode MS"/>
          <w:b/>
          <w:color w:val="000000"/>
          <w:u w:color="000000"/>
          <w:lang w:val="es-ES_tradnl"/>
        </w:rPr>
        <w:t>programa global de emisión de obligaciones negociables simples (no convertibles en acciones) por hasta US$ 250.000.000 (o su equivalente en otras monedas o unidades de valor) aprobado por Resolución N.º 18.649 de fecha 10 de mayo de 2017 de la Comisión Nacional de Valores (el “</w:t>
      </w:r>
      <w:r w:rsidRPr="0050223B">
        <w:rPr>
          <w:rFonts w:ascii="Times New Roman" w:eastAsia="Arial Unicode MS" w:hAnsi="Times New Roman" w:cs="Arial Unicode MS"/>
          <w:b/>
          <w:color w:val="000000"/>
          <w:u w:val="single" w:color="000000"/>
          <w:lang w:val="es-ES_tradnl"/>
        </w:rPr>
        <w:t>Programa</w:t>
      </w:r>
      <w:r w:rsidRPr="0050223B">
        <w:rPr>
          <w:rFonts w:ascii="Times New Roman" w:eastAsia="Arial Unicode MS" w:hAnsi="Times New Roman" w:cs="Arial Unicode MS"/>
          <w:b/>
          <w:color w:val="000000"/>
          <w:u w:color="000000"/>
          <w:lang w:val="es-ES_tradnl"/>
        </w:rPr>
        <w:t xml:space="preserve">”) </w:t>
      </w:r>
      <w:r w:rsidRPr="0050223B">
        <w:rPr>
          <w:rFonts w:ascii="Times New Roman" w:eastAsia="SimSun" w:hAnsi="Times New Roman" w:cs="Arial Unicode MS"/>
          <w:b/>
          <w:bCs/>
          <w:color w:val="000000"/>
          <w:u w:color="000000"/>
          <w:lang w:val="es-MX" w:eastAsia="zh-CN"/>
        </w:rPr>
        <w:t>en U$S 150.000.000 (dólares estadounidenses ciento cincuenta millones) (o su equivalente en otras monedas o unidades de valor), es decir, de U$S 250.000.000 (dólares estadounidenses doscientos cincuenta millones) (o su equivalente en otras monedas o unidades de valor) hasta U$S 400.000.000 (dólares estadounidenses cuatrocientos millones) (o su equivalente en otras monedas o unidades de valor) (el “</w:t>
      </w:r>
      <w:r w:rsidRPr="0050223B">
        <w:rPr>
          <w:rFonts w:ascii="Times New Roman" w:eastAsia="SimSun" w:hAnsi="Times New Roman" w:cs="Arial Unicode MS"/>
          <w:b/>
          <w:bCs/>
          <w:color w:val="000000"/>
          <w:u w:val="single" w:color="000000"/>
          <w:lang w:val="es-MX" w:eastAsia="zh-CN"/>
        </w:rPr>
        <w:t>Aumento del Monto del Programa</w:t>
      </w:r>
      <w:r w:rsidRPr="0050223B">
        <w:rPr>
          <w:rFonts w:ascii="Times New Roman" w:eastAsia="SimSun" w:hAnsi="Times New Roman" w:cs="Arial Unicode MS"/>
          <w:b/>
          <w:bCs/>
          <w:color w:val="000000"/>
          <w:u w:color="000000"/>
          <w:lang w:val="es-MX" w:eastAsia="zh-CN"/>
        </w:rPr>
        <w:t xml:space="preserve">”); </w:t>
      </w:r>
    </w:p>
    <w:p w14:paraId="6C8755A8" w14:textId="77777777" w:rsidR="0050223B" w:rsidRPr="0050223B" w:rsidRDefault="0050223B" w:rsidP="00430937">
      <w:pPr>
        <w:spacing w:after="0" w:line="240" w:lineRule="auto"/>
        <w:jc w:val="both"/>
        <w:rPr>
          <w:rFonts w:ascii="Times New Roman" w:eastAsia="SimSun" w:hAnsi="Times New Roman" w:cs="Arial Unicode MS"/>
          <w:b/>
          <w:bCs/>
          <w:color w:val="000000"/>
          <w:u w:color="000000"/>
          <w:lang w:val="es-MX" w:eastAsia="zh-CN"/>
        </w:rPr>
      </w:pPr>
      <w:r w:rsidRPr="0050223B">
        <w:rPr>
          <w:rFonts w:ascii="Times New Roman" w:eastAsia="SimSun" w:hAnsi="Times New Roman" w:cs="Arial Unicode MS"/>
          <w:b/>
          <w:bCs/>
          <w:color w:val="000000"/>
          <w:u w:color="000000"/>
          <w:lang w:val="es-MX" w:eastAsia="zh-CN"/>
        </w:rPr>
        <w:t xml:space="preserve">4°) </w:t>
      </w:r>
      <w:r w:rsidRPr="0050223B">
        <w:rPr>
          <w:rFonts w:ascii="Times New Roman" w:eastAsia="SimSun" w:hAnsi="Times New Roman" w:cs="Arial Unicode MS"/>
          <w:b/>
          <w:bCs/>
          <w:color w:val="000000"/>
          <w:u w:color="000000"/>
          <w:lang w:val="es-ES_tradnl" w:eastAsia="zh-CN"/>
        </w:rPr>
        <w:t>Consideración de la prórroga del plazo de vigencia del Programa (la “</w:t>
      </w:r>
      <w:r w:rsidRPr="0050223B">
        <w:rPr>
          <w:rFonts w:ascii="Times New Roman" w:eastAsia="SimSun" w:hAnsi="Times New Roman" w:cs="Arial Unicode MS"/>
          <w:b/>
          <w:bCs/>
          <w:color w:val="000000"/>
          <w:u w:val="single" w:color="000000"/>
          <w:lang w:val="es-ES_tradnl" w:eastAsia="zh-CN"/>
        </w:rPr>
        <w:t>Prórroga del Programa</w:t>
      </w:r>
      <w:r w:rsidRPr="0050223B">
        <w:rPr>
          <w:rFonts w:ascii="Times New Roman" w:eastAsia="SimSun" w:hAnsi="Times New Roman" w:cs="Arial Unicode MS"/>
          <w:b/>
          <w:bCs/>
          <w:color w:val="000000"/>
          <w:u w:color="000000"/>
          <w:lang w:val="es-ES_tradnl" w:eastAsia="zh-CN"/>
        </w:rPr>
        <w:t>”);</w:t>
      </w:r>
    </w:p>
    <w:p w14:paraId="1EEE0F5C" w14:textId="77777777" w:rsidR="0050223B" w:rsidRPr="0050223B" w:rsidRDefault="0050223B" w:rsidP="00430937">
      <w:pPr>
        <w:spacing w:after="0" w:line="240" w:lineRule="auto"/>
        <w:jc w:val="both"/>
        <w:rPr>
          <w:rFonts w:ascii="Times New Roman" w:eastAsia="SimSun" w:hAnsi="Times New Roman" w:cs="Arial Unicode MS"/>
          <w:b/>
          <w:bCs/>
          <w:color w:val="000000"/>
          <w:u w:color="000000"/>
          <w:lang w:val="es-MX" w:eastAsia="zh-CN"/>
        </w:rPr>
      </w:pPr>
      <w:r w:rsidRPr="0050223B">
        <w:rPr>
          <w:rFonts w:ascii="Times New Roman" w:eastAsia="SimSun" w:hAnsi="Times New Roman" w:cs="Arial Unicode MS"/>
          <w:b/>
          <w:bCs/>
          <w:color w:val="000000"/>
          <w:u w:color="000000"/>
          <w:lang w:val="es-MX" w:eastAsia="zh-CN"/>
        </w:rPr>
        <w:t xml:space="preserve">5°) </w:t>
      </w:r>
      <w:r w:rsidRPr="0050223B">
        <w:rPr>
          <w:rFonts w:ascii="Times New Roman" w:eastAsia="Arial Unicode MS" w:hAnsi="Times New Roman" w:cs="Arial Unicode MS"/>
          <w:b/>
          <w:color w:val="000000"/>
          <w:u w:color="000000"/>
          <w:lang w:val="es-ES_tradnl"/>
        </w:rPr>
        <w:t>Consideración y aprobación de la actualización de la información comercial, contable y financiera del Programa (la “</w:t>
      </w:r>
      <w:r w:rsidRPr="0050223B">
        <w:rPr>
          <w:rFonts w:ascii="Times New Roman" w:eastAsia="Arial Unicode MS" w:hAnsi="Times New Roman" w:cs="Arial Unicode MS"/>
          <w:b/>
          <w:color w:val="000000"/>
          <w:u w:val="single" w:color="000000"/>
          <w:lang w:val="es-ES_tradnl"/>
        </w:rPr>
        <w:t>Actualización del Prospecto</w:t>
      </w:r>
      <w:r w:rsidRPr="0050223B">
        <w:rPr>
          <w:rFonts w:ascii="Times New Roman" w:eastAsia="Arial Unicode MS" w:hAnsi="Times New Roman" w:cs="Arial Unicode MS"/>
          <w:b/>
          <w:color w:val="000000"/>
          <w:u w:color="000000"/>
          <w:lang w:val="es-ES_tradnl"/>
        </w:rPr>
        <w:t>”)</w:t>
      </w:r>
      <w:r w:rsidRPr="0050223B">
        <w:rPr>
          <w:rFonts w:ascii="Times New Roman" w:eastAsia="SimSun" w:hAnsi="Times New Roman" w:cs="Arial Unicode MS"/>
          <w:b/>
          <w:bCs/>
          <w:color w:val="000000"/>
          <w:u w:color="000000"/>
          <w:lang w:val="es-MX" w:eastAsia="zh-CN"/>
        </w:rPr>
        <w:t xml:space="preserve">; </w:t>
      </w:r>
    </w:p>
    <w:p w14:paraId="2DD003AE" w14:textId="358B1E2B" w:rsidR="0050223B" w:rsidRPr="0050223B" w:rsidRDefault="0050223B" w:rsidP="00430937">
      <w:pPr>
        <w:spacing w:after="0" w:line="240" w:lineRule="auto"/>
        <w:jc w:val="both"/>
        <w:rPr>
          <w:rFonts w:ascii="Times New Roman" w:eastAsia="SimSun" w:hAnsi="Times New Roman" w:cs="Arial Unicode MS"/>
          <w:b/>
          <w:bCs/>
          <w:color w:val="000000"/>
          <w:u w:color="000000"/>
          <w:lang w:val="es-MX" w:eastAsia="zh-CN"/>
        </w:rPr>
      </w:pPr>
      <w:r w:rsidRPr="0050223B">
        <w:rPr>
          <w:rFonts w:ascii="Times New Roman" w:eastAsia="SimSun" w:hAnsi="Times New Roman" w:cs="Arial Unicode MS"/>
          <w:b/>
          <w:bCs/>
          <w:color w:val="000000"/>
          <w:u w:color="000000"/>
          <w:lang w:val="es-MX" w:eastAsia="zh-CN"/>
        </w:rPr>
        <w:t xml:space="preserve">6°) </w:t>
      </w:r>
      <w:r w:rsidRPr="0050223B">
        <w:rPr>
          <w:rFonts w:ascii="Times New Roman" w:eastAsia="Arial Unicode MS" w:hAnsi="Times New Roman" w:cs="Arial Unicode MS"/>
          <w:b/>
          <w:color w:val="000000"/>
          <w:u w:color="000000"/>
          <w:lang w:val="es-ES_tradnl"/>
        </w:rPr>
        <w:t>Delegación de facultades en el Directorio, con facultad de subdelegar, de las más amplias facultades relativas al Aumento del Monto del Programa, la Prórroga del Programa, la Actualización del Prospecto y las emisiones de obligaciones negociables bajo el mismo</w:t>
      </w:r>
      <w:r w:rsidRPr="0050223B">
        <w:rPr>
          <w:rFonts w:ascii="Times New Roman" w:eastAsia="SimSun" w:hAnsi="Times New Roman" w:cs="Arial Unicode MS"/>
          <w:b/>
          <w:bCs/>
          <w:color w:val="000000"/>
          <w:u w:color="000000"/>
          <w:lang w:val="es-MX" w:eastAsia="zh-CN"/>
        </w:rPr>
        <w:t xml:space="preserve">; y </w:t>
      </w:r>
    </w:p>
    <w:p w14:paraId="2029FA16" w14:textId="3D84D1CC" w:rsidR="0050223B" w:rsidRPr="00430937" w:rsidRDefault="0050223B" w:rsidP="00430937">
      <w:pPr>
        <w:spacing w:after="0" w:line="240" w:lineRule="auto"/>
        <w:jc w:val="both"/>
        <w:rPr>
          <w:rFonts w:ascii="Times New Roman" w:eastAsia="SimSun" w:hAnsi="Times New Roman" w:cs="Arial Unicode MS"/>
          <w:b/>
          <w:bCs/>
          <w:color w:val="000000"/>
          <w:u w:color="000000"/>
          <w:lang w:val="es-MX" w:eastAsia="zh-CN"/>
        </w:rPr>
      </w:pPr>
      <w:r w:rsidRPr="0050223B">
        <w:rPr>
          <w:rFonts w:ascii="Times New Roman" w:eastAsia="SimSun" w:hAnsi="Times New Roman" w:cs="Arial Unicode MS"/>
          <w:b/>
          <w:bCs/>
          <w:color w:val="000000"/>
          <w:u w:color="000000"/>
          <w:lang w:val="es-MX" w:eastAsia="zh-CN"/>
        </w:rPr>
        <w:t xml:space="preserve">7°) Otorgamiento de autorizaciones. </w:t>
      </w:r>
    </w:p>
    <w:p w14:paraId="2B715308" w14:textId="77777777" w:rsidR="00430937" w:rsidRPr="0050223B" w:rsidRDefault="00430937" w:rsidP="00430937">
      <w:pPr>
        <w:spacing w:after="0" w:line="240" w:lineRule="auto"/>
        <w:jc w:val="both"/>
        <w:rPr>
          <w:rFonts w:ascii="Times New Roman" w:eastAsia="SimSun" w:hAnsi="Times New Roman" w:cs="Arial Unicode MS"/>
          <w:b/>
          <w:bCs/>
          <w:i/>
          <w:iCs/>
          <w:color w:val="000000"/>
          <w:u w:color="000000"/>
          <w:lang w:val="es-MX" w:eastAsia="zh-CN"/>
        </w:rPr>
      </w:pPr>
    </w:p>
    <w:p w14:paraId="43E04CBA" w14:textId="28D525DD" w:rsidR="006E511A" w:rsidRPr="00430937" w:rsidRDefault="006E511A" w:rsidP="00430937">
      <w:pPr>
        <w:widowControl w:val="0"/>
        <w:spacing w:after="0" w:line="240" w:lineRule="auto"/>
        <w:jc w:val="both"/>
        <w:rPr>
          <w:rFonts w:ascii="Times New Roman" w:hAnsi="Times New Roman"/>
        </w:rPr>
      </w:pPr>
      <w:r w:rsidRPr="00430937">
        <w:rPr>
          <w:rFonts w:ascii="Times New Roman" w:hAnsi="Times New Roman"/>
        </w:rPr>
        <w:t>Asimismo, se informa que, en todos los casos, la totalidad de los accionistas están en conocimiento del temario de la Asamblea que se convocara y que han asegurado su asistencia a la Asamblea de forma presencial o a distancia, como asimismo su decisión de votar en un mismo sentido los temas a tratar, por lo cual no se realizarán las publicaciones de ley.</w:t>
      </w:r>
    </w:p>
    <w:p w14:paraId="05CFF3AD" w14:textId="15C3E65A" w:rsidR="006E511A" w:rsidRPr="00430937" w:rsidRDefault="006E511A" w:rsidP="00430937">
      <w:pPr>
        <w:widowControl w:val="0"/>
        <w:spacing w:after="0" w:line="240" w:lineRule="auto"/>
        <w:jc w:val="both"/>
        <w:rPr>
          <w:rFonts w:ascii="Times New Roman" w:hAnsi="Times New Roman"/>
        </w:rPr>
      </w:pPr>
    </w:p>
    <w:p w14:paraId="0E7CD587" w14:textId="77777777" w:rsidR="00AE70C1" w:rsidRPr="00430937" w:rsidRDefault="00AE70C1" w:rsidP="00430937">
      <w:pPr>
        <w:widowControl w:val="0"/>
        <w:spacing w:after="0" w:line="240" w:lineRule="auto"/>
        <w:ind w:firstLine="2126"/>
        <w:jc w:val="both"/>
        <w:rPr>
          <w:rFonts w:ascii="Times New Roman" w:hAnsi="Times New Roman"/>
        </w:rPr>
      </w:pPr>
    </w:p>
    <w:p w14:paraId="66185151" w14:textId="77777777" w:rsidR="00A73F0F" w:rsidRPr="00430937" w:rsidRDefault="00A73F0F" w:rsidP="00430937">
      <w:pPr>
        <w:widowControl w:val="0"/>
        <w:spacing w:after="0" w:line="240" w:lineRule="auto"/>
        <w:jc w:val="both"/>
        <w:rPr>
          <w:rFonts w:ascii="Times New Roman" w:hAnsi="Times New Roman"/>
        </w:rPr>
      </w:pPr>
      <w:r w:rsidRPr="00430937">
        <w:rPr>
          <w:rFonts w:ascii="Times New Roman" w:hAnsi="Times New Roman"/>
        </w:rPr>
        <w:lastRenderedPageBreak/>
        <w:tab/>
      </w:r>
      <w:r w:rsidRPr="00430937">
        <w:rPr>
          <w:rFonts w:ascii="Times New Roman" w:hAnsi="Times New Roman"/>
        </w:rPr>
        <w:tab/>
      </w:r>
      <w:r w:rsidRPr="00430937">
        <w:rPr>
          <w:rFonts w:ascii="Times New Roman" w:hAnsi="Times New Roman"/>
        </w:rPr>
        <w:tab/>
      </w:r>
      <w:r w:rsidR="00335C74" w:rsidRPr="00430937">
        <w:rPr>
          <w:rFonts w:ascii="Times New Roman" w:hAnsi="Times New Roman"/>
        </w:rPr>
        <w:tab/>
      </w:r>
      <w:r w:rsidRPr="00430937">
        <w:rPr>
          <w:rFonts w:ascii="Times New Roman" w:hAnsi="Times New Roman"/>
        </w:rPr>
        <w:t>Sin otro particular, saludo a Ustedes atentamente.</w:t>
      </w:r>
    </w:p>
    <w:p w14:paraId="4DF46FE2" w14:textId="77777777" w:rsidR="00A73F0F" w:rsidRPr="00430937" w:rsidRDefault="00A73F0F" w:rsidP="00430937">
      <w:pPr>
        <w:spacing w:after="0" w:line="240" w:lineRule="auto"/>
        <w:ind w:left="1418" w:firstLine="709"/>
        <w:jc w:val="both"/>
        <w:rPr>
          <w:rFonts w:ascii="Times New Roman" w:hAnsi="Times New Roman"/>
        </w:rPr>
      </w:pPr>
    </w:p>
    <w:p w14:paraId="35751AAD" w14:textId="77777777" w:rsidR="00A73F0F" w:rsidRPr="00430937" w:rsidRDefault="00A73F0F" w:rsidP="00430937">
      <w:pPr>
        <w:spacing w:after="0" w:line="240" w:lineRule="auto"/>
        <w:ind w:left="1418" w:firstLine="709"/>
        <w:jc w:val="both"/>
        <w:rPr>
          <w:rFonts w:ascii="Times New Roman" w:hAnsi="Times New Roman"/>
        </w:rPr>
      </w:pPr>
    </w:p>
    <w:p w14:paraId="688D3610" w14:textId="77777777" w:rsidR="00026092" w:rsidRPr="00430937" w:rsidRDefault="00026092" w:rsidP="00430937">
      <w:pPr>
        <w:spacing w:after="0" w:line="240" w:lineRule="auto"/>
        <w:ind w:left="1418" w:firstLine="709"/>
        <w:jc w:val="both"/>
        <w:rPr>
          <w:rFonts w:ascii="Times New Roman" w:hAnsi="Times New Roman"/>
        </w:rPr>
      </w:pPr>
    </w:p>
    <w:p w14:paraId="0C5FEE24" w14:textId="77777777" w:rsidR="00A73F0F" w:rsidRPr="00430937" w:rsidRDefault="00A73F0F" w:rsidP="00430937">
      <w:pPr>
        <w:spacing w:after="0" w:line="240" w:lineRule="auto"/>
        <w:contextualSpacing/>
        <w:jc w:val="center"/>
        <w:rPr>
          <w:rFonts w:ascii="Times New Roman" w:hAnsi="Times New Roman"/>
        </w:rPr>
      </w:pPr>
      <w:r w:rsidRPr="00430937">
        <w:rPr>
          <w:rFonts w:ascii="Times New Roman" w:hAnsi="Times New Roman"/>
        </w:rPr>
        <w:t>____________________________</w:t>
      </w:r>
    </w:p>
    <w:p w14:paraId="573F84E3" w14:textId="7A66B9AD" w:rsidR="00A73F0F" w:rsidRPr="00430937" w:rsidRDefault="00EA5983" w:rsidP="00430937">
      <w:pPr>
        <w:spacing w:after="0" w:line="240" w:lineRule="auto"/>
        <w:jc w:val="center"/>
        <w:rPr>
          <w:rFonts w:ascii="Times New Roman" w:hAnsi="Times New Roman"/>
        </w:rPr>
      </w:pPr>
      <w:r w:rsidRPr="00430937">
        <w:rPr>
          <w:rFonts w:ascii="Times New Roman" w:hAnsi="Times New Roman"/>
        </w:rPr>
        <w:t>Guillermo Gonzalo Brun</w:t>
      </w:r>
    </w:p>
    <w:p w14:paraId="3AD9DFF1" w14:textId="4C2D764C" w:rsidR="003F24E1" w:rsidRPr="00430937" w:rsidRDefault="00A73F0F" w:rsidP="00430937">
      <w:pPr>
        <w:spacing w:after="0" w:line="240" w:lineRule="auto"/>
        <w:jc w:val="center"/>
        <w:rPr>
          <w:rFonts w:ascii="Times New Roman" w:hAnsi="Times New Roman"/>
        </w:rPr>
      </w:pPr>
      <w:r w:rsidRPr="00430937">
        <w:rPr>
          <w:rFonts w:ascii="Times New Roman" w:hAnsi="Times New Roman"/>
        </w:rPr>
        <w:t xml:space="preserve">Responsable de Relaciones </w:t>
      </w:r>
      <w:r w:rsidR="00335C74" w:rsidRPr="00430937">
        <w:rPr>
          <w:rFonts w:ascii="Times New Roman" w:hAnsi="Times New Roman"/>
        </w:rPr>
        <w:t>con el Mercado</w:t>
      </w:r>
    </w:p>
    <w:p w14:paraId="5370F478" w14:textId="77777777" w:rsidR="002E3AF8" w:rsidRPr="00A73F0F" w:rsidRDefault="002E3AF8" w:rsidP="00026092">
      <w:pPr>
        <w:spacing w:after="0" w:line="360" w:lineRule="auto"/>
        <w:jc w:val="center"/>
        <w:rPr>
          <w:rFonts w:ascii="Times New Roman" w:hAnsi="Times New Roman"/>
        </w:rPr>
      </w:pPr>
    </w:p>
    <w:sectPr w:rsidR="002E3AF8" w:rsidRPr="00A73F0F" w:rsidSect="005D1564">
      <w:headerReference w:type="even" r:id="rId7"/>
      <w:headerReference w:type="default" r:id="rId8"/>
      <w:footerReference w:type="even" r:id="rId9"/>
      <w:footerReference w:type="default" r:id="rId10"/>
      <w:headerReference w:type="first" r:id="rId11"/>
      <w:footerReference w:type="first" r:id="rId12"/>
      <w:pgSz w:w="11907" w:h="16839" w:code="9"/>
      <w:pgMar w:top="1644"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FF390" w14:textId="77777777" w:rsidR="003A0763" w:rsidRDefault="003A0763">
      <w:pPr>
        <w:spacing w:after="0" w:line="240" w:lineRule="auto"/>
      </w:pPr>
      <w:r>
        <w:separator/>
      </w:r>
    </w:p>
  </w:endnote>
  <w:endnote w:type="continuationSeparator" w:id="0">
    <w:p w14:paraId="71EC0861" w14:textId="77777777" w:rsidR="003A0763" w:rsidRDefault="003A0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AAA5C" w14:textId="77777777" w:rsidR="002314A8" w:rsidRDefault="002314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E9661" w14:textId="77777777" w:rsidR="002314A8" w:rsidRDefault="002314A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6A4D0" w14:textId="77777777" w:rsidR="002314A8" w:rsidRDefault="002314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2CDA7" w14:textId="77777777" w:rsidR="003A0763" w:rsidRDefault="003A0763">
      <w:pPr>
        <w:spacing w:after="0" w:line="240" w:lineRule="auto"/>
      </w:pPr>
      <w:r>
        <w:separator/>
      </w:r>
    </w:p>
  </w:footnote>
  <w:footnote w:type="continuationSeparator" w:id="0">
    <w:p w14:paraId="7327EF8C" w14:textId="77777777" w:rsidR="003A0763" w:rsidRDefault="003A0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E9A07" w14:textId="77777777" w:rsidR="002314A8" w:rsidRDefault="002314A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220DB" w14:textId="6153E445" w:rsidR="00D42434" w:rsidRDefault="002314A8" w:rsidP="002314A8">
    <w:pPr>
      <w:pStyle w:val="Encabezado"/>
      <w:jc w:val="center"/>
    </w:pPr>
    <w:r w:rsidRPr="005E4E1D">
      <w:rPr>
        <w:noProof/>
        <w:lang w:eastAsia="es-AR"/>
      </w:rPr>
      <w:drawing>
        <wp:inline distT="0" distB="0" distL="0" distR="0" wp14:anchorId="6A69140A" wp14:editId="5C32AFD4">
          <wp:extent cx="2432050" cy="933450"/>
          <wp:effectExtent l="0" t="0" r="0" b="0"/>
          <wp:docPr id="1" name="Imagen 5" descr="Descripción: Descripción: Logo GM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Descripción: Descripción: Logo GM al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050" cy="933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D6164" w14:textId="77777777" w:rsidR="002314A8" w:rsidRDefault="002314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6251C6"/>
    <w:multiLevelType w:val="hybridMultilevel"/>
    <w:tmpl w:val="8D649E6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0F"/>
    <w:rsid w:val="00020166"/>
    <w:rsid w:val="00026092"/>
    <w:rsid w:val="00051F70"/>
    <w:rsid w:val="001369C4"/>
    <w:rsid w:val="00156C8B"/>
    <w:rsid w:val="00161324"/>
    <w:rsid w:val="00161E89"/>
    <w:rsid w:val="00174634"/>
    <w:rsid w:val="00176B8D"/>
    <w:rsid w:val="001B4716"/>
    <w:rsid w:val="001D0983"/>
    <w:rsid w:val="001E61C6"/>
    <w:rsid w:val="0020786B"/>
    <w:rsid w:val="002314A8"/>
    <w:rsid w:val="002E3AF8"/>
    <w:rsid w:val="00316B9D"/>
    <w:rsid w:val="00335C74"/>
    <w:rsid w:val="00363CE8"/>
    <w:rsid w:val="003804CF"/>
    <w:rsid w:val="003A0763"/>
    <w:rsid w:val="003F24E1"/>
    <w:rsid w:val="00411DB5"/>
    <w:rsid w:val="00430937"/>
    <w:rsid w:val="00445B4F"/>
    <w:rsid w:val="004467BE"/>
    <w:rsid w:val="00484122"/>
    <w:rsid w:val="00496E52"/>
    <w:rsid w:val="004A0ADC"/>
    <w:rsid w:val="0050223B"/>
    <w:rsid w:val="00523204"/>
    <w:rsid w:val="00542353"/>
    <w:rsid w:val="00565D05"/>
    <w:rsid w:val="005709CB"/>
    <w:rsid w:val="005B3652"/>
    <w:rsid w:val="005D1564"/>
    <w:rsid w:val="005E390B"/>
    <w:rsid w:val="0062315B"/>
    <w:rsid w:val="00651E30"/>
    <w:rsid w:val="00681DB8"/>
    <w:rsid w:val="00687D38"/>
    <w:rsid w:val="00690FE5"/>
    <w:rsid w:val="006B4BAF"/>
    <w:rsid w:val="006E511A"/>
    <w:rsid w:val="006F2237"/>
    <w:rsid w:val="006F7AC2"/>
    <w:rsid w:val="00701536"/>
    <w:rsid w:val="0077681E"/>
    <w:rsid w:val="007B5C59"/>
    <w:rsid w:val="00801363"/>
    <w:rsid w:val="008C7D5B"/>
    <w:rsid w:val="008D50AF"/>
    <w:rsid w:val="00961647"/>
    <w:rsid w:val="009C0C50"/>
    <w:rsid w:val="009C2A08"/>
    <w:rsid w:val="009F0595"/>
    <w:rsid w:val="009F3DF5"/>
    <w:rsid w:val="00A022BA"/>
    <w:rsid w:val="00A60B67"/>
    <w:rsid w:val="00A73F0F"/>
    <w:rsid w:val="00A77303"/>
    <w:rsid w:val="00A77727"/>
    <w:rsid w:val="00A931C6"/>
    <w:rsid w:val="00AE49AE"/>
    <w:rsid w:val="00AE52AF"/>
    <w:rsid w:val="00AE70C1"/>
    <w:rsid w:val="00B45C1F"/>
    <w:rsid w:val="00C736EB"/>
    <w:rsid w:val="00C87491"/>
    <w:rsid w:val="00D42434"/>
    <w:rsid w:val="00DD6AED"/>
    <w:rsid w:val="00DE67FC"/>
    <w:rsid w:val="00E32753"/>
    <w:rsid w:val="00EA5983"/>
    <w:rsid w:val="00EB4E13"/>
    <w:rsid w:val="00F07938"/>
    <w:rsid w:val="00F447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7868"/>
  <w15:chartTrackingRefBased/>
  <w15:docId w15:val="{622055CE-D52B-4160-9BBA-BA44B699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F0F"/>
    <w:pPr>
      <w:spacing w:after="200" w:line="276" w:lineRule="auto"/>
    </w:pPr>
    <w:rPr>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F0F"/>
    <w:pPr>
      <w:tabs>
        <w:tab w:val="center" w:pos="4419"/>
        <w:tab w:val="right" w:pos="8838"/>
      </w:tabs>
      <w:spacing w:after="0" w:line="240" w:lineRule="auto"/>
    </w:pPr>
  </w:style>
  <w:style w:type="character" w:customStyle="1" w:styleId="EncabezadoCar">
    <w:name w:val="Encabezado Car"/>
    <w:link w:val="Encabezado"/>
    <w:uiPriority w:val="99"/>
    <w:rsid w:val="00A73F0F"/>
    <w:rPr>
      <w:rFonts w:ascii="Calibri" w:eastAsia="Calibri" w:hAnsi="Calibri" w:cs="Times New Roman"/>
    </w:rPr>
  </w:style>
  <w:style w:type="paragraph" w:styleId="Prrafodelista">
    <w:name w:val="List Paragraph"/>
    <w:basedOn w:val="Normal"/>
    <w:uiPriority w:val="34"/>
    <w:qFormat/>
    <w:rsid w:val="00A73F0F"/>
    <w:pPr>
      <w:ind w:left="720"/>
      <w:contextualSpacing/>
    </w:pPr>
  </w:style>
  <w:style w:type="paragraph" w:styleId="Textodeglobo">
    <w:name w:val="Balloon Text"/>
    <w:basedOn w:val="Normal"/>
    <w:link w:val="TextodegloboCar"/>
    <w:uiPriority w:val="99"/>
    <w:semiHidden/>
    <w:unhideWhenUsed/>
    <w:rsid w:val="006F2237"/>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6F2237"/>
    <w:rPr>
      <w:rFonts w:ascii="Segoe UI" w:hAnsi="Segoe UI" w:cs="Segoe UI"/>
      <w:sz w:val="18"/>
      <w:szCs w:val="18"/>
      <w:lang w:eastAsia="en-US"/>
    </w:rPr>
  </w:style>
  <w:style w:type="paragraph" w:styleId="Piedepgina">
    <w:name w:val="footer"/>
    <w:basedOn w:val="Normal"/>
    <w:link w:val="PiedepginaCar"/>
    <w:uiPriority w:val="99"/>
    <w:unhideWhenUsed/>
    <w:rsid w:val="00B45C1F"/>
    <w:pPr>
      <w:tabs>
        <w:tab w:val="center" w:pos="4419"/>
        <w:tab w:val="right" w:pos="8838"/>
      </w:tabs>
    </w:pPr>
  </w:style>
  <w:style w:type="character" w:customStyle="1" w:styleId="PiedepginaCar">
    <w:name w:val="Pie de página Car"/>
    <w:link w:val="Piedepgina"/>
    <w:uiPriority w:val="99"/>
    <w:rsid w:val="00B45C1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2755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Soledad Baratta</dc:creator>
  <cp:keywords/>
  <dc:description/>
  <cp:lastModifiedBy>Soledad Baratta</cp:lastModifiedBy>
  <cp:revision>2</cp:revision>
  <cp:lastPrinted>2020-03-10T12:13:00Z</cp:lastPrinted>
  <dcterms:created xsi:type="dcterms:W3CDTF">2021-12-23T22:58:00Z</dcterms:created>
  <dcterms:modified xsi:type="dcterms:W3CDTF">2021-12-23T22:58:00Z</dcterms:modified>
</cp:coreProperties>
</file>