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529" w:rsidRDefault="00342DD3">
      <w:pPr>
        <w:tabs>
          <w:tab w:val="left" w:pos="1380"/>
          <w:tab w:val="left" w:pos="3620"/>
          <w:tab w:val="left" w:pos="5140"/>
        </w:tabs>
        <w:ind w:right="135"/>
      </w:pPr>
      <w:r>
        <w:rPr>
          <w:noProof/>
          <w:lang w:eastAsia="es-AR"/>
        </w:rPr>
        <w:drawing>
          <wp:inline distT="0" distB="0" distL="0" distR="0">
            <wp:extent cx="2390775" cy="9620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Buenos Aires, 05 de abril de 2021.-</w:t>
      </w: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  <w:r>
        <w:rPr>
          <w:rFonts w:ascii="Times New Roman" w:hAnsi="Times New Roman"/>
        </w:rPr>
        <w:t>Señores</w:t>
      </w: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  <w:r>
        <w:rPr>
          <w:rFonts w:ascii="Times New Roman" w:hAnsi="Times New Roman"/>
        </w:rPr>
        <w:t>COMISIÓN NACIONAL DE VALORES</w:t>
      </w: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Presente</w:t>
      </w: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  <w:b/>
        </w:rPr>
      </w:pP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Ref.: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Asignaciones a los Directores.</w:t>
      </w: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nuestra consideración:</w:t>
      </w: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bookmarkStart w:id="0" w:name="_heading=h.gjdgxs" w:colFirst="0" w:colLast="0"/>
      <w:bookmarkEnd w:id="0"/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Nos dirigimos a Uds., en cumplimiento de lo establecido por el Artículo 3 Sección I Capítulo III Título II del T.O de las Normas de Comisión Nacional de Valores, a fin de informarles los siguientes datos, correspondientes al ejercicio económico finalizado </w:t>
      </w:r>
      <w:r>
        <w:rPr>
          <w:rFonts w:ascii="Times New Roman" w:hAnsi="Times New Roman"/>
        </w:rPr>
        <w:t>el 31 de diciembre de 2020 de Banco Industrial S.A., y cuyas cifras están expresadas en miles de pesos:</w:t>
      </w: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Asignaciones a los Directores </w:t>
      </w: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Estados Contables al: 31/12/2020</w:t>
      </w:r>
    </w:p>
    <w:p w:rsidR="002C6529" w:rsidRPr="00CD5D2A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Afectadas al estado de resultados</w:t>
      </w:r>
      <w:r w:rsidRPr="00CD5D2A">
        <w:rPr>
          <w:rFonts w:ascii="Times New Roman" w:hAnsi="Times New Roman"/>
        </w:rPr>
        <w:t xml:space="preserve">:          </w:t>
      </w:r>
      <w:r w:rsidRPr="00CD5D2A">
        <w:rPr>
          <w:rFonts w:ascii="Times New Roman" w:hAnsi="Times New Roman"/>
        </w:rPr>
        <w:t xml:space="preserve">849.004 </w:t>
      </w:r>
      <w:r w:rsidRPr="00CD5D2A">
        <w:rPr>
          <w:rFonts w:ascii="Times New Roman" w:hAnsi="Times New Roman"/>
          <w:i/>
        </w:rPr>
        <w:t>(1)</w:t>
      </w:r>
      <w:r w:rsidRPr="00CD5D2A">
        <w:rPr>
          <w:rFonts w:ascii="Times New Roman" w:hAnsi="Times New Roman"/>
          <w:i/>
        </w:rPr>
        <w:t xml:space="preserve">                             </w:t>
      </w:r>
      <w:r w:rsidRPr="00CD5D2A">
        <w:rPr>
          <w:rFonts w:ascii="Times New Roman" w:hAnsi="Times New Roman"/>
          <w:i/>
        </w:rPr>
        <w:t xml:space="preserve">                                                                      </w:t>
      </w: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CD5D2A">
        <w:rPr>
          <w:rFonts w:ascii="Times New Roman" w:hAnsi="Times New Roman"/>
        </w:rPr>
        <w:t xml:space="preserve">2. Monto final propuesto para la asamblea:      </w:t>
      </w:r>
      <w:r w:rsidRPr="00CD5D2A">
        <w:rPr>
          <w:rFonts w:ascii="Times New Roman" w:hAnsi="Times New Roman"/>
        </w:rPr>
        <w:t>849.004</w:t>
      </w:r>
      <w:r>
        <w:rPr>
          <w:rFonts w:ascii="Times New Roman" w:hAnsi="Times New Roman"/>
        </w:rPr>
        <w:t xml:space="preserve">                                                                                         </w:t>
      </w: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Otras informaciones para determinar la </w:t>
      </w:r>
      <w:r>
        <w:rPr>
          <w:rFonts w:ascii="Times New Roman" w:hAnsi="Times New Roman"/>
        </w:rPr>
        <w:t xml:space="preserve">Utilidad Computable: </w:t>
      </w: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Resultado del ejercicio (neto de impuestos):       3.922.108 </w:t>
      </w:r>
      <w:r>
        <w:rPr>
          <w:rFonts w:ascii="Times New Roman" w:hAnsi="Times New Roman"/>
          <w:i/>
        </w:rPr>
        <w:t xml:space="preserve">(2)                                                                                                                           </w:t>
      </w: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(+) Ajustes de ejercicios anteriores:                  (3.655.609) </w:t>
      </w:r>
      <w:r>
        <w:rPr>
          <w:rFonts w:ascii="Times New Roman" w:hAnsi="Times New Roman"/>
          <w:i/>
        </w:rPr>
        <w:t xml:space="preserve">(3)                                                        </w:t>
      </w:r>
      <w:r>
        <w:rPr>
          <w:rFonts w:ascii="Times New Roman" w:hAnsi="Times New Roman"/>
          <w:i/>
        </w:rPr>
        <w:t xml:space="preserve">                                           </w:t>
      </w: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(-) Pérdidas acumuladas al inicio del ejercicio:       0                                                                                         </w:t>
      </w: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(-) Reserva legal:                                                      53.300                                                                                           </w:t>
      </w: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Subtotal:</w:t>
      </w:r>
      <w:r>
        <w:rPr>
          <w:rFonts w:ascii="Times New Roman" w:hAnsi="Times New Roman"/>
        </w:rPr>
        <w:t xml:space="preserve">      213.199</w:t>
      </w: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(+) Asignaciones al Directorio imputadas al estado de r</w:t>
      </w:r>
      <w:r>
        <w:rPr>
          <w:rFonts w:ascii="Times New Roman" w:hAnsi="Times New Roman"/>
        </w:rPr>
        <w:t>esultados</w:t>
      </w:r>
      <w:r w:rsidRPr="00CD5D2A">
        <w:rPr>
          <w:rFonts w:ascii="Times New Roman" w:hAnsi="Times New Roman"/>
        </w:rPr>
        <w:t>:              849.004</w:t>
      </w:r>
      <w:r>
        <w:rPr>
          <w:rFonts w:ascii="Times New Roman" w:hAnsi="Times New Roman"/>
        </w:rPr>
        <w:t xml:space="preserve">                            </w:t>
      </w: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Ganancia computable:                                                                                   1.062,203                                             </w:t>
      </w: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Proporción entre ganancia comput</w:t>
      </w:r>
      <w:r>
        <w:rPr>
          <w:rFonts w:ascii="Times New Roman" w:hAnsi="Times New Roman"/>
        </w:rPr>
        <w:t xml:space="preserve">able y retribución:                                    N/A </w:t>
      </w:r>
      <w:r>
        <w:rPr>
          <w:rFonts w:ascii="Times New Roman" w:hAnsi="Times New Roman"/>
          <w:i/>
        </w:rPr>
        <w:t>(4)</w:t>
      </w:r>
      <w:r>
        <w:rPr>
          <w:rFonts w:ascii="Times New Roman" w:hAnsi="Times New Roman"/>
        </w:rPr>
        <w:t xml:space="preserve">                                  </w:t>
      </w: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Proporción entre ganancia computable y dividendo:                                    N/A </w:t>
      </w:r>
      <w:r>
        <w:rPr>
          <w:rFonts w:ascii="Times New Roman" w:hAnsi="Times New Roman"/>
          <w:i/>
        </w:rPr>
        <w:t>(5)</w:t>
      </w:r>
      <w:r>
        <w:rPr>
          <w:rFonts w:ascii="Times New Roman" w:hAnsi="Times New Roman"/>
        </w:rPr>
        <w:t xml:space="preserve">                                             </w:t>
      </w: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</w:p>
    <w:p w:rsidR="002C6529" w:rsidRDefault="00342D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left" w:pos="3620"/>
          <w:tab w:val="left" w:pos="5140"/>
        </w:tabs>
        <w:ind w:left="284" w:right="135" w:firstLine="709"/>
        <w:jc w:val="both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>El monto total de las Asignaciones percibidas por los miembros del Directorio durante el ejercicio económico finalizado el 31 de diciembre de 2020 y que se encuentran registradas en el estado de resultados serán puestas ad referéndum de la próxima Asamblea</w:t>
      </w:r>
      <w:r>
        <w:rPr>
          <w:rFonts w:ascii="Times New Roman" w:hAnsi="Times New Roman"/>
          <w:i/>
          <w:color w:val="000000"/>
          <w:szCs w:val="24"/>
        </w:rPr>
        <w:t xml:space="preserve"> de Accionistas, las mismas ascienden a </w:t>
      </w:r>
      <w:r w:rsidRPr="00CD5D2A">
        <w:rPr>
          <w:rFonts w:ascii="Times New Roman" w:hAnsi="Times New Roman"/>
          <w:i/>
          <w:color w:val="000000"/>
          <w:szCs w:val="24"/>
        </w:rPr>
        <w:t>$8</w:t>
      </w:r>
      <w:r w:rsidRPr="00CD5D2A">
        <w:rPr>
          <w:rFonts w:ascii="Times New Roman" w:hAnsi="Times New Roman"/>
          <w:i/>
        </w:rPr>
        <w:t>49.004</w:t>
      </w:r>
      <w:bookmarkStart w:id="1" w:name="_GoBack"/>
      <w:bookmarkEnd w:id="1"/>
      <w:r>
        <w:rPr>
          <w:rFonts w:ascii="Times New Roman" w:hAnsi="Times New Roman"/>
          <w:i/>
          <w:color w:val="000000"/>
          <w:szCs w:val="24"/>
        </w:rPr>
        <w:t>, sin considerar el efecto del ajuste por inflación.</w:t>
      </w:r>
    </w:p>
    <w:p w:rsidR="002C6529" w:rsidRDefault="00342D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left" w:pos="3620"/>
          <w:tab w:val="left" w:pos="5140"/>
        </w:tabs>
        <w:ind w:right="135" w:firstLine="708"/>
        <w:jc w:val="both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lastRenderedPageBreak/>
        <w:t>Resultado antes de Otros Resultados Integrales.</w:t>
      </w:r>
    </w:p>
    <w:p w:rsidR="002C6529" w:rsidRDefault="00342D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left" w:pos="3620"/>
          <w:tab w:val="left" w:pos="5140"/>
        </w:tabs>
        <w:ind w:left="142" w:right="135" w:firstLine="2977"/>
        <w:jc w:val="both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>Los Resultados no asignados negativos surgieron como consecuencia del ajuste por inflación. De no computars</w:t>
      </w:r>
      <w:r>
        <w:rPr>
          <w:rFonts w:ascii="Times New Roman" w:hAnsi="Times New Roman"/>
          <w:i/>
          <w:color w:val="000000"/>
          <w:szCs w:val="24"/>
        </w:rPr>
        <w:t>e los Resultados no asignados negativos la ganancia computable total ascendería a $3.922.108.</w:t>
      </w:r>
    </w:p>
    <w:p w:rsidR="002C6529" w:rsidRDefault="002C6529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left" w:pos="3620"/>
          <w:tab w:val="left" w:pos="5140"/>
        </w:tabs>
        <w:ind w:left="142" w:right="135" w:firstLine="2977"/>
        <w:jc w:val="both"/>
        <w:rPr>
          <w:rFonts w:ascii="Times New Roman" w:hAnsi="Times New Roman"/>
          <w:i/>
          <w:color w:val="000000"/>
          <w:szCs w:val="24"/>
        </w:rPr>
      </w:pPr>
    </w:p>
    <w:p w:rsidR="002C6529" w:rsidRDefault="00342D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left" w:pos="3620"/>
          <w:tab w:val="left" w:pos="5140"/>
        </w:tabs>
        <w:ind w:left="142" w:right="135" w:firstLine="2977"/>
        <w:jc w:val="both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>De no considerarse el impacto de los Resultados no asignados negativos mencionados en (3), la proporción entre ganancia computable y retribución ascendería al 1</w:t>
      </w:r>
      <w:r>
        <w:rPr>
          <w:rFonts w:ascii="Times New Roman" w:hAnsi="Times New Roman"/>
          <w:i/>
        </w:rPr>
        <w:t>8,0</w:t>
      </w:r>
      <w:r>
        <w:rPr>
          <w:rFonts w:ascii="Times New Roman" w:hAnsi="Times New Roman"/>
          <w:i/>
          <w:color w:val="000000"/>
          <w:szCs w:val="24"/>
        </w:rPr>
        <w:t>%.</w:t>
      </w:r>
    </w:p>
    <w:p w:rsidR="002C6529" w:rsidRDefault="002C652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/>
          <w:i/>
          <w:color w:val="000000"/>
          <w:szCs w:val="24"/>
        </w:rPr>
      </w:pPr>
    </w:p>
    <w:p w:rsidR="002C6529" w:rsidRDefault="00342D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left" w:pos="3620"/>
          <w:tab w:val="left" w:pos="5140"/>
        </w:tabs>
        <w:ind w:left="142" w:right="135" w:firstLine="2977"/>
        <w:jc w:val="both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>De no considerarse el impacto de los Resultados no asignados negativos mencionados en (3), la proporción entre ganancia computable y la propuesta de distribución de dividendos ascendería a 10,5%. Propuesta de distribución de dividendos que quedará c</w:t>
      </w:r>
      <w:r>
        <w:rPr>
          <w:rFonts w:ascii="Times New Roman" w:hAnsi="Times New Roman"/>
          <w:i/>
          <w:color w:val="000000"/>
          <w:szCs w:val="24"/>
        </w:rPr>
        <w:t>ondicionada a la previa autorización y resolución favorable del Banco Central de la República Argentina (conf. Comunicación "A" 7181 y concordantes B.C.R.A, que prorrogó hasta el 30 de junio de 2021 la suspensión de la distribución de resultados de las ent</w:t>
      </w:r>
      <w:r>
        <w:rPr>
          <w:rFonts w:ascii="Times New Roman" w:hAnsi="Times New Roman"/>
          <w:i/>
          <w:color w:val="000000"/>
          <w:szCs w:val="24"/>
        </w:rPr>
        <w:t>idades financieras), y ad referéndum de la correspondiente aprobación de la Asamblea de Accionistas.</w:t>
      </w:r>
    </w:p>
    <w:p w:rsidR="002C6529" w:rsidRDefault="002C6529">
      <w:pPr>
        <w:pBdr>
          <w:top w:val="nil"/>
          <w:left w:val="nil"/>
          <w:bottom w:val="nil"/>
          <w:right w:val="nil"/>
          <w:between w:val="nil"/>
        </w:pBdr>
        <w:tabs>
          <w:tab w:val="left" w:pos="1380"/>
          <w:tab w:val="left" w:pos="3620"/>
          <w:tab w:val="left" w:pos="5140"/>
        </w:tabs>
        <w:ind w:left="3119" w:right="135"/>
        <w:jc w:val="both"/>
        <w:rPr>
          <w:rFonts w:ascii="Times New Roman" w:hAnsi="Times New Roman"/>
          <w:i/>
          <w:color w:val="000000"/>
          <w:szCs w:val="24"/>
        </w:rPr>
      </w:pP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lo expuesto, solicitamos tengan a bien tener por cumplimentado los requerimientos del T.O. de las Normas de Comisión Nacional de Valores (2013) y la información detallada precedentemente.</w:t>
      </w: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 w:firstLine="19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Sin otro particular, saludamos a Uds. muy atentamente.</w:t>
      </w: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</w:p>
    <w:p w:rsidR="002C6529" w:rsidRDefault="002C6529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2C6529" w:rsidRDefault="00342DD3">
      <w:pPr>
        <w:tabs>
          <w:tab w:val="left" w:pos="1380"/>
          <w:tab w:val="left" w:pos="3620"/>
          <w:tab w:val="left" w:pos="5140"/>
        </w:tabs>
        <w:ind w:right="13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BANCO INDUSTRIAL S.A.</w:t>
      </w:r>
    </w:p>
    <w:sectPr w:rsidR="002C6529">
      <w:pgSz w:w="11909" w:h="16834"/>
      <w:pgMar w:top="1440" w:right="1196" w:bottom="1560" w:left="1440" w:header="720" w:footer="43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803F3"/>
    <w:multiLevelType w:val="multilevel"/>
    <w:tmpl w:val="40845D5E"/>
    <w:lvl w:ilvl="0">
      <w:start w:val="1"/>
      <w:numFmt w:val="decimal"/>
      <w:lvlText w:val="(%1)"/>
      <w:lvlJc w:val="left"/>
      <w:pPr>
        <w:ind w:left="2360" w:hanging="375"/>
      </w:p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29"/>
    <w:rsid w:val="002C6529"/>
    <w:rsid w:val="00342DD3"/>
    <w:rsid w:val="00C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06A50-6506-418A-B745-8ED9B716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F6A"/>
    <w:rPr>
      <w:rFonts w:eastAsia="Times New Roman" w:cs="Times New Roman"/>
      <w:szCs w:val="20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116F6A"/>
    <w:pPr>
      <w:keepNext/>
      <w:tabs>
        <w:tab w:val="left" w:pos="1380"/>
        <w:tab w:val="left" w:pos="3620"/>
        <w:tab w:val="left" w:pos="5140"/>
      </w:tabs>
      <w:ind w:right="135"/>
      <w:outlineLvl w:val="3"/>
    </w:pPr>
    <w:rPr>
      <w:rFonts w:ascii="Comic Sans MS" w:hAnsi="Comic Sans MS"/>
      <w:u w:val="single"/>
    </w:rPr>
  </w:style>
  <w:style w:type="paragraph" w:styleId="Ttulo5">
    <w:name w:val="heading 5"/>
    <w:basedOn w:val="Normal"/>
    <w:next w:val="Normal"/>
    <w:link w:val="Ttulo5Car"/>
    <w:qFormat/>
    <w:rsid w:val="00116F6A"/>
    <w:pPr>
      <w:keepNext/>
      <w:tabs>
        <w:tab w:val="left" w:pos="1380"/>
        <w:tab w:val="left" w:pos="3620"/>
        <w:tab w:val="left" w:pos="5140"/>
      </w:tabs>
      <w:ind w:right="135"/>
      <w:outlineLvl w:val="4"/>
    </w:pPr>
    <w:rPr>
      <w:rFonts w:ascii="Comic Sans MS" w:hAnsi="Comic Sans MS"/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ar">
    <w:name w:val="Título 4 Car"/>
    <w:basedOn w:val="Fuentedeprrafopredeter"/>
    <w:link w:val="Ttulo4"/>
    <w:rsid w:val="00116F6A"/>
    <w:rPr>
      <w:rFonts w:ascii="Comic Sans MS" w:eastAsia="Times New Roman" w:hAnsi="Comic Sans MS" w:cs="Times New Roman"/>
      <w:sz w:val="24"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116F6A"/>
    <w:rPr>
      <w:rFonts w:ascii="Comic Sans MS" w:eastAsia="Times New Roman" w:hAnsi="Comic Sans MS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116F6A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semiHidden/>
    <w:rsid w:val="00116F6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116F6A"/>
    <w:pPr>
      <w:jc w:val="both"/>
    </w:pPr>
    <w:rPr>
      <w:rFonts w:ascii="Comic Sans MS" w:hAnsi="Comic Sans M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6F6A"/>
    <w:rPr>
      <w:rFonts w:ascii="Comic Sans MS" w:eastAsia="Times New Roman" w:hAnsi="Comic Sans MS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21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194"/>
    <w:rPr>
      <w:rFonts w:ascii="Segoe UI" w:eastAsia="Times New Roman" w:hAnsi="Segoe UI" w:cs="Segoe UI"/>
      <w:sz w:val="18"/>
      <w:szCs w:val="18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3B3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3B34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F7F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F9C"/>
    <w:rPr>
      <w:rFonts w:ascii="Arial" w:eastAsia="Times New Roman" w:hAnsi="Arial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353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530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530A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53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530A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574D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HctJqFVOuDyuPgYiXv404knMxA==">AMUW2mWNan1tldtMWibnagwtgbBHimlpN+OpYDQA6z74ygkcgVRvF7pNKIulIiHtxvKD3qXYmVVd4nw79fFJouf1QiolS+2Y1pGCIOGP5KyQCIfefNUu0/rHWX9N7JD/cSUPRQpaYVyB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GAYOSO</dc:creator>
  <cp:lastModifiedBy>Ana Maria ZORGNO</cp:lastModifiedBy>
  <cp:revision>2</cp:revision>
  <dcterms:created xsi:type="dcterms:W3CDTF">2021-04-07T00:39:00Z</dcterms:created>
  <dcterms:modified xsi:type="dcterms:W3CDTF">2021-04-07T00:39:00Z</dcterms:modified>
</cp:coreProperties>
</file>