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customXml/itemProps18.xml" ContentType="application/vnd.openxmlformats-officedocument.customXmlProperties+xml"/>
  <Override PartName="/customXml/itemProps19.xml" ContentType="application/vnd.openxmlformats-officedocument.customXmlProperties+xml"/>
  <Override PartName="/customXml/itemProps20.xml" ContentType="application/vnd.openxmlformats-officedocument.customXmlProperties+xml"/>
  <Override PartName="/customXml/itemProps21.xml" ContentType="application/vnd.openxmlformats-officedocument.customXmlProperties+xml"/>
  <Override PartName="/customXml/itemProps22.xml" ContentType="application/vnd.openxmlformats-officedocument.customXmlProperties+xml"/>
  <Override PartName="/customXml/itemProps23.xml" ContentType="application/vnd.openxmlformats-officedocument.customXmlProperties+xml"/>
  <Override PartName="/customXml/itemProps24.xml" ContentType="application/vnd.openxmlformats-officedocument.customXmlProperties+xml"/>
  <Override PartName="/customXml/itemProps25.xml" ContentType="application/vnd.openxmlformats-officedocument.customXmlProperties+xml"/>
  <Override PartName="/customXml/itemProps26.xml" ContentType="application/vnd.openxmlformats-officedocument.customXmlProperties+xml"/>
  <Override PartName="/customXml/itemProps27.xml" ContentType="application/vnd.openxmlformats-officedocument.customXmlProperties+xml"/>
  <Override PartName="/customXml/itemProps28.xml" ContentType="application/vnd.openxmlformats-officedocument.customXmlProperties+xml"/>
  <Override PartName="/customXml/itemProps29.xml" ContentType="application/vnd.openxmlformats-officedocument.customXmlProperties+xml"/>
  <Override PartName="/customXml/itemProps30.xml" ContentType="application/vnd.openxmlformats-officedocument.customXmlProperties+xml"/>
  <Override PartName="/customXml/itemProps31.xml" ContentType="application/vnd.openxmlformats-officedocument.customXmlProperties+xml"/>
  <Override PartName="/customXml/itemProps32.xml" ContentType="application/vnd.openxmlformats-officedocument.customXmlProperties+xml"/>
  <Override PartName="/customXml/itemProps33.xml" ContentType="application/vnd.openxmlformats-officedocument.customXmlProperties+xml"/>
  <Override PartName="/customXml/itemProps3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C820B8B" w14:textId="05586659" w:rsidR="00DF5641" w:rsidRPr="00D354AB" w:rsidRDefault="00DF5641" w:rsidP="005451AF">
      <w:pPr>
        <w:widowControl w:val="0"/>
        <w:jc w:val="right"/>
        <w:rPr>
          <w:b/>
          <w:smallCaps/>
          <w:sz w:val="20"/>
          <w:szCs w:val="20"/>
          <w:lang w:val="es-AR"/>
        </w:rPr>
      </w:pPr>
      <w:r w:rsidRPr="00D354AB">
        <w:rPr>
          <w:b/>
          <w:smallCaps/>
          <w:sz w:val="20"/>
          <w:szCs w:val="20"/>
          <w:lang w:val="es-AR"/>
        </w:rPr>
        <w:t xml:space="preserve">Suplemento de </w:t>
      </w:r>
      <w:r w:rsidR="00670AF6" w:rsidRPr="00D354AB">
        <w:rPr>
          <w:b/>
          <w:smallCaps/>
          <w:sz w:val="20"/>
          <w:szCs w:val="20"/>
          <w:lang w:val="es-AR"/>
        </w:rPr>
        <w:t>Prospecto</w:t>
      </w:r>
    </w:p>
    <w:p w14:paraId="0401A8D8" w14:textId="77777777" w:rsidR="00DF5641" w:rsidRPr="00D354AB" w:rsidRDefault="00DF5641" w:rsidP="00DF5641">
      <w:pPr>
        <w:widowControl w:val="0"/>
        <w:rPr>
          <w:sz w:val="20"/>
          <w:szCs w:val="20"/>
          <w:lang w:val="es-ES"/>
        </w:rPr>
      </w:pPr>
    </w:p>
    <w:p w14:paraId="4EB715AC" w14:textId="77777777" w:rsidR="00DF5641" w:rsidRPr="00D354AB" w:rsidRDefault="00DF5641" w:rsidP="00DF5641">
      <w:pPr>
        <w:widowControl w:val="0"/>
        <w:rPr>
          <w:sz w:val="20"/>
          <w:szCs w:val="20"/>
          <w:lang w:val="es-AR"/>
        </w:rPr>
      </w:pPr>
      <w:r w:rsidRPr="00D354AB">
        <w:rPr>
          <w:noProof/>
          <w:sz w:val="20"/>
          <w:szCs w:val="20"/>
          <w:lang w:val="es-ES" w:eastAsia="es-ES"/>
        </w:rPr>
        <w:drawing>
          <wp:inline distT="0" distB="0" distL="0" distR="0" wp14:anchorId="2E396A8B" wp14:editId="6BB91A9B">
            <wp:extent cx="2809875" cy="400050"/>
            <wp:effectExtent l="0" t="0" r="0" b="0"/>
            <wp:docPr id="2" name="Imagen 2" descr="logo-FC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FCA (1)"/>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809875" cy="400050"/>
                    </a:xfrm>
                    <a:prstGeom prst="rect">
                      <a:avLst/>
                    </a:prstGeom>
                    <a:noFill/>
                    <a:ln>
                      <a:noFill/>
                    </a:ln>
                  </pic:spPr>
                </pic:pic>
              </a:graphicData>
            </a:graphic>
          </wp:inline>
        </w:drawing>
      </w:r>
    </w:p>
    <w:p w14:paraId="60C751F5" w14:textId="77777777" w:rsidR="00DF5641" w:rsidRPr="00D354AB" w:rsidRDefault="00DF5641" w:rsidP="00DF5641">
      <w:pPr>
        <w:widowControl w:val="0"/>
        <w:rPr>
          <w:sz w:val="20"/>
          <w:szCs w:val="20"/>
          <w:lang w:val="es-AR"/>
        </w:rPr>
      </w:pPr>
    </w:p>
    <w:p w14:paraId="59A0021D" w14:textId="77777777" w:rsidR="00DF5641" w:rsidRPr="00D354AB" w:rsidRDefault="00DF5641" w:rsidP="00DF5641">
      <w:pPr>
        <w:widowControl w:val="0"/>
        <w:rPr>
          <w:b/>
          <w:sz w:val="20"/>
          <w:szCs w:val="20"/>
          <w:lang w:val="es-AR"/>
        </w:rPr>
      </w:pPr>
      <w:r w:rsidRPr="00D354AB">
        <w:rPr>
          <w:b/>
          <w:bCs/>
          <w:smallCaps/>
          <w:sz w:val="20"/>
          <w:szCs w:val="20"/>
          <w:lang w:val="es-AR"/>
        </w:rPr>
        <w:t>FCA Compañía Financiera S.A.</w:t>
      </w:r>
    </w:p>
    <w:p w14:paraId="6A7DF1C4" w14:textId="77777777" w:rsidR="00DF5641" w:rsidRPr="00D354AB" w:rsidRDefault="00DF5641" w:rsidP="00DF5641">
      <w:pPr>
        <w:widowControl w:val="0"/>
        <w:rPr>
          <w:bCs/>
          <w:smallCaps/>
          <w:sz w:val="20"/>
          <w:szCs w:val="20"/>
          <w:lang w:val="es-AR"/>
        </w:rPr>
      </w:pPr>
    </w:p>
    <w:p w14:paraId="0464AD02" w14:textId="77777777" w:rsidR="00AF522A" w:rsidRPr="00D354AB" w:rsidRDefault="00AF522A" w:rsidP="00AF522A">
      <w:pPr>
        <w:rPr>
          <w:b/>
          <w:bCs/>
          <w:smallCaps/>
          <w:sz w:val="20"/>
          <w:szCs w:val="20"/>
          <w:lang w:val="es-AR"/>
        </w:rPr>
      </w:pPr>
      <w:r w:rsidRPr="00D354AB">
        <w:rPr>
          <w:b/>
          <w:bCs/>
          <w:smallCaps/>
          <w:sz w:val="20"/>
          <w:szCs w:val="20"/>
          <w:lang w:val="es-AR"/>
        </w:rPr>
        <w:t>Emisor Frecuente Registro N°2 para la emisión de obligaciones negociables simples no convertibles en acciones, con o sin garantía, subordinadas o no subordinadas,</w:t>
      </w:r>
    </w:p>
    <w:p w14:paraId="4557C1D6" w14:textId="77777777" w:rsidR="002104FB" w:rsidRPr="00D354AB" w:rsidRDefault="00AF522A" w:rsidP="00AF522A">
      <w:pPr>
        <w:widowControl w:val="0"/>
        <w:rPr>
          <w:b/>
          <w:bCs/>
          <w:smallCaps/>
          <w:sz w:val="20"/>
          <w:szCs w:val="20"/>
          <w:lang w:val="es-AR"/>
        </w:rPr>
      </w:pPr>
      <w:r w:rsidRPr="00D354AB">
        <w:rPr>
          <w:b/>
          <w:bCs/>
          <w:smallCaps/>
          <w:sz w:val="20"/>
          <w:szCs w:val="20"/>
          <w:lang w:val="es-AR"/>
        </w:rPr>
        <w:t xml:space="preserve">por un monto de hasta U$S100.000.000 </w:t>
      </w:r>
    </w:p>
    <w:p w14:paraId="41CF8509" w14:textId="77777777" w:rsidR="00DF5641" w:rsidRPr="00D354AB" w:rsidRDefault="00DF5641" w:rsidP="00DF5641">
      <w:pPr>
        <w:widowControl w:val="0"/>
        <w:rPr>
          <w:sz w:val="20"/>
          <w:szCs w:val="20"/>
          <w:lang w:val="es-AR"/>
        </w:rPr>
      </w:pPr>
    </w:p>
    <w:p w14:paraId="512F78F2" w14:textId="77777777" w:rsidR="00DF5641" w:rsidRPr="00D354AB" w:rsidRDefault="00DF5641" w:rsidP="00DF5641">
      <w:pPr>
        <w:pStyle w:val="Ttulo2"/>
        <w:keepNext w:val="0"/>
        <w:widowControl w:val="0"/>
        <w:tabs>
          <w:tab w:val="clear" w:pos="397"/>
          <w:tab w:val="clear" w:pos="794"/>
          <w:tab w:val="clear" w:pos="1191"/>
          <w:tab w:val="clear" w:pos="1588"/>
          <w:tab w:val="clear" w:pos="1985"/>
          <w:tab w:val="clear" w:pos="2382"/>
          <w:tab w:val="clear" w:pos="2779"/>
          <w:tab w:val="clear" w:pos="3176"/>
          <w:tab w:val="clear" w:pos="3573"/>
          <w:tab w:val="clear" w:pos="3970"/>
          <w:tab w:val="clear" w:pos="4367"/>
          <w:tab w:val="clear" w:pos="4764"/>
          <w:tab w:val="clear" w:pos="5161"/>
          <w:tab w:val="clear" w:pos="5558"/>
          <w:tab w:val="clear" w:pos="5955"/>
          <w:tab w:val="clear" w:pos="6352"/>
          <w:tab w:val="clear" w:pos="6749"/>
          <w:tab w:val="clear" w:pos="7146"/>
          <w:tab w:val="clear" w:pos="7543"/>
          <w:tab w:val="clear" w:pos="7940"/>
          <w:tab w:val="clear" w:pos="8337"/>
          <w:tab w:val="clear" w:pos="8734"/>
          <w:tab w:val="clear" w:pos="9131"/>
          <w:tab w:val="clear" w:pos="9528"/>
        </w:tabs>
        <w:rPr>
          <w:bCs/>
          <w:sz w:val="20"/>
          <w:lang w:val="es-AR"/>
        </w:rPr>
      </w:pPr>
      <w:r w:rsidRPr="00D354AB">
        <w:rPr>
          <w:bCs/>
          <w:sz w:val="20"/>
          <w:lang w:val="es-AR"/>
        </w:rPr>
        <w:t>Obligaciones Negociables Clase XVII</w:t>
      </w:r>
    </w:p>
    <w:p w14:paraId="253FAB1D" w14:textId="77777777" w:rsidR="00DF5641" w:rsidRPr="00D354AB" w:rsidRDefault="00DF5641" w:rsidP="00DF5641">
      <w:pPr>
        <w:rPr>
          <w:bCs/>
          <w:smallCaps/>
          <w:sz w:val="20"/>
          <w:szCs w:val="20"/>
          <w:lang w:val="es-AR"/>
        </w:rPr>
      </w:pPr>
      <w:r w:rsidRPr="00D354AB">
        <w:rPr>
          <w:bCs/>
          <w:smallCaps/>
          <w:sz w:val="20"/>
          <w:szCs w:val="20"/>
          <w:lang w:val="es-AR"/>
        </w:rPr>
        <w:t>obligaciones negociables simples, no convertibles en acciones, no garantizadas’</w:t>
      </w:r>
    </w:p>
    <w:p w14:paraId="16945127" w14:textId="77777777" w:rsidR="00DF5641" w:rsidRPr="00D354AB" w:rsidRDefault="00DF5641" w:rsidP="00DF5641">
      <w:pPr>
        <w:rPr>
          <w:bCs/>
          <w:smallCaps/>
          <w:sz w:val="20"/>
          <w:szCs w:val="20"/>
          <w:lang w:val="es-AR"/>
        </w:rPr>
      </w:pPr>
      <w:r w:rsidRPr="00D354AB">
        <w:rPr>
          <w:bCs/>
          <w:smallCaps/>
          <w:sz w:val="20"/>
          <w:szCs w:val="20"/>
          <w:lang w:val="es-AR"/>
        </w:rPr>
        <w:t xml:space="preserve">A ser emitidas bajo el régimen de Emisor Frecuente </w:t>
      </w:r>
    </w:p>
    <w:p w14:paraId="223C27E6" w14:textId="2DCE8917" w:rsidR="002104FB" w:rsidRPr="00D354AB" w:rsidRDefault="00AF522A" w:rsidP="00BB2DA6">
      <w:pPr>
        <w:jc w:val="both"/>
        <w:rPr>
          <w:bCs/>
          <w:smallCaps/>
          <w:sz w:val="20"/>
          <w:szCs w:val="20"/>
          <w:lang w:val="es-AR"/>
        </w:rPr>
      </w:pPr>
      <w:r w:rsidRPr="00D354AB">
        <w:rPr>
          <w:bCs/>
          <w:smallCaps/>
          <w:sz w:val="20"/>
          <w:szCs w:val="20"/>
          <w:lang w:val="es-AR"/>
        </w:rPr>
        <w:t>p</w:t>
      </w:r>
      <w:r w:rsidR="00DF5641" w:rsidRPr="00D354AB">
        <w:rPr>
          <w:bCs/>
          <w:smallCaps/>
          <w:sz w:val="20"/>
          <w:szCs w:val="20"/>
          <w:lang w:val="es-AR"/>
        </w:rPr>
        <w:t xml:space="preserve">or </w:t>
      </w:r>
      <w:r w:rsidR="004644E9" w:rsidRPr="00D354AB">
        <w:rPr>
          <w:bCs/>
          <w:smallCaps/>
          <w:sz w:val="20"/>
          <w:szCs w:val="20"/>
          <w:lang w:val="es-AR"/>
        </w:rPr>
        <w:t xml:space="preserve">hasta </w:t>
      </w:r>
      <w:r w:rsidR="00DF5641" w:rsidRPr="00D354AB">
        <w:rPr>
          <w:bCs/>
          <w:smallCaps/>
          <w:sz w:val="20"/>
          <w:szCs w:val="20"/>
          <w:lang w:val="es-AR"/>
        </w:rPr>
        <w:t>un valor nominal de referencia equivalente a $</w:t>
      </w:r>
      <w:r w:rsidR="00E97C53" w:rsidRPr="00D354AB">
        <w:rPr>
          <w:b/>
          <w:bCs/>
          <w:smallCaps/>
          <w:sz w:val="20"/>
          <w:szCs w:val="20"/>
          <w:lang w:val="es-AR"/>
        </w:rPr>
        <w:t>500.000.000</w:t>
      </w:r>
      <w:r w:rsidR="00FF0D9A" w:rsidRPr="00D354AB">
        <w:rPr>
          <w:b/>
          <w:bCs/>
          <w:smallCaps/>
          <w:sz w:val="20"/>
          <w:szCs w:val="20"/>
          <w:lang w:val="es-AR"/>
        </w:rPr>
        <w:t xml:space="preserve"> </w:t>
      </w:r>
      <w:r w:rsidRPr="00D354AB">
        <w:rPr>
          <w:bCs/>
          <w:smallCaps/>
          <w:sz w:val="20"/>
          <w:szCs w:val="20"/>
          <w:lang w:val="es-AR"/>
        </w:rPr>
        <w:t>(el “</w:t>
      </w:r>
      <w:r w:rsidRPr="00D354AB">
        <w:rPr>
          <w:bCs/>
          <w:smallCaps/>
          <w:sz w:val="20"/>
          <w:szCs w:val="20"/>
          <w:u w:val="single"/>
          <w:lang w:val="es-AR"/>
        </w:rPr>
        <w:t>Valor Nominal de Referencia</w:t>
      </w:r>
      <w:r w:rsidRPr="00D354AB">
        <w:rPr>
          <w:bCs/>
          <w:smallCaps/>
          <w:sz w:val="20"/>
          <w:szCs w:val="20"/>
          <w:lang w:val="es-AR"/>
        </w:rPr>
        <w:t xml:space="preserve">”) </w:t>
      </w:r>
    </w:p>
    <w:p w14:paraId="5F393B56" w14:textId="4973D1E2" w:rsidR="002104FB" w:rsidRPr="00D354AB" w:rsidRDefault="00DF5641" w:rsidP="002104FB">
      <w:pPr>
        <w:widowControl w:val="0"/>
        <w:rPr>
          <w:bCs/>
          <w:smallCaps/>
          <w:sz w:val="20"/>
          <w:szCs w:val="20"/>
          <w:lang w:val="es-AR"/>
        </w:rPr>
      </w:pPr>
      <w:r w:rsidRPr="00D354AB">
        <w:rPr>
          <w:bCs/>
          <w:smallCaps/>
          <w:sz w:val="20"/>
          <w:szCs w:val="20"/>
          <w:lang w:val="es-AR"/>
        </w:rPr>
        <w:t>Ampliable a un Valor Nominal Máximo de hasta $</w:t>
      </w:r>
      <w:r w:rsidRPr="00D354AB">
        <w:rPr>
          <w:b/>
          <w:bCs/>
          <w:smallCaps/>
          <w:sz w:val="20"/>
          <w:szCs w:val="20"/>
          <w:lang w:val="es-AR"/>
        </w:rPr>
        <w:t>7</w:t>
      </w:r>
      <w:r w:rsidR="002104FB" w:rsidRPr="00D354AB">
        <w:rPr>
          <w:b/>
          <w:bCs/>
          <w:smallCaps/>
          <w:sz w:val="20"/>
          <w:szCs w:val="20"/>
          <w:lang w:val="es-AR"/>
        </w:rPr>
        <w:t>0</w:t>
      </w:r>
      <w:r w:rsidRPr="00D354AB">
        <w:rPr>
          <w:b/>
          <w:bCs/>
          <w:smallCaps/>
          <w:sz w:val="20"/>
          <w:szCs w:val="20"/>
          <w:lang w:val="es-AR"/>
        </w:rPr>
        <w:t xml:space="preserve">0.000.000 </w:t>
      </w:r>
      <w:r w:rsidR="003D6BE1" w:rsidRPr="00D354AB">
        <w:rPr>
          <w:bCs/>
          <w:smallCaps/>
          <w:sz w:val="20"/>
          <w:szCs w:val="20"/>
          <w:lang w:val="es-AR"/>
        </w:rPr>
        <w:t>(</w:t>
      </w:r>
      <w:r w:rsidRPr="00D354AB">
        <w:rPr>
          <w:bCs/>
          <w:smallCaps/>
          <w:sz w:val="20"/>
          <w:szCs w:val="20"/>
          <w:lang w:val="es-AR"/>
        </w:rPr>
        <w:t>el “</w:t>
      </w:r>
      <w:r w:rsidRPr="00D354AB">
        <w:rPr>
          <w:bCs/>
          <w:smallCaps/>
          <w:sz w:val="20"/>
          <w:szCs w:val="20"/>
          <w:u w:val="single"/>
          <w:lang w:val="es-AR"/>
        </w:rPr>
        <w:t>Valor Nominal Máximo</w:t>
      </w:r>
      <w:r w:rsidRPr="00D354AB">
        <w:rPr>
          <w:bCs/>
          <w:smallCaps/>
          <w:sz w:val="20"/>
          <w:szCs w:val="20"/>
          <w:lang w:val="es-AR"/>
        </w:rPr>
        <w:t>”)</w:t>
      </w:r>
    </w:p>
    <w:p w14:paraId="1BA9744A" w14:textId="0783D83C" w:rsidR="002104FB" w:rsidRPr="00D354AB" w:rsidRDefault="002104FB" w:rsidP="002104FB">
      <w:pPr>
        <w:widowControl w:val="0"/>
        <w:rPr>
          <w:bCs/>
          <w:smallCaps/>
          <w:sz w:val="20"/>
          <w:szCs w:val="20"/>
          <w:lang w:val="es-AR"/>
        </w:rPr>
      </w:pPr>
      <w:r w:rsidRPr="00D354AB">
        <w:rPr>
          <w:bCs/>
          <w:smallCaps/>
          <w:sz w:val="20"/>
          <w:szCs w:val="20"/>
          <w:lang w:val="es-AR"/>
        </w:rPr>
        <w:t>con vencimiento a los 180 días desde la Fecha de Emisión y Liquidación</w:t>
      </w:r>
    </w:p>
    <w:p w14:paraId="52FA01EF" w14:textId="407CC958" w:rsidR="00DF5641" w:rsidRPr="00D354AB" w:rsidRDefault="00DF5641" w:rsidP="00DF5641">
      <w:pPr>
        <w:rPr>
          <w:b/>
          <w:bCs/>
          <w:sz w:val="20"/>
          <w:szCs w:val="20"/>
          <w:lang w:val="es-AR"/>
        </w:rPr>
      </w:pPr>
    </w:p>
    <w:p w14:paraId="5DF76185" w14:textId="4ABAE41A" w:rsidR="00AF522A" w:rsidRPr="00D354AB" w:rsidRDefault="00AF522A" w:rsidP="00BB2DA6">
      <w:pPr>
        <w:rPr>
          <w:sz w:val="20"/>
          <w:szCs w:val="20"/>
          <w:lang w:val="es-AR"/>
        </w:rPr>
      </w:pPr>
    </w:p>
    <w:p w14:paraId="04EF838E" w14:textId="77777777" w:rsidR="00DF5641" w:rsidRPr="00D354AB" w:rsidRDefault="00DF5641" w:rsidP="00DF5641">
      <w:pPr>
        <w:jc w:val="both"/>
        <w:rPr>
          <w:sz w:val="20"/>
          <w:szCs w:val="20"/>
          <w:lang w:val="es-AR"/>
        </w:rPr>
      </w:pPr>
    </w:p>
    <w:p w14:paraId="739690C9" w14:textId="69143961" w:rsidR="00DF5641" w:rsidRPr="00C436CD" w:rsidRDefault="00DF5641" w:rsidP="00DF5641">
      <w:pPr>
        <w:jc w:val="both"/>
        <w:rPr>
          <w:b/>
          <w:sz w:val="20"/>
          <w:lang w:val="es-AR"/>
        </w:rPr>
      </w:pPr>
      <w:r w:rsidRPr="00D354AB">
        <w:rPr>
          <w:sz w:val="20"/>
          <w:szCs w:val="20"/>
          <w:lang w:val="es-AR"/>
        </w:rPr>
        <w:t>FCA Compañía Financiera S.A. CUIT Nº 30-69230488-4 (en adelante, el “</w:t>
      </w:r>
      <w:r w:rsidRPr="00D354AB">
        <w:rPr>
          <w:sz w:val="20"/>
          <w:szCs w:val="20"/>
          <w:u w:val="single"/>
          <w:lang w:val="es-AR"/>
        </w:rPr>
        <w:t>Emisor</w:t>
      </w:r>
      <w:r w:rsidRPr="00D354AB">
        <w:rPr>
          <w:sz w:val="20"/>
          <w:szCs w:val="20"/>
          <w:lang w:val="es-AR"/>
        </w:rPr>
        <w:t>”, la “</w:t>
      </w:r>
      <w:r w:rsidRPr="00D354AB">
        <w:rPr>
          <w:sz w:val="20"/>
          <w:szCs w:val="20"/>
          <w:u w:val="single"/>
          <w:lang w:val="es-AR"/>
        </w:rPr>
        <w:t>Compañía</w:t>
      </w:r>
      <w:r w:rsidRPr="00D354AB">
        <w:rPr>
          <w:sz w:val="20"/>
          <w:szCs w:val="20"/>
          <w:lang w:val="es-AR"/>
        </w:rPr>
        <w:t>”, la “</w:t>
      </w:r>
      <w:r w:rsidRPr="00D354AB">
        <w:rPr>
          <w:sz w:val="20"/>
          <w:szCs w:val="20"/>
          <w:u w:val="single"/>
          <w:lang w:val="es-AR"/>
        </w:rPr>
        <w:t>Sociedad</w:t>
      </w:r>
      <w:r w:rsidRPr="00D354AB">
        <w:rPr>
          <w:sz w:val="20"/>
          <w:szCs w:val="20"/>
          <w:lang w:val="es-AR"/>
        </w:rPr>
        <w:t>” y/o “</w:t>
      </w:r>
      <w:r w:rsidRPr="00D354AB">
        <w:rPr>
          <w:sz w:val="20"/>
          <w:szCs w:val="20"/>
          <w:u w:val="single"/>
          <w:lang w:val="es-AR"/>
        </w:rPr>
        <w:t>FCA</w:t>
      </w:r>
      <w:r w:rsidRPr="00D354AB">
        <w:rPr>
          <w:sz w:val="20"/>
          <w:szCs w:val="20"/>
          <w:lang w:val="es-AR"/>
        </w:rPr>
        <w:t xml:space="preserve">”, indistintamente), con sede social sita en la calle Carlos María Della Paolera 297, Piso 25, C1001ADA, de la Ciudad Autónoma de Buenos Aires, Argentina. El CUIT de la Sociedad es </w:t>
      </w:r>
      <w:r w:rsidRPr="00D354AB">
        <w:rPr>
          <w:bCs/>
          <w:smallCaps/>
          <w:sz w:val="20"/>
          <w:szCs w:val="20"/>
          <w:lang w:val="es-AR"/>
        </w:rPr>
        <w:t>30-69230488-4.</w:t>
      </w:r>
      <w:r w:rsidRPr="00D354AB">
        <w:rPr>
          <w:sz w:val="20"/>
          <w:szCs w:val="20"/>
          <w:lang w:val="es-AR"/>
        </w:rPr>
        <w:t xml:space="preserve"> El teléfono del Emisor es 4130-5515, su correo electrónico es </w:t>
      </w:r>
      <w:hyperlink r:id="rId42" w:history="1">
        <w:r w:rsidRPr="00D354AB">
          <w:rPr>
            <w:rStyle w:val="Hipervnculo"/>
            <w:sz w:val="20"/>
            <w:szCs w:val="20"/>
            <w:lang w:val="es-AR"/>
          </w:rPr>
          <w:t>cnvnotificaciones@fcagroup.com.ar</w:t>
        </w:r>
      </w:hyperlink>
      <w:r w:rsidRPr="00D354AB">
        <w:rPr>
          <w:sz w:val="20"/>
          <w:szCs w:val="20"/>
          <w:lang w:val="es-AR"/>
        </w:rPr>
        <w:t xml:space="preserve"> y su página </w:t>
      </w:r>
      <w:r w:rsidRPr="00D354AB">
        <w:rPr>
          <w:i/>
          <w:sz w:val="20"/>
          <w:szCs w:val="20"/>
          <w:lang w:val="es-AR"/>
        </w:rPr>
        <w:t>web</w:t>
      </w:r>
      <w:r w:rsidRPr="00D354AB">
        <w:rPr>
          <w:sz w:val="20"/>
          <w:szCs w:val="20"/>
          <w:lang w:val="es-AR"/>
        </w:rPr>
        <w:t xml:space="preserve"> es</w:t>
      </w:r>
      <w:r w:rsidR="00AF229E">
        <w:rPr>
          <w:sz w:val="20"/>
          <w:szCs w:val="20"/>
          <w:lang w:val="es-AR"/>
        </w:rPr>
        <w:t xml:space="preserve"> www.fcafinanciera.com.ar</w:t>
      </w:r>
      <w:r w:rsidRPr="00D354AB">
        <w:rPr>
          <w:sz w:val="20"/>
          <w:szCs w:val="20"/>
          <w:lang w:val="es-AR"/>
        </w:rPr>
        <w:t xml:space="preserve"> (en adelante, la “</w:t>
      </w:r>
      <w:r w:rsidRPr="00D354AB">
        <w:rPr>
          <w:sz w:val="20"/>
          <w:szCs w:val="20"/>
          <w:u w:val="single"/>
          <w:lang w:val="es-AR"/>
        </w:rPr>
        <w:t>Página Web Institucional</w:t>
      </w:r>
      <w:r w:rsidRPr="00D354AB">
        <w:rPr>
          <w:sz w:val="20"/>
          <w:szCs w:val="20"/>
          <w:lang w:val="es-AR"/>
        </w:rPr>
        <w:t>”).</w:t>
      </w:r>
    </w:p>
    <w:p w14:paraId="723D63AE" w14:textId="77777777" w:rsidR="00DF5641" w:rsidRPr="00D354AB" w:rsidRDefault="00DF5641" w:rsidP="00DF5641">
      <w:pPr>
        <w:jc w:val="both"/>
        <w:rPr>
          <w:sz w:val="20"/>
          <w:szCs w:val="20"/>
          <w:lang w:val="es-AR"/>
        </w:rPr>
      </w:pPr>
    </w:p>
    <w:p w14:paraId="3826035F" w14:textId="32164C7B" w:rsidR="00DF5641" w:rsidRPr="00D354AB" w:rsidRDefault="00DF5641" w:rsidP="00DF5641">
      <w:pPr>
        <w:jc w:val="both"/>
        <w:rPr>
          <w:sz w:val="20"/>
          <w:szCs w:val="20"/>
          <w:lang w:val="es-AR"/>
        </w:rPr>
      </w:pPr>
      <w:r w:rsidRPr="00D354AB">
        <w:rPr>
          <w:sz w:val="20"/>
          <w:szCs w:val="20"/>
          <w:lang w:val="es-AR"/>
        </w:rPr>
        <w:t xml:space="preserve">Registro de Emisor Frecuente N° </w:t>
      </w:r>
      <w:r w:rsidRPr="00D354AB">
        <w:rPr>
          <w:bCs/>
          <w:smallCaps/>
          <w:sz w:val="20"/>
          <w:szCs w:val="20"/>
          <w:lang w:val="es-AR"/>
        </w:rPr>
        <w:t>2</w:t>
      </w:r>
      <w:r w:rsidRPr="00D354AB">
        <w:rPr>
          <w:sz w:val="20"/>
          <w:szCs w:val="20"/>
          <w:lang w:val="es-AR"/>
        </w:rPr>
        <w:t xml:space="preserve"> otorgado por Resolución Nº 19.925 de fecha </w:t>
      </w:r>
      <w:r w:rsidRPr="00D354AB">
        <w:rPr>
          <w:bCs/>
          <w:smallCaps/>
          <w:sz w:val="20"/>
          <w:szCs w:val="20"/>
          <w:lang w:val="es-AR"/>
        </w:rPr>
        <w:t xml:space="preserve">12 </w:t>
      </w:r>
      <w:r w:rsidRPr="00D354AB">
        <w:rPr>
          <w:sz w:val="20"/>
          <w:szCs w:val="20"/>
          <w:lang w:val="es-AR"/>
        </w:rPr>
        <w:t>de diciembre de 2018 de la Comisión Nacional de Valores (la “</w:t>
      </w:r>
      <w:r w:rsidRPr="00D354AB">
        <w:rPr>
          <w:sz w:val="20"/>
          <w:szCs w:val="20"/>
          <w:u w:val="single"/>
          <w:lang w:val="es-AR"/>
        </w:rPr>
        <w:t>CNV</w:t>
      </w:r>
      <w:r w:rsidRPr="00D354AB">
        <w:rPr>
          <w:sz w:val="20"/>
          <w:szCs w:val="20"/>
          <w:lang w:val="es-AR"/>
        </w:rPr>
        <w:t>”)</w:t>
      </w:r>
      <w:r w:rsidR="00AF522A" w:rsidRPr="00D354AB">
        <w:rPr>
          <w:sz w:val="20"/>
          <w:szCs w:val="20"/>
          <w:lang w:val="es-AR"/>
        </w:rPr>
        <w:t xml:space="preserve"> y por Disposición de la Gerencia de Emisoras de la CNV N° DI-2019-29-APN-GE#CNV de fecha 5 de abril de 2019</w:t>
      </w:r>
      <w:r w:rsidRPr="00D354AB">
        <w:rPr>
          <w:sz w:val="20"/>
          <w:szCs w:val="20"/>
          <w:lang w:val="es-AR"/>
        </w:rPr>
        <w:t xml:space="preserve">. </w:t>
      </w:r>
      <w:r w:rsidR="00AF522A" w:rsidRPr="00D354AB">
        <w:rPr>
          <w:sz w:val="20"/>
          <w:szCs w:val="20"/>
          <w:lang w:val="es-AR"/>
        </w:rPr>
        <w:t xml:space="preserve">Estas </w:t>
      </w:r>
      <w:r w:rsidRPr="00D354AB">
        <w:rPr>
          <w:sz w:val="20"/>
          <w:szCs w:val="20"/>
          <w:lang w:val="es-AR"/>
        </w:rPr>
        <w:t>autorizaci</w:t>
      </w:r>
      <w:r w:rsidR="00AF522A" w:rsidRPr="00D354AB">
        <w:rPr>
          <w:sz w:val="20"/>
          <w:szCs w:val="20"/>
          <w:lang w:val="es-AR"/>
        </w:rPr>
        <w:t>ones</w:t>
      </w:r>
      <w:r w:rsidRPr="00D354AB">
        <w:rPr>
          <w:sz w:val="20"/>
          <w:szCs w:val="20"/>
          <w:lang w:val="es-AR"/>
        </w:rPr>
        <w:t xml:space="preserve"> sólo significa</w:t>
      </w:r>
      <w:r w:rsidR="00AF522A" w:rsidRPr="00D354AB">
        <w:rPr>
          <w:sz w:val="20"/>
          <w:szCs w:val="20"/>
          <w:lang w:val="es-AR"/>
        </w:rPr>
        <w:t>n</w:t>
      </w:r>
      <w:r w:rsidRPr="00D354AB">
        <w:rPr>
          <w:sz w:val="20"/>
          <w:szCs w:val="20"/>
          <w:lang w:val="es-AR"/>
        </w:rPr>
        <w:t xml:space="preserve"> que se ha cumplido con los requisitos establecidos en materia de información. La CNV no ha emitido juicio sobre los datos contenidos en el Suplemento de Prospecto. La veracidad de la información contable, económica y financiera, así como de toda otra información suministrada en el presente Suplemento de Prospecto es exclusiva responsabilidad del órgano de administración y, en lo que les atañe, del órgano de fiscalización de la Sociedad y de los auditores en cuanto a sus respectivos informes sobre los estados financieros que se acompañan y demás responsables contemplados en los artículos 119 y 120 de la Ley N° 26.831. El Directorio manifiesta, con carácter de declaración jurada, que el presente Suplemento de </w:t>
      </w:r>
      <w:r w:rsidR="00670AF6" w:rsidRPr="00D354AB">
        <w:rPr>
          <w:sz w:val="20"/>
          <w:szCs w:val="20"/>
          <w:lang w:val="es-AR"/>
        </w:rPr>
        <w:t xml:space="preserve">Prospecto </w:t>
      </w:r>
      <w:r w:rsidRPr="00D354AB">
        <w:rPr>
          <w:sz w:val="20"/>
          <w:szCs w:val="20"/>
          <w:lang w:val="es-AR"/>
        </w:rPr>
        <w:t>contiene, a la fecha de su publicaci</w:t>
      </w:r>
      <w:r w:rsidR="00670AF6" w:rsidRPr="00D354AB">
        <w:rPr>
          <w:sz w:val="20"/>
          <w:szCs w:val="20"/>
          <w:lang w:val="es-AR"/>
        </w:rPr>
        <w:t>ó</w:t>
      </w:r>
      <w:r w:rsidRPr="00D354AB">
        <w:rPr>
          <w:sz w:val="20"/>
          <w:szCs w:val="20"/>
          <w:lang w:val="es-AR"/>
        </w:rPr>
        <w:t xml:space="preserve">n información veraz y suficiente sobre todo hecho relevante que pueda afectar la situación patrimonial, económica y financiera del Emisor y toda aquella información que deba ser de conocimiento del </w:t>
      </w:r>
      <w:r w:rsidR="0083611E" w:rsidRPr="00D354AB">
        <w:rPr>
          <w:sz w:val="20"/>
          <w:szCs w:val="20"/>
          <w:lang w:val="es-AR"/>
        </w:rPr>
        <w:t>público</w:t>
      </w:r>
      <w:r w:rsidRPr="00D354AB">
        <w:rPr>
          <w:sz w:val="20"/>
          <w:szCs w:val="20"/>
          <w:lang w:val="es-AR"/>
        </w:rPr>
        <w:t xml:space="preserve"> inversor con relación a la presente emisión, conforme las normas vigentes.</w:t>
      </w:r>
    </w:p>
    <w:p w14:paraId="255C226A" w14:textId="77777777" w:rsidR="00DF5641" w:rsidRPr="00D354AB" w:rsidRDefault="00DF5641" w:rsidP="00DF5641">
      <w:pPr>
        <w:jc w:val="both"/>
        <w:rPr>
          <w:sz w:val="20"/>
          <w:szCs w:val="20"/>
          <w:lang w:val="es-AR"/>
        </w:rPr>
      </w:pPr>
    </w:p>
    <w:p w14:paraId="5AA0FA3F" w14:textId="052B0B85" w:rsidR="00DF5641" w:rsidRPr="00D354AB" w:rsidRDefault="00DF5641" w:rsidP="00DF5641">
      <w:pPr>
        <w:widowControl w:val="0"/>
        <w:jc w:val="both"/>
        <w:rPr>
          <w:rFonts w:eastAsiaTheme="minorHAnsi"/>
          <w:sz w:val="20"/>
          <w:szCs w:val="20"/>
          <w:lang w:val="es-ES"/>
        </w:rPr>
      </w:pPr>
      <w:r w:rsidRPr="00D354AB">
        <w:rPr>
          <w:rFonts w:eastAsiaTheme="minorHAnsi"/>
          <w:sz w:val="20"/>
          <w:szCs w:val="20"/>
          <w:lang w:val="es-ES"/>
        </w:rPr>
        <w:t xml:space="preserve">El presente </w:t>
      </w:r>
      <w:r w:rsidR="00801F89" w:rsidRPr="00D354AB">
        <w:rPr>
          <w:rFonts w:eastAsiaTheme="minorHAnsi"/>
          <w:sz w:val="20"/>
          <w:szCs w:val="20"/>
          <w:lang w:val="es-ES"/>
        </w:rPr>
        <w:t xml:space="preserve">suplemento </w:t>
      </w:r>
      <w:r w:rsidRPr="00D354AB">
        <w:rPr>
          <w:rFonts w:eastAsiaTheme="minorHAnsi"/>
          <w:sz w:val="20"/>
          <w:szCs w:val="20"/>
          <w:lang w:val="es-ES"/>
        </w:rPr>
        <w:t xml:space="preserve">de </w:t>
      </w:r>
      <w:r w:rsidR="00801F89" w:rsidRPr="00D354AB">
        <w:rPr>
          <w:rFonts w:eastAsiaTheme="minorHAnsi"/>
          <w:sz w:val="20"/>
          <w:szCs w:val="20"/>
          <w:lang w:val="es-ES"/>
        </w:rPr>
        <w:t>Prospecto (el “</w:t>
      </w:r>
      <w:r w:rsidR="00801F89" w:rsidRPr="00D354AB">
        <w:rPr>
          <w:rFonts w:eastAsiaTheme="minorHAnsi"/>
          <w:sz w:val="20"/>
          <w:szCs w:val="20"/>
          <w:u w:val="single"/>
          <w:lang w:val="es-ES"/>
        </w:rPr>
        <w:t>Suplemento de Prospecto</w:t>
      </w:r>
      <w:r w:rsidR="00801F89" w:rsidRPr="00D354AB">
        <w:rPr>
          <w:rFonts w:eastAsiaTheme="minorHAnsi"/>
          <w:sz w:val="20"/>
          <w:szCs w:val="20"/>
          <w:lang w:val="es-ES"/>
        </w:rPr>
        <w:t xml:space="preserve">”) corresponde a las obligaciones negociables clase </w:t>
      </w:r>
      <w:r w:rsidR="00801F89" w:rsidRPr="00D354AB">
        <w:rPr>
          <w:rFonts w:eastAsiaTheme="minorHAnsi"/>
          <w:bCs/>
          <w:sz w:val="20"/>
          <w:szCs w:val="20"/>
          <w:lang w:val="es-AR"/>
        </w:rPr>
        <w:t xml:space="preserve">XVII de la Sociedad, con vencimiento a los </w:t>
      </w:r>
      <w:r w:rsidR="002104FB" w:rsidRPr="00D354AB">
        <w:rPr>
          <w:rFonts w:eastAsiaTheme="minorHAnsi"/>
          <w:bCs/>
          <w:sz w:val="20"/>
          <w:szCs w:val="20"/>
          <w:lang w:val="es-AR"/>
        </w:rPr>
        <w:t>180 días</w:t>
      </w:r>
      <w:r w:rsidR="00801F89" w:rsidRPr="00D354AB">
        <w:rPr>
          <w:rFonts w:eastAsiaTheme="minorHAnsi"/>
          <w:bCs/>
          <w:sz w:val="20"/>
          <w:szCs w:val="20"/>
          <w:lang w:val="es-AR"/>
        </w:rPr>
        <w:t xml:space="preserve"> desde la Fecha de Emisión y Liquidación por hasta un valor nominal de referencia de $</w:t>
      </w:r>
      <w:r w:rsidR="00DA1AC2" w:rsidRPr="00D354AB">
        <w:rPr>
          <w:rFonts w:eastAsiaTheme="minorHAnsi"/>
          <w:bCs/>
          <w:sz w:val="20"/>
          <w:szCs w:val="20"/>
          <w:lang w:val="es-AR"/>
        </w:rPr>
        <w:t>500.000.000</w:t>
      </w:r>
      <w:r w:rsidR="00801F89" w:rsidRPr="00D354AB">
        <w:rPr>
          <w:rFonts w:eastAsiaTheme="minorHAnsi"/>
          <w:bCs/>
          <w:sz w:val="20"/>
          <w:szCs w:val="20"/>
          <w:lang w:val="es-AR"/>
        </w:rPr>
        <w:t>, ampliable por hasta el Valor Nominal Máximo (las “</w:t>
      </w:r>
      <w:r w:rsidR="00801F89" w:rsidRPr="00D354AB">
        <w:rPr>
          <w:rFonts w:eastAsiaTheme="minorHAnsi"/>
          <w:bCs/>
          <w:sz w:val="20"/>
          <w:szCs w:val="20"/>
          <w:u w:val="single"/>
          <w:lang w:val="es-AR"/>
        </w:rPr>
        <w:t xml:space="preserve">Obligaciones Negociables </w:t>
      </w:r>
      <w:r w:rsidR="00F1209F" w:rsidRPr="00D354AB">
        <w:rPr>
          <w:rFonts w:eastAsiaTheme="minorHAnsi"/>
          <w:bCs/>
          <w:sz w:val="20"/>
          <w:szCs w:val="20"/>
          <w:u w:val="single"/>
          <w:lang w:val="es-AR"/>
        </w:rPr>
        <w:t>Clase XVII</w:t>
      </w:r>
      <w:r w:rsidR="00801F89" w:rsidRPr="00D354AB">
        <w:rPr>
          <w:rFonts w:eastAsiaTheme="minorHAnsi"/>
          <w:bCs/>
          <w:sz w:val="20"/>
          <w:szCs w:val="20"/>
          <w:lang w:val="es-AR"/>
        </w:rPr>
        <w:t>” o la</w:t>
      </w:r>
      <w:r w:rsidR="00F1209F" w:rsidRPr="00D354AB">
        <w:rPr>
          <w:rFonts w:eastAsiaTheme="minorHAnsi"/>
          <w:bCs/>
          <w:sz w:val="20"/>
          <w:szCs w:val="20"/>
          <w:lang w:val="es-AR"/>
        </w:rPr>
        <w:t>s</w:t>
      </w:r>
      <w:r w:rsidR="00801F89" w:rsidRPr="00D354AB">
        <w:rPr>
          <w:rFonts w:eastAsiaTheme="minorHAnsi"/>
          <w:bCs/>
          <w:sz w:val="20"/>
          <w:szCs w:val="20"/>
          <w:lang w:val="es-AR"/>
        </w:rPr>
        <w:t xml:space="preserve"> “</w:t>
      </w:r>
      <w:r w:rsidR="00F1209F" w:rsidRPr="00D354AB">
        <w:rPr>
          <w:rFonts w:eastAsiaTheme="minorHAnsi"/>
          <w:bCs/>
          <w:sz w:val="20"/>
          <w:szCs w:val="20"/>
          <w:u w:val="single"/>
          <w:lang w:val="es-AR"/>
        </w:rPr>
        <w:t>Obligaciones Negociables</w:t>
      </w:r>
      <w:r w:rsidR="00801F89" w:rsidRPr="00D354AB">
        <w:rPr>
          <w:rFonts w:eastAsiaTheme="minorHAnsi"/>
          <w:bCs/>
          <w:sz w:val="20"/>
          <w:szCs w:val="20"/>
          <w:lang w:val="es-AR"/>
        </w:rPr>
        <w:t>”</w:t>
      </w:r>
      <w:r w:rsidR="00F1209F" w:rsidRPr="00D354AB">
        <w:rPr>
          <w:rFonts w:eastAsiaTheme="minorHAnsi"/>
          <w:bCs/>
          <w:sz w:val="20"/>
          <w:szCs w:val="20"/>
          <w:lang w:val="es-AR"/>
        </w:rPr>
        <w:t>, indistintamente</w:t>
      </w:r>
      <w:r w:rsidR="00801F89" w:rsidRPr="00D354AB">
        <w:rPr>
          <w:rFonts w:eastAsiaTheme="minorHAnsi"/>
          <w:bCs/>
          <w:sz w:val="20"/>
          <w:szCs w:val="20"/>
          <w:lang w:val="es-AR"/>
        </w:rPr>
        <w:t>). El presente Suplemento de Prospecto</w:t>
      </w:r>
      <w:r w:rsidR="00801F89" w:rsidRPr="00D354AB">
        <w:rPr>
          <w:rFonts w:eastAsiaTheme="minorHAnsi"/>
          <w:sz w:val="20"/>
          <w:szCs w:val="20"/>
          <w:lang w:val="es-ES"/>
        </w:rPr>
        <w:t xml:space="preserve"> </w:t>
      </w:r>
      <w:r w:rsidRPr="00D354AB">
        <w:rPr>
          <w:rFonts w:eastAsiaTheme="minorHAnsi"/>
          <w:sz w:val="20"/>
          <w:szCs w:val="20"/>
          <w:lang w:val="es-ES"/>
        </w:rPr>
        <w:t xml:space="preserve">debe ser leído en forma conjunta con el </w:t>
      </w:r>
      <w:r w:rsidR="00670AF6" w:rsidRPr="00D354AB">
        <w:rPr>
          <w:rFonts w:eastAsiaTheme="minorHAnsi"/>
          <w:sz w:val="20"/>
          <w:szCs w:val="20"/>
          <w:lang w:val="es-ES"/>
        </w:rPr>
        <w:t xml:space="preserve">prospecto de emisor frecuente </w:t>
      </w:r>
      <w:r w:rsidR="00801F89" w:rsidRPr="00D354AB">
        <w:rPr>
          <w:rFonts w:eastAsiaTheme="minorHAnsi"/>
          <w:sz w:val="20"/>
          <w:szCs w:val="20"/>
          <w:lang w:val="es-ES"/>
        </w:rPr>
        <w:t>de fecha 8 de abril de 2019</w:t>
      </w:r>
      <w:r w:rsidR="00670AF6" w:rsidRPr="00D354AB">
        <w:rPr>
          <w:rFonts w:eastAsiaTheme="minorHAnsi"/>
          <w:sz w:val="20"/>
          <w:szCs w:val="20"/>
          <w:lang w:val="es-ES"/>
        </w:rPr>
        <w:t xml:space="preserve"> (el “</w:t>
      </w:r>
      <w:r w:rsidR="00670AF6" w:rsidRPr="00D354AB">
        <w:rPr>
          <w:rFonts w:eastAsiaTheme="minorHAnsi"/>
          <w:sz w:val="20"/>
          <w:szCs w:val="20"/>
          <w:u w:val="single"/>
          <w:lang w:val="es-ES"/>
        </w:rPr>
        <w:t>Prospecto</w:t>
      </w:r>
      <w:r w:rsidR="00670AF6" w:rsidRPr="00D354AB">
        <w:rPr>
          <w:rFonts w:eastAsiaTheme="minorHAnsi"/>
          <w:sz w:val="20"/>
          <w:szCs w:val="20"/>
          <w:lang w:val="es-ES"/>
        </w:rPr>
        <w:t>”)</w:t>
      </w:r>
      <w:r w:rsidR="00801F89" w:rsidRPr="00D354AB">
        <w:rPr>
          <w:rFonts w:eastAsiaTheme="minorHAnsi"/>
          <w:sz w:val="20"/>
          <w:szCs w:val="20"/>
          <w:lang w:val="es-ES"/>
        </w:rPr>
        <w:t xml:space="preserve"> </w:t>
      </w:r>
      <w:r w:rsidRPr="00D354AB">
        <w:rPr>
          <w:rFonts w:eastAsiaTheme="minorHAnsi"/>
          <w:sz w:val="20"/>
          <w:szCs w:val="20"/>
          <w:lang w:val="es-ES"/>
        </w:rPr>
        <w:t xml:space="preserve">autorizado por la CNV para la emisión de valores negociables bajo el Registro de Emisor Frecuente N° </w:t>
      </w:r>
      <w:r w:rsidRPr="00D354AB">
        <w:rPr>
          <w:bCs/>
          <w:smallCaps/>
          <w:sz w:val="20"/>
          <w:szCs w:val="20"/>
          <w:lang w:val="es-AR"/>
        </w:rPr>
        <w:t xml:space="preserve">2 </w:t>
      </w:r>
      <w:r w:rsidRPr="00D354AB">
        <w:rPr>
          <w:rFonts w:eastAsiaTheme="minorHAnsi"/>
          <w:sz w:val="20"/>
          <w:szCs w:val="20"/>
          <w:lang w:val="es-ES"/>
        </w:rPr>
        <w:t>y publicado en la Autopista de la Información Financiera (la “</w:t>
      </w:r>
      <w:r w:rsidRPr="00D354AB">
        <w:rPr>
          <w:rFonts w:eastAsiaTheme="minorHAnsi"/>
          <w:sz w:val="20"/>
          <w:szCs w:val="20"/>
          <w:u w:val="single"/>
          <w:lang w:val="es-ES"/>
        </w:rPr>
        <w:t>AIF</w:t>
      </w:r>
      <w:r w:rsidRPr="00D354AB">
        <w:rPr>
          <w:rFonts w:eastAsiaTheme="minorHAnsi"/>
          <w:sz w:val="20"/>
          <w:szCs w:val="20"/>
          <w:lang w:val="es-ES"/>
        </w:rPr>
        <w:t>”)</w:t>
      </w:r>
      <w:r w:rsidR="004E48E6" w:rsidRPr="00D354AB">
        <w:rPr>
          <w:rFonts w:eastAsiaTheme="minorHAnsi"/>
          <w:sz w:val="20"/>
          <w:szCs w:val="20"/>
          <w:lang w:val="es-ES"/>
        </w:rPr>
        <w:t xml:space="preserve"> de la página </w:t>
      </w:r>
      <w:r w:rsidR="004E48E6" w:rsidRPr="00D354AB">
        <w:rPr>
          <w:rFonts w:eastAsiaTheme="minorHAnsi"/>
          <w:i/>
          <w:sz w:val="20"/>
          <w:szCs w:val="20"/>
          <w:lang w:val="es-ES"/>
        </w:rPr>
        <w:t>web</w:t>
      </w:r>
      <w:r w:rsidR="004E48E6" w:rsidRPr="00D354AB">
        <w:rPr>
          <w:rFonts w:eastAsiaTheme="minorHAnsi"/>
          <w:sz w:val="20"/>
          <w:szCs w:val="20"/>
          <w:lang w:val="es-ES"/>
        </w:rPr>
        <w:t xml:space="preserve"> de la CNV (</w:t>
      </w:r>
      <w:hyperlink r:id="rId43" w:history="1">
        <w:r w:rsidR="004E48E6" w:rsidRPr="00D354AB">
          <w:rPr>
            <w:rStyle w:val="Hipervnculo"/>
            <w:rFonts w:eastAsiaTheme="minorHAnsi"/>
            <w:sz w:val="20"/>
            <w:szCs w:val="20"/>
            <w:lang w:val="es-ES"/>
          </w:rPr>
          <w:t>www.cnv.gov.ar</w:t>
        </w:r>
      </w:hyperlink>
      <w:r w:rsidR="004E48E6" w:rsidRPr="00D354AB">
        <w:rPr>
          <w:rFonts w:eastAsiaTheme="minorHAnsi"/>
          <w:sz w:val="20"/>
          <w:szCs w:val="20"/>
          <w:lang w:val="es-ES"/>
        </w:rPr>
        <w:t>) (la “</w:t>
      </w:r>
      <w:r w:rsidR="004E48E6" w:rsidRPr="00D354AB">
        <w:rPr>
          <w:rFonts w:eastAsiaTheme="minorHAnsi"/>
          <w:sz w:val="20"/>
          <w:szCs w:val="20"/>
          <w:u w:val="single"/>
          <w:lang w:val="es-ES"/>
        </w:rPr>
        <w:t>Página Web de la CNV</w:t>
      </w:r>
      <w:r w:rsidR="004E48E6" w:rsidRPr="00D354AB">
        <w:rPr>
          <w:rFonts w:eastAsiaTheme="minorHAnsi"/>
          <w:sz w:val="20"/>
          <w:szCs w:val="20"/>
          <w:lang w:val="es-ES"/>
        </w:rPr>
        <w:t>”) y</w:t>
      </w:r>
      <w:r w:rsidR="00E96A5B" w:rsidRPr="00D354AB">
        <w:rPr>
          <w:rFonts w:eastAsiaTheme="minorHAnsi"/>
          <w:sz w:val="20"/>
          <w:szCs w:val="20"/>
          <w:lang w:val="es-ES"/>
        </w:rPr>
        <w:t xml:space="preserve"> </w:t>
      </w:r>
      <w:r w:rsidR="00E96A5B" w:rsidRPr="00D354AB">
        <w:rPr>
          <w:sz w:val="20"/>
          <w:szCs w:val="20"/>
          <w:lang w:val="es-AR"/>
        </w:rPr>
        <w:t>cuya versión resumida fuera publicada en el Boletín Diario de la Bolsa de Comercio de Buenos Aires (la “</w:t>
      </w:r>
      <w:r w:rsidR="00E96A5B" w:rsidRPr="00D354AB">
        <w:rPr>
          <w:sz w:val="20"/>
          <w:szCs w:val="20"/>
          <w:u w:val="single"/>
          <w:lang w:val="es-AR"/>
        </w:rPr>
        <w:t>BCBA</w:t>
      </w:r>
      <w:r w:rsidR="00E96A5B" w:rsidRPr="00D354AB">
        <w:rPr>
          <w:sz w:val="20"/>
          <w:szCs w:val="20"/>
          <w:lang w:val="es-AR"/>
        </w:rPr>
        <w:t>” y el “</w:t>
      </w:r>
      <w:r w:rsidR="00E96A5B" w:rsidRPr="00D354AB">
        <w:rPr>
          <w:sz w:val="20"/>
          <w:szCs w:val="20"/>
          <w:u w:val="single"/>
          <w:lang w:val="es-AR"/>
        </w:rPr>
        <w:t>Boletín Diario de la BCBA</w:t>
      </w:r>
      <w:r w:rsidR="00E96A5B" w:rsidRPr="00D354AB">
        <w:rPr>
          <w:sz w:val="20"/>
          <w:szCs w:val="20"/>
          <w:lang w:val="es-AR"/>
        </w:rPr>
        <w:t>” respectivamente), en virtud del ejercicio de la facultad delegada por Bolsas y Mercados Argentinos S.A. (“</w:t>
      </w:r>
      <w:r w:rsidR="00E96A5B" w:rsidRPr="00D354AB">
        <w:rPr>
          <w:sz w:val="20"/>
          <w:szCs w:val="20"/>
          <w:u w:val="single"/>
          <w:lang w:val="es-AR"/>
        </w:rPr>
        <w:t>BYMA</w:t>
      </w:r>
      <w:r w:rsidR="00E96A5B" w:rsidRPr="00D354AB">
        <w:rPr>
          <w:sz w:val="20"/>
          <w:szCs w:val="20"/>
          <w:lang w:val="es-AR"/>
        </w:rPr>
        <w:t>”) a la BCBA conforme lo dispuesto por la Resolución N° 18.629 de la CNV, en la Página Web de la CNV y en la Página Web Institucional</w:t>
      </w:r>
      <w:r w:rsidRPr="00D354AB">
        <w:rPr>
          <w:rFonts w:eastAsiaTheme="minorHAnsi"/>
          <w:sz w:val="20"/>
          <w:szCs w:val="20"/>
          <w:lang w:val="es-ES"/>
        </w:rPr>
        <w:t>.</w:t>
      </w:r>
      <w:r w:rsidR="004E48E6" w:rsidRPr="00D354AB">
        <w:rPr>
          <w:rFonts w:eastAsiaTheme="minorHAnsi"/>
          <w:sz w:val="20"/>
          <w:szCs w:val="20"/>
          <w:lang w:val="es-ES"/>
        </w:rPr>
        <w:t xml:space="preserve"> </w:t>
      </w:r>
      <w:r w:rsidRPr="00D354AB">
        <w:rPr>
          <w:rFonts w:eastAsiaTheme="minorHAnsi"/>
          <w:sz w:val="20"/>
          <w:szCs w:val="20"/>
          <w:lang w:val="es-ES"/>
        </w:rPr>
        <w:t xml:space="preserve">Los responsables del presente documento manifiestan, con carácter de declaración jurada, que la totalidad de los términos y condiciones </w:t>
      </w:r>
      <w:r w:rsidR="00F1209F" w:rsidRPr="00D354AB">
        <w:rPr>
          <w:rFonts w:eastAsiaTheme="minorHAnsi"/>
          <w:sz w:val="20"/>
          <w:szCs w:val="20"/>
          <w:lang w:val="es-ES"/>
        </w:rPr>
        <w:t xml:space="preserve">contenidos </w:t>
      </w:r>
      <w:r w:rsidR="00670AF6" w:rsidRPr="00D354AB">
        <w:rPr>
          <w:rFonts w:eastAsiaTheme="minorHAnsi"/>
          <w:sz w:val="20"/>
          <w:szCs w:val="20"/>
          <w:lang w:val="es-ES"/>
        </w:rPr>
        <w:t>en el</w:t>
      </w:r>
      <w:r w:rsidRPr="00D354AB">
        <w:rPr>
          <w:rFonts w:eastAsiaTheme="minorHAnsi"/>
          <w:sz w:val="20"/>
          <w:szCs w:val="20"/>
          <w:lang w:val="es-ES"/>
        </w:rPr>
        <w:t xml:space="preserve"> Suplemento de Prospecto se encuentran vigentes. Todo eventual inversor deberá leer cuidadosamente los factores de riesgo para la inversión contenidos en el presente Suplemento de Prospecto. Invertir en </w:t>
      </w:r>
      <w:r w:rsidR="00670AF6" w:rsidRPr="00D354AB">
        <w:rPr>
          <w:rFonts w:eastAsiaTheme="minorHAnsi"/>
          <w:sz w:val="20"/>
          <w:szCs w:val="20"/>
          <w:lang w:val="es-ES"/>
        </w:rPr>
        <w:t>Obligaciones Negociables</w:t>
      </w:r>
      <w:r w:rsidRPr="00D354AB">
        <w:rPr>
          <w:rFonts w:eastAsiaTheme="minorHAnsi"/>
          <w:sz w:val="20"/>
          <w:szCs w:val="20"/>
          <w:lang w:val="es-ES"/>
        </w:rPr>
        <w:t xml:space="preserve"> implica riesgos. Véase la sección titulada “</w:t>
      </w:r>
      <w:r w:rsidRPr="00D354AB">
        <w:rPr>
          <w:rFonts w:eastAsiaTheme="minorHAnsi"/>
          <w:i/>
          <w:sz w:val="20"/>
          <w:szCs w:val="20"/>
          <w:lang w:val="es-ES"/>
        </w:rPr>
        <w:t>Factores de Riesgo</w:t>
      </w:r>
      <w:r w:rsidRPr="00D354AB">
        <w:rPr>
          <w:rFonts w:eastAsiaTheme="minorHAnsi"/>
          <w:sz w:val="20"/>
          <w:szCs w:val="20"/>
          <w:lang w:val="es-ES"/>
        </w:rPr>
        <w:t xml:space="preserve">” en este Suplemento de </w:t>
      </w:r>
      <w:r w:rsidR="00801F89" w:rsidRPr="00D354AB">
        <w:rPr>
          <w:rFonts w:eastAsiaTheme="minorHAnsi"/>
          <w:sz w:val="20"/>
          <w:szCs w:val="20"/>
          <w:lang w:val="es-ES"/>
        </w:rPr>
        <w:t>Prospecto</w:t>
      </w:r>
      <w:r w:rsidRPr="00D354AB">
        <w:rPr>
          <w:rFonts w:eastAsiaTheme="minorHAnsi"/>
          <w:sz w:val="20"/>
          <w:szCs w:val="20"/>
          <w:lang w:val="es-ES"/>
        </w:rPr>
        <w:t>, en el Prospecto y en cualquier documento incorporado por referencia.</w:t>
      </w:r>
    </w:p>
    <w:p w14:paraId="67BE2C33" w14:textId="77777777" w:rsidR="00E96A5B" w:rsidRPr="00D354AB" w:rsidRDefault="00E96A5B" w:rsidP="00DF5641">
      <w:pPr>
        <w:widowControl w:val="0"/>
        <w:jc w:val="both"/>
        <w:rPr>
          <w:rFonts w:eastAsiaTheme="minorHAnsi"/>
          <w:bCs/>
          <w:sz w:val="20"/>
          <w:szCs w:val="20"/>
          <w:lang w:val="es-AR"/>
        </w:rPr>
      </w:pPr>
    </w:p>
    <w:p w14:paraId="07DC70BD" w14:textId="7E6B7EDC" w:rsidR="0079009E" w:rsidRPr="00D354AB" w:rsidRDefault="0079009E" w:rsidP="0079009E">
      <w:pPr>
        <w:widowControl w:val="0"/>
        <w:jc w:val="both"/>
        <w:rPr>
          <w:rFonts w:eastAsiaTheme="minorHAnsi"/>
          <w:bCs/>
          <w:sz w:val="20"/>
          <w:szCs w:val="20"/>
          <w:lang w:val="es-AR" w:bidi="es-ES"/>
        </w:rPr>
      </w:pPr>
      <w:r w:rsidRPr="00D354AB">
        <w:rPr>
          <w:rFonts w:eastAsiaTheme="minorHAnsi"/>
          <w:bCs/>
          <w:sz w:val="20"/>
          <w:szCs w:val="20"/>
          <w:lang w:val="es-AR" w:bidi="es-ES"/>
        </w:rPr>
        <w:t>Las Obligaciones Negociables serán emitidas y colocadas de acuerdo con la Ley Nº23.576 (con sus modificatorias y complementarias, la “</w:t>
      </w:r>
      <w:r w:rsidRPr="00D354AB">
        <w:rPr>
          <w:rFonts w:eastAsiaTheme="minorHAnsi"/>
          <w:bCs/>
          <w:sz w:val="20"/>
          <w:szCs w:val="20"/>
          <w:u w:val="single"/>
          <w:lang w:val="es-AR" w:bidi="es-ES"/>
        </w:rPr>
        <w:t>Ley de Obligaciones Negociables</w:t>
      </w:r>
      <w:r w:rsidRPr="00D354AB">
        <w:rPr>
          <w:rFonts w:eastAsiaTheme="minorHAnsi"/>
          <w:bCs/>
          <w:sz w:val="20"/>
          <w:szCs w:val="20"/>
          <w:lang w:val="es-AR" w:bidi="es-ES"/>
        </w:rPr>
        <w:t>”), la Ley Nº26.831 ( con sus modificatorias y complementarias, incluyendo sin carácter limitativo la Ley N°27.440, la “</w:t>
      </w:r>
      <w:r w:rsidRPr="00D354AB">
        <w:rPr>
          <w:rFonts w:eastAsiaTheme="minorHAnsi"/>
          <w:bCs/>
          <w:sz w:val="20"/>
          <w:szCs w:val="20"/>
          <w:u w:val="single"/>
          <w:lang w:val="es-AR" w:bidi="es-ES"/>
        </w:rPr>
        <w:t>Ley de Mercado de Capitales</w:t>
      </w:r>
      <w:r w:rsidRPr="00D354AB">
        <w:rPr>
          <w:rFonts w:eastAsiaTheme="minorHAnsi"/>
          <w:bCs/>
          <w:sz w:val="20"/>
          <w:szCs w:val="20"/>
          <w:lang w:val="es-AR" w:bidi="es-ES"/>
        </w:rPr>
        <w:t>”), la Ley Nº19.550 (con sus modificatorias y complementarias, la “</w:t>
      </w:r>
      <w:r w:rsidRPr="00D354AB">
        <w:rPr>
          <w:rFonts w:eastAsiaTheme="minorHAnsi"/>
          <w:bCs/>
          <w:sz w:val="20"/>
          <w:szCs w:val="20"/>
          <w:u w:val="single"/>
          <w:lang w:val="es-AR" w:bidi="es-ES"/>
        </w:rPr>
        <w:t>Ley General de Sociedades</w:t>
      </w:r>
      <w:r w:rsidRPr="00D354AB">
        <w:rPr>
          <w:rFonts w:eastAsiaTheme="minorHAnsi"/>
          <w:bCs/>
          <w:sz w:val="20"/>
          <w:szCs w:val="20"/>
          <w:lang w:val="es-AR" w:bidi="es-ES"/>
        </w:rPr>
        <w:t>”) y las normas de la CNV T.O. Resolución General N°622/2013 y sus modificatorias y complementarias (las “</w:t>
      </w:r>
      <w:r w:rsidRPr="00D354AB">
        <w:rPr>
          <w:rFonts w:eastAsiaTheme="minorHAnsi"/>
          <w:bCs/>
          <w:sz w:val="20"/>
          <w:szCs w:val="20"/>
          <w:u w:val="single"/>
          <w:lang w:val="es-AR" w:bidi="es-ES"/>
        </w:rPr>
        <w:t>Normas de la CNV</w:t>
      </w:r>
      <w:r w:rsidRPr="00D354AB">
        <w:rPr>
          <w:rFonts w:eastAsiaTheme="minorHAnsi"/>
          <w:bCs/>
          <w:sz w:val="20"/>
          <w:szCs w:val="20"/>
          <w:lang w:val="es-AR" w:bidi="es-ES"/>
        </w:rPr>
        <w:t>”) y demás normas modificatorias y/o complementarias que resulten aplicables y tendrán derecho a los beneficios establecidos en dichas normas y estarán sujetas a los requisitos de procedimiento previstos en la Ley de Obligaciones Negociables.</w:t>
      </w:r>
    </w:p>
    <w:p w14:paraId="4C10B0C1" w14:textId="77777777" w:rsidR="00DF5641" w:rsidRPr="00D354AB" w:rsidRDefault="00DF5641" w:rsidP="00DF5641">
      <w:pPr>
        <w:widowControl w:val="0"/>
        <w:jc w:val="both"/>
        <w:rPr>
          <w:sz w:val="20"/>
          <w:szCs w:val="20"/>
          <w:lang w:val="es-AR"/>
        </w:rPr>
      </w:pPr>
    </w:p>
    <w:p w14:paraId="3759B774" w14:textId="369F5DE7" w:rsidR="00DF5641" w:rsidRPr="00D354AB" w:rsidRDefault="00DF5641" w:rsidP="00DF5641">
      <w:pPr>
        <w:widowControl w:val="0"/>
        <w:jc w:val="both"/>
        <w:rPr>
          <w:sz w:val="20"/>
          <w:szCs w:val="20"/>
          <w:lang w:val="es-AR"/>
        </w:rPr>
      </w:pPr>
      <w:r w:rsidRPr="00D354AB">
        <w:rPr>
          <w:sz w:val="20"/>
          <w:szCs w:val="20"/>
          <w:lang w:val="es-AR"/>
        </w:rPr>
        <w:t xml:space="preserve">SE INFORMA CON CARÁCTER DE DECLARACIÓN JURADA </w:t>
      </w:r>
      <w:r w:rsidR="00670AF6" w:rsidRPr="00D354AB">
        <w:rPr>
          <w:sz w:val="20"/>
          <w:szCs w:val="20"/>
          <w:lang w:val="es-AR"/>
        </w:rPr>
        <w:t>QUE EL EMISOR</w:t>
      </w:r>
      <w:r w:rsidRPr="00D354AB">
        <w:rPr>
          <w:sz w:val="20"/>
          <w:szCs w:val="20"/>
          <w:lang w:val="es-AR"/>
        </w:rPr>
        <w:t xml:space="preserve">, SUS BENEFICIARIOS FINALES, Y LAS PERSONAS </w:t>
      </w:r>
      <w:r w:rsidR="00670AF6" w:rsidRPr="00D354AB">
        <w:rPr>
          <w:sz w:val="20"/>
          <w:szCs w:val="20"/>
          <w:lang w:val="es-AR"/>
        </w:rPr>
        <w:t xml:space="preserve">HUMANAS </w:t>
      </w:r>
      <w:r w:rsidRPr="00D354AB">
        <w:rPr>
          <w:sz w:val="20"/>
          <w:szCs w:val="20"/>
          <w:lang w:val="es-AR"/>
        </w:rPr>
        <w:t xml:space="preserve">O JURÍDICAS QUE TIENEN COMO MÍNIMO EL 20 (VEINTE) POR </w:t>
      </w:r>
      <w:r w:rsidRPr="00D354AB">
        <w:rPr>
          <w:sz w:val="20"/>
          <w:szCs w:val="20"/>
          <w:lang w:val="es-AR"/>
        </w:rPr>
        <w:lastRenderedPageBreak/>
        <w:t>CIENTO DE SU CAPITAL O DE LOS DERECHOS A VOTO, O QUE POR OTROS MEDIOS EJERCEN EL CONTROL FINAL, DIRECTO O INDIRECTO SOBRE ESTA, NO REGISTRAN CONDENAS POR DELITOS DE LAVADO DE ACTIVOS Y/O FINANCIAMIENTO DEL TERRORISMO Y/O FIGURAN EN LAS LISTAS DE TERRORISTAS Y ORGANIZACIONES TERRORISTAS EMITIDAS POR EL CONSEJO DE SEGURIDAD DE LAS NACIONES UNIDAS.</w:t>
      </w:r>
    </w:p>
    <w:p w14:paraId="2D336DCF" w14:textId="662C7DE7" w:rsidR="00670AF6" w:rsidRPr="00D354AB" w:rsidRDefault="00670AF6" w:rsidP="00DF5641">
      <w:pPr>
        <w:widowControl w:val="0"/>
        <w:jc w:val="both"/>
        <w:rPr>
          <w:sz w:val="20"/>
          <w:szCs w:val="20"/>
          <w:lang w:val="es-AR"/>
        </w:rPr>
      </w:pPr>
    </w:p>
    <w:p w14:paraId="2925D344" w14:textId="5F65AA4E" w:rsidR="00DF5641" w:rsidRPr="00D354AB" w:rsidRDefault="00670AF6" w:rsidP="00DF5641">
      <w:pPr>
        <w:pStyle w:val="Default"/>
        <w:jc w:val="both"/>
        <w:rPr>
          <w:rFonts w:eastAsiaTheme="minorHAnsi"/>
          <w:sz w:val="20"/>
          <w:szCs w:val="20"/>
        </w:rPr>
      </w:pPr>
      <w:r w:rsidRPr="00D354AB">
        <w:rPr>
          <w:rFonts w:eastAsiaTheme="minorHAnsi"/>
          <w:sz w:val="20"/>
          <w:szCs w:val="20"/>
        </w:rPr>
        <w:t xml:space="preserve">El Emisor </w:t>
      </w:r>
      <w:r w:rsidR="00DA1AC2" w:rsidRPr="00D354AB">
        <w:rPr>
          <w:rFonts w:eastAsiaTheme="minorHAnsi"/>
          <w:sz w:val="20"/>
          <w:szCs w:val="20"/>
        </w:rPr>
        <w:t xml:space="preserve">ha solicitado </w:t>
      </w:r>
      <w:r w:rsidRPr="00D354AB">
        <w:rPr>
          <w:rFonts w:eastAsiaTheme="minorHAnsi"/>
          <w:sz w:val="20"/>
          <w:szCs w:val="20"/>
        </w:rPr>
        <w:t xml:space="preserve">el </w:t>
      </w:r>
      <w:r w:rsidR="00DF5641" w:rsidRPr="00D354AB">
        <w:rPr>
          <w:rFonts w:eastAsiaTheme="minorHAnsi"/>
          <w:sz w:val="20"/>
          <w:szCs w:val="20"/>
        </w:rPr>
        <w:t>listad</w:t>
      </w:r>
      <w:r w:rsidRPr="00D354AB">
        <w:rPr>
          <w:rFonts w:eastAsiaTheme="minorHAnsi"/>
          <w:sz w:val="20"/>
          <w:szCs w:val="20"/>
        </w:rPr>
        <w:t>o</w:t>
      </w:r>
      <w:r w:rsidR="00DF5641" w:rsidRPr="00D354AB">
        <w:rPr>
          <w:rFonts w:eastAsiaTheme="minorHAnsi"/>
          <w:sz w:val="20"/>
          <w:szCs w:val="20"/>
        </w:rPr>
        <w:t xml:space="preserve"> y negocia</w:t>
      </w:r>
      <w:r w:rsidRPr="00D354AB">
        <w:rPr>
          <w:rFonts w:eastAsiaTheme="minorHAnsi"/>
          <w:sz w:val="20"/>
          <w:szCs w:val="20"/>
        </w:rPr>
        <w:t>ción de las Obligaciones Negociables</w:t>
      </w:r>
      <w:r w:rsidR="00DF5641" w:rsidRPr="00D354AB">
        <w:rPr>
          <w:rFonts w:eastAsiaTheme="minorHAnsi"/>
          <w:sz w:val="20"/>
          <w:szCs w:val="20"/>
        </w:rPr>
        <w:t xml:space="preserve"> en </w:t>
      </w:r>
      <w:r w:rsidRPr="00D354AB">
        <w:rPr>
          <w:rFonts w:eastAsiaTheme="minorHAnsi"/>
          <w:sz w:val="20"/>
          <w:szCs w:val="20"/>
        </w:rPr>
        <w:t xml:space="preserve">BYMA </w:t>
      </w:r>
      <w:r w:rsidR="00DF5641" w:rsidRPr="00D354AB">
        <w:rPr>
          <w:rFonts w:eastAsiaTheme="minorHAnsi"/>
          <w:sz w:val="20"/>
          <w:szCs w:val="20"/>
        </w:rPr>
        <w:t>y en el Mercado Abierto Electrónico S.A.</w:t>
      </w:r>
      <w:r w:rsidRPr="00D354AB">
        <w:rPr>
          <w:rFonts w:eastAsiaTheme="minorHAnsi"/>
          <w:sz w:val="20"/>
          <w:szCs w:val="20"/>
        </w:rPr>
        <w:t xml:space="preserve"> (“</w:t>
      </w:r>
      <w:r w:rsidRPr="00D354AB">
        <w:rPr>
          <w:rFonts w:eastAsiaTheme="minorHAnsi"/>
          <w:sz w:val="20"/>
          <w:szCs w:val="20"/>
          <w:u w:val="single"/>
        </w:rPr>
        <w:t>MAE</w:t>
      </w:r>
      <w:r w:rsidRPr="00D354AB">
        <w:rPr>
          <w:rFonts w:eastAsiaTheme="minorHAnsi"/>
          <w:sz w:val="20"/>
          <w:szCs w:val="20"/>
        </w:rPr>
        <w:t>”)</w:t>
      </w:r>
      <w:r w:rsidR="00DF5641" w:rsidRPr="00D354AB">
        <w:rPr>
          <w:rFonts w:eastAsiaTheme="minorHAnsi"/>
          <w:sz w:val="20"/>
          <w:szCs w:val="20"/>
        </w:rPr>
        <w:t>.</w:t>
      </w:r>
    </w:p>
    <w:p w14:paraId="2B26AD6C" w14:textId="77777777" w:rsidR="00DF5641" w:rsidRPr="00D354AB" w:rsidRDefault="00DF5641" w:rsidP="00DF5641">
      <w:pPr>
        <w:widowControl w:val="0"/>
        <w:tabs>
          <w:tab w:val="left" w:pos="2475"/>
        </w:tabs>
        <w:jc w:val="both"/>
        <w:rPr>
          <w:smallCaps/>
          <w:sz w:val="20"/>
          <w:szCs w:val="20"/>
          <w:lang w:val="es-AR" w:eastAsia="es-ES"/>
        </w:rPr>
      </w:pPr>
    </w:p>
    <w:p w14:paraId="05D7DA49" w14:textId="166031A1" w:rsidR="00DF5641" w:rsidRPr="00D354AB" w:rsidRDefault="00DF5641" w:rsidP="00DF5641">
      <w:pPr>
        <w:widowControl w:val="0"/>
        <w:jc w:val="both"/>
        <w:rPr>
          <w:rFonts w:eastAsiaTheme="minorHAnsi"/>
          <w:color w:val="000000"/>
          <w:sz w:val="20"/>
          <w:szCs w:val="20"/>
          <w:lang w:val="es-ES" w:eastAsia="es-ES"/>
        </w:rPr>
      </w:pPr>
      <w:r w:rsidRPr="00D354AB">
        <w:rPr>
          <w:rFonts w:eastAsiaTheme="minorHAnsi"/>
          <w:color w:val="000000"/>
          <w:sz w:val="20"/>
          <w:szCs w:val="20"/>
          <w:lang w:val="es-ES" w:eastAsia="es-ES"/>
        </w:rPr>
        <w:t>La colocación primaria de las Obligaciones Negociables se realizará mediante subasta pública abierta con posibilidad de participación de todos los interesados que oportunamente soliciten autorización (“</w:t>
      </w:r>
      <w:r w:rsidRPr="00D354AB">
        <w:rPr>
          <w:rFonts w:eastAsiaTheme="minorHAnsi"/>
          <w:color w:val="000000"/>
          <w:sz w:val="20"/>
          <w:szCs w:val="20"/>
          <w:u w:val="single"/>
          <w:lang w:val="es-ES" w:eastAsia="es-ES"/>
        </w:rPr>
        <w:t>Subasta Pública</w:t>
      </w:r>
      <w:r w:rsidRPr="00D354AB">
        <w:rPr>
          <w:rFonts w:eastAsiaTheme="minorHAnsi"/>
          <w:color w:val="000000"/>
          <w:sz w:val="20"/>
          <w:szCs w:val="20"/>
          <w:lang w:val="es-ES" w:eastAsia="es-ES"/>
        </w:rPr>
        <w:t xml:space="preserve">”), a través del módulo de licitaciones del sistema informático SIOPEL del </w:t>
      </w:r>
      <w:r w:rsidR="00670AF6" w:rsidRPr="00D354AB">
        <w:rPr>
          <w:rFonts w:eastAsiaTheme="minorHAnsi"/>
          <w:color w:val="000000"/>
          <w:sz w:val="20"/>
          <w:szCs w:val="20"/>
          <w:lang w:val="es-ES" w:eastAsia="es-ES"/>
        </w:rPr>
        <w:t>MAE</w:t>
      </w:r>
      <w:r w:rsidRPr="00D354AB">
        <w:rPr>
          <w:rFonts w:eastAsiaTheme="minorHAnsi"/>
          <w:color w:val="000000"/>
          <w:sz w:val="20"/>
          <w:szCs w:val="20"/>
          <w:lang w:val="es-ES" w:eastAsia="es-ES"/>
        </w:rPr>
        <w:t xml:space="preserve"> </w:t>
      </w:r>
      <w:r w:rsidR="00670AF6" w:rsidRPr="00D354AB">
        <w:rPr>
          <w:rFonts w:eastAsiaTheme="minorHAnsi"/>
          <w:color w:val="000000"/>
          <w:sz w:val="20"/>
          <w:szCs w:val="20"/>
          <w:lang w:val="es-ES" w:eastAsia="es-ES"/>
        </w:rPr>
        <w:t>(</w:t>
      </w:r>
      <w:r w:rsidRPr="00D354AB">
        <w:rPr>
          <w:rFonts w:eastAsiaTheme="minorHAnsi"/>
          <w:color w:val="000000"/>
          <w:sz w:val="20"/>
          <w:szCs w:val="20"/>
          <w:lang w:val="es-ES" w:eastAsia="es-ES"/>
        </w:rPr>
        <w:t>el “</w:t>
      </w:r>
      <w:r w:rsidRPr="00D354AB">
        <w:rPr>
          <w:rFonts w:eastAsiaTheme="minorHAnsi"/>
          <w:color w:val="000000"/>
          <w:sz w:val="20"/>
          <w:szCs w:val="20"/>
          <w:u w:val="single"/>
          <w:lang w:val="es-ES" w:eastAsia="es-ES"/>
        </w:rPr>
        <w:t>Sistema SIOPEL</w:t>
      </w:r>
      <w:r w:rsidRPr="00D354AB">
        <w:rPr>
          <w:rFonts w:eastAsiaTheme="minorHAnsi"/>
          <w:color w:val="000000"/>
          <w:sz w:val="20"/>
          <w:szCs w:val="20"/>
          <w:lang w:val="es-ES" w:eastAsia="es-ES"/>
        </w:rPr>
        <w:t xml:space="preserve">”), un sistema que garantiza la transparencia y la igualdad de trato entre los inversores, de conformidad con las Normas de la CNV. </w:t>
      </w:r>
    </w:p>
    <w:p w14:paraId="44DDD206" w14:textId="77777777" w:rsidR="00DF5641" w:rsidRPr="00D354AB" w:rsidRDefault="00DF5641" w:rsidP="00DF5641">
      <w:pPr>
        <w:widowControl w:val="0"/>
        <w:jc w:val="both"/>
        <w:rPr>
          <w:smallCaps/>
          <w:sz w:val="20"/>
          <w:szCs w:val="20"/>
          <w:lang w:val="es-AR" w:eastAsia="es-ES"/>
        </w:rPr>
      </w:pPr>
    </w:p>
    <w:p w14:paraId="0CCF102B" w14:textId="77777777" w:rsidR="00DF5641" w:rsidRPr="00D354AB" w:rsidRDefault="00DF5641" w:rsidP="00DF5641">
      <w:pPr>
        <w:widowControl w:val="0"/>
        <w:jc w:val="both"/>
        <w:rPr>
          <w:rFonts w:eastAsiaTheme="minorHAnsi"/>
          <w:color w:val="000000"/>
          <w:sz w:val="20"/>
          <w:szCs w:val="20"/>
          <w:lang w:val="es-ES" w:eastAsia="es-ES"/>
        </w:rPr>
      </w:pPr>
      <w:r w:rsidRPr="00D354AB">
        <w:rPr>
          <w:rFonts w:eastAsiaTheme="minorHAnsi"/>
          <w:color w:val="000000"/>
          <w:sz w:val="20"/>
          <w:szCs w:val="20"/>
          <w:lang w:val="es-ES" w:eastAsia="es-ES"/>
        </w:rPr>
        <w:t>El Emisor celebrará con los Colocadores, un contrato de colocación bajo el cual, entre otras cuestiones, los Colocadores se comprometerán a realizar sus mejores esfuerzos para la colocación por oferta pública conforme lo dispuesto bajo el título “</w:t>
      </w:r>
      <w:r w:rsidRPr="00D354AB">
        <w:rPr>
          <w:rFonts w:eastAsiaTheme="minorHAnsi"/>
          <w:i/>
          <w:color w:val="000000"/>
          <w:sz w:val="20"/>
          <w:szCs w:val="20"/>
          <w:lang w:val="es-ES" w:eastAsia="es-ES"/>
        </w:rPr>
        <w:t>Esfuerzos de Colocación</w:t>
      </w:r>
      <w:r w:rsidRPr="00D354AB">
        <w:rPr>
          <w:rFonts w:eastAsiaTheme="minorHAnsi"/>
          <w:color w:val="000000"/>
          <w:sz w:val="20"/>
          <w:szCs w:val="20"/>
          <w:lang w:val="es-ES" w:eastAsia="es-ES"/>
        </w:rPr>
        <w:t>” del Capítulo “</w:t>
      </w:r>
      <w:r w:rsidRPr="00D354AB">
        <w:rPr>
          <w:rFonts w:eastAsiaTheme="minorHAnsi"/>
          <w:i/>
          <w:color w:val="000000"/>
          <w:sz w:val="20"/>
          <w:szCs w:val="20"/>
          <w:lang w:val="es-ES" w:eastAsia="es-ES"/>
        </w:rPr>
        <w:t>Plan de Distribución</w:t>
      </w:r>
      <w:r w:rsidRPr="00D354AB">
        <w:rPr>
          <w:rFonts w:eastAsiaTheme="minorHAnsi"/>
          <w:color w:val="000000"/>
          <w:sz w:val="20"/>
          <w:szCs w:val="20"/>
          <w:lang w:val="es-ES" w:eastAsia="es-ES"/>
        </w:rPr>
        <w:t>” del presente.</w:t>
      </w:r>
    </w:p>
    <w:p w14:paraId="7EABE8E1" w14:textId="77777777" w:rsidR="00DF5641" w:rsidRPr="00D354AB" w:rsidRDefault="00DF5641" w:rsidP="00DF5641">
      <w:pPr>
        <w:widowControl w:val="0"/>
        <w:jc w:val="both"/>
        <w:rPr>
          <w:smallCaps/>
          <w:sz w:val="20"/>
          <w:szCs w:val="20"/>
          <w:lang w:val="es-AR" w:eastAsia="es-ES"/>
        </w:rPr>
      </w:pPr>
    </w:p>
    <w:p w14:paraId="241206D6" w14:textId="77777777" w:rsidR="00DF5641" w:rsidRPr="00D354AB" w:rsidRDefault="00DF5641" w:rsidP="00DF5641">
      <w:pPr>
        <w:widowControl w:val="0"/>
        <w:jc w:val="both"/>
        <w:rPr>
          <w:rFonts w:eastAsiaTheme="minorHAnsi"/>
          <w:color w:val="000000"/>
          <w:sz w:val="20"/>
          <w:szCs w:val="20"/>
          <w:lang w:val="es-ES" w:eastAsia="es-ES"/>
        </w:rPr>
      </w:pPr>
      <w:r w:rsidRPr="00D354AB">
        <w:rPr>
          <w:rFonts w:eastAsiaTheme="minorHAnsi"/>
          <w:color w:val="000000"/>
          <w:sz w:val="20"/>
          <w:szCs w:val="20"/>
          <w:lang w:val="es-ES" w:eastAsia="es-ES"/>
        </w:rPr>
        <w:t>El Agente Creador será el encargado de generar en el Sistema SIOPEL el pliego de licitación de la colocación primaria de las Obligaciones Negociables.</w:t>
      </w:r>
    </w:p>
    <w:p w14:paraId="629D0666" w14:textId="77777777" w:rsidR="00DF5641" w:rsidRPr="00D354AB" w:rsidRDefault="00DF5641" w:rsidP="00DF5641">
      <w:pPr>
        <w:widowControl w:val="0"/>
        <w:jc w:val="both"/>
        <w:rPr>
          <w:iCs/>
          <w:snapToGrid w:val="0"/>
          <w:sz w:val="20"/>
          <w:szCs w:val="20"/>
          <w:lang w:val="es-AR"/>
        </w:rPr>
      </w:pPr>
    </w:p>
    <w:p w14:paraId="3D0B5BE9" w14:textId="035CAA7C" w:rsidR="00DF5641" w:rsidRPr="00D354AB" w:rsidRDefault="00DF5641" w:rsidP="00DF5641">
      <w:pPr>
        <w:pStyle w:val="Default"/>
        <w:jc w:val="both"/>
        <w:rPr>
          <w:rFonts w:eastAsiaTheme="minorHAnsi"/>
          <w:sz w:val="20"/>
          <w:szCs w:val="20"/>
          <w:lang w:val="es-AR"/>
        </w:rPr>
      </w:pPr>
      <w:r w:rsidRPr="00D354AB">
        <w:rPr>
          <w:rFonts w:eastAsiaTheme="minorHAnsi"/>
          <w:sz w:val="20"/>
          <w:szCs w:val="20"/>
        </w:rPr>
        <w:t xml:space="preserve">La remisión de una Orden por parte de los Inversores o de una Oferta por parte de los Agentes del MAE implicará la aceptación y el conocimiento de todos y cada uno de los términos y mecanismos establecidos bajo el presente Suplemento de </w:t>
      </w:r>
      <w:r w:rsidR="00801F89" w:rsidRPr="00D354AB">
        <w:rPr>
          <w:rFonts w:eastAsiaTheme="minorHAnsi"/>
          <w:sz w:val="20"/>
          <w:szCs w:val="20"/>
        </w:rPr>
        <w:t>Prospecto</w:t>
      </w:r>
      <w:r w:rsidRPr="00D354AB">
        <w:rPr>
          <w:rFonts w:eastAsiaTheme="minorHAnsi"/>
          <w:sz w:val="20"/>
          <w:szCs w:val="20"/>
        </w:rPr>
        <w:t>.</w:t>
      </w:r>
    </w:p>
    <w:p w14:paraId="44B9EF9A" w14:textId="77777777" w:rsidR="00DF5641" w:rsidRPr="00D354AB" w:rsidRDefault="00DF5641" w:rsidP="00DF5641">
      <w:pPr>
        <w:widowControl w:val="0"/>
        <w:rPr>
          <w:smallCaps/>
          <w:sz w:val="20"/>
          <w:szCs w:val="20"/>
          <w:lang w:val="es-AR"/>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9629"/>
      </w:tblGrid>
      <w:tr w:rsidR="00DF5641" w:rsidRPr="00AA31B7" w14:paraId="599927E5" w14:textId="77777777" w:rsidTr="005451AF">
        <w:trPr>
          <w:trHeight w:val="766"/>
          <w:jc w:val="center"/>
        </w:trPr>
        <w:tc>
          <w:tcPr>
            <w:tcW w:w="5000" w:type="pct"/>
          </w:tcPr>
          <w:p w14:paraId="2C29C5E2" w14:textId="6FF77808" w:rsidR="00DF5641" w:rsidRPr="00D354AB" w:rsidRDefault="00DF5641" w:rsidP="00FF0D9A">
            <w:pPr>
              <w:widowControl w:val="0"/>
              <w:ind w:left="81"/>
              <w:jc w:val="both"/>
              <w:rPr>
                <w:smallCaps/>
                <w:sz w:val="20"/>
                <w:szCs w:val="20"/>
                <w:lang w:val="es-AR"/>
              </w:rPr>
            </w:pPr>
            <w:r w:rsidRPr="00D354AB">
              <w:rPr>
                <w:bCs/>
                <w:smallCaps/>
                <w:sz w:val="20"/>
                <w:szCs w:val="20"/>
                <w:lang w:val="es-AR"/>
              </w:rPr>
              <w:t xml:space="preserve">Las Obligaciones Negociables cuentan solamente con una calificación de riesgo, que ha sido otorgada </w:t>
            </w:r>
            <w:r w:rsidR="00E96A5B" w:rsidRPr="00D354AB">
              <w:rPr>
                <w:bCs/>
                <w:smallCaps/>
                <w:sz w:val="20"/>
                <w:szCs w:val="20"/>
                <w:lang w:val="es-AR"/>
              </w:rPr>
              <w:t>con fecha</w:t>
            </w:r>
            <w:r w:rsidRPr="00D354AB">
              <w:rPr>
                <w:bCs/>
                <w:smallCaps/>
                <w:sz w:val="20"/>
                <w:szCs w:val="20"/>
                <w:lang w:val="es-AR"/>
              </w:rPr>
              <w:t xml:space="preserve"> </w:t>
            </w:r>
            <w:r w:rsidR="00AA31B7">
              <w:rPr>
                <w:bCs/>
                <w:smallCaps/>
                <w:sz w:val="20"/>
                <w:szCs w:val="20"/>
                <w:lang w:val="es-AR"/>
              </w:rPr>
              <w:t>5</w:t>
            </w:r>
            <w:r w:rsidR="00AA31B7" w:rsidRPr="00D354AB">
              <w:rPr>
                <w:bCs/>
                <w:smallCaps/>
                <w:sz w:val="20"/>
                <w:szCs w:val="20"/>
                <w:lang w:val="es-AR"/>
              </w:rPr>
              <w:t xml:space="preserve"> </w:t>
            </w:r>
            <w:r w:rsidR="00E96A5B" w:rsidRPr="00D354AB">
              <w:rPr>
                <w:bCs/>
                <w:smallCaps/>
                <w:sz w:val="20"/>
                <w:szCs w:val="20"/>
                <w:lang w:val="es-AR"/>
              </w:rPr>
              <w:t xml:space="preserve">de </w:t>
            </w:r>
            <w:r w:rsidR="00DA1AC2" w:rsidRPr="00D354AB">
              <w:rPr>
                <w:bCs/>
                <w:smallCaps/>
                <w:sz w:val="20"/>
                <w:szCs w:val="20"/>
                <w:lang w:val="es-AR"/>
              </w:rPr>
              <w:t>diciembre</w:t>
            </w:r>
            <w:r w:rsidR="00F1209F" w:rsidRPr="00D354AB">
              <w:rPr>
                <w:bCs/>
                <w:smallCaps/>
                <w:sz w:val="20"/>
                <w:szCs w:val="20"/>
                <w:lang w:val="es-AR"/>
              </w:rPr>
              <w:t xml:space="preserve"> </w:t>
            </w:r>
            <w:r w:rsidR="00E96A5B" w:rsidRPr="00D354AB">
              <w:rPr>
                <w:bCs/>
                <w:smallCaps/>
                <w:sz w:val="20"/>
                <w:szCs w:val="20"/>
                <w:lang w:val="es-AR"/>
              </w:rPr>
              <w:t>de 2019</w:t>
            </w:r>
            <w:r w:rsidRPr="00D354AB">
              <w:rPr>
                <w:bCs/>
                <w:smallCaps/>
                <w:sz w:val="20"/>
                <w:szCs w:val="20"/>
                <w:lang w:val="es-AR"/>
              </w:rPr>
              <w:t xml:space="preserve"> por Fix SCR S.A. Agente de calificación de riesgo, habiendo obtenido la calificación </w:t>
            </w:r>
            <w:r w:rsidR="00AA31B7" w:rsidRPr="00D354AB">
              <w:rPr>
                <w:bCs/>
                <w:smallCaps/>
                <w:sz w:val="20"/>
                <w:szCs w:val="20"/>
                <w:lang w:val="es-AR"/>
              </w:rPr>
              <w:t>“</w:t>
            </w:r>
            <w:r w:rsidR="00AA31B7">
              <w:rPr>
                <w:bCs/>
                <w:smallCaps/>
                <w:sz w:val="20"/>
                <w:szCs w:val="20"/>
                <w:lang w:val="es-AR"/>
              </w:rPr>
              <w:t>A1+(arg)</w:t>
            </w:r>
            <w:r w:rsidR="00AA31B7" w:rsidRPr="00D354AB">
              <w:rPr>
                <w:bCs/>
                <w:smallCaps/>
                <w:sz w:val="20"/>
                <w:szCs w:val="20"/>
                <w:lang w:val="es-AR"/>
              </w:rPr>
              <w:t xml:space="preserve">”. </w:t>
            </w:r>
            <w:r w:rsidRPr="00D354AB">
              <w:rPr>
                <w:bCs/>
                <w:smallCaps/>
                <w:sz w:val="20"/>
                <w:szCs w:val="20"/>
                <w:lang w:val="es-AR"/>
              </w:rPr>
              <w:t>Véase al respecto “</w:t>
            </w:r>
            <w:r w:rsidRPr="00D354AB">
              <w:rPr>
                <w:bCs/>
                <w:i/>
                <w:smallCaps/>
                <w:sz w:val="20"/>
                <w:szCs w:val="20"/>
                <w:lang w:val="es-AR"/>
              </w:rPr>
              <w:t>Calificación de Riesgo</w:t>
            </w:r>
            <w:r w:rsidRPr="00D354AB">
              <w:rPr>
                <w:bCs/>
                <w:smallCaps/>
                <w:sz w:val="20"/>
                <w:szCs w:val="20"/>
                <w:lang w:val="es-AR"/>
              </w:rPr>
              <w:t>” del presente.</w:t>
            </w:r>
          </w:p>
        </w:tc>
      </w:tr>
    </w:tbl>
    <w:p w14:paraId="639C7041" w14:textId="77777777" w:rsidR="00DF5641" w:rsidRPr="00D354AB" w:rsidRDefault="00DF5641" w:rsidP="00DF5641">
      <w:pPr>
        <w:widowControl w:val="0"/>
        <w:rPr>
          <w:sz w:val="20"/>
          <w:szCs w:val="20"/>
          <w:lang w:val="es-AR"/>
        </w:rPr>
      </w:pPr>
    </w:p>
    <w:p w14:paraId="038B5551" w14:textId="77777777" w:rsidR="00DF5641" w:rsidRPr="00D354AB" w:rsidRDefault="00DF5641" w:rsidP="00DF5641">
      <w:pPr>
        <w:widowControl w:val="0"/>
        <w:rPr>
          <w:sz w:val="20"/>
          <w:szCs w:val="20"/>
          <w:lang w:val="es-AR"/>
        </w:rPr>
      </w:pPr>
    </w:p>
    <w:tbl>
      <w:tblPr>
        <w:tblW w:w="0" w:type="auto"/>
        <w:jc w:val="center"/>
        <w:tblLook w:val="04A0" w:firstRow="1" w:lastRow="0" w:firstColumn="1" w:lastColumn="0" w:noHBand="0" w:noVBand="1"/>
      </w:tblPr>
      <w:tblGrid>
        <w:gridCol w:w="5012"/>
        <w:gridCol w:w="4627"/>
      </w:tblGrid>
      <w:tr w:rsidR="00DF5641" w:rsidRPr="00D354AB" w14:paraId="2FBE1F26" w14:textId="77777777" w:rsidTr="005451AF">
        <w:trPr>
          <w:jc w:val="center"/>
        </w:trPr>
        <w:tc>
          <w:tcPr>
            <w:tcW w:w="0" w:type="auto"/>
          </w:tcPr>
          <w:p w14:paraId="1354C6E4" w14:textId="77777777" w:rsidR="00DF5641" w:rsidRPr="00D354AB" w:rsidRDefault="00DF5641" w:rsidP="00FF0D9A">
            <w:pPr>
              <w:widowControl w:val="0"/>
              <w:rPr>
                <w:noProof/>
                <w:sz w:val="20"/>
                <w:szCs w:val="20"/>
                <w:lang w:val="es-AR" w:eastAsia="es-AR"/>
              </w:rPr>
            </w:pPr>
          </w:p>
          <w:p w14:paraId="365ED0BA" w14:textId="77777777" w:rsidR="00DF5641" w:rsidRPr="00D354AB" w:rsidRDefault="00DF5641" w:rsidP="00FF0D9A">
            <w:pPr>
              <w:widowControl w:val="0"/>
              <w:rPr>
                <w:sz w:val="20"/>
                <w:szCs w:val="20"/>
                <w:lang w:val="es-AR"/>
              </w:rPr>
            </w:pPr>
            <w:r w:rsidRPr="00D354AB">
              <w:rPr>
                <w:noProof/>
                <w:sz w:val="20"/>
                <w:szCs w:val="20"/>
                <w:lang w:val="es-ES"/>
              </w:rPr>
              <w:drawing>
                <wp:inline distT="0" distB="0" distL="0" distR="0" wp14:anchorId="373E98CE" wp14:editId="7778F145">
                  <wp:extent cx="1857375" cy="476250"/>
                  <wp:effectExtent l="0" t="0" r="0" b="0"/>
                  <wp:docPr id="3" name="Imagen 3" descr="LogoGaliciaS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GaliciaSAG"/>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857375" cy="476250"/>
                          </a:xfrm>
                          <a:prstGeom prst="rect">
                            <a:avLst/>
                          </a:prstGeom>
                          <a:noFill/>
                          <a:ln>
                            <a:noFill/>
                          </a:ln>
                        </pic:spPr>
                      </pic:pic>
                    </a:graphicData>
                  </a:graphic>
                </wp:inline>
              </w:drawing>
            </w:r>
          </w:p>
        </w:tc>
        <w:tc>
          <w:tcPr>
            <w:tcW w:w="0" w:type="auto"/>
          </w:tcPr>
          <w:p w14:paraId="6E7A3660" w14:textId="77777777" w:rsidR="00DF5641" w:rsidRPr="00D354AB" w:rsidRDefault="00DF5641" w:rsidP="00FF0D9A">
            <w:pPr>
              <w:widowControl w:val="0"/>
              <w:rPr>
                <w:sz w:val="20"/>
                <w:szCs w:val="20"/>
                <w:lang w:val="es-AR"/>
              </w:rPr>
            </w:pPr>
          </w:p>
          <w:p w14:paraId="6184F3AA" w14:textId="77777777" w:rsidR="00DF5641" w:rsidRPr="00D354AB" w:rsidRDefault="00DF5641" w:rsidP="00FF0D9A">
            <w:pPr>
              <w:widowControl w:val="0"/>
              <w:rPr>
                <w:sz w:val="20"/>
                <w:szCs w:val="20"/>
                <w:lang w:val="es-AR"/>
              </w:rPr>
            </w:pPr>
          </w:p>
          <w:p w14:paraId="4484A516" w14:textId="6C8565DE" w:rsidR="00DF5641" w:rsidRPr="00D354AB" w:rsidRDefault="00B6267E" w:rsidP="00FF0D9A">
            <w:pPr>
              <w:widowControl w:val="0"/>
              <w:rPr>
                <w:sz w:val="20"/>
                <w:szCs w:val="20"/>
                <w:lang w:val="es-AR"/>
              </w:rPr>
            </w:pPr>
            <w:r w:rsidRPr="00DC31C9">
              <w:rPr>
                <w:sz w:val="20"/>
                <w:lang w:val="es-AR"/>
              </w:rPr>
              <w:object w:dxaOrig="1995" w:dyaOrig="660" w14:anchorId="2B82F5C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7.95pt;height:38.5pt" o:ole="">
                  <v:imagedata r:id="rId45" o:title=""/>
                </v:shape>
                <o:OLEObject Type="Embed" ProgID="PBrush" ShapeID="_x0000_i1025" DrawAspect="Content" ObjectID="_1637138681" r:id="rId46"/>
              </w:object>
            </w:r>
          </w:p>
        </w:tc>
      </w:tr>
      <w:tr w:rsidR="00DF5641" w:rsidRPr="0086608C" w14:paraId="273886D1" w14:textId="77777777" w:rsidTr="005451AF">
        <w:trPr>
          <w:jc w:val="center"/>
        </w:trPr>
        <w:tc>
          <w:tcPr>
            <w:tcW w:w="0" w:type="auto"/>
          </w:tcPr>
          <w:p w14:paraId="2BBDCCB2" w14:textId="77777777" w:rsidR="00DF5641" w:rsidRPr="00C436CD" w:rsidRDefault="00DF5641" w:rsidP="00FF0D9A">
            <w:pPr>
              <w:widowControl w:val="0"/>
              <w:rPr>
                <w:b/>
                <w:smallCaps/>
                <w:sz w:val="20"/>
                <w:lang w:val="es-AR"/>
              </w:rPr>
            </w:pPr>
            <w:r w:rsidRPr="00C436CD">
              <w:rPr>
                <w:b/>
                <w:smallCaps/>
                <w:sz w:val="20"/>
                <w:lang w:val="es-AR"/>
              </w:rPr>
              <w:t>Banco de Galicia y Buenos Aires S.A.U.</w:t>
            </w:r>
          </w:p>
          <w:p w14:paraId="2B62A4FA" w14:textId="060396AD" w:rsidR="00DF5641" w:rsidRPr="00C436CD" w:rsidRDefault="00DF5641" w:rsidP="00FF0D9A">
            <w:pPr>
              <w:widowControl w:val="0"/>
              <w:rPr>
                <w:sz w:val="20"/>
                <w:lang w:val="es-AR"/>
              </w:rPr>
            </w:pPr>
            <w:r w:rsidRPr="00C436CD">
              <w:rPr>
                <w:sz w:val="20"/>
                <w:lang w:val="es-AR"/>
              </w:rPr>
              <w:t xml:space="preserve">Agente de Liquidación y Compensación y Agente de Negociación Integral Número de Matrícula CNV N°22 </w:t>
            </w:r>
          </w:p>
        </w:tc>
        <w:tc>
          <w:tcPr>
            <w:tcW w:w="0" w:type="auto"/>
          </w:tcPr>
          <w:p w14:paraId="025FDC45" w14:textId="78CBEA9B" w:rsidR="00DF5641" w:rsidRPr="00C436CD" w:rsidRDefault="007F6C56" w:rsidP="00FF0D9A">
            <w:pPr>
              <w:keepNext/>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 w:val="left" w:pos="5161"/>
                <w:tab w:val="left" w:pos="5558"/>
                <w:tab w:val="left" w:pos="5955"/>
                <w:tab w:val="left" w:pos="6352"/>
                <w:tab w:val="left" w:pos="6749"/>
                <w:tab w:val="left" w:pos="7146"/>
                <w:tab w:val="left" w:pos="7543"/>
                <w:tab w:val="left" w:pos="7940"/>
                <w:tab w:val="left" w:pos="8337"/>
                <w:tab w:val="left" w:pos="8734"/>
                <w:tab w:val="left" w:pos="9131"/>
                <w:tab w:val="left" w:pos="9528"/>
              </w:tabs>
              <w:outlineLvl w:val="1"/>
              <w:rPr>
                <w:b/>
                <w:smallCaps/>
                <w:sz w:val="20"/>
                <w:lang w:val="es-MX"/>
              </w:rPr>
            </w:pPr>
            <w:r w:rsidRPr="00C436CD">
              <w:rPr>
                <w:b/>
                <w:smallCaps/>
                <w:sz w:val="20"/>
                <w:lang w:val="es-MX"/>
              </w:rPr>
              <w:t xml:space="preserve">Banco </w:t>
            </w:r>
            <w:r>
              <w:rPr>
                <w:b/>
                <w:smallCaps/>
                <w:sz w:val="20"/>
                <w:szCs w:val="20"/>
                <w:lang w:val="es-MX"/>
              </w:rPr>
              <w:t>BBVA Argentina</w:t>
            </w:r>
            <w:r w:rsidR="00DF5641" w:rsidRPr="00C436CD">
              <w:rPr>
                <w:b/>
                <w:smallCaps/>
                <w:sz w:val="20"/>
                <w:lang w:val="es-MX"/>
              </w:rPr>
              <w:t xml:space="preserve"> S.A. </w:t>
            </w:r>
          </w:p>
          <w:p w14:paraId="3292078D" w14:textId="77777777" w:rsidR="00DF5641" w:rsidRPr="00C436CD" w:rsidRDefault="00DF5641" w:rsidP="00FF0D9A">
            <w:pPr>
              <w:keepNext/>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 w:val="left" w:pos="5161"/>
                <w:tab w:val="left" w:pos="5558"/>
                <w:tab w:val="left" w:pos="5955"/>
                <w:tab w:val="left" w:pos="6352"/>
                <w:tab w:val="left" w:pos="6749"/>
                <w:tab w:val="left" w:pos="7146"/>
                <w:tab w:val="left" w:pos="7543"/>
                <w:tab w:val="left" w:pos="7940"/>
                <w:tab w:val="left" w:pos="8337"/>
                <w:tab w:val="left" w:pos="8734"/>
                <w:tab w:val="left" w:pos="9131"/>
                <w:tab w:val="left" w:pos="9528"/>
              </w:tabs>
              <w:outlineLvl w:val="1"/>
              <w:rPr>
                <w:sz w:val="20"/>
                <w:lang w:val="es-AR"/>
              </w:rPr>
            </w:pPr>
            <w:r w:rsidRPr="00C436CD">
              <w:rPr>
                <w:color w:val="000000"/>
                <w:sz w:val="20"/>
                <w:lang w:val="es-AR"/>
              </w:rPr>
              <w:t>Agente de Liquidación y Compensación y Agente de Negociación Integral Número de Matrícula CNV N°42</w:t>
            </w:r>
          </w:p>
        </w:tc>
      </w:tr>
      <w:tr w:rsidR="00DF5641" w:rsidRPr="00D354AB" w14:paraId="6436C9B3" w14:textId="77777777" w:rsidTr="00C436CD">
        <w:trPr>
          <w:jc w:val="center"/>
        </w:trPr>
        <w:tc>
          <w:tcPr>
            <w:tcW w:w="0" w:type="auto"/>
          </w:tcPr>
          <w:p w14:paraId="3E98BB32" w14:textId="77777777" w:rsidR="00DF5641" w:rsidRPr="00C436CD" w:rsidRDefault="00DF5641" w:rsidP="00FF0D9A">
            <w:pPr>
              <w:widowControl w:val="0"/>
              <w:rPr>
                <w:i/>
                <w:sz w:val="20"/>
                <w:lang w:val="es-AR"/>
              </w:rPr>
            </w:pPr>
            <w:r w:rsidRPr="00C436CD">
              <w:rPr>
                <w:i/>
                <w:sz w:val="20"/>
                <w:lang w:val="es-AR"/>
              </w:rPr>
              <w:t>como Organizador, Colocador, Agente Creador y Agente de Liquidación</w:t>
            </w:r>
          </w:p>
          <w:p w14:paraId="04523AA5" w14:textId="77777777" w:rsidR="00DF5641" w:rsidRPr="00C436CD" w:rsidRDefault="00DF5641" w:rsidP="00FF0D9A">
            <w:pPr>
              <w:widowControl w:val="0"/>
              <w:rPr>
                <w:sz w:val="20"/>
                <w:lang w:val="es-AR"/>
              </w:rPr>
            </w:pPr>
          </w:p>
        </w:tc>
        <w:tc>
          <w:tcPr>
            <w:tcW w:w="0" w:type="auto"/>
          </w:tcPr>
          <w:p w14:paraId="61A0785F" w14:textId="77777777" w:rsidR="00DF5641" w:rsidRPr="00C436CD" w:rsidRDefault="00DF5641" w:rsidP="00FF0D9A">
            <w:pPr>
              <w:keepNext/>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 w:val="left" w:pos="5161"/>
                <w:tab w:val="left" w:pos="5558"/>
                <w:tab w:val="left" w:pos="5955"/>
                <w:tab w:val="left" w:pos="6352"/>
                <w:tab w:val="left" w:pos="6749"/>
                <w:tab w:val="left" w:pos="7146"/>
                <w:tab w:val="left" w:pos="7543"/>
                <w:tab w:val="left" w:pos="7940"/>
                <w:tab w:val="left" w:pos="8337"/>
                <w:tab w:val="left" w:pos="8734"/>
                <w:tab w:val="left" w:pos="9131"/>
                <w:tab w:val="left" w:pos="9528"/>
              </w:tabs>
              <w:outlineLvl w:val="1"/>
              <w:rPr>
                <w:sz w:val="20"/>
                <w:lang w:val="es-AR"/>
              </w:rPr>
            </w:pPr>
            <w:r w:rsidRPr="00C436CD">
              <w:rPr>
                <w:i/>
                <w:sz w:val="20"/>
                <w:lang w:val="es-AR"/>
              </w:rPr>
              <w:t>como Organizador y Colocador</w:t>
            </w:r>
          </w:p>
        </w:tc>
      </w:tr>
    </w:tbl>
    <w:p w14:paraId="24E4B52A" w14:textId="77777777" w:rsidR="00DF5641" w:rsidRPr="00D354AB" w:rsidRDefault="00DF5641" w:rsidP="00DF5641">
      <w:pPr>
        <w:widowControl w:val="0"/>
        <w:rPr>
          <w:sz w:val="20"/>
          <w:szCs w:val="20"/>
          <w:lang w:val="es-AR"/>
        </w:rPr>
      </w:pPr>
    </w:p>
    <w:p w14:paraId="7506DDA1" w14:textId="3206EEAD" w:rsidR="00DF5641" w:rsidRPr="00D354AB" w:rsidRDefault="00DF5641" w:rsidP="005451AF">
      <w:pPr>
        <w:widowControl w:val="0"/>
        <w:jc w:val="right"/>
        <w:rPr>
          <w:sz w:val="20"/>
          <w:szCs w:val="20"/>
          <w:lang w:val="es-AR"/>
        </w:rPr>
      </w:pPr>
      <w:r w:rsidRPr="00D354AB">
        <w:rPr>
          <w:sz w:val="20"/>
          <w:szCs w:val="20"/>
          <w:lang w:val="es-AR"/>
        </w:rPr>
        <w:t xml:space="preserve">La fecha de este Suplemento de </w:t>
      </w:r>
      <w:r w:rsidR="00801F89" w:rsidRPr="00D354AB">
        <w:rPr>
          <w:sz w:val="20"/>
          <w:szCs w:val="20"/>
          <w:lang w:val="es-AR"/>
        </w:rPr>
        <w:t xml:space="preserve">Prospecto </w:t>
      </w:r>
      <w:r w:rsidRPr="00D354AB">
        <w:rPr>
          <w:sz w:val="20"/>
          <w:szCs w:val="20"/>
          <w:lang w:val="es-AR"/>
        </w:rPr>
        <w:t xml:space="preserve">es </w:t>
      </w:r>
      <w:r w:rsidR="00655E50">
        <w:rPr>
          <w:sz w:val="20"/>
          <w:szCs w:val="20"/>
          <w:lang w:val="es-ES"/>
        </w:rPr>
        <w:t>6</w:t>
      </w:r>
      <w:r w:rsidR="00DA1AC2" w:rsidRPr="00D354AB">
        <w:rPr>
          <w:sz w:val="20"/>
          <w:szCs w:val="20"/>
          <w:lang w:val="es-AR"/>
        </w:rPr>
        <w:t xml:space="preserve"> </w:t>
      </w:r>
      <w:r w:rsidRPr="00D354AB">
        <w:rPr>
          <w:sz w:val="20"/>
          <w:szCs w:val="20"/>
          <w:lang w:val="es-AR"/>
        </w:rPr>
        <w:t>de</w:t>
      </w:r>
      <w:r w:rsidRPr="00D354AB">
        <w:rPr>
          <w:b/>
          <w:sz w:val="20"/>
          <w:szCs w:val="20"/>
          <w:lang w:val="es-ES"/>
        </w:rPr>
        <w:t xml:space="preserve"> </w:t>
      </w:r>
      <w:r w:rsidR="00DA1AC2" w:rsidRPr="00D354AB">
        <w:rPr>
          <w:sz w:val="20"/>
          <w:szCs w:val="20"/>
          <w:lang w:val="es-ES"/>
        </w:rPr>
        <w:t>diciembre</w:t>
      </w:r>
      <w:r w:rsidR="00DA1AC2" w:rsidRPr="00D354AB">
        <w:rPr>
          <w:sz w:val="20"/>
          <w:szCs w:val="20"/>
          <w:lang w:val="es-AR"/>
        </w:rPr>
        <w:t xml:space="preserve"> </w:t>
      </w:r>
      <w:r w:rsidRPr="00D354AB">
        <w:rPr>
          <w:sz w:val="20"/>
          <w:szCs w:val="20"/>
          <w:lang w:val="es-AR"/>
        </w:rPr>
        <w:t>de 2019</w:t>
      </w:r>
    </w:p>
    <w:p w14:paraId="23714D5F" w14:textId="77777777" w:rsidR="00DF5641" w:rsidRPr="00D354AB" w:rsidRDefault="00DF5641" w:rsidP="00DF5641">
      <w:pPr>
        <w:widowControl w:val="0"/>
        <w:rPr>
          <w:b/>
          <w:smallCaps/>
          <w:sz w:val="20"/>
          <w:szCs w:val="20"/>
          <w:lang w:val="es-AR"/>
        </w:rPr>
      </w:pPr>
      <w:r w:rsidRPr="00D354AB">
        <w:rPr>
          <w:sz w:val="20"/>
          <w:szCs w:val="20"/>
          <w:lang w:val="es-AR"/>
        </w:rPr>
        <w:br w:type="page"/>
      </w:r>
      <w:r w:rsidRPr="00D354AB">
        <w:rPr>
          <w:b/>
          <w:smallCaps/>
          <w:sz w:val="20"/>
          <w:szCs w:val="20"/>
          <w:lang w:val="es-AR"/>
        </w:rPr>
        <w:lastRenderedPageBreak/>
        <w:t xml:space="preserve">Índice </w:t>
      </w:r>
    </w:p>
    <w:p w14:paraId="4CB1EDEF" w14:textId="77777777" w:rsidR="00DF5641" w:rsidRPr="00D354AB" w:rsidRDefault="00DF5641" w:rsidP="00DF5641">
      <w:pPr>
        <w:widowControl w:val="0"/>
        <w:jc w:val="both"/>
        <w:rPr>
          <w:sz w:val="20"/>
          <w:szCs w:val="20"/>
          <w:lang w:val="es-AR"/>
        </w:rPr>
      </w:pPr>
    </w:p>
    <w:p w14:paraId="69A3626B" w14:textId="21DD111A" w:rsidR="003561B3" w:rsidRPr="00D354AB" w:rsidRDefault="003561B3" w:rsidP="00BB2DA6">
      <w:pPr>
        <w:pStyle w:val="Default"/>
        <w:ind w:left="993"/>
        <w:jc w:val="both"/>
        <w:rPr>
          <w:sz w:val="20"/>
          <w:szCs w:val="20"/>
        </w:rPr>
      </w:pPr>
      <w:r w:rsidRPr="00D354AB">
        <w:rPr>
          <w:sz w:val="20"/>
          <w:szCs w:val="20"/>
        </w:rPr>
        <w:t xml:space="preserve">Aviso a los Inversores y Declaraciones </w:t>
      </w:r>
      <w:r w:rsidRPr="00D354AB">
        <w:rPr>
          <w:sz w:val="20"/>
          <w:szCs w:val="20"/>
        </w:rPr>
        <w:tab/>
      </w:r>
      <w:r w:rsidRPr="00D354AB">
        <w:rPr>
          <w:sz w:val="20"/>
          <w:szCs w:val="20"/>
        </w:rPr>
        <w:tab/>
      </w:r>
      <w:r w:rsidRPr="00D354AB">
        <w:rPr>
          <w:sz w:val="20"/>
          <w:szCs w:val="20"/>
        </w:rPr>
        <w:tab/>
      </w:r>
      <w:r w:rsidRPr="00D354AB">
        <w:rPr>
          <w:sz w:val="20"/>
          <w:szCs w:val="20"/>
        </w:rPr>
        <w:tab/>
      </w:r>
      <w:r w:rsidRPr="00D354AB">
        <w:rPr>
          <w:sz w:val="20"/>
          <w:szCs w:val="20"/>
        </w:rPr>
        <w:tab/>
      </w:r>
      <w:r w:rsidRPr="00D354AB">
        <w:rPr>
          <w:sz w:val="20"/>
          <w:szCs w:val="20"/>
        </w:rPr>
        <w:tab/>
      </w:r>
      <w:r w:rsidRPr="00D354AB">
        <w:rPr>
          <w:sz w:val="20"/>
          <w:szCs w:val="20"/>
        </w:rPr>
        <w:tab/>
      </w:r>
      <w:r w:rsidRPr="00D354AB">
        <w:rPr>
          <w:sz w:val="20"/>
          <w:szCs w:val="20"/>
        </w:rPr>
        <w:tab/>
        <w:t xml:space="preserve"> 4 </w:t>
      </w:r>
    </w:p>
    <w:p w14:paraId="3C039B0E" w14:textId="68614855" w:rsidR="003561B3" w:rsidRPr="00D354AB" w:rsidRDefault="003561B3" w:rsidP="00BB2DA6">
      <w:pPr>
        <w:pStyle w:val="Default"/>
        <w:ind w:left="993"/>
        <w:rPr>
          <w:sz w:val="20"/>
          <w:szCs w:val="20"/>
        </w:rPr>
      </w:pPr>
      <w:r w:rsidRPr="00D354AB">
        <w:rPr>
          <w:sz w:val="20"/>
          <w:szCs w:val="20"/>
        </w:rPr>
        <w:t>Oferta de los Valores Negociables</w:t>
      </w:r>
      <w:r w:rsidRPr="00D354AB">
        <w:rPr>
          <w:sz w:val="20"/>
          <w:szCs w:val="20"/>
        </w:rPr>
        <w:tab/>
      </w:r>
      <w:r w:rsidRPr="00D354AB">
        <w:rPr>
          <w:sz w:val="20"/>
          <w:szCs w:val="20"/>
        </w:rPr>
        <w:tab/>
      </w:r>
      <w:r w:rsidRPr="00D354AB">
        <w:rPr>
          <w:sz w:val="20"/>
          <w:szCs w:val="20"/>
        </w:rPr>
        <w:tab/>
      </w:r>
      <w:r w:rsidRPr="00D354AB">
        <w:rPr>
          <w:sz w:val="20"/>
          <w:szCs w:val="20"/>
        </w:rPr>
        <w:tab/>
      </w:r>
      <w:r w:rsidRPr="00D354AB">
        <w:rPr>
          <w:sz w:val="20"/>
          <w:szCs w:val="20"/>
        </w:rPr>
        <w:tab/>
      </w:r>
      <w:r w:rsidRPr="00D354AB">
        <w:rPr>
          <w:sz w:val="20"/>
          <w:szCs w:val="20"/>
        </w:rPr>
        <w:tab/>
      </w:r>
      <w:r w:rsidRPr="00D354AB">
        <w:rPr>
          <w:sz w:val="20"/>
          <w:szCs w:val="20"/>
        </w:rPr>
        <w:tab/>
      </w:r>
      <w:r w:rsidRPr="00D354AB">
        <w:rPr>
          <w:sz w:val="20"/>
          <w:szCs w:val="20"/>
        </w:rPr>
        <w:tab/>
      </w:r>
      <w:r w:rsidR="00B6267E">
        <w:rPr>
          <w:sz w:val="20"/>
          <w:szCs w:val="20"/>
        </w:rPr>
        <w:t>11</w:t>
      </w:r>
    </w:p>
    <w:p w14:paraId="71604F69" w14:textId="69BA5553" w:rsidR="003561B3" w:rsidRPr="00D354AB" w:rsidRDefault="003561B3" w:rsidP="00BB2DA6">
      <w:pPr>
        <w:pStyle w:val="Default"/>
        <w:ind w:left="993"/>
        <w:rPr>
          <w:sz w:val="20"/>
          <w:szCs w:val="20"/>
        </w:rPr>
      </w:pPr>
      <w:r w:rsidRPr="00D354AB">
        <w:rPr>
          <w:sz w:val="20"/>
          <w:szCs w:val="20"/>
        </w:rPr>
        <w:t xml:space="preserve">Plan de Distribución </w:t>
      </w:r>
      <w:r w:rsidRPr="00D354AB">
        <w:rPr>
          <w:sz w:val="20"/>
          <w:szCs w:val="20"/>
        </w:rPr>
        <w:tab/>
      </w:r>
      <w:r w:rsidRPr="00D354AB">
        <w:rPr>
          <w:sz w:val="20"/>
          <w:szCs w:val="20"/>
        </w:rPr>
        <w:tab/>
      </w:r>
      <w:r w:rsidRPr="00D354AB">
        <w:rPr>
          <w:sz w:val="20"/>
          <w:szCs w:val="20"/>
        </w:rPr>
        <w:tab/>
      </w:r>
      <w:r w:rsidRPr="00D354AB">
        <w:rPr>
          <w:sz w:val="20"/>
          <w:szCs w:val="20"/>
        </w:rPr>
        <w:tab/>
      </w:r>
      <w:r w:rsidRPr="00D354AB">
        <w:rPr>
          <w:sz w:val="20"/>
          <w:szCs w:val="20"/>
        </w:rPr>
        <w:tab/>
      </w:r>
      <w:r w:rsidRPr="00D354AB">
        <w:rPr>
          <w:sz w:val="20"/>
          <w:szCs w:val="20"/>
        </w:rPr>
        <w:tab/>
      </w:r>
      <w:r w:rsidRPr="00D354AB">
        <w:rPr>
          <w:sz w:val="20"/>
          <w:szCs w:val="20"/>
        </w:rPr>
        <w:tab/>
      </w:r>
      <w:r w:rsidRPr="00D354AB">
        <w:rPr>
          <w:sz w:val="20"/>
          <w:szCs w:val="20"/>
        </w:rPr>
        <w:tab/>
      </w:r>
      <w:r w:rsidRPr="00D354AB">
        <w:rPr>
          <w:sz w:val="20"/>
          <w:szCs w:val="20"/>
        </w:rPr>
        <w:tab/>
        <w:t xml:space="preserve">              </w:t>
      </w:r>
      <w:r w:rsidR="00B6267E">
        <w:rPr>
          <w:sz w:val="20"/>
          <w:szCs w:val="20"/>
        </w:rPr>
        <w:t>26</w:t>
      </w:r>
    </w:p>
    <w:p w14:paraId="16D35B7E" w14:textId="49C90ED2" w:rsidR="003561B3" w:rsidRPr="00D354AB" w:rsidRDefault="003561B3" w:rsidP="00BB2DA6">
      <w:pPr>
        <w:pStyle w:val="Default"/>
        <w:ind w:left="993"/>
        <w:rPr>
          <w:sz w:val="20"/>
          <w:szCs w:val="20"/>
        </w:rPr>
      </w:pPr>
      <w:r w:rsidRPr="00D354AB">
        <w:rPr>
          <w:sz w:val="20"/>
          <w:szCs w:val="20"/>
        </w:rPr>
        <w:t xml:space="preserve">Factores de Riesgo </w:t>
      </w:r>
      <w:r w:rsidRPr="00D354AB">
        <w:rPr>
          <w:sz w:val="20"/>
          <w:szCs w:val="20"/>
        </w:rPr>
        <w:tab/>
      </w:r>
      <w:r w:rsidRPr="00D354AB">
        <w:rPr>
          <w:sz w:val="20"/>
          <w:szCs w:val="20"/>
        </w:rPr>
        <w:tab/>
      </w:r>
      <w:r w:rsidRPr="00D354AB">
        <w:rPr>
          <w:sz w:val="20"/>
          <w:szCs w:val="20"/>
        </w:rPr>
        <w:tab/>
      </w:r>
      <w:r w:rsidRPr="00D354AB">
        <w:rPr>
          <w:sz w:val="20"/>
          <w:szCs w:val="20"/>
        </w:rPr>
        <w:tab/>
      </w:r>
      <w:r w:rsidRPr="00D354AB">
        <w:rPr>
          <w:sz w:val="20"/>
          <w:szCs w:val="20"/>
        </w:rPr>
        <w:tab/>
      </w:r>
      <w:r w:rsidRPr="00D354AB">
        <w:rPr>
          <w:sz w:val="20"/>
          <w:szCs w:val="20"/>
        </w:rPr>
        <w:tab/>
      </w:r>
      <w:r w:rsidRPr="00D354AB">
        <w:rPr>
          <w:sz w:val="20"/>
          <w:szCs w:val="20"/>
        </w:rPr>
        <w:tab/>
      </w:r>
      <w:r w:rsidRPr="00D354AB">
        <w:rPr>
          <w:sz w:val="20"/>
          <w:szCs w:val="20"/>
        </w:rPr>
        <w:tab/>
      </w:r>
      <w:r w:rsidRPr="00D354AB">
        <w:rPr>
          <w:sz w:val="20"/>
          <w:szCs w:val="20"/>
        </w:rPr>
        <w:tab/>
      </w:r>
      <w:r w:rsidRPr="00D354AB">
        <w:rPr>
          <w:sz w:val="20"/>
          <w:szCs w:val="20"/>
        </w:rPr>
        <w:tab/>
      </w:r>
      <w:r w:rsidR="00B6267E">
        <w:rPr>
          <w:sz w:val="20"/>
          <w:szCs w:val="20"/>
        </w:rPr>
        <w:t>33</w:t>
      </w:r>
      <w:r w:rsidRPr="00D354AB">
        <w:rPr>
          <w:sz w:val="20"/>
          <w:szCs w:val="20"/>
        </w:rPr>
        <w:t xml:space="preserve"> </w:t>
      </w:r>
    </w:p>
    <w:p w14:paraId="4569BD6D" w14:textId="24C52155" w:rsidR="003561B3" w:rsidRPr="00D354AB" w:rsidRDefault="003561B3" w:rsidP="00BB2DA6">
      <w:pPr>
        <w:pStyle w:val="Default"/>
        <w:ind w:left="993"/>
        <w:rPr>
          <w:sz w:val="20"/>
          <w:szCs w:val="20"/>
        </w:rPr>
      </w:pPr>
      <w:r w:rsidRPr="00D354AB">
        <w:rPr>
          <w:sz w:val="20"/>
          <w:szCs w:val="20"/>
        </w:rPr>
        <w:t xml:space="preserve">Información Financiera </w:t>
      </w:r>
      <w:r w:rsidRPr="00D354AB">
        <w:rPr>
          <w:sz w:val="20"/>
          <w:szCs w:val="20"/>
        </w:rPr>
        <w:tab/>
      </w:r>
      <w:r w:rsidRPr="00D354AB">
        <w:rPr>
          <w:sz w:val="20"/>
          <w:szCs w:val="20"/>
        </w:rPr>
        <w:tab/>
      </w:r>
      <w:r w:rsidRPr="00D354AB">
        <w:rPr>
          <w:sz w:val="20"/>
          <w:szCs w:val="20"/>
        </w:rPr>
        <w:tab/>
      </w:r>
      <w:r w:rsidRPr="00D354AB">
        <w:rPr>
          <w:sz w:val="20"/>
          <w:szCs w:val="20"/>
        </w:rPr>
        <w:tab/>
      </w:r>
      <w:r w:rsidRPr="00D354AB">
        <w:rPr>
          <w:sz w:val="20"/>
          <w:szCs w:val="20"/>
        </w:rPr>
        <w:tab/>
      </w:r>
      <w:r w:rsidRPr="00D354AB">
        <w:rPr>
          <w:sz w:val="20"/>
          <w:szCs w:val="20"/>
        </w:rPr>
        <w:tab/>
      </w:r>
      <w:r w:rsidRPr="00D354AB">
        <w:rPr>
          <w:sz w:val="20"/>
          <w:szCs w:val="20"/>
        </w:rPr>
        <w:tab/>
      </w:r>
      <w:r w:rsidRPr="00D354AB">
        <w:rPr>
          <w:sz w:val="20"/>
          <w:szCs w:val="20"/>
        </w:rPr>
        <w:tab/>
      </w:r>
      <w:r w:rsidRPr="00D354AB">
        <w:rPr>
          <w:sz w:val="20"/>
          <w:szCs w:val="20"/>
        </w:rPr>
        <w:tab/>
      </w:r>
      <w:r w:rsidR="00B6267E">
        <w:rPr>
          <w:sz w:val="20"/>
          <w:szCs w:val="20"/>
        </w:rPr>
        <w:t>39</w:t>
      </w:r>
      <w:r w:rsidRPr="00D354AB">
        <w:rPr>
          <w:sz w:val="20"/>
          <w:szCs w:val="20"/>
        </w:rPr>
        <w:t xml:space="preserve"> </w:t>
      </w:r>
    </w:p>
    <w:p w14:paraId="0494D179" w14:textId="17948F04" w:rsidR="003561B3" w:rsidRPr="00D354AB" w:rsidRDefault="003561B3" w:rsidP="00BB2DA6">
      <w:pPr>
        <w:pStyle w:val="Default"/>
        <w:ind w:left="993"/>
        <w:rPr>
          <w:sz w:val="20"/>
          <w:szCs w:val="20"/>
        </w:rPr>
      </w:pPr>
      <w:r w:rsidRPr="00D354AB">
        <w:rPr>
          <w:sz w:val="20"/>
          <w:szCs w:val="20"/>
        </w:rPr>
        <w:t xml:space="preserve">Destino de los fondos </w:t>
      </w:r>
      <w:r w:rsidRPr="00D354AB">
        <w:rPr>
          <w:sz w:val="20"/>
          <w:szCs w:val="20"/>
        </w:rPr>
        <w:tab/>
      </w:r>
      <w:r w:rsidRPr="00D354AB">
        <w:rPr>
          <w:sz w:val="20"/>
          <w:szCs w:val="20"/>
        </w:rPr>
        <w:tab/>
      </w:r>
      <w:r w:rsidRPr="00D354AB">
        <w:rPr>
          <w:sz w:val="20"/>
          <w:szCs w:val="20"/>
        </w:rPr>
        <w:tab/>
      </w:r>
      <w:r w:rsidRPr="00D354AB">
        <w:rPr>
          <w:sz w:val="20"/>
          <w:szCs w:val="20"/>
        </w:rPr>
        <w:tab/>
      </w:r>
      <w:r w:rsidRPr="00D354AB">
        <w:rPr>
          <w:sz w:val="20"/>
          <w:szCs w:val="20"/>
        </w:rPr>
        <w:tab/>
      </w:r>
      <w:r w:rsidRPr="00D354AB">
        <w:rPr>
          <w:sz w:val="20"/>
          <w:szCs w:val="20"/>
        </w:rPr>
        <w:tab/>
      </w:r>
      <w:r w:rsidRPr="00D354AB">
        <w:rPr>
          <w:sz w:val="20"/>
          <w:szCs w:val="20"/>
        </w:rPr>
        <w:tab/>
      </w:r>
      <w:r w:rsidRPr="00D354AB">
        <w:rPr>
          <w:sz w:val="20"/>
          <w:szCs w:val="20"/>
        </w:rPr>
        <w:tab/>
      </w:r>
      <w:r w:rsidRPr="00D354AB">
        <w:rPr>
          <w:sz w:val="20"/>
          <w:szCs w:val="20"/>
        </w:rPr>
        <w:tab/>
      </w:r>
      <w:r w:rsidRPr="00D354AB">
        <w:rPr>
          <w:sz w:val="20"/>
          <w:szCs w:val="20"/>
        </w:rPr>
        <w:tab/>
      </w:r>
      <w:r w:rsidR="00B6267E">
        <w:rPr>
          <w:sz w:val="20"/>
          <w:szCs w:val="20"/>
        </w:rPr>
        <w:t>40</w:t>
      </w:r>
      <w:r w:rsidRPr="00D354AB">
        <w:rPr>
          <w:sz w:val="20"/>
          <w:szCs w:val="20"/>
        </w:rPr>
        <w:t xml:space="preserve"> </w:t>
      </w:r>
    </w:p>
    <w:p w14:paraId="5C34BE63" w14:textId="67212920" w:rsidR="003561B3" w:rsidRPr="00D354AB" w:rsidRDefault="003561B3" w:rsidP="00BB2DA6">
      <w:pPr>
        <w:pStyle w:val="Default"/>
        <w:ind w:left="993"/>
        <w:rPr>
          <w:sz w:val="20"/>
          <w:szCs w:val="20"/>
        </w:rPr>
      </w:pPr>
      <w:r w:rsidRPr="00D354AB">
        <w:rPr>
          <w:sz w:val="20"/>
          <w:szCs w:val="20"/>
        </w:rPr>
        <w:t xml:space="preserve">Gastos de Emisión </w:t>
      </w:r>
      <w:r w:rsidRPr="00D354AB">
        <w:rPr>
          <w:sz w:val="20"/>
          <w:szCs w:val="20"/>
        </w:rPr>
        <w:tab/>
      </w:r>
      <w:r w:rsidRPr="00D354AB">
        <w:rPr>
          <w:sz w:val="20"/>
          <w:szCs w:val="20"/>
        </w:rPr>
        <w:tab/>
      </w:r>
      <w:r w:rsidRPr="00D354AB">
        <w:rPr>
          <w:sz w:val="20"/>
          <w:szCs w:val="20"/>
        </w:rPr>
        <w:tab/>
      </w:r>
      <w:r w:rsidRPr="00D354AB">
        <w:rPr>
          <w:sz w:val="20"/>
          <w:szCs w:val="20"/>
        </w:rPr>
        <w:tab/>
      </w:r>
      <w:r w:rsidRPr="00D354AB">
        <w:rPr>
          <w:sz w:val="20"/>
          <w:szCs w:val="20"/>
        </w:rPr>
        <w:tab/>
      </w:r>
      <w:r w:rsidRPr="00D354AB">
        <w:rPr>
          <w:sz w:val="20"/>
          <w:szCs w:val="20"/>
        </w:rPr>
        <w:tab/>
      </w:r>
      <w:r w:rsidRPr="00D354AB">
        <w:rPr>
          <w:sz w:val="20"/>
          <w:szCs w:val="20"/>
        </w:rPr>
        <w:tab/>
      </w:r>
      <w:r w:rsidRPr="00D354AB">
        <w:rPr>
          <w:sz w:val="20"/>
          <w:szCs w:val="20"/>
        </w:rPr>
        <w:tab/>
      </w:r>
      <w:r w:rsidRPr="00D354AB">
        <w:rPr>
          <w:sz w:val="20"/>
          <w:szCs w:val="20"/>
        </w:rPr>
        <w:tab/>
      </w:r>
      <w:r w:rsidRPr="00D354AB">
        <w:rPr>
          <w:sz w:val="20"/>
          <w:szCs w:val="20"/>
        </w:rPr>
        <w:tab/>
      </w:r>
      <w:r w:rsidR="00B6267E">
        <w:rPr>
          <w:sz w:val="20"/>
          <w:szCs w:val="20"/>
        </w:rPr>
        <w:t>41</w:t>
      </w:r>
    </w:p>
    <w:p w14:paraId="6E78B4FA" w14:textId="53AE183A" w:rsidR="003561B3" w:rsidRPr="00D354AB" w:rsidRDefault="003561B3" w:rsidP="00BB2DA6">
      <w:pPr>
        <w:pStyle w:val="Default"/>
        <w:ind w:left="993"/>
        <w:rPr>
          <w:sz w:val="20"/>
          <w:szCs w:val="20"/>
        </w:rPr>
      </w:pPr>
      <w:r w:rsidRPr="00D354AB">
        <w:rPr>
          <w:sz w:val="20"/>
          <w:szCs w:val="20"/>
        </w:rPr>
        <w:t xml:space="preserve">Hechos Posteriores al Cierre </w:t>
      </w:r>
      <w:r w:rsidRPr="00D354AB">
        <w:rPr>
          <w:sz w:val="20"/>
          <w:szCs w:val="20"/>
        </w:rPr>
        <w:tab/>
      </w:r>
      <w:r w:rsidRPr="00D354AB">
        <w:rPr>
          <w:sz w:val="20"/>
          <w:szCs w:val="20"/>
        </w:rPr>
        <w:tab/>
      </w:r>
      <w:r w:rsidRPr="00D354AB">
        <w:rPr>
          <w:sz w:val="20"/>
          <w:szCs w:val="20"/>
        </w:rPr>
        <w:tab/>
      </w:r>
      <w:r w:rsidRPr="00D354AB">
        <w:rPr>
          <w:sz w:val="20"/>
          <w:szCs w:val="20"/>
        </w:rPr>
        <w:tab/>
      </w:r>
      <w:r w:rsidRPr="00D354AB">
        <w:rPr>
          <w:sz w:val="20"/>
          <w:szCs w:val="20"/>
        </w:rPr>
        <w:tab/>
      </w:r>
      <w:r w:rsidRPr="00D354AB">
        <w:rPr>
          <w:sz w:val="20"/>
          <w:szCs w:val="20"/>
        </w:rPr>
        <w:tab/>
      </w:r>
      <w:r w:rsidRPr="00D354AB">
        <w:rPr>
          <w:sz w:val="20"/>
          <w:szCs w:val="20"/>
        </w:rPr>
        <w:tab/>
      </w:r>
      <w:r w:rsidRPr="00D354AB">
        <w:rPr>
          <w:sz w:val="20"/>
          <w:szCs w:val="20"/>
        </w:rPr>
        <w:tab/>
      </w:r>
      <w:r w:rsidRPr="00D354AB">
        <w:rPr>
          <w:sz w:val="20"/>
          <w:szCs w:val="20"/>
        </w:rPr>
        <w:tab/>
      </w:r>
      <w:r w:rsidR="00B6267E">
        <w:rPr>
          <w:sz w:val="20"/>
          <w:szCs w:val="20"/>
        </w:rPr>
        <w:t>42</w:t>
      </w:r>
    </w:p>
    <w:p w14:paraId="2C8B32EA" w14:textId="4E07824F" w:rsidR="00E96A5B" w:rsidRPr="00D354AB" w:rsidRDefault="003561B3" w:rsidP="00BB2DA6">
      <w:pPr>
        <w:widowControl w:val="0"/>
        <w:ind w:left="993"/>
        <w:jc w:val="both"/>
        <w:outlineLvl w:val="0"/>
        <w:rPr>
          <w:sz w:val="20"/>
          <w:szCs w:val="20"/>
          <w:lang w:val="es-MX"/>
        </w:rPr>
      </w:pPr>
      <w:r w:rsidRPr="00D354AB">
        <w:rPr>
          <w:sz w:val="20"/>
          <w:szCs w:val="20"/>
          <w:lang w:val="es-MX"/>
        </w:rPr>
        <w:t xml:space="preserve">Información Adicional </w:t>
      </w:r>
      <w:r w:rsidRPr="00D354AB">
        <w:rPr>
          <w:sz w:val="20"/>
          <w:szCs w:val="20"/>
          <w:lang w:val="es-MX"/>
        </w:rPr>
        <w:tab/>
      </w:r>
      <w:r w:rsidRPr="00D354AB">
        <w:rPr>
          <w:sz w:val="20"/>
          <w:szCs w:val="20"/>
          <w:lang w:val="es-MX"/>
        </w:rPr>
        <w:tab/>
      </w:r>
      <w:r w:rsidRPr="00D354AB">
        <w:rPr>
          <w:sz w:val="20"/>
          <w:szCs w:val="20"/>
          <w:lang w:val="es-MX"/>
        </w:rPr>
        <w:tab/>
      </w:r>
      <w:r w:rsidRPr="00D354AB">
        <w:rPr>
          <w:sz w:val="20"/>
          <w:szCs w:val="20"/>
          <w:lang w:val="es-MX"/>
        </w:rPr>
        <w:tab/>
      </w:r>
      <w:r w:rsidRPr="00D354AB">
        <w:rPr>
          <w:sz w:val="20"/>
          <w:szCs w:val="20"/>
          <w:lang w:val="es-MX"/>
        </w:rPr>
        <w:tab/>
      </w:r>
      <w:r w:rsidRPr="00D354AB">
        <w:rPr>
          <w:sz w:val="20"/>
          <w:szCs w:val="20"/>
          <w:lang w:val="es-MX"/>
        </w:rPr>
        <w:tab/>
      </w:r>
      <w:r w:rsidRPr="00D354AB">
        <w:rPr>
          <w:sz w:val="20"/>
          <w:szCs w:val="20"/>
          <w:lang w:val="es-MX"/>
        </w:rPr>
        <w:tab/>
      </w:r>
      <w:r w:rsidRPr="00D354AB">
        <w:rPr>
          <w:sz w:val="20"/>
          <w:szCs w:val="20"/>
          <w:lang w:val="es-MX"/>
        </w:rPr>
        <w:tab/>
      </w:r>
      <w:r w:rsidRPr="00D354AB">
        <w:rPr>
          <w:sz w:val="20"/>
          <w:szCs w:val="20"/>
          <w:lang w:val="es-MX"/>
        </w:rPr>
        <w:tab/>
      </w:r>
      <w:r w:rsidRPr="00D354AB">
        <w:rPr>
          <w:sz w:val="20"/>
          <w:szCs w:val="20"/>
          <w:lang w:val="es-MX"/>
        </w:rPr>
        <w:tab/>
      </w:r>
      <w:r w:rsidR="00B6267E">
        <w:rPr>
          <w:sz w:val="20"/>
          <w:szCs w:val="20"/>
          <w:lang w:val="es-MX"/>
        </w:rPr>
        <w:t>43</w:t>
      </w:r>
    </w:p>
    <w:p w14:paraId="1AB2D196" w14:textId="07394892" w:rsidR="00DF5641" w:rsidRPr="00C436CD" w:rsidRDefault="00DF5641" w:rsidP="00BB2DA6">
      <w:pPr>
        <w:widowControl w:val="0"/>
        <w:ind w:left="993"/>
        <w:jc w:val="both"/>
        <w:outlineLvl w:val="0"/>
        <w:rPr>
          <w:b/>
          <w:smallCaps/>
          <w:sz w:val="20"/>
          <w:lang w:val="es-AR"/>
        </w:rPr>
      </w:pPr>
      <w:r w:rsidRPr="00D354AB">
        <w:rPr>
          <w:sz w:val="20"/>
          <w:szCs w:val="20"/>
          <w:lang w:val="es-AR"/>
        </w:rPr>
        <w:br w:type="page"/>
      </w:r>
    </w:p>
    <w:p w14:paraId="591F37F7" w14:textId="006BEC81" w:rsidR="00DF5641" w:rsidRPr="00D354AB" w:rsidRDefault="00DF5641" w:rsidP="006C1EFA">
      <w:pPr>
        <w:widowControl w:val="0"/>
        <w:rPr>
          <w:b/>
          <w:smallCaps/>
          <w:sz w:val="20"/>
          <w:szCs w:val="20"/>
          <w:lang w:val="es-AR"/>
        </w:rPr>
      </w:pPr>
      <w:r w:rsidRPr="00D354AB">
        <w:rPr>
          <w:b/>
          <w:smallCaps/>
          <w:sz w:val="20"/>
          <w:szCs w:val="20"/>
          <w:lang w:val="es-AR"/>
        </w:rPr>
        <w:lastRenderedPageBreak/>
        <w:t>Aviso a los Inversores y Declaraciones</w:t>
      </w:r>
    </w:p>
    <w:p w14:paraId="379FC0EA" w14:textId="77777777" w:rsidR="00DF5641" w:rsidRPr="00D354AB" w:rsidRDefault="00DF5641" w:rsidP="00DF5641">
      <w:pPr>
        <w:pStyle w:val="Default"/>
        <w:jc w:val="both"/>
        <w:rPr>
          <w:sz w:val="20"/>
          <w:szCs w:val="20"/>
        </w:rPr>
      </w:pPr>
    </w:p>
    <w:p w14:paraId="06B8AF0C" w14:textId="3990A93A" w:rsidR="00DF5641" w:rsidRPr="00D354AB" w:rsidRDefault="00DF5641" w:rsidP="00DF5641">
      <w:pPr>
        <w:pStyle w:val="Default"/>
        <w:jc w:val="both"/>
        <w:rPr>
          <w:sz w:val="20"/>
          <w:szCs w:val="20"/>
        </w:rPr>
      </w:pPr>
      <w:r w:rsidRPr="00D354AB">
        <w:rPr>
          <w:sz w:val="20"/>
          <w:szCs w:val="20"/>
        </w:rPr>
        <w:t>La entrega del presente Suplemento de Pr</w:t>
      </w:r>
      <w:r w:rsidR="00801F89" w:rsidRPr="00D354AB">
        <w:rPr>
          <w:sz w:val="20"/>
          <w:szCs w:val="20"/>
        </w:rPr>
        <w:t>ospecto</w:t>
      </w:r>
      <w:r w:rsidRPr="00D354AB">
        <w:rPr>
          <w:sz w:val="20"/>
          <w:szCs w:val="20"/>
        </w:rPr>
        <w:t xml:space="preserve"> en cualquier momento no implica que la información aquí incluida sea correcta en cualquier fecha posterior a la establecida en la carátula. No deberá asumirse que la información contenida en este Suplemento de Pro</w:t>
      </w:r>
      <w:r w:rsidR="00801F89" w:rsidRPr="00D354AB">
        <w:rPr>
          <w:sz w:val="20"/>
          <w:szCs w:val="20"/>
        </w:rPr>
        <w:t>specto</w:t>
      </w:r>
      <w:r w:rsidRPr="00D354AB">
        <w:rPr>
          <w:sz w:val="20"/>
          <w:szCs w:val="20"/>
        </w:rPr>
        <w:t xml:space="preserve"> sea correcta en cualquier fecha posterior a la establecida en la carátula del presente Suplemento de </w:t>
      </w:r>
      <w:r w:rsidR="00801F89" w:rsidRPr="00D354AB">
        <w:rPr>
          <w:sz w:val="20"/>
          <w:szCs w:val="20"/>
        </w:rPr>
        <w:t>Prospecto</w:t>
      </w:r>
      <w:r w:rsidRPr="00D354AB">
        <w:rPr>
          <w:sz w:val="20"/>
          <w:szCs w:val="20"/>
        </w:rPr>
        <w:t xml:space="preserve">. </w:t>
      </w:r>
    </w:p>
    <w:p w14:paraId="76201142" w14:textId="77777777" w:rsidR="00DF5641" w:rsidRPr="00D354AB" w:rsidRDefault="00DF5641" w:rsidP="00DF5641">
      <w:pPr>
        <w:pStyle w:val="Default"/>
        <w:jc w:val="both"/>
        <w:rPr>
          <w:sz w:val="20"/>
          <w:szCs w:val="20"/>
        </w:rPr>
      </w:pPr>
    </w:p>
    <w:p w14:paraId="47431021" w14:textId="7856AE02" w:rsidR="00DF5641" w:rsidRPr="00D354AB" w:rsidRDefault="00DF5641" w:rsidP="00DF5641">
      <w:pPr>
        <w:pStyle w:val="Default"/>
        <w:jc w:val="both"/>
        <w:rPr>
          <w:sz w:val="20"/>
          <w:szCs w:val="20"/>
        </w:rPr>
      </w:pPr>
      <w:r w:rsidRPr="00D354AB">
        <w:rPr>
          <w:sz w:val="20"/>
          <w:szCs w:val="20"/>
        </w:rPr>
        <w:t>Cada persona que recibe este Suplemento de Pr</w:t>
      </w:r>
      <w:r w:rsidR="00801F89" w:rsidRPr="00D354AB">
        <w:rPr>
          <w:sz w:val="20"/>
          <w:szCs w:val="20"/>
        </w:rPr>
        <w:t>ospecto</w:t>
      </w:r>
      <w:r w:rsidRPr="00D354AB">
        <w:rPr>
          <w:sz w:val="20"/>
          <w:szCs w:val="20"/>
        </w:rPr>
        <w:t xml:space="preserve"> reconoce que (i) se le ha proporcionado la oportunidad de solicitar al Emisor, de revisar y que ha recibido, toda la información adicional que consideraba necesaria para verificar la exactitud o para complementar la información aquí incluida, (ii) dicha persona no se ha basado en el análisis de</w:t>
      </w:r>
      <w:r w:rsidR="004B7EB4" w:rsidRPr="00D354AB">
        <w:rPr>
          <w:sz w:val="20"/>
          <w:szCs w:val="20"/>
        </w:rPr>
        <w:t xml:space="preserve"> </w:t>
      </w:r>
      <w:r w:rsidRPr="00D354AB">
        <w:rPr>
          <w:sz w:val="20"/>
          <w:szCs w:val="20"/>
        </w:rPr>
        <w:t>l</w:t>
      </w:r>
      <w:r w:rsidR="004B7EB4" w:rsidRPr="00D354AB">
        <w:rPr>
          <w:sz w:val="20"/>
          <w:szCs w:val="20"/>
        </w:rPr>
        <w:t>os</w:t>
      </w:r>
      <w:r w:rsidRPr="00D354AB">
        <w:rPr>
          <w:sz w:val="20"/>
          <w:szCs w:val="20"/>
        </w:rPr>
        <w:t xml:space="preserve"> Organizador</w:t>
      </w:r>
      <w:r w:rsidR="004B7EB4" w:rsidRPr="00D354AB">
        <w:rPr>
          <w:sz w:val="20"/>
          <w:szCs w:val="20"/>
        </w:rPr>
        <w:t>es</w:t>
      </w:r>
      <w:r w:rsidRPr="00D354AB">
        <w:rPr>
          <w:sz w:val="20"/>
          <w:szCs w:val="20"/>
        </w:rPr>
        <w:t xml:space="preserve"> o de los Colocadores ni de ninguna persona vinculada con l</w:t>
      </w:r>
      <w:r w:rsidR="004B7EB4" w:rsidRPr="00D354AB">
        <w:rPr>
          <w:sz w:val="20"/>
          <w:szCs w:val="20"/>
        </w:rPr>
        <w:t>os</w:t>
      </w:r>
      <w:r w:rsidRPr="00D354AB">
        <w:rPr>
          <w:sz w:val="20"/>
          <w:szCs w:val="20"/>
        </w:rPr>
        <w:t xml:space="preserve"> Organizador</w:t>
      </w:r>
      <w:r w:rsidR="004B7EB4" w:rsidRPr="00D354AB">
        <w:rPr>
          <w:sz w:val="20"/>
          <w:szCs w:val="20"/>
        </w:rPr>
        <w:t>es</w:t>
      </w:r>
      <w:r w:rsidRPr="00D354AB">
        <w:rPr>
          <w:sz w:val="20"/>
          <w:szCs w:val="20"/>
        </w:rPr>
        <w:t xml:space="preserve"> o los Colocadores respecto de la exactitud de dicha información o con respecto a su decisión de invertir, y (iii) ninguna persona ha sido autorizada a brindar información ni a realizar ninguna declaración referida al Emisor o a las Obligaciones Negociables (con la excepción de la incluida en el presente y los términos de la oferta de las Obligaciones Negociables) y, si esto hubiera ocurrido, no podrá tomarse como base dicha otra información o declaración como si hubiera sido autorizada por el Emisor, </w:t>
      </w:r>
      <w:r w:rsidR="00DA1AC2" w:rsidRPr="00D354AB">
        <w:rPr>
          <w:sz w:val="20"/>
          <w:szCs w:val="20"/>
        </w:rPr>
        <w:t>los Organizadores</w:t>
      </w:r>
      <w:r w:rsidRPr="00D354AB">
        <w:rPr>
          <w:sz w:val="20"/>
          <w:szCs w:val="20"/>
        </w:rPr>
        <w:t xml:space="preserve"> y los Colocadores. </w:t>
      </w:r>
    </w:p>
    <w:p w14:paraId="72CEA544" w14:textId="77777777" w:rsidR="00DF5641" w:rsidRPr="00D354AB" w:rsidRDefault="00DF5641" w:rsidP="00DF5641">
      <w:pPr>
        <w:pStyle w:val="Default"/>
        <w:jc w:val="both"/>
        <w:rPr>
          <w:sz w:val="20"/>
          <w:szCs w:val="20"/>
        </w:rPr>
      </w:pPr>
    </w:p>
    <w:p w14:paraId="7CA71564" w14:textId="37211A20" w:rsidR="00DF5641" w:rsidRPr="00D354AB" w:rsidRDefault="00DF5641" w:rsidP="00DF5641">
      <w:pPr>
        <w:pStyle w:val="Default"/>
        <w:jc w:val="both"/>
        <w:rPr>
          <w:sz w:val="20"/>
          <w:szCs w:val="20"/>
        </w:rPr>
      </w:pPr>
      <w:r w:rsidRPr="00D354AB">
        <w:rPr>
          <w:sz w:val="20"/>
          <w:szCs w:val="20"/>
        </w:rPr>
        <w:t>Los potenciales inversores deberán basarse únicamente en la información brindada por este Suplemento de Pr</w:t>
      </w:r>
      <w:r w:rsidR="00801F89" w:rsidRPr="00D354AB">
        <w:rPr>
          <w:sz w:val="20"/>
          <w:szCs w:val="20"/>
        </w:rPr>
        <w:t>ospecto</w:t>
      </w:r>
      <w:r w:rsidRPr="00D354AB">
        <w:rPr>
          <w:sz w:val="20"/>
          <w:szCs w:val="20"/>
        </w:rPr>
        <w:t xml:space="preserve"> y el Prospecto. El Emisor no ha autorizado a nadie a brindar otro tipo de información. El Emisor no está haciendo, y los Colocadores de las Obligaciones Negociables tampoco están haciendo, una oferta de las Obligaciones Negociables en cualquier jurisdicción donde dicha oferta no esté autorizada. </w:t>
      </w:r>
    </w:p>
    <w:p w14:paraId="30EC888D" w14:textId="77777777" w:rsidR="00DF5641" w:rsidRPr="00D354AB" w:rsidRDefault="00DF5641" w:rsidP="00DF5641">
      <w:pPr>
        <w:pStyle w:val="Default"/>
        <w:jc w:val="both"/>
        <w:rPr>
          <w:sz w:val="20"/>
          <w:szCs w:val="20"/>
        </w:rPr>
      </w:pPr>
    </w:p>
    <w:p w14:paraId="7D3F605C" w14:textId="38CA839D" w:rsidR="00DF5641" w:rsidRPr="00D354AB" w:rsidRDefault="00DF5641" w:rsidP="00DF5641">
      <w:pPr>
        <w:pStyle w:val="Default"/>
        <w:jc w:val="both"/>
        <w:rPr>
          <w:sz w:val="20"/>
          <w:szCs w:val="20"/>
        </w:rPr>
      </w:pPr>
      <w:r w:rsidRPr="00D354AB">
        <w:rPr>
          <w:sz w:val="20"/>
          <w:szCs w:val="20"/>
        </w:rPr>
        <w:t xml:space="preserve">Al tomar una decisión de inversión, los potenciales inversores deberán basarse en sus propias evaluaciones sobre el Emisor, y los términos de la oferta, incluyendo las ventajas y riesgos involucrados. En este sentido, se sugiere a los inversores revisar el Capítulo II </w:t>
      </w:r>
      <w:r w:rsidRPr="00D354AB">
        <w:rPr>
          <w:i/>
          <w:iCs/>
          <w:sz w:val="20"/>
          <w:szCs w:val="20"/>
        </w:rPr>
        <w:t xml:space="preserve">“Factores de Riesgo” </w:t>
      </w:r>
      <w:r w:rsidRPr="00D354AB">
        <w:rPr>
          <w:sz w:val="20"/>
          <w:szCs w:val="20"/>
        </w:rPr>
        <w:t>del Prospecto y bajo el título respectivo de este Suplemento de Pro</w:t>
      </w:r>
      <w:r w:rsidR="00801F89" w:rsidRPr="00D354AB">
        <w:rPr>
          <w:sz w:val="20"/>
          <w:szCs w:val="20"/>
        </w:rPr>
        <w:t>specto</w:t>
      </w:r>
      <w:r w:rsidRPr="00D354AB">
        <w:rPr>
          <w:sz w:val="20"/>
          <w:szCs w:val="20"/>
        </w:rPr>
        <w:t xml:space="preserve">. </w:t>
      </w:r>
      <w:r w:rsidRPr="00D354AB">
        <w:rPr>
          <w:sz w:val="20"/>
          <w:szCs w:val="20"/>
          <w:lang w:val="es-AR"/>
        </w:rPr>
        <w:t xml:space="preserve">La presente emisión de Obligaciones Negociables Clase XVII se realiza bajo el Régimen de Emisor Frecuente, cuya solicitud fue tratada por reunión del Directorio del Emisor de fecha 6 de agosto de 2018 y ratificado en forma expresa por Asamblea de fecha 11 de marzo de 2019. </w:t>
      </w:r>
      <w:r w:rsidRPr="00D354AB">
        <w:rPr>
          <w:sz w:val="20"/>
          <w:szCs w:val="20"/>
        </w:rPr>
        <w:t>La emisión de las Obligaciones Negociables fue tratada por el Directorio del Emisor en su reuni</w:t>
      </w:r>
      <w:r w:rsidR="003A263E" w:rsidRPr="00D354AB">
        <w:rPr>
          <w:sz w:val="20"/>
          <w:szCs w:val="20"/>
        </w:rPr>
        <w:t>o</w:t>
      </w:r>
      <w:r w:rsidRPr="00D354AB">
        <w:rPr>
          <w:sz w:val="20"/>
          <w:szCs w:val="20"/>
        </w:rPr>
        <w:t>n</w:t>
      </w:r>
      <w:r w:rsidR="003A263E" w:rsidRPr="00D354AB">
        <w:rPr>
          <w:sz w:val="20"/>
          <w:szCs w:val="20"/>
        </w:rPr>
        <w:t>es</w:t>
      </w:r>
      <w:r w:rsidRPr="00D354AB">
        <w:rPr>
          <w:sz w:val="20"/>
          <w:szCs w:val="20"/>
        </w:rPr>
        <w:t xml:space="preserve"> de fecha</w:t>
      </w:r>
      <w:r w:rsidR="003A263E" w:rsidRPr="00D354AB">
        <w:rPr>
          <w:sz w:val="20"/>
          <w:szCs w:val="20"/>
        </w:rPr>
        <w:t>s</w:t>
      </w:r>
      <w:r w:rsidRPr="00D354AB">
        <w:rPr>
          <w:sz w:val="20"/>
          <w:szCs w:val="20"/>
        </w:rPr>
        <w:t xml:space="preserve"> 1º </w:t>
      </w:r>
      <w:r w:rsidR="00F1209F" w:rsidRPr="00D354AB">
        <w:rPr>
          <w:sz w:val="20"/>
          <w:szCs w:val="20"/>
        </w:rPr>
        <w:t xml:space="preserve">de </w:t>
      </w:r>
      <w:r w:rsidRPr="00D354AB">
        <w:rPr>
          <w:sz w:val="20"/>
          <w:szCs w:val="20"/>
        </w:rPr>
        <w:t>abril</w:t>
      </w:r>
      <w:r w:rsidR="00F1209F" w:rsidRPr="00D354AB">
        <w:rPr>
          <w:sz w:val="20"/>
          <w:szCs w:val="20"/>
        </w:rPr>
        <w:t xml:space="preserve"> </w:t>
      </w:r>
      <w:r w:rsidRPr="00D354AB">
        <w:rPr>
          <w:sz w:val="20"/>
          <w:szCs w:val="20"/>
        </w:rPr>
        <w:t>de 2019</w:t>
      </w:r>
      <w:r w:rsidR="003A263E" w:rsidRPr="00D354AB">
        <w:rPr>
          <w:sz w:val="20"/>
          <w:szCs w:val="20"/>
        </w:rPr>
        <w:t xml:space="preserve"> y 3 de diciembre de 2019</w:t>
      </w:r>
      <w:r w:rsidRPr="00D354AB">
        <w:rPr>
          <w:sz w:val="20"/>
          <w:szCs w:val="20"/>
        </w:rPr>
        <w:t xml:space="preserve">. </w:t>
      </w:r>
    </w:p>
    <w:p w14:paraId="0360B325" w14:textId="77777777" w:rsidR="00DF5641" w:rsidRPr="00D354AB" w:rsidRDefault="00DF5641" w:rsidP="00DF5641">
      <w:pPr>
        <w:pStyle w:val="Default"/>
        <w:jc w:val="both"/>
        <w:rPr>
          <w:sz w:val="20"/>
          <w:szCs w:val="20"/>
        </w:rPr>
      </w:pPr>
    </w:p>
    <w:p w14:paraId="39DE2942" w14:textId="63605F8B" w:rsidR="00DF5641" w:rsidRPr="00D354AB" w:rsidRDefault="00DF5641" w:rsidP="005451AF">
      <w:pPr>
        <w:pStyle w:val="Default"/>
        <w:jc w:val="both"/>
        <w:rPr>
          <w:smallCaps/>
          <w:sz w:val="20"/>
          <w:szCs w:val="20"/>
          <w:lang w:val="es-MX"/>
        </w:rPr>
      </w:pPr>
      <w:r w:rsidRPr="00D354AB">
        <w:rPr>
          <w:sz w:val="20"/>
          <w:szCs w:val="20"/>
        </w:rPr>
        <w:t>Los términos en mayúscula que no se encuentren definidos en el presente Suplemento</w:t>
      </w:r>
      <w:r w:rsidR="004E48E6" w:rsidRPr="00D354AB">
        <w:rPr>
          <w:sz w:val="20"/>
          <w:szCs w:val="20"/>
        </w:rPr>
        <w:t xml:space="preserve"> de Prospecto</w:t>
      </w:r>
      <w:r w:rsidRPr="00D354AB">
        <w:rPr>
          <w:sz w:val="20"/>
          <w:szCs w:val="20"/>
        </w:rPr>
        <w:t>, tendrán el significado y alcance que se les otorga en el Prospecto. Asimismo, los términos definidos se utilizan indistintamente en plural y en singular.</w:t>
      </w:r>
    </w:p>
    <w:p w14:paraId="1AE1A298" w14:textId="77777777" w:rsidR="00DF5641" w:rsidRPr="00D354AB" w:rsidRDefault="00DF5641" w:rsidP="00DF5641">
      <w:pPr>
        <w:widowControl w:val="0"/>
        <w:jc w:val="both"/>
        <w:rPr>
          <w:smallCaps/>
          <w:sz w:val="20"/>
          <w:szCs w:val="20"/>
          <w:lang w:val="es-AR"/>
        </w:rPr>
      </w:pPr>
    </w:p>
    <w:p w14:paraId="5D275DFC" w14:textId="4C27DEFF" w:rsidR="00DF5641" w:rsidRPr="00D354AB" w:rsidRDefault="003A263E" w:rsidP="00DF5641">
      <w:pPr>
        <w:pStyle w:val="Default"/>
        <w:jc w:val="both"/>
        <w:rPr>
          <w:b/>
          <w:bCs/>
          <w:sz w:val="20"/>
          <w:szCs w:val="20"/>
        </w:rPr>
      </w:pPr>
      <w:r w:rsidRPr="00D354AB">
        <w:rPr>
          <w:b/>
          <w:bCs/>
          <w:sz w:val="20"/>
          <w:szCs w:val="20"/>
        </w:rPr>
        <w:t>Los Organizadores</w:t>
      </w:r>
      <w:r w:rsidR="00DF5641" w:rsidRPr="00D354AB">
        <w:rPr>
          <w:b/>
          <w:bCs/>
          <w:sz w:val="20"/>
          <w:szCs w:val="20"/>
        </w:rPr>
        <w:t xml:space="preserve"> y Colocadores ofrecerán públicamente las Obligaciones Negociables en los términos del artículo 2 de la Ley de Mercado de Capitales, efectuando a tal efecto los esfuerzos de colocación descriptos en la sección “</w:t>
      </w:r>
      <w:r w:rsidR="00DF5641" w:rsidRPr="00D354AB">
        <w:rPr>
          <w:b/>
          <w:bCs/>
          <w:i/>
          <w:iCs/>
          <w:sz w:val="20"/>
          <w:szCs w:val="20"/>
        </w:rPr>
        <w:t>Plan de Distribución</w:t>
      </w:r>
      <w:r w:rsidR="00DF5641" w:rsidRPr="00D354AB">
        <w:rPr>
          <w:b/>
          <w:bCs/>
          <w:sz w:val="20"/>
          <w:szCs w:val="20"/>
        </w:rPr>
        <w:t>” en el punto “</w:t>
      </w:r>
      <w:r w:rsidR="00DF5641" w:rsidRPr="00D354AB">
        <w:rPr>
          <w:b/>
          <w:bCs/>
          <w:i/>
          <w:iCs/>
          <w:sz w:val="20"/>
          <w:szCs w:val="20"/>
        </w:rPr>
        <w:t>Esfuerzos de Colocación”</w:t>
      </w:r>
      <w:r w:rsidR="00DF5641" w:rsidRPr="00D354AB">
        <w:rPr>
          <w:b/>
          <w:bCs/>
          <w:sz w:val="20"/>
          <w:szCs w:val="20"/>
        </w:rPr>
        <w:t xml:space="preserve">, a fin de que se goce de los beneficios impositivos. No obstante, se insta a los inversores a consultar a sus propios asesores al respecto. </w:t>
      </w:r>
    </w:p>
    <w:p w14:paraId="4A4D724D" w14:textId="77777777" w:rsidR="00DF5641" w:rsidRPr="00D354AB" w:rsidRDefault="00DF5641" w:rsidP="00DF5641">
      <w:pPr>
        <w:pStyle w:val="Default"/>
        <w:jc w:val="both"/>
        <w:rPr>
          <w:sz w:val="20"/>
          <w:szCs w:val="20"/>
        </w:rPr>
      </w:pPr>
    </w:p>
    <w:p w14:paraId="1826C114" w14:textId="30A2C8FC" w:rsidR="00DF5641" w:rsidRPr="00D354AB" w:rsidRDefault="00DF5641" w:rsidP="00DF5641">
      <w:pPr>
        <w:pStyle w:val="Default"/>
        <w:jc w:val="both"/>
        <w:rPr>
          <w:sz w:val="20"/>
          <w:szCs w:val="20"/>
        </w:rPr>
      </w:pPr>
      <w:r w:rsidRPr="00D354AB">
        <w:rPr>
          <w:sz w:val="20"/>
          <w:szCs w:val="20"/>
        </w:rPr>
        <w:t>En relación con la emisión de las Obligaciones Negociables, los Colocadores que participen en su colocación y distribución por cuenta propia o por cuenta del Emisor podrán realizar operaciones destinadas a estabilizar el precio de mercado de las Obligaciones Negociables, conforme el Artículo 12 del Capítulo IV, Título VI de las Normas de la CNV. Dichas operaciones deberán ajustarse a las siguientes condiciones:</w:t>
      </w:r>
    </w:p>
    <w:p w14:paraId="21C9CC39" w14:textId="77777777" w:rsidR="00DF5641" w:rsidRPr="00D354AB" w:rsidRDefault="00DF5641" w:rsidP="00DF5641">
      <w:pPr>
        <w:pStyle w:val="Default"/>
        <w:jc w:val="both"/>
        <w:rPr>
          <w:sz w:val="20"/>
          <w:szCs w:val="20"/>
        </w:rPr>
      </w:pPr>
      <w:r w:rsidRPr="00D354AB">
        <w:rPr>
          <w:sz w:val="20"/>
          <w:szCs w:val="20"/>
        </w:rPr>
        <w:t xml:space="preserve"> </w:t>
      </w:r>
    </w:p>
    <w:p w14:paraId="55AC63C6" w14:textId="77777777" w:rsidR="00DF5641" w:rsidRPr="00D354AB" w:rsidRDefault="00DF5641" w:rsidP="00DF5641">
      <w:pPr>
        <w:pStyle w:val="Prrafodelista"/>
        <w:widowControl w:val="0"/>
        <w:numPr>
          <w:ilvl w:val="0"/>
          <w:numId w:val="29"/>
        </w:numPr>
        <w:jc w:val="both"/>
        <w:rPr>
          <w:sz w:val="20"/>
          <w:szCs w:val="20"/>
          <w:lang w:val="es-MX"/>
        </w:rPr>
      </w:pPr>
      <w:r w:rsidRPr="00D354AB">
        <w:rPr>
          <w:sz w:val="20"/>
          <w:szCs w:val="20"/>
          <w:lang w:val="es-MX"/>
        </w:rPr>
        <w:t>No podrán extenderse más allá de los primeros 30 días corridos desde el primer día en el cual se haya iniciado la negociación de las Obligaciones Negociables en el Mercado donde se listasen las mismas;</w:t>
      </w:r>
    </w:p>
    <w:p w14:paraId="517C7E31" w14:textId="77777777" w:rsidR="00DF5641" w:rsidRPr="00D354AB" w:rsidRDefault="00DF5641" w:rsidP="00DF5641">
      <w:pPr>
        <w:pStyle w:val="Default"/>
        <w:numPr>
          <w:ilvl w:val="0"/>
          <w:numId w:val="29"/>
        </w:numPr>
        <w:rPr>
          <w:sz w:val="20"/>
          <w:szCs w:val="20"/>
        </w:rPr>
      </w:pPr>
      <w:r w:rsidRPr="00D354AB">
        <w:rPr>
          <w:sz w:val="20"/>
          <w:szCs w:val="20"/>
        </w:rPr>
        <w:t xml:space="preserve">Sólo podrán realizarse operaciones de estabilización destinadas a evitar o moderar las alteraciones bruscas en el precio al cual se negocien las Obligaciones Negociables que han sido objeto de colocación primaria por medio del sistema de subasta o licitación pública; </w:t>
      </w:r>
    </w:p>
    <w:p w14:paraId="300200C8" w14:textId="77777777" w:rsidR="00DF5641" w:rsidRPr="00D354AB" w:rsidRDefault="00DF5641" w:rsidP="00DF5641">
      <w:pPr>
        <w:pStyle w:val="Default"/>
        <w:numPr>
          <w:ilvl w:val="0"/>
          <w:numId w:val="29"/>
        </w:numPr>
        <w:rPr>
          <w:sz w:val="20"/>
          <w:szCs w:val="20"/>
        </w:rPr>
      </w:pPr>
      <w:r w:rsidRPr="00D354AB">
        <w:rPr>
          <w:sz w:val="20"/>
          <w:szCs w:val="20"/>
        </w:rPr>
        <w:t xml:space="preserve">Ninguna operación de estabilización que se realice en el período autorizado podrá efectuarse a precios superiores a aquellos a los que se haya negociado las obligaciones negociables en cuestión en los mercados autorizados, en operaciones entre partes no vinculadas con la organización, distribución y colocación; </w:t>
      </w:r>
    </w:p>
    <w:p w14:paraId="57E4D079" w14:textId="77777777" w:rsidR="00DF5641" w:rsidRPr="00D354AB" w:rsidRDefault="00DF5641" w:rsidP="00DF5641">
      <w:pPr>
        <w:pStyle w:val="Default"/>
        <w:numPr>
          <w:ilvl w:val="0"/>
          <w:numId w:val="29"/>
        </w:numPr>
        <w:rPr>
          <w:sz w:val="20"/>
          <w:szCs w:val="20"/>
        </w:rPr>
      </w:pPr>
      <w:r w:rsidRPr="00D354AB">
        <w:rPr>
          <w:sz w:val="20"/>
          <w:szCs w:val="20"/>
        </w:rPr>
        <w:t xml:space="preserve">Ninguna operación de estabilización podrá realizarse a precios superiores al de la colocación inicial; y </w:t>
      </w:r>
    </w:p>
    <w:p w14:paraId="001E874E" w14:textId="2AEE4182" w:rsidR="00DF5641" w:rsidRPr="00D354AB" w:rsidRDefault="00DF5641" w:rsidP="00DF5641">
      <w:pPr>
        <w:pStyle w:val="Prrafodelista"/>
        <w:widowControl w:val="0"/>
        <w:numPr>
          <w:ilvl w:val="0"/>
          <w:numId w:val="29"/>
        </w:numPr>
        <w:jc w:val="both"/>
        <w:rPr>
          <w:smallCaps/>
          <w:sz w:val="20"/>
          <w:szCs w:val="20"/>
          <w:lang w:val="es-MX"/>
        </w:rPr>
      </w:pPr>
      <w:r w:rsidRPr="00D354AB">
        <w:rPr>
          <w:sz w:val="20"/>
          <w:szCs w:val="20"/>
          <w:lang w:val="es-MX"/>
        </w:rPr>
        <w:t>Los mercados deberán individualizar como tales y hacer públicas las operaciones de estabilización, ya fuere en cada operación individual o al cierre diario de las operaciones.</w:t>
      </w:r>
    </w:p>
    <w:p w14:paraId="1153EF99" w14:textId="02DBB6D0" w:rsidR="008E76CF" w:rsidRPr="00D354AB" w:rsidRDefault="008E76CF" w:rsidP="008E76CF">
      <w:pPr>
        <w:widowControl w:val="0"/>
        <w:jc w:val="both"/>
        <w:rPr>
          <w:smallCaps/>
          <w:sz w:val="20"/>
          <w:szCs w:val="20"/>
          <w:lang w:val="es-MX"/>
        </w:rPr>
      </w:pPr>
    </w:p>
    <w:p w14:paraId="3B03B9CA" w14:textId="6EC9C6C8" w:rsidR="008E76CF" w:rsidRPr="00D354AB" w:rsidRDefault="003A263E" w:rsidP="00D20C68">
      <w:pPr>
        <w:widowControl w:val="0"/>
        <w:outlineLvl w:val="0"/>
        <w:rPr>
          <w:b/>
          <w:sz w:val="20"/>
          <w:szCs w:val="20"/>
          <w:lang w:val="es-MX"/>
        </w:rPr>
      </w:pPr>
      <w:r w:rsidRPr="00D354AB">
        <w:rPr>
          <w:b/>
          <w:sz w:val="20"/>
          <w:szCs w:val="20"/>
          <w:lang w:val="es-MX"/>
        </w:rPr>
        <w:t>AVISO A LOS INVERSORES SOBRE NORMATIVA REFERENTE A PREVENCIÓN DE LAVADO DE ACTIVOS Y FINANCIACIÓN DEL TERRORISMO</w:t>
      </w:r>
    </w:p>
    <w:p w14:paraId="2D1640B6" w14:textId="52B82FA2" w:rsidR="007E1807" w:rsidRPr="00655E50" w:rsidRDefault="007E1807" w:rsidP="007E1807">
      <w:pPr>
        <w:spacing w:before="120" w:after="120" w:line="276" w:lineRule="auto"/>
        <w:jc w:val="both"/>
        <w:rPr>
          <w:sz w:val="20"/>
          <w:szCs w:val="20"/>
          <w:lang w:val="es-AR" w:eastAsia="es-ES"/>
        </w:rPr>
      </w:pPr>
      <w:r w:rsidRPr="00655E50">
        <w:rPr>
          <w:bCs/>
          <w:sz w:val="20"/>
          <w:szCs w:val="20"/>
          <w:lang w:val="es-AR" w:eastAsia="es-ES"/>
        </w:rPr>
        <w:t>El sistema argentino de prevención del lavado de activos y contra el financiamiento del terrorismo (“</w:t>
      </w:r>
      <w:r w:rsidRPr="00655E50">
        <w:rPr>
          <w:bCs/>
          <w:sz w:val="20"/>
          <w:szCs w:val="20"/>
          <w:u w:val="single"/>
          <w:lang w:val="es-AR" w:eastAsia="es-ES"/>
        </w:rPr>
        <w:t>PLAFT</w:t>
      </w:r>
      <w:r w:rsidRPr="00655E50">
        <w:rPr>
          <w:bCs/>
          <w:sz w:val="20"/>
          <w:szCs w:val="20"/>
          <w:lang w:val="es-AR" w:eastAsia="es-ES"/>
        </w:rPr>
        <w:t>”) se encuentra vinculado con el proceso de adopción de los estándares normativos internacionales y las Recomendaciones del Grupo de Acción Financiera Internacional (“</w:t>
      </w:r>
      <w:r w:rsidRPr="00655E50">
        <w:rPr>
          <w:bCs/>
          <w:sz w:val="20"/>
          <w:szCs w:val="20"/>
          <w:u w:val="single"/>
          <w:lang w:val="es-AR" w:eastAsia="es-ES"/>
        </w:rPr>
        <w:t>GAFI</w:t>
      </w:r>
      <w:r w:rsidRPr="00655E50">
        <w:rPr>
          <w:bCs/>
          <w:sz w:val="20"/>
          <w:szCs w:val="20"/>
          <w:lang w:val="es-AR" w:eastAsia="es-ES"/>
        </w:rPr>
        <w:t xml:space="preserve">”). </w:t>
      </w:r>
      <w:r w:rsidRPr="00655E50">
        <w:rPr>
          <w:sz w:val="20"/>
          <w:szCs w:val="20"/>
          <w:lang w:val="es-AR" w:eastAsia="es-ES"/>
        </w:rPr>
        <w:t>El 13 de abril de 2000, el Congreso sancionó la Ley Nº 25.246, modificada y/o complementada, entre otras normas, por las Leyes Nº 26.087, 26.119, 26.268, 26.683, 26.831, 26.860, 27.260, 27.304, 27.440, 27.446, 27.508 y Decreto DNU 27/2018 (la “</w:t>
      </w:r>
      <w:r w:rsidRPr="00655E50">
        <w:rPr>
          <w:sz w:val="20"/>
          <w:szCs w:val="20"/>
          <w:u w:val="single"/>
          <w:lang w:val="es-AR" w:eastAsia="es-ES"/>
        </w:rPr>
        <w:t>Ley de Prevención del Lavado de Activos</w:t>
      </w:r>
      <w:r w:rsidRPr="00655E50">
        <w:rPr>
          <w:sz w:val="20"/>
          <w:szCs w:val="20"/>
          <w:lang w:val="es-AR" w:eastAsia="es-ES"/>
        </w:rPr>
        <w:t xml:space="preserve">”) que, </w:t>
      </w:r>
      <w:r w:rsidRPr="00655E50">
        <w:rPr>
          <w:sz w:val="20"/>
          <w:szCs w:val="20"/>
          <w:lang w:val="es-AR" w:eastAsia="es-ES"/>
        </w:rPr>
        <w:lastRenderedPageBreak/>
        <w:t>entre otras cuestiones, reformó el Código Penal Argentino tipificando el delito de lavado de activos y la Ley Nº 26.734 tipificó el delito de financiación del terrorismo. La Ley de Prevención del Lavado de Activos se encuentra actualmente reglamentada por el Decreto N° 290/2007 (modificado por el Decreto N° 1936/2010, modificado y/o complementado a su vez por los Decretos N° 146/2016 y 360/2016, entre otras normas). La República Argentina también ha aprobado y ratificado, entre otras, a la Convención de las Naciones Unidas contra el tráfico ilícito de estupefacientes y sustancias sicotrópicas o Convención de Viena de 1988 (Ley Nº 24.072), la Convención de las Naciones Unidas contra la delincuencia organizada transnacional o Convención de Palermo de 2001 (Ley Nº 25.632), la Convención de las Naciones Unidas contra la corrupción o Convención de Mérida de 2003 (Ley Nº 26.097), la Convención Interamericana contra la corrupción (Ley Nº 24.759) y el Convenio Internacional para la Represión de la Financiación del Terrorismo (Ley Nº 26.024), la Convención para Combatir el Cohecho de Servidores Públicos Extranjeros en Transacciones Comerciales Internacionales o Convención OCDE sobre soborno transnacional (Ley Nº 25.319), la Convención Interamericana contra el Terrorismo (Ley Nº 26.023); aprobación de las Resolución 1267 (1999) y 1373 (2001) del Consejo de Seguridad de las Naciones Unidas (“</w:t>
      </w:r>
      <w:r w:rsidRPr="00655E50">
        <w:rPr>
          <w:sz w:val="20"/>
          <w:szCs w:val="20"/>
          <w:u w:val="single"/>
          <w:lang w:val="es-AR" w:eastAsia="es-ES"/>
        </w:rPr>
        <w:t>CSNU</w:t>
      </w:r>
      <w:r w:rsidRPr="00655E50">
        <w:rPr>
          <w:sz w:val="20"/>
          <w:szCs w:val="20"/>
          <w:lang w:val="es-AR" w:eastAsia="es-ES"/>
        </w:rPr>
        <w:t>”) por los Decretos 253/2000 y 1235/2001 respectivamente, como así también la publicidad de las Resoluciones del CSNU dispuesta por el Decreto 1521/2004 y sus normas modificatorias y/o complementarias.</w:t>
      </w:r>
    </w:p>
    <w:p w14:paraId="49BD4D00" w14:textId="77777777" w:rsidR="007E1807" w:rsidRPr="00655E50" w:rsidRDefault="007E1807" w:rsidP="007E1807">
      <w:pPr>
        <w:spacing w:before="120" w:after="120" w:line="276" w:lineRule="auto"/>
        <w:jc w:val="both"/>
        <w:rPr>
          <w:sz w:val="20"/>
          <w:szCs w:val="20"/>
          <w:lang w:val="es-AR" w:eastAsia="es-ES"/>
        </w:rPr>
      </w:pPr>
      <w:r w:rsidRPr="00655E50">
        <w:rPr>
          <w:sz w:val="20"/>
          <w:szCs w:val="20"/>
          <w:lang w:val="es-AR" w:eastAsia="es-ES"/>
        </w:rPr>
        <w:t xml:space="preserve">La Ley de Prevención del Lavado de Activos creó la Unidad de Información Financiera (“UIF”), organismo que funciona con autonomía y autarquía financiera dentro de la órbita del Ministerio de Finanzas (la expresión “en jurisdicción del Ministerio de Haciendas y Finanzas Públicas de la Nación” fue sustituida por el “Ministerio de Finanzas” por el Decreto Nº 2/2017). La UIF tiene a su cargo el análisis, el tratamiento y la transmisión de información con el fin de prevenir e impedir el lavado de activos y financiación del terrorismo. </w:t>
      </w:r>
    </w:p>
    <w:p w14:paraId="7E3FCC64" w14:textId="77777777" w:rsidR="007E1807" w:rsidRPr="00655E50" w:rsidRDefault="007E1807" w:rsidP="007E1807">
      <w:pPr>
        <w:spacing w:before="120" w:after="120" w:line="276" w:lineRule="auto"/>
        <w:jc w:val="both"/>
        <w:rPr>
          <w:sz w:val="20"/>
          <w:szCs w:val="20"/>
          <w:lang w:val="es-AR" w:eastAsia="es-ES"/>
        </w:rPr>
      </w:pPr>
      <w:r w:rsidRPr="00655E50">
        <w:rPr>
          <w:sz w:val="20"/>
          <w:szCs w:val="20"/>
          <w:lang w:val="es-AR" w:eastAsia="es-ES"/>
        </w:rPr>
        <w:t xml:space="preserve">La Ley Nº 26.683 creó un nuevo título en el libro segundo del Código Penal denominado “Delitos contra el orden económico y financiero”, incorporando, entre otros los artículos 303 y 304. El artículo 303 establece: </w:t>
      </w:r>
    </w:p>
    <w:p w14:paraId="70911EE6" w14:textId="77777777" w:rsidR="007E1807" w:rsidRPr="00655E50" w:rsidRDefault="007E1807" w:rsidP="007E1807">
      <w:pPr>
        <w:spacing w:before="120" w:after="120" w:line="276" w:lineRule="auto"/>
        <w:jc w:val="both"/>
        <w:rPr>
          <w:i/>
          <w:sz w:val="20"/>
          <w:szCs w:val="20"/>
          <w:lang w:val="es-AR" w:eastAsia="es-ES"/>
        </w:rPr>
      </w:pPr>
      <w:r w:rsidRPr="00655E50">
        <w:rPr>
          <w:sz w:val="20"/>
          <w:szCs w:val="20"/>
          <w:lang w:val="es-AR" w:eastAsia="es-ES"/>
        </w:rPr>
        <w:t>“</w:t>
      </w:r>
      <w:r w:rsidRPr="00655E50">
        <w:rPr>
          <w:i/>
          <w:sz w:val="20"/>
          <w:szCs w:val="20"/>
          <w:lang w:val="es-AR" w:eastAsia="es-ES"/>
        </w:rPr>
        <w:t>1) Será reprimido con prisión de tres (3) a diez (10) años y multa de dos (2) a diez (10) veces del monto de la operación, el que convirtiere, transfiriere, administrare, vendiere, gravare, disimulare o de cualquier otro modo pusiere en circulación en el mercado, bienes provenientes de un ilícito penal, con la consecuencia posible de que el origen de los bienes originarios o los subrogantes adquieran la apariencia de un origen lícito, y siempre que su valor supere la suma de pesos trescientos mil ($300.000), sea en un solo acto o por la reiteración de hechos diversos vinculados entre sí.</w:t>
      </w:r>
    </w:p>
    <w:p w14:paraId="0A5B4017" w14:textId="77777777" w:rsidR="007E1807" w:rsidRPr="00655E50" w:rsidRDefault="007E1807" w:rsidP="007E1807">
      <w:pPr>
        <w:spacing w:before="120" w:after="120" w:line="276" w:lineRule="auto"/>
        <w:jc w:val="both"/>
        <w:rPr>
          <w:i/>
          <w:sz w:val="20"/>
          <w:szCs w:val="20"/>
          <w:lang w:val="es-AR" w:eastAsia="es-ES"/>
        </w:rPr>
      </w:pPr>
      <w:r w:rsidRPr="00655E50">
        <w:rPr>
          <w:i/>
          <w:sz w:val="20"/>
          <w:szCs w:val="20"/>
          <w:lang w:val="es-AR" w:eastAsia="es-ES"/>
        </w:rPr>
        <w:t>2) La pena prevista en el inciso 1 será aumentada en un tercio del máximo y en la mitad del mínimo, en los siguientes casos:</w:t>
      </w:r>
    </w:p>
    <w:p w14:paraId="69B6606F" w14:textId="77777777" w:rsidR="007E1807" w:rsidRPr="00655E50" w:rsidRDefault="007E1807" w:rsidP="007E1807">
      <w:pPr>
        <w:spacing w:before="120" w:after="120" w:line="276" w:lineRule="auto"/>
        <w:ind w:left="851"/>
        <w:jc w:val="both"/>
        <w:rPr>
          <w:i/>
          <w:sz w:val="20"/>
          <w:szCs w:val="20"/>
          <w:lang w:val="es-AR" w:eastAsia="es-ES"/>
        </w:rPr>
      </w:pPr>
      <w:r w:rsidRPr="00655E50">
        <w:rPr>
          <w:i/>
          <w:sz w:val="20"/>
          <w:szCs w:val="20"/>
          <w:lang w:val="es-AR" w:eastAsia="es-ES"/>
        </w:rPr>
        <w:t>a) Cuando el autor realizare el hecho con habitualidad o como miembro de una asociación o banda formada para la comisión continuada de hechos de esta naturaleza;</w:t>
      </w:r>
    </w:p>
    <w:p w14:paraId="149E775D" w14:textId="77777777" w:rsidR="007E1807" w:rsidRPr="00655E50" w:rsidRDefault="007E1807" w:rsidP="007E1807">
      <w:pPr>
        <w:spacing w:before="120" w:after="120" w:line="276" w:lineRule="auto"/>
        <w:ind w:left="851"/>
        <w:jc w:val="both"/>
        <w:rPr>
          <w:i/>
          <w:sz w:val="20"/>
          <w:szCs w:val="20"/>
          <w:lang w:val="es-AR" w:eastAsia="es-ES"/>
        </w:rPr>
      </w:pPr>
      <w:r w:rsidRPr="00655E50">
        <w:rPr>
          <w:i/>
          <w:sz w:val="20"/>
          <w:szCs w:val="20"/>
          <w:lang w:val="es-AR" w:eastAsia="es-ES"/>
        </w:rPr>
        <w:t>b) Cuando el autor fuera funcionario público que hubiera cometido el hecho en ejercicio u ocasión de sus funciones. En este caso, sufrirá además pena de inhabilitación especial de tres (3) a diez (10) años. La misma pena sufrirá el que hubiere actuado en ejercicio de una profesión u oficio que requirieran habilitación especial.</w:t>
      </w:r>
    </w:p>
    <w:p w14:paraId="1E55F9FD" w14:textId="77777777" w:rsidR="007E1807" w:rsidRPr="00655E50" w:rsidRDefault="007E1807" w:rsidP="007E1807">
      <w:pPr>
        <w:spacing w:before="120" w:after="120" w:line="276" w:lineRule="auto"/>
        <w:jc w:val="both"/>
        <w:rPr>
          <w:i/>
          <w:sz w:val="20"/>
          <w:szCs w:val="20"/>
          <w:lang w:val="es-AR" w:eastAsia="es-ES"/>
        </w:rPr>
      </w:pPr>
      <w:r w:rsidRPr="00655E50">
        <w:rPr>
          <w:i/>
          <w:sz w:val="20"/>
          <w:szCs w:val="20"/>
          <w:lang w:val="es-AR" w:eastAsia="es-ES"/>
        </w:rPr>
        <w:t>3) El que recibiere dinero u otros bienes provenientes de un ilícito penal, con el fin de hacerlos aplicar en una operación de las previstas en el inciso 1, que les dé la apariencia posible de un origen lícito, será reprimido con la pena de prisión de seis (6) meses a tres (3) años.</w:t>
      </w:r>
    </w:p>
    <w:p w14:paraId="63641229" w14:textId="77777777" w:rsidR="007E1807" w:rsidRPr="00655E50" w:rsidRDefault="007E1807" w:rsidP="007E1807">
      <w:pPr>
        <w:spacing w:before="120" w:after="120" w:line="276" w:lineRule="auto"/>
        <w:jc w:val="both"/>
        <w:rPr>
          <w:i/>
          <w:sz w:val="20"/>
          <w:szCs w:val="20"/>
          <w:lang w:val="es-AR" w:eastAsia="es-ES"/>
        </w:rPr>
      </w:pPr>
      <w:r w:rsidRPr="00655E50">
        <w:rPr>
          <w:i/>
          <w:sz w:val="20"/>
          <w:szCs w:val="20"/>
          <w:lang w:val="es-AR" w:eastAsia="es-ES"/>
        </w:rPr>
        <w:t>4) Si el valor de los bienes no superare la suma indicada en el inciso 1, el autor será reprimido con la pena de prisión de seis (6) meses a tres (3) años.</w:t>
      </w:r>
    </w:p>
    <w:p w14:paraId="11199207" w14:textId="77777777" w:rsidR="007E1807" w:rsidRPr="00655E50" w:rsidRDefault="007E1807" w:rsidP="007E1807">
      <w:pPr>
        <w:spacing w:before="120" w:after="120" w:line="276" w:lineRule="auto"/>
        <w:jc w:val="both"/>
        <w:rPr>
          <w:sz w:val="20"/>
          <w:szCs w:val="20"/>
          <w:lang w:val="es-AR" w:eastAsia="es-ES"/>
        </w:rPr>
      </w:pPr>
      <w:r w:rsidRPr="00655E50">
        <w:rPr>
          <w:i/>
          <w:sz w:val="20"/>
          <w:szCs w:val="20"/>
          <w:lang w:val="es-AR" w:eastAsia="es-ES"/>
        </w:rPr>
        <w:t>5) Las disposiciones de este artículo regirán aun cuando el ilícito penal precedente hubiera sido cometido fuera del ámbito de aplicación espacial de este Código, en tanto el hecho que lo tipificara también hubiera estado sancionado con pena en el lugar de su comisión</w:t>
      </w:r>
      <w:r w:rsidRPr="00655E50">
        <w:rPr>
          <w:sz w:val="20"/>
          <w:szCs w:val="20"/>
          <w:lang w:val="es-AR" w:eastAsia="es-ES"/>
        </w:rPr>
        <w:t>”.</w:t>
      </w:r>
    </w:p>
    <w:p w14:paraId="1D03D5EF" w14:textId="77777777" w:rsidR="007E1807" w:rsidRPr="00655E50" w:rsidRDefault="007E1807" w:rsidP="007E1807">
      <w:pPr>
        <w:spacing w:before="120" w:after="120" w:line="276" w:lineRule="auto"/>
        <w:jc w:val="both"/>
        <w:rPr>
          <w:sz w:val="20"/>
          <w:szCs w:val="20"/>
          <w:lang w:val="es-AR" w:eastAsia="es-ES"/>
        </w:rPr>
      </w:pPr>
      <w:r w:rsidRPr="00655E50">
        <w:rPr>
          <w:sz w:val="20"/>
          <w:szCs w:val="20"/>
          <w:lang w:val="es-AR" w:eastAsia="es-ES"/>
        </w:rPr>
        <w:t xml:space="preserve">Por su parte, el artículo 304 establece: </w:t>
      </w:r>
    </w:p>
    <w:p w14:paraId="3732FEED" w14:textId="77777777" w:rsidR="007E1807" w:rsidRPr="00655E50" w:rsidRDefault="007E1807" w:rsidP="007E1807">
      <w:pPr>
        <w:spacing w:before="120" w:after="120" w:line="276" w:lineRule="auto"/>
        <w:jc w:val="both"/>
        <w:rPr>
          <w:i/>
          <w:sz w:val="20"/>
          <w:szCs w:val="20"/>
          <w:lang w:val="es-AR" w:eastAsia="es-ES"/>
        </w:rPr>
      </w:pPr>
      <w:r w:rsidRPr="00655E50">
        <w:rPr>
          <w:sz w:val="20"/>
          <w:szCs w:val="20"/>
          <w:lang w:val="es-AR" w:eastAsia="es-ES"/>
        </w:rPr>
        <w:t>“</w:t>
      </w:r>
      <w:r w:rsidRPr="00655E50">
        <w:rPr>
          <w:i/>
          <w:sz w:val="20"/>
          <w:szCs w:val="20"/>
          <w:lang w:val="es-AR" w:eastAsia="es-ES"/>
        </w:rPr>
        <w:t xml:space="preserve">Cuando los hechos delictivos previstos en el artículo precedente hubieren sido realizados en nombre, o con la intervención, o en beneficio de una persona de existencia ideal, se impondrán a la entidad las siguientes sanciones conjunta o alternativamente: </w:t>
      </w:r>
    </w:p>
    <w:p w14:paraId="3A6AA06A" w14:textId="77777777" w:rsidR="007E1807" w:rsidRPr="00655E50" w:rsidRDefault="007E1807" w:rsidP="007E1807">
      <w:pPr>
        <w:spacing w:before="120" w:after="120" w:line="276" w:lineRule="auto"/>
        <w:jc w:val="both"/>
        <w:rPr>
          <w:i/>
          <w:sz w:val="20"/>
          <w:szCs w:val="20"/>
          <w:lang w:val="es-AR" w:eastAsia="es-ES"/>
        </w:rPr>
      </w:pPr>
      <w:r w:rsidRPr="00655E50">
        <w:rPr>
          <w:i/>
          <w:sz w:val="20"/>
          <w:szCs w:val="20"/>
          <w:lang w:val="es-AR" w:eastAsia="es-ES"/>
        </w:rPr>
        <w:t xml:space="preserve">1. Multa de dos (2) a diez (10) veces el valor de los bienes objeto del delito. </w:t>
      </w:r>
    </w:p>
    <w:p w14:paraId="2798E5F1" w14:textId="77777777" w:rsidR="007E1807" w:rsidRPr="00655E50" w:rsidRDefault="007E1807" w:rsidP="007E1807">
      <w:pPr>
        <w:spacing w:before="120" w:after="120" w:line="276" w:lineRule="auto"/>
        <w:jc w:val="both"/>
        <w:rPr>
          <w:i/>
          <w:sz w:val="20"/>
          <w:szCs w:val="20"/>
          <w:lang w:val="es-AR" w:eastAsia="es-ES"/>
        </w:rPr>
      </w:pPr>
      <w:r w:rsidRPr="00655E50">
        <w:rPr>
          <w:i/>
          <w:sz w:val="20"/>
          <w:szCs w:val="20"/>
          <w:lang w:val="es-AR" w:eastAsia="es-ES"/>
        </w:rPr>
        <w:t xml:space="preserve">2. Suspensión total o parcial de actividades, que en ningún caso podrá exceder de diez (10) años. </w:t>
      </w:r>
    </w:p>
    <w:p w14:paraId="2FBA0374" w14:textId="77777777" w:rsidR="007E1807" w:rsidRPr="00655E50" w:rsidRDefault="007E1807" w:rsidP="007E1807">
      <w:pPr>
        <w:spacing w:before="120" w:after="120" w:line="276" w:lineRule="auto"/>
        <w:jc w:val="both"/>
        <w:rPr>
          <w:i/>
          <w:sz w:val="20"/>
          <w:szCs w:val="20"/>
          <w:lang w:val="es-AR" w:eastAsia="es-ES"/>
        </w:rPr>
      </w:pPr>
      <w:r w:rsidRPr="00655E50">
        <w:rPr>
          <w:i/>
          <w:sz w:val="20"/>
          <w:szCs w:val="20"/>
          <w:lang w:val="es-AR" w:eastAsia="es-ES"/>
        </w:rPr>
        <w:t xml:space="preserve">3. Suspensión para participar en concursos o licitaciones estatales de obras o servicios públicos o en cualquier otra actividad vinculada con el Estado, que en ningún caso podrá exceder de diez (10) años. </w:t>
      </w:r>
    </w:p>
    <w:p w14:paraId="0E2335C3" w14:textId="77777777" w:rsidR="007E1807" w:rsidRPr="00655E50" w:rsidRDefault="007E1807" w:rsidP="007E1807">
      <w:pPr>
        <w:spacing w:before="120" w:after="120" w:line="276" w:lineRule="auto"/>
        <w:jc w:val="both"/>
        <w:rPr>
          <w:i/>
          <w:sz w:val="20"/>
          <w:szCs w:val="20"/>
          <w:lang w:val="es-AR" w:eastAsia="es-ES"/>
        </w:rPr>
      </w:pPr>
      <w:r w:rsidRPr="00655E50">
        <w:rPr>
          <w:i/>
          <w:sz w:val="20"/>
          <w:szCs w:val="20"/>
          <w:lang w:val="es-AR" w:eastAsia="es-ES"/>
        </w:rPr>
        <w:lastRenderedPageBreak/>
        <w:t xml:space="preserve">4. Cancelación de la personería cuando hubiese sido creada al solo efecto de la comisión del delito, o esos actos constituyan la principal actividad de la entidad. </w:t>
      </w:r>
    </w:p>
    <w:p w14:paraId="77D22B4A" w14:textId="77777777" w:rsidR="007E1807" w:rsidRPr="00655E50" w:rsidRDefault="007E1807" w:rsidP="007E1807">
      <w:pPr>
        <w:spacing w:before="120" w:after="120" w:line="276" w:lineRule="auto"/>
        <w:jc w:val="both"/>
        <w:rPr>
          <w:i/>
          <w:sz w:val="20"/>
          <w:szCs w:val="20"/>
          <w:lang w:val="es-AR" w:eastAsia="es-ES"/>
        </w:rPr>
      </w:pPr>
      <w:r w:rsidRPr="00655E50">
        <w:rPr>
          <w:i/>
          <w:sz w:val="20"/>
          <w:szCs w:val="20"/>
          <w:lang w:val="es-AR" w:eastAsia="es-ES"/>
        </w:rPr>
        <w:t xml:space="preserve">5. Pérdida o suspensión de los beneficios estatales que tuviere. </w:t>
      </w:r>
    </w:p>
    <w:p w14:paraId="54D3B197" w14:textId="77777777" w:rsidR="007E1807" w:rsidRPr="00655E50" w:rsidRDefault="007E1807" w:rsidP="007E1807">
      <w:pPr>
        <w:spacing w:before="120" w:after="120" w:line="276" w:lineRule="auto"/>
        <w:jc w:val="both"/>
        <w:rPr>
          <w:i/>
          <w:sz w:val="20"/>
          <w:szCs w:val="20"/>
          <w:lang w:val="es-AR" w:eastAsia="es-ES"/>
        </w:rPr>
      </w:pPr>
      <w:r w:rsidRPr="00655E50">
        <w:rPr>
          <w:i/>
          <w:sz w:val="20"/>
          <w:szCs w:val="20"/>
          <w:lang w:val="es-AR" w:eastAsia="es-ES"/>
        </w:rPr>
        <w:t xml:space="preserve">6. Publicación de un extracto de la sentencia condenatoria a costa de la persona jurídica. </w:t>
      </w:r>
    </w:p>
    <w:p w14:paraId="5850C37F" w14:textId="77777777" w:rsidR="007E1807" w:rsidRPr="00655E50" w:rsidRDefault="007E1807" w:rsidP="007E1807">
      <w:pPr>
        <w:spacing w:before="120" w:after="120" w:line="276" w:lineRule="auto"/>
        <w:jc w:val="both"/>
        <w:rPr>
          <w:i/>
          <w:sz w:val="20"/>
          <w:szCs w:val="20"/>
          <w:lang w:val="es-AR" w:eastAsia="es-ES"/>
        </w:rPr>
      </w:pPr>
      <w:r w:rsidRPr="00655E50">
        <w:rPr>
          <w:i/>
          <w:sz w:val="20"/>
          <w:szCs w:val="20"/>
          <w:lang w:val="es-AR" w:eastAsia="es-ES"/>
        </w:rPr>
        <w:t xml:space="preserve">Para graduar estas sanciones, los jueces tendrán en cuenta el incumplimiento de reglas y procedimientos internos, la omisión de vigilancia sobre la actividad de los autores y partícipes, la extensión del daño causado, el monto de dinero involucrado en la comisión del delito, el tamaño, la naturaleza y la capacidad económica de la persona jurídica. </w:t>
      </w:r>
    </w:p>
    <w:p w14:paraId="2D68D094" w14:textId="77777777" w:rsidR="007E1807" w:rsidRPr="00655E50" w:rsidRDefault="007E1807" w:rsidP="007E1807">
      <w:pPr>
        <w:spacing w:before="120" w:after="120" w:line="276" w:lineRule="auto"/>
        <w:jc w:val="both"/>
        <w:rPr>
          <w:sz w:val="20"/>
          <w:szCs w:val="20"/>
          <w:lang w:val="es-AR" w:eastAsia="es-ES"/>
        </w:rPr>
      </w:pPr>
      <w:r w:rsidRPr="00655E50">
        <w:rPr>
          <w:i/>
          <w:sz w:val="20"/>
          <w:szCs w:val="20"/>
          <w:lang w:val="es-AR" w:eastAsia="es-ES"/>
        </w:rPr>
        <w:t>Cuando fuere indispensable mantener la continuidad operativa de la entidad, o de una obra, o de un servicio en particular, no serán aplicables las sanciones previstas por el inciso 2 y el inciso 4”</w:t>
      </w:r>
      <w:r w:rsidRPr="00655E50">
        <w:rPr>
          <w:sz w:val="20"/>
          <w:szCs w:val="20"/>
          <w:lang w:val="es-AR" w:eastAsia="es-ES"/>
        </w:rPr>
        <w:t>.</w:t>
      </w:r>
    </w:p>
    <w:p w14:paraId="291697C2" w14:textId="77777777" w:rsidR="007E1807" w:rsidRPr="00655E50" w:rsidRDefault="007E1807" w:rsidP="007E1807">
      <w:pPr>
        <w:spacing w:before="120" w:after="120" w:line="276" w:lineRule="auto"/>
        <w:jc w:val="both"/>
        <w:rPr>
          <w:sz w:val="20"/>
          <w:szCs w:val="20"/>
          <w:lang w:val="es-AR" w:eastAsia="es-ES"/>
        </w:rPr>
      </w:pPr>
      <w:r w:rsidRPr="00655E50">
        <w:rPr>
          <w:sz w:val="20"/>
          <w:szCs w:val="20"/>
          <w:lang w:val="es-AR" w:eastAsia="es-ES"/>
        </w:rPr>
        <w:t xml:space="preserve">Asimismo, la Ley Nº 26.734 incorporó el artículo 41 quinquies y el artículo 306. El artículo 41 quinquies establece: </w:t>
      </w:r>
    </w:p>
    <w:p w14:paraId="62C8A6B8" w14:textId="77777777" w:rsidR="007E1807" w:rsidRPr="00655E50" w:rsidRDefault="007E1807" w:rsidP="007E1807">
      <w:pPr>
        <w:spacing w:before="120" w:after="120" w:line="276" w:lineRule="auto"/>
        <w:jc w:val="both"/>
        <w:rPr>
          <w:i/>
          <w:sz w:val="20"/>
          <w:szCs w:val="20"/>
          <w:lang w:val="es-AR" w:eastAsia="es-ES"/>
        </w:rPr>
      </w:pPr>
      <w:r w:rsidRPr="00655E50">
        <w:rPr>
          <w:sz w:val="20"/>
          <w:szCs w:val="20"/>
          <w:lang w:val="es-AR" w:eastAsia="es-ES"/>
        </w:rPr>
        <w:t>“</w:t>
      </w:r>
      <w:r w:rsidRPr="00655E50">
        <w:rPr>
          <w:i/>
          <w:sz w:val="20"/>
          <w:szCs w:val="20"/>
          <w:lang w:val="es-AR" w:eastAsia="es-ES"/>
        </w:rPr>
        <w:t>Cuando alguno de los delitos previstos en este Código hubiere sido cometido con la finalidad de aterrorizar a la población u obligar a las autoridades públicas nacionales o gobiernos extranjeros o agentes de una organización internacional a realizar un acto o abstenerse de hacerlo, la escala se incrementará en el doble del mínimo y el máximo.</w:t>
      </w:r>
    </w:p>
    <w:p w14:paraId="46B0D85B" w14:textId="77777777" w:rsidR="007E1807" w:rsidRPr="00655E50" w:rsidRDefault="007E1807" w:rsidP="007E1807">
      <w:pPr>
        <w:spacing w:before="120" w:after="120" w:line="276" w:lineRule="auto"/>
        <w:jc w:val="both"/>
        <w:rPr>
          <w:sz w:val="20"/>
          <w:szCs w:val="20"/>
          <w:lang w:val="es-AR" w:eastAsia="es-ES"/>
        </w:rPr>
      </w:pPr>
      <w:r w:rsidRPr="00655E50">
        <w:rPr>
          <w:i/>
          <w:sz w:val="20"/>
          <w:szCs w:val="20"/>
          <w:lang w:val="es-AR" w:eastAsia="es-ES"/>
        </w:rPr>
        <w:t>Las agravantes previstas en este artículo no se aplicarán cuando el o los hechos de que se traten tuvieren lugar en ocasión del ejercicio de derechos humanos y/o sociales o de cualquier otro derecho constitucional</w:t>
      </w:r>
      <w:r w:rsidRPr="00655E50">
        <w:rPr>
          <w:sz w:val="20"/>
          <w:szCs w:val="20"/>
          <w:lang w:val="es-AR" w:eastAsia="es-ES"/>
        </w:rPr>
        <w:t>”.</w:t>
      </w:r>
    </w:p>
    <w:p w14:paraId="0968EA09" w14:textId="77777777" w:rsidR="007E1807" w:rsidRPr="00655E50" w:rsidRDefault="007E1807" w:rsidP="007E1807">
      <w:pPr>
        <w:spacing w:before="120" w:after="120" w:line="276" w:lineRule="auto"/>
        <w:jc w:val="both"/>
        <w:rPr>
          <w:sz w:val="20"/>
          <w:szCs w:val="20"/>
          <w:lang w:val="es-AR" w:eastAsia="es-ES"/>
        </w:rPr>
      </w:pPr>
      <w:r w:rsidRPr="00655E50">
        <w:rPr>
          <w:sz w:val="20"/>
          <w:szCs w:val="20"/>
          <w:lang w:val="es-AR" w:eastAsia="es-ES"/>
        </w:rPr>
        <w:t xml:space="preserve">El artículo 306, por su parte, dispone: </w:t>
      </w:r>
    </w:p>
    <w:p w14:paraId="18E71FFB" w14:textId="77777777" w:rsidR="007E1807" w:rsidRPr="00655E50" w:rsidRDefault="007E1807" w:rsidP="007E1807">
      <w:pPr>
        <w:spacing w:before="120" w:after="120" w:line="276" w:lineRule="auto"/>
        <w:jc w:val="both"/>
        <w:rPr>
          <w:i/>
          <w:sz w:val="20"/>
          <w:szCs w:val="20"/>
          <w:lang w:val="es-AR" w:eastAsia="es-ES"/>
        </w:rPr>
      </w:pPr>
      <w:r w:rsidRPr="00655E50">
        <w:rPr>
          <w:sz w:val="20"/>
          <w:szCs w:val="20"/>
          <w:lang w:val="es-AR" w:eastAsia="es-ES"/>
        </w:rPr>
        <w:t>“</w:t>
      </w:r>
      <w:r w:rsidRPr="00655E50">
        <w:rPr>
          <w:i/>
          <w:sz w:val="20"/>
          <w:szCs w:val="20"/>
          <w:lang w:val="es-AR" w:eastAsia="es-ES"/>
        </w:rPr>
        <w:t>1. Será reprimido con prisión de cinco (5) a quince (15) años y multa de dos (2) a diez (10) veces del monto de la operación, el que directa o indirectamente recolectare o proveyere bienes o dinero, con la intención de que se utilicen, o a sabiendas de que serán utilizados, en todo o en parte:</w:t>
      </w:r>
    </w:p>
    <w:p w14:paraId="75C2A950" w14:textId="77777777" w:rsidR="007E1807" w:rsidRPr="00655E50" w:rsidRDefault="007E1807" w:rsidP="007E1807">
      <w:pPr>
        <w:spacing w:before="120" w:after="120" w:line="276" w:lineRule="auto"/>
        <w:ind w:left="851"/>
        <w:jc w:val="both"/>
        <w:rPr>
          <w:i/>
          <w:sz w:val="20"/>
          <w:szCs w:val="20"/>
          <w:lang w:val="es-AR" w:eastAsia="es-ES"/>
        </w:rPr>
      </w:pPr>
      <w:r w:rsidRPr="00655E50">
        <w:rPr>
          <w:i/>
          <w:sz w:val="20"/>
          <w:szCs w:val="20"/>
          <w:lang w:val="es-AR" w:eastAsia="es-ES"/>
        </w:rPr>
        <w:t>a) Para financiar la comisión de un delito con la finalidad establecida en el artículo 41 quinquies;</w:t>
      </w:r>
    </w:p>
    <w:p w14:paraId="47E646B1" w14:textId="77777777" w:rsidR="007E1807" w:rsidRPr="00655E50" w:rsidRDefault="007E1807" w:rsidP="007E1807">
      <w:pPr>
        <w:spacing w:before="120" w:after="120" w:line="276" w:lineRule="auto"/>
        <w:ind w:left="851"/>
        <w:jc w:val="both"/>
        <w:rPr>
          <w:i/>
          <w:sz w:val="20"/>
          <w:szCs w:val="20"/>
          <w:lang w:val="es-AR" w:eastAsia="es-ES"/>
        </w:rPr>
      </w:pPr>
      <w:r w:rsidRPr="00655E50">
        <w:rPr>
          <w:i/>
          <w:sz w:val="20"/>
          <w:szCs w:val="20"/>
          <w:lang w:val="es-AR" w:eastAsia="es-ES"/>
        </w:rPr>
        <w:t>b) Por una organización que cometa o intente cometer delitos con la finalidad establecida en el artículo 41 quinquies;</w:t>
      </w:r>
    </w:p>
    <w:p w14:paraId="6832CC0A" w14:textId="77777777" w:rsidR="007E1807" w:rsidRPr="00655E50" w:rsidRDefault="007E1807" w:rsidP="007E1807">
      <w:pPr>
        <w:spacing w:before="120" w:after="120" w:line="276" w:lineRule="auto"/>
        <w:ind w:left="851"/>
        <w:jc w:val="both"/>
        <w:rPr>
          <w:i/>
          <w:sz w:val="20"/>
          <w:szCs w:val="20"/>
          <w:lang w:val="es-AR" w:eastAsia="es-ES"/>
        </w:rPr>
      </w:pPr>
      <w:r w:rsidRPr="00655E50">
        <w:rPr>
          <w:i/>
          <w:sz w:val="20"/>
          <w:szCs w:val="20"/>
          <w:lang w:val="es-AR" w:eastAsia="es-ES"/>
        </w:rPr>
        <w:t>c) Por un individuo que cometa, intente cometer o participe de cualquier modo en la comisión de delitos con la finalidad establecida en el artículo 41 quinquies.</w:t>
      </w:r>
    </w:p>
    <w:p w14:paraId="7FCA905E" w14:textId="77777777" w:rsidR="007E1807" w:rsidRPr="00655E50" w:rsidRDefault="007E1807" w:rsidP="007E1807">
      <w:pPr>
        <w:spacing w:before="120" w:after="120" w:line="276" w:lineRule="auto"/>
        <w:jc w:val="both"/>
        <w:rPr>
          <w:i/>
          <w:sz w:val="20"/>
          <w:szCs w:val="20"/>
          <w:lang w:val="es-AR" w:eastAsia="es-ES"/>
        </w:rPr>
      </w:pPr>
      <w:r w:rsidRPr="00655E50">
        <w:rPr>
          <w:i/>
          <w:sz w:val="20"/>
          <w:szCs w:val="20"/>
          <w:lang w:val="es-AR" w:eastAsia="es-ES"/>
        </w:rPr>
        <w:t>2. Las penas establecidas se aplicarán independientemente del acaecimiento del delito al que se destinara el financiamiento y, si éste se cometiere, aún si los bienes o el dinero no fueran utilizados para su comisión.</w:t>
      </w:r>
    </w:p>
    <w:p w14:paraId="19116634" w14:textId="77777777" w:rsidR="007E1807" w:rsidRPr="00655E50" w:rsidRDefault="007E1807" w:rsidP="007E1807">
      <w:pPr>
        <w:spacing w:before="120" w:after="120" w:line="276" w:lineRule="auto"/>
        <w:jc w:val="both"/>
        <w:rPr>
          <w:i/>
          <w:sz w:val="20"/>
          <w:szCs w:val="20"/>
          <w:lang w:val="es-AR" w:eastAsia="es-ES"/>
        </w:rPr>
      </w:pPr>
      <w:r w:rsidRPr="00655E50">
        <w:rPr>
          <w:i/>
          <w:sz w:val="20"/>
          <w:szCs w:val="20"/>
          <w:lang w:val="es-AR" w:eastAsia="es-ES"/>
        </w:rPr>
        <w:t>3. Si la escala penal prevista para el delito que se financia o pretende financiar fuera menor que la establecida en este artículo, se aplicará al caso la escala penal del delito que se trate.</w:t>
      </w:r>
    </w:p>
    <w:p w14:paraId="4B8A9CB3" w14:textId="77777777" w:rsidR="007E1807" w:rsidRPr="00655E50" w:rsidRDefault="007E1807" w:rsidP="007E1807">
      <w:pPr>
        <w:spacing w:before="120" w:after="120" w:line="276" w:lineRule="auto"/>
        <w:jc w:val="both"/>
        <w:rPr>
          <w:sz w:val="20"/>
          <w:szCs w:val="20"/>
          <w:lang w:val="es-AR" w:eastAsia="es-ES"/>
        </w:rPr>
      </w:pPr>
      <w:r w:rsidRPr="00655E50">
        <w:rPr>
          <w:i/>
          <w:sz w:val="20"/>
          <w:szCs w:val="20"/>
          <w:lang w:val="es-AR" w:eastAsia="es-ES"/>
        </w:rPr>
        <w:t>4. Las disposiciones de este artículo regirán aun cuando el ilícito penal que se pretende financiar tuviere lugar fuera del ámbito de aplicación espacial de este Código, o cuando en el caso del inciso b) y c) la organización o el individuo se encontraren fuera del territorio nacional, en tanto el hecho también hubiera estado sancionado con pena en la jurisdicción competente para su juzgamiento</w:t>
      </w:r>
      <w:r w:rsidRPr="00655E50">
        <w:rPr>
          <w:sz w:val="20"/>
          <w:szCs w:val="20"/>
          <w:lang w:val="es-AR" w:eastAsia="es-ES"/>
        </w:rPr>
        <w:t>”.</w:t>
      </w:r>
    </w:p>
    <w:p w14:paraId="1FAA67A1" w14:textId="77777777" w:rsidR="007E1807" w:rsidRPr="00655E50" w:rsidRDefault="007E1807" w:rsidP="007E1807">
      <w:pPr>
        <w:spacing w:before="120" w:after="120" w:line="276" w:lineRule="auto"/>
        <w:jc w:val="both"/>
        <w:rPr>
          <w:sz w:val="20"/>
          <w:szCs w:val="20"/>
          <w:lang w:val="es-AR" w:eastAsia="es-ES"/>
        </w:rPr>
      </w:pPr>
      <w:r w:rsidRPr="00655E50">
        <w:rPr>
          <w:sz w:val="20"/>
          <w:szCs w:val="20"/>
          <w:lang w:val="es-AR" w:eastAsia="es-ES"/>
        </w:rPr>
        <w:t>La Ley de Prevención del Lavado de Activos establece que: (a) la obligación de guardar el secreto bancario, fiscal, bursátil o profesional, o los compromisos legales o contractuales de confidencialidad no excusan a los sujetos obligados del cumplimiento de la obligación de proveer información a la UIF, en el marco del análisis de un reporte de operación sospechosa (artículo 14); (b) cuando la UIF haya agotado el análisis de la operación reportada y surgieren elementos de convicción suficientes para confirmar su carácter de sospechosa de lavado de activos o de financiación del terrorismo, ello será comunicado al Ministerio Público a fines de establecer si corresponde ejercer la acción penal. Cuando la operación reportada se encuentre vinculada con hechos bajo investigación en una causa penal, la UIF podrá comunicar su sospecha directamente al juez interviniente (artículo 19).</w:t>
      </w:r>
    </w:p>
    <w:p w14:paraId="675654D7" w14:textId="27BC0A10" w:rsidR="007E1807" w:rsidRPr="00655E50" w:rsidRDefault="007E1807" w:rsidP="007E1807">
      <w:pPr>
        <w:spacing w:before="120" w:after="120" w:line="276" w:lineRule="auto"/>
        <w:jc w:val="both"/>
        <w:rPr>
          <w:sz w:val="20"/>
          <w:szCs w:val="20"/>
          <w:lang w:val="es-AR" w:eastAsia="es-ES"/>
        </w:rPr>
      </w:pPr>
      <w:r w:rsidRPr="00655E50">
        <w:rPr>
          <w:sz w:val="20"/>
          <w:szCs w:val="20"/>
          <w:lang w:val="es-AR" w:eastAsia="es-ES"/>
        </w:rPr>
        <w:t xml:space="preserve">Mediante el Decreto N° 360/2016, se creó el “Programa de Coordinación Nacional para el Combate del Lavado de Activos y la Financiación del Terrorismo”, en el ámbito del Ministerio de Justicia y Derechos Humanos de la Nación. A través del Decreto se le otorgó la misión de reorganizar, coordinar y fortalecer el sistema nacional antilavado de activos y contra la financiación del terrorismo, en atención a los riesgos concretos que puedan tener impacto en el territorio nacional y a las exigencias globales de mayor efectividad en el cumplimiento de las obligaciones y recomendaciones internacionales establecidas por las Convenciones de las Naciones Unidas y los estándares del GAFI. El Decreto también encomendó ejercer las funciones del Programa a un Coordinador Nacional designado al efecto, y facultó al Ministerio de Justicia y Derechos Humanos para ejercer como autoridad central del Estado Nacional para realizar la coordinación interinstitucional de todos los organismos y entidades del sector público y privado con competencia en esta materia, </w:t>
      </w:r>
      <w:r w:rsidRPr="00655E50">
        <w:rPr>
          <w:sz w:val="20"/>
          <w:szCs w:val="20"/>
          <w:lang w:val="es-AR" w:eastAsia="es-ES"/>
        </w:rPr>
        <w:lastRenderedPageBreak/>
        <w:t>mientras que reservó a la UIF la capacidad de realizar actividades de coordinación operativa en el orden nacional, provincial y municipal en lo estrictamente atinente a su competencia de organismo de información financiera.</w:t>
      </w:r>
    </w:p>
    <w:p w14:paraId="7601B5A3" w14:textId="77777777" w:rsidR="007E1807" w:rsidRPr="00655E50" w:rsidRDefault="007E1807" w:rsidP="007E1807">
      <w:pPr>
        <w:spacing w:before="120" w:after="120" w:line="276" w:lineRule="auto"/>
        <w:jc w:val="both"/>
        <w:rPr>
          <w:sz w:val="20"/>
          <w:szCs w:val="20"/>
          <w:lang w:val="es-AR" w:eastAsia="es-ES"/>
        </w:rPr>
      </w:pPr>
      <w:r w:rsidRPr="00655E50">
        <w:rPr>
          <w:sz w:val="20"/>
          <w:szCs w:val="20"/>
          <w:lang w:val="es-AR" w:eastAsia="es-ES"/>
        </w:rPr>
        <w:t xml:space="preserve">La UIF está facultada para, entre otras cosas, solicitar informes, documentos, antecedentes y todo otro elemento que estime útil para el cumplimiento de sus funciones, a cualquier organismo público, nacional, provincial o municipal, y a personas físicas o jurídicas, públicas o privadas, todos los cuales estarán obligados a proporcionarlos dentro del término que se les fije, aplicar las sanciones previstas en el Capítulo IV de la Ley de Prevención de Lavado de Activos y solicitar al Ministerio Público que éste requiera al juez competente el allanamiento de lugares públicos o privados, la requisa personal y el secuestro de documentación o elementos útiles para la investigación. </w:t>
      </w:r>
    </w:p>
    <w:p w14:paraId="3AA21FE2" w14:textId="0E1041A1" w:rsidR="007E1807" w:rsidRPr="00655E50" w:rsidRDefault="007E1807" w:rsidP="007E1807">
      <w:pPr>
        <w:spacing w:before="120" w:after="120" w:line="276" w:lineRule="auto"/>
        <w:jc w:val="both"/>
        <w:rPr>
          <w:sz w:val="20"/>
          <w:szCs w:val="20"/>
          <w:lang w:val="es-AR" w:eastAsia="es-ES"/>
        </w:rPr>
      </w:pPr>
      <w:r w:rsidRPr="00655E50">
        <w:rPr>
          <w:sz w:val="20"/>
          <w:szCs w:val="20"/>
          <w:lang w:val="es-AR" w:eastAsia="es-ES"/>
        </w:rPr>
        <w:t xml:space="preserve">El marco legal de la legislación contra el lavado de activos también asigna deberes de información y control a ciertas entidades del sector privado, tales como bancos, intermediarios, compañías </w:t>
      </w:r>
      <w:r w:rsidR="00B6267E" w:rsidRPr="00655E50">
        <w:rPr>
          <w:sz w:val="20"/>
          <w:szCs w:val="20"/>
          <w:lang w:val="es-AR" w:eastAsia="es-ES"/>
        </w:rPr>
        <w:t>financieras</w:t>
      </w:r>
      <w:r w:rsidRPr="00655E50">
        <w:rPr>
          <w:sz w:val="20"/>
          <w:szCs w:val="20"/>
          <w:lang w:val="es-AR" w:eastAsia="es-ES"/>
        </w:rPr>
        <w:t xml:space="preserve"> y aseguradoras, en su calidad de sujetos obligados. De acuerdo con la Ley Antilavado y las Resoluciones vigentes de la UIF y del Banco Central de la República Argentina (“</w:t>
      </w:r>
      <w:r w:rsidRPr="00655E50">
        <w:rPr>
          <w:sz w:val="20"/>
          <w:szCs w:val="20"/>
          <w:u w:val="single"/>
          <w:lang w:val="es-AR" w:eastAsia="es-ES"/>
        </w:rPr>
        <w:t>BCRA</w:t>
      </w:r>
      <w:r w:rsidRPr="00655E50">
        <w:rPr>
          <w:sz w:val="20"/>
          <w:szCs w:val="20"/>
          <w:lang w:val="es-AR" w:eastAsia="es-ES"/>
        </w:rPr>
        <w:t xml:space="preserve">”), dichas entidades tienen las obligaciones de, entre otras, </w:t>
      </w:r>
      <w:r w:rsidRPr="00655E50">
        <w:rPr>
          <w:bCs/>
          <w:sz w:val="20"/>
          <w:szCs w:val="20"/>
          <w:lang w:val="es-AR" w:eastAsia="es-ES"/>
        </w:rPr>
        <w:t>registrarse ante la UIF,</w:t>
      </w:r>
      <w:r w:rsidRPr="00655E50">
        <w:rPr>
          <w:sz w:val="20"/>
          <w:szCs w:val="20"/>
          <w:lang w:val="es-AR" w:eastAsia="es-ES"/>
        </w:rPr>
        <w:t xml:space="preserve"> obtener documentación que pruebe irrefutablemente la identidad del cliente y cualquier otra información vinculada con las operaciones; conocer a los clientes aplicando un enfoque basado en riesgos, reportar cualquier actividad u operación sospechosa; mantener la confidencialidad respecto de clientes y terceros en cualquier actividad de monitoreo, relacionada con un procedimiento de conformidad con la Ley de Prevención del Lavado de Activos; producir reportes de operaciones sospechosas periódicamente. La Resolución Nº 30-E/2017 de la UIF en su artículo 2 define a los clientes de manera amplia, como toda persona humana o jurídica o estructura legal sin personería jurídica, con la que se establece, de manera ocasional o permanente, una relación contractual de carácter financiero, económico o comercial. En ese sentido, es cliente el que desarrolla una vez, ocasionalmente o de manera habitual, operaciones con los sujetos obligados. </w:t>
      </w:r>
    </w:p>
    <w:p w14:paraId="78ADE9B4" w14:textId="77777777" w:rsidR="007E1807" w:rsidRPr="00655E50" w:rsidRDefault="007E1807" w:rsidP="007E1807">
      <w:pPr>
        <w:spacing w:before="120" w:after="120" w:line="276" w:lineRule="auto"/>
        <w:jc w:val="both"/>
        <w:rPr>
          <w:sz w:val="20"/>
          <w:szCs w:val="20"/>
          <w:lang w:val="es-AR" w:eastAsia="es-ES"/>
        </w:rPr>
      </w:pPr>
      <w:r w:rsidRPr="00655E50">
        <w:rPr>
          <w:sz w:val="20"/>
          <w:szCs w:val="20"/>
          <w:lang w:val="es-AR" w:eastAsia="es-ES"/>
        </w:rPr>
        <w:t>Mediante el esta Resolución, se obliga a las entidades financieras sujetas a la Ley Nº 21.526, a las entidades sujetas al régimen de la Ley Nº 18.924 y a las personas físicas o jurídicas autorizadas por el BCRA para operar en la compraventa de divisas bajo forma de dinero o de cheques extendidos en divisas, o en la transmisión de fondos dentro y fuera del territorio nacional a adoptar medidas adicionales racionales a fin de identificar a los beneficiarios y/o clientes, asegurarse que la información que reciben es completa y exacta y hacer un seguimiento reforzado sobre las operaciones en que participan, entre otras medidas. Se pone énfasis en la aplicación de políticas “Conozca a su cliente” por las cuales antes de iniciar la relación comercial o contractual con los clientes deben identificarlos, cumplir con lo dispuesto en las Resoluciones Nº 11/2011, 52/2012 y 134/2018 de la UIF sobre personas expuestas políticamente, lo dispuesto en la Resolución 29/2013 con respecto a verificar que los clientes no se encuentren incluidos en los listados de terroristas y/u organizaciones terroristas y solicitar información sobre los productos a utilizar y los motivos de su elección. Respecto de la detección de operaciones inusuales o sospechosas cuando un sujeto obligado detecta una operación que considera inusual, deberá profundizar el análisis de dicha operación con el fin de obtener información adicional, dejando constancia y conservando documental de respaldo y haciendo el reporte correspondiente en un plazo máximo de 150 (ciento cincuenta) días corridos y debe reportar el hecho o la operación dentro de los 15 días corridos contados desde que el sujeto obligado hubiere calificado el hecho o la operación como sospechosa y en 48 (cuarenta y ocho) horas en caso de que dicha operación esté relacionada con el financiamiento al terrorismo.</w:t>
      </w:r>
    </w:p>
    <w:p w14:paraId="42EB9EF8" w14:textId="77777777" w:rsidR="007E1807" w:rsidRPr="00655E50" w:rsidRDefault="007E1807" w:rsidP="007E1807">
      <w:pPr>
        <w:spacing w:before="120" w:after="120" w:line="276" w:lineRule="auto"/>
        <w:jc w:val="both"/>
        <w:rPr>
          <w:sz w:val="20"/>
          <w:szCs w:val="20"/>
          <w:lang w:val="es-AR" w:eastAsia="es-ES"/>
        </w:rPr>
      </w:pPr>
      <w:r w:rsidRPr="00655E50">
        <w:rPr>
          <w:sz w:val="20"/>
          <w:szCs w:val="20"/>
          <w:lang w:val="es-AR" w:eastAsia="es-ES"/>
        </w:rPr>
        <w:t>En la Resolución Nº 21-E/2018 de la UIF, se establecen medidas y procedimientos a observar en el mercado de capitales con relación con la comisión de los delitos de lavado de activos y financiación del terrorismo, introduciendo aclaraciones y modificaciones a la normativa aplicable, incluyendo a los las personas jurídicas, contempladas en el inciso 22 del artículo 20 de la Ley de Prevención del Lavado de Activos, que actúen como fiduciarios financieros cuyos valores fiduciarios cuenten con autorización de oferta pública de la Comisión Nacional de Valores (“</w:t>
      </w:r>
      <w:r w:rsidRPr="00655E50">
        <w:rPr>
          <w:sz w:val="20"/>
          <w:szCs w:val="20"/>
          <w:u w:val="single"/>
          <w:lang w:val="es-AR" w:eastAsia="es-ES"/>
        </w:rPr>
        <w:t>CNV</w:t>
      </w:r>
      <w:r w:rsidRPr="00655E50">
        <w:rPr>
          <w:sz w:val="20"/>
          <w:szCs w:val="20"/>
          <w:lang w:val="es-AR" w:eastAsia="es-ES"/>
        </w:rPr>
        <w:t>”). La norma vigente replica la Resolución Nº 30-E/2017 en lo referente a la información a requerir y las medidas de identificación de clientes a ser llevadas a cabo por parte de los sujetos obligados a informar, la conservación de la documentación, recaudos que deben tomarse y plazos para reportar operaciones sospechosas, políticas y procedimientos para prevenir el lavado de activos y la financiación del terrorismo. También se describen operaciones o conductas que, si bien por sí mismas o por su sola realización o tentativa no son operaciones sospechosas, constituyen un ejemplo de transacciones que podrían ser utilizadas para el lavado de activos de origen delictivo y la financiación del terrorismo, por lo que, la existencia de uno o más de los factores descriptos deben ser considerados como una pauta para incrementar el análisis de la transacción.</w:t>
      </w:r>
    </w:p>
    <w:p w14:paraId="643E5E3E" w14:textId="77777777" w:rsidR="007E1807" w:rsidRPr="00655E50" w:rsidRDefault="007E1807" w:rsidP="007E1807">
      <w:pPr>
        <w:spacing w:before="120" w:after="120" w:line="276" w:lineRule="auto"/>
        <w:jc w:val="both"/>
        <w:rPr>
          <w:sz w:val="20"/>
          <w:szCs w:val="20"/>
          <w:lang w:val="es-AR" w:eastAsia="es-ES"/>
        </w:rPr>
      </w:pPr>
      <w:r w:rsidRPr="00655E50">
        <w:rPr>
          <w:sz w:val="20"/>
          <w:szCs w:val="20"/>
          <w:lang w:val="es-AR" w:eastAsia="es-ES"/>
        </w:rPr>
        <w:t xml:space="preserve">Asimismo, todos los Sujetos Obligados –o su mayoría, según el caso– se encuentran alcanzados por la Resolución UIF Nº 29/2013 (sobre prevención de la financiación del terrorismo);la Resolución UIF Nº 134/2018, sobre Personas Expuestas Políticamente); la Resolución UIF Nº 50/2011, la Resolución UIF Nº 51/2011 y modificatorias y/o complementarias(sobre registración de Sujetos Obligados, oficiales de cumplimiento y reporte on-line de operaciones sospechosas); la Resolución UIF Nº 70/2011 (sobre reporte sistemático de operaciones);la Resolución UIF Nº 3/2014 (sobre reporte de registración); la Resolución UIF Nº 300/2014 (sobre reporte de monedas virtuales); </w:t>
      </w:r>
      <w:r w:rsidRPr="00655E50">
        <w:rPr>
          <w:bCs/>
          <w:sz w:val="20"/>
          <w:szCs w:val="20"/>
          <w:lang w:val="es-AR" w:eastAsia="es-ES"/>
        </w:rPr>
        <w:t xml:space="preserve">y la </w:t>
      </w:r>
      <w:r w:rsidRPr="00655E50">
        <w:rPr>
          <w:sz w:val="20"/>
          <w:szCs w:val="20"/>
          <w:lang w:val="es-AR" w:eastAsia="es-ES"/>
        </w:rPr>
        <w:t>Resolución UIF Nº</w:t>
      </w:r>
      <w:r w:rsidRPr="00655E50">
        <w:rPr>
          <w:bCs/>
          <w:sz w:val="20"/>
          <w:szCs w:val="20"/>
          <w:lang w:val="es-AR" w:eastAsia="es-ES"/>
        </w:rPr>
        <w:t xml:space="preserve"> 92/2016 (vinculada al régimen de sinceramiento fiscal)</w:t>
      </w:r>
      <w:r w:rsidRPr="00655E50">
        <w:rPr>
          <w:sz w:val="20"/>
          <w:szCs w:val="20"/>
          <w:lang w:val="es-AR" w:eastAsia="es-ES"/>
        </w:rPr>
        <w:t xml:space="preserve">. </w:t>
      </w:r>
    </w:p>
    <w:p w14:paraId="47B25BAC" w14:textId="73DACBC5" w:rsidR="007E1807" w:rsidRPr="00655E50" w:rsidRDefault="007E1807" w:rsidP="007E1807">
      <w:pPr>
        <w:spacing w:before="120" w:after="120" w:line="276" w:lineRule="auto"/>
        <w:jc w:val="both"/>
        <w:rPr>
          <w:sz w:val="20"/>
          <w:szCs w:val="20"/>
          <w:lang w:val="es-AR" w:eastAsia="es-ES"/>
        </w:rPr>
      </w:pPr>
      <w:r w:rsidRPr="00655E50">
        <w:rPr>
          <w:sz w:val="20"/>
          <w:szCs w:val="20"/>
          <w:lang w:val="es-AR" w:eastAsia="es-ES"/>
        </w:rPr>
        <w:lastRenderedPageBreak/>
        <w:t>Mediante Resolución UIF Nº 229/2014 se dispuso el deber de colaborar del BCRA, la CNV, la Superintendencia de Seguros de la Nación y el Instituto Nacional de Asociativismo y Economía Social con la UIF a efectos de evaluar el cumplimiento, por parte de los sujetos obligados que se encuentren sujetos a su contralor, de las obligaciones establecidas por la Ley de Prevención del Lavado de Activos, la normativa dictada por la UIF y por las disposiciones complementarias que se dicten en su consecuencia por los propios organismos. Asimismo, la Resolución UIF N° 229/2014 otorga facultades a los organismos de contralor con el objeto de supervisar el cumplimiento de la totalidad de las obligaciones en materia de prevención del lavado de activos y financiación del terrorismo, como así también autoriza a dichos organismo a disponer las medidas y acciones correctivas que estimen necesarias a los fines de corregir y mejorar los procedimientos de cumplimiento en materia de prevención del lavado de activos y de financiación del terrorismo de los sujetos obligados.</w:t>
      </w:r>
    </w:p>
    <w:p w14:paraId="2073A596" w14:textId="77777777" w:rsidR="007E1807" w:rsidRPr="00655E50" w:rsidRDefault="007E1807" w:rsidP="007E1807">
      <w:pPr>
        <w:spacing w:before="120" w:after="120" w:line="276" w:lineRule="auto"/>
        <w:jc w:val="both"/>
        <w:rPr>
          <w:sz w:val="20"/>
          <w:szCs w:val="20"/>
          <w:lang w:val="es-AR" w:eastAsia="es-ES"/>
        </w:rPr>
      </w:pPr>
      <w:r w:rsidRPr="00655E50">
        <w:rPr>
          <w:sz w:val="20"/>
          <w:szCs w:val="20"/>
          <w:lang w:val="es-AR" w:eastAsia="es-ES"/>
        </w:rPr>
        <w:t>El 11 de enero de 2017, la UIF emitió la Resolución N° 4/17 (la “</w:t>
      </w:r>
      <w:r w:rsidRPr="00655E50">
        <w:rPr>
          <w:sz w:val="20"/>
          <w:szCs w:val="20"/>
          <w:u w:val="single"/>
          <w:lang w:val="es-AR" w:eastAsia="es-ES"/>
        </w:rPr>
        <w:t>Resolución 4/17</w:t>
      </w:r>
      <w:r w:rsidRPr="00655E50">
        <w:rPr>
          <w:sz w:val="20"/>
          <w:szCs w:val="20"/>
          <w:lang w:val="es-AR" w:eastAsia="es-ES"/>
        </w:rPr>
        <w:t>”) que dispone que los sujetos obligados comprendidos en lo incisos 1, 4 y 5 del artículo 20 de la Ley N° 25.246 y sus modificatorias, podrán aplicar medidas de debida diligencia especial de identificación a inversores extranjeros y nacionales en la República Argentina al momento de solicitar la apertura a distancia de las cuentas especiales de inversión para lo cual deberán cumplir con los requisitos dispuestos en la mencionada resolución. La debida diligencia especial establecida en la Resolución 4/17 al inicio de la relación comercial no exime a los sujetos obligados mencionados de realizar el monitoreo y seguimiento de las operaciones durante el transcurso de dicha relación con un enfoque basado en riesgo. A su vez, para la apertura de cuentas corrientes especiales de inversión solicitadas por agentes de liquidación y compensación (los “</w:t>
      </w:r>
      <w:r w:rsidRPr="00655E50">
        <w:rPr>
          <w:sz w:val="20"/>
          <w:szCs w:val="20"/>
          <w:u w:val="single"/>
          <w:lang w:val="es-AR" w:eastAsia="es-ES"/>
        </w:rPr>
        <w:t>ALyC</w:t>
      </w:r>
      <w:r w:rsidRPr="00655E50">
        <w:rPr>
          <w:sz w:val="20"/>
          <w:szCs w:val="20"/>
          <w:lang w:val="es-AR" w:eastAsia="es-ES"/>
        </w:rPr>
        <w:t>”), sujetos obligados en los términos del artículo 20 incisos 4 y 5 de la Ley de Prevención del Lavado de Activos, la entidad financiera local deberá cumplir con la normativa vigente en materia de prevención de lavado de activos y financiamiento del terrorismo, cuando haya realizado la debida diligencia sobre el respectivo ALyC, siendo responsables por la debida diligencia de sus clientes. La Resolución N° 4/17 dispone que el supuesto referido no exime a las entidades financieras de realizar un monitoreo y seguimiento de las operaciones durante el transcurso de la relación con su cliente (el ALyC) con un enfoque basado en riesgo.</w:t>
      </w:r>
    </w:p>
    <w:p w14:paraId="0FA425A4" w14:textId="77777777" w:rsidR="007E1807" w:rsidRPr="00655E50" w:rsidRDefault="007E1807" w:rsidP="007E1807">
      <w:pPr>
        <w:spacing w:before="120" w:after="120" w:line="276" w:lineRule="auto"/>
        <w:jc w:val="both"/>
        <w:rPr>
          <w:sz w:val="20"/>
          <w:szCs w:val="20"/>
          <w:lang w:val="es-AR" w:eastAsia="es-ES"/>
        </w:rPr>
      </w:pPr>
      <w:r w:rsidRPr="00655E50">
        <w:rPr>
          <w:sz w:val="20"/>
          <w:szCs w:val="20"/>
          <w:lang w:val="es-ES" w:eastAsia="es-ES"/>
        </w:rPr>
        <w:t xml:space="preserve">Asimismo, los Sujetos Obligados mencionados deben cumplir lo dispuesto en el Decreto </w:t>
      </w:r>
      <w:r w:rsidRPr="00655E50">
        <w:rPr>
          <w:sz w:val="20"/>
          <w:szCs w:val="20"/>
          <w:lang w:val="es-AR" w:eastAsia="es-ES"/>
        </w:rPr>
        <w:t>N°</w:t>
      </w:r>
      <w:r w:rsidRPr="00655E50">
        <w:rPr>
          <w:sz w:val="20"/>
          <w:szCs w:val="20"/>
          <w:lang w:val="es-ES" w:eastAsia="es-ES"/>
        </w:rPr>
        <w:t xml:space="preserve"> 918/2012 y Resolución UIF </w:t>
      </w:r>
      <w:r w:rsidRPr="00655E50">
        <w:rPr>
          <w:sz w:val="20"/>
          <w:szCs w:val="20"/>
          <w:lang w:val="es-AR" w:eastAsia="es-ES"/>
        </w:rPr>
        <w:t xml:space="preserve">N° </w:t>
      </w:r>
      <w:r w:rsidRPr="00655E50">
        <w:rPr>
          <w:sz w:val="20"/>
          <w:szCs w:val="20"/>
          <w:lang w:val="es-ES" w:eastAsia="es-ES"/>
        </w:rPr>
        <w:t xml:space="preserve">29/2013. El artículo 1° de esa Resolución establece que los Sujetos Obligados enumerados en el artículo 20 de la Ley </w:t>
      </w:r>
      <w:r w:rsidRPr="00655E50">
        <w:rPr>
          <w:sz w:val="20"/>
          <w:szCs w:val="20"/>
          <w:lang w:val="es-AR" w:eastAsia="es-ES"/>
        </w:rPr>
        <w:t>de Prevención del Lavado de Activos</w:t>
      </w:r>
      <w:r w:rsidRPr="00655E50">
        <w:rPr>
          <w:sz w:val="20"/>
          <w:szCs w:val="20"/>
          <w:lang w:val="es-ES" w:eastAsia="es-ES"/>
        </w:rPr>
        <w:t xml:space="preserve"> deberán reportar, sin demora alguna, como operación sospechosa de financiación del terrorismo a las operaciones realizadas o tentadas en las que se constate alguna de las siguientes circunstancias: inciso 1.a) Que los bienes o dinero involucrados en la operación fuesen de propiedad directa o indirecta de una persona física o jurídica o entidad designada por el CSNU de conformidad con la Resolución 1267 (1999) y sus sucesivas, o sean controlados por ella; b) Que las personas físicas o jurídicas o entidades que lleven a cabo la operación sean personas designadas por el CSNU de conformidad con la Resolución 1267 (1999) y sus sucesivas; c) Que el destinatario o beneficiario de la operación sea una persona física o jurídica o entidad designada por el CSNU de conformidad con la Resolución 1267 (1999) y sus sucesivas; e inciso 2) Que los bienes o dinero involucrados en la operación pudiesen estar vinculados con la financiación del terrorismo o con actos ilícitos cometidos con finalidad terrorista, en los términos de los artículos 41 quinquies y 306 del Código Penal. Asimismo, en los casos que la resolución que disponga el congelamiento administrativo de bienes o dinero se hubiera motivado en alguna de las circunstancias expuestas en el artículo 1° inciso 1) de la Resolución UIF 29/2013, la misma regirá mientras las personas físicas o jurídicas o entidades designadas por el CSNU de conformidad con la Resolución 1267 (1999) y sus sucesivas, permanezca en el citado listado, o hasta tanto sea revocada judicialmente. Si la resolución que dispone el congelamiento administrativo de bienes o dinero se hubiera motivado en alguna de las circunstancias expuestas en el artículo 1° inciso 2) de la Resolución UIF 29/2013, la medida se ordenará por un plazo no mayor a seis (6) meses prorrogables por igual término, por única vez. Cumplido el plazo, y de no mediar resolución judicial en contrario, el congelamiento cesará.</w:t>
      </w:r>
    </w:p>
    <w:p w14:paraId="2744B642" w14:textId="77777777" w:rsidR="007E1807" w:rsidRPr="00655E50" w:rsidRDefault="007E1807" w:rsidP="007E1807">
      <w:pPr>
        <w:spacing w:before="120" w:after="120" w:line="276" w:lineRule="auto"/>
        <w:jc w:val="both"/>
        <w:rPr>
          <w:sz w:val="20"/>
          <w:szCs w:val="20"/>
          <w:lang w:val="es-AR" w:eastAsia="es-ES"/>
        </w:rPr>
      </w:pPr>
      <w:r w:rsidRPr="00655E50">
        <w:rPr>
          <w:sz w:val="20"/>
          <w:szCs w:val="20"/>
          <w:lang w:val="es-AR" w:eastAsia="es-ES"/>
        </w:rPr>
        <w:t>Por otro lado, el artículo 24 de la Ley de Prevención de Lavado de Activos dispone bajo el acápite “Régimen penal administrativo”:</w:t>
      </w:r>
    </w:p>
    <w:p w14:paraId="1210C5DD" w14:textId="77777777" w:rsidR="007E1807" w:rsidRPr="00655E50" w:rsidRDefault="007E1807" w:rsidP="007E1807">
      <w:pPr>
        <w:spacing w:before="120" w:after="120" w:line="276" w:lineRule="auto"/>
        <w:jc w:val="both"/>
        <w:rPr>
          <w:i/>
          <w:sz w:val="20"/>
          <w:szCs w:val="20"/>
          <w:lang w:val="es-AR" w:eastAsia="es-ES"/>
        </w:rPr>
      </w:pPr>
      <w:r w:rsidRPr="00655E50">
        <w:rPr>
          <w:sz w:val="20"/>
          <w:szCs w:val="20"/>
          <w:lang w:val="es-AR" w:eastAsia="es-ES"/>
        </w:rPr>
        <w:t>“</w:t>
      </w:r>
      <w:r w:rsidRPr="00655E50">
        <w:rPr>
          <w:i/>
          <w:sz w:val="20"/>
          <w:szCs w:val="20"/>
          <w:lang w:val="es-AR" w:eastAsia="es-ES"/>
        </w:rPr>
        <w:t>1. La persona que actuando como órgano o ejecutor de una persona jurídica o la persona de existencia visible que incumpla alguna de las obligaciones ante la Unidad de Información Financiera (UIF) creada por esta ley, será sancionada con pena de multa de una (1) a diez (10) veces del valor total de los bienes u operación a los que se refiera la infracción, siempre y cuando el hecho no constituya un delito más grave.</w:t>
      </w:r>
    </w:p>
    <w:p w14:paraId="2883787E" w14:textId="77777777" w:rsidR="007E1807" w:rsidRPr="00655E50" w:rsidRDefault="007E1807" w:rsidP="007E1807">
      <w:pPr>
        <w:spacing w:before="120" w:after="120" w:line="276" w:lineRule="auto"/>
        <w:jc w:val="both"/>
        <w:rPr>
          <w:i/>
          <w:sz w:val="20"/>
          <w:szCs w:val="20"/>
          <w:lang w:val="es-AR" w:eastAsia="es-ES"/>
        </w:rPr>
      </w:pPr>
      <w:r w:rsidRPr="00655E50">
        <w:rPr>
          <w:i/>
          <w:sz w:val="20"/>
          <w:szCs w:val="20"/>
          <w:lang w:val="es-AR" w:eastAsia="es-ES"/>
        </w:rPr>
        <w:t>2. La misma sanción será aplicable a la persona jurídica en cuyo organismo se desempeñare el sujeto infractor.</w:t>
      </w:r>
    </w:p>
    <w:p w14:paraId="56B23F02" w14:textId="77777777" w:rsidR="007E1807" w:rsidRPr="00655E50" w:rsidRDefault="007E1807" w:rsidP="007E1807">
      <w:pPr>
        <w:spacing w:before="120" w:after="120" w:line="276" w:lineRule="auto"/>
        <w:jc w:val="both"/>
        <w:rPr>
          <w:i/>
          <w:sz w:val="20"/>
          <w:szCs w:val="20"/>
          <w:lang w:val="es-AR" w:eastAsia="es-ES"/>
        </w:rPr>
      </w:pPr>
      <w:r w:rsidRPr="00655E50">
        <w:rPr>
          <w:i/>
          <w:sz w:val="20"/>
          <w:szCs w:val="20"/>
          <w:lang w:val="es-AR" w:eastAsia="es-ES"/>
        </w:rPr>
        <w:t>3. Cuando no se pueda establecer el valor real de los bienes, la multa será de diez mil pesos ($10.000) a cien mil pesos ($100.000).</w:t>
      </w:r>
    </w:p>
    <w:p w14:paraId="0F280346" w14:textId="77777777" w:rsidR="007E1807" w:rsidRPr="00655E50" w:rsidRDefault="007E1807" w:rsidP="007E1807">
      <w:pPr>
        <w:spacing w:before="120" w:after="120" w:line="276" w:lineRule="auto"/>
        <w:jc w:val="both"/>
        <w:rPr>
          <w:i/>
          <w:sz w:val="20"/>
          <w:szCs w:val="20"/>
          <w:lang w:val="es-AR" w:eastAsia="es-ES"/>
        </w:rPr>
      </w:pPr>
      <w:r w:rsidRPr="00655E50">
        <w:rPr>
          <w:i/>
          <w:sz w:val="20"/>
          <w:szCs w:val="20"/>
          <w:lang w:val="es-AR" w:eastAsia="es-ES"/>
        </w:rPr>
        <w:t>4. La acción para aplicar la sanción establecida en este artículo prescribirá a los cinco (5) años, del incumplimiento. Igual plazo regirá para la ejecución de la multa, computados a partir de que quede firme el acto que así la disponga.</w:t>
      </w:r>
    </w:p>
    <w:p w14:paraId="0D125C37" w14:textId="77777777" w:rsidR="007E1807" w:rsidRPr="00655E50" w:rsidRDefault="007E1807" w:rsidP="007E1807">
      <w:pPr>
        <w:spacing w:before="120" w:after="120" w:line="276" w:lineRule="auto"/>
        <w:jc w:val="both"/>
        <w:rPr>
          <w:sz w:val="20"/>
          <w:szCs w:val="20"/>
          <w:lang w:val="es-AR" w:eastAsia="es-ES"/>
        </w:rPr>
      </w:pPr>
      <w:r w:rsidRPr="00655E50">
        <w:rPr>
          <w:i/>
          <w:sz w:val="20"/>
          <w:szCs w:val="20"/>
          <w:lang w:val="es-AR" w:eastAsia="es-ES"/>
        </w:rPr>
        <w:lastRenderedPageBreak/>
        <w:t>5. El cómputo de la prescripción de la acción para aplicar la sanción prevista en este artículo se interrumpirá: por la notificación del acto que disponga la apertura de la instrucción sumarial o por la notificación del acto administrativo que disponga su aplicación</w:t>
      </w:r>
      <w:r w:rsidRPr="00655E50">
        <w:rPr>
          <w:sz w:val="20"/>
          <w:szCs w:val="20"/>
          <w:lang w:val="es-AR" w:eastAsia="es-ES"/>
        </w:rPr>
        <w:t>”.</w:t>
      </w:r>
    </w:p>
    <w:p w14:paraId="14685DE9" w14:textId="77777777" w:rsidR="007E1807" w:rsidRPr="00655E50" w:rsidRDefault="007E1807" w:rsidP="007E1807">
      <w:pPr>
        <w:spacing w:before="120" w:after="120" w:line="276" w:lineRule="auto"/>
        <w:jc w:val="both"/>
        <w:rPr>
          <w:sz w:val="20"/>
          <w:szCs w:val="20"/>
          <w:lang w:val="es-AR" w:eastAsia="es-ES"/>
        </w:rPr>
      </w:pPr>
      <w:r w:rsidRPr="00655E50">
        <w:rPr>
          <w:sz w:val="20"/>
          <w:szCs w:val="20"/>
          <w:lang w:val="es-AR" w:eastAsia="es-ES"/>
        </w:rPr>
        <w:t>Asimismo, el BCRA ha emitido su propia normativa relativa a la “Prevención del Lavado de Activos, del Financiamiento del Terrorismo y otras Actividades Ilícitas”, siendo la última modificación efectuada al Texto Ordenado de dicha normativa dispuesta por la Comunicación “A” 6709.</w:t>
      </w:r>
    </w:p>
    <w:p w14:paraId="02E76267" w14:textId="77777777" w:rsidR="007E1807" w:rsidRPr="00655E50" w:rsidRDefault="007E1807" w:rsidP="007E1807">
      <w:pPr>
        <w:spacing w:before="120" w:after="120" w:line="276" w:lineRule="auto"/>
        <w:jc w:val="both"/>
        <w:rPr>
          <w:sz w:val="20"/>
          <w:szCs w:val="20"/>
          <w:lang w:val="es-AR" w:eastAsia="es-ES"/>
        </w:rPr>
      </w:pPr>
      <w:r w:rsidRPr="00655E50">
        <w:rPr>
          <w:sz w:val="20"/>
          <w:szCs w:val="20"/>
          <w:lang w:val="es-AR" w:eastAsia="es-ES"/>
        </w:rPr>
        <w:t xml:space="preserve">Con el dictado de la Resolución General 622/2013 (nuevo texto ordenado de las Normas de la CNV) y normas modificatorias, y, en especial, con el Título XI “Prevención del Lavado de Activos y Financiación del Terrorismo” de dicha Resolución, se adecuaron las Normas de la CNV a las disposiciones legales vigentes, aprobando la inclusión de la “Guía de transacciones inusuales o sospechosas en la órbita del Mercado de Capitales (lavado de activos y financiación del terrorismo)” a las Normas. </w:t>
      </w:r>
    </w:p>
    <w:p w14:paraId="01B6CA16" w14:textId="77777777" w:rsidR="007E1807" w:rsidRPr="00655E50" w:rsidRDefault="007E1807" w:rsidP="007E1807">
      <w:pPr>
        <w:spacing w:before="120" w:after="120" w:line="276" w:lineRule="auto"/>
        <w:jc w:val="both"/>
        <w:rPr>
          <w:sz w:val="20"/>
          <w:szCs w:val="20"/>
          <w:lang w:val="es-AR" w:eastAsia="es-ES"/>
        </w:rPr>
      </w:pPr>
      <w:r w:rsidRPr="00655E50">
        <w:rPr>
          <w:sz w:val="20"/>
          <w:szCs w:val="20"/>
          <w:lang w:val="es-AR" w:eastAsia="es-ES"/>
        </w:rPr>
        <w:t>El citado Título XI de las Normas de la CNV establece que los sujetos obligados deberán observar lo establecido en la Ley de Prevención del Lavado de Activos, en las normas reglamentarias emitidas por la UIF y en ese capítulo de las normas. Según esta normativa, modificada por Resolución General N° 692/2017 y 767/2018, a partir de la entrada en vigencia de la Ley N° 26.831 de Mercado de Capitales, se entenderá que dentro de la categoría de sujetos obligados que actúan en el ámbito del mercado de capitales, mencionados en los incisos 4) y 5) del artículo 20 de la Ley de Prevención del Lavado de Activos, se encuentran comprendidos los Agentes de Liquidación y Compensación, los Agentes de Negociación, las Sociedades Gerentes de Fondos Comunes de Inversión y las Cámaras Compensadoras. Asimismo, serán considerados sujetos obligados —que actúan en el ámbito del mercado de capitales— los mencionados en el inciso 22 del artículo 20 de la Ley de Prevención del Lavado de Activos en tanto intervengan en fideicomisos financieros registrados en la CNV. Los sujetos obligados deberán observar lo establecido en la Ley N° 25.246 y modificatorias, en las normas reglamentarias emitidas por la UIF y en la presente reglamentación. Ello incluye los decretos del Poder Ejecutivo Nacional referidos a las decisiones adoptadas por el Consejo de Seguridad de las Naciones Unidas, en la lucha contra el terrorismo, y el cumplimiento de las Resoluciones (con sus respectivos Anexos) del Ministerio de Relaciones Exteriores y Culto. Por otra parte, en virtud de la condición de “sujeto obligado” de la CNV conforme lo dispuesto en el artículo 20 inciso 15 de la Ley de Prevención del Lavado de Activos, de acuerdo con lo exigido en el artículo 21 inciso a) de la citada ley y en el marco de las reglamentaciones dictadas por la UIF aplicables a la CNV, las sociedades emisoras deberán verificar el origen lícito de los fondos involucrados en aportes de capital, aportes irrevocables a cuenta de futuras emisiones de acciones o préstamos significativos que reciban, como así también la identidad de los sujetos involucrados en dichas operaciones.</w:t>
      </w:r>
    </w:p>
    <w:p w14:paraId="5C73581A" w14:textId="77777777" w:rsidR="007E1807" w:rsidRPr="00655E50" w:rsidRDefault="007E1807" w:rsidP="007E1807">
      <w:pPr>
        <w:spacing w:before="120" w:after="120" w:line="276" w:lineRule="auto"/>
        <w:jc w:val="both"/>
        <w:rPr>
          <w:sz w:val="20"/>
          <w:szCs w:val="20"/>
          <w:lang w:val="es-AR" w:eastAsia="es-ES"/>
        </w:rPr>
      </w:pPr>
      <w:r w:rsidRPr="00655E50">
        <w:rPr>
          <w:sz w:val="20"/>
          <w:szCs w:val="20"/>
          <w:lang w:val="es-AR" w:eastAsia="es-ES"/>
        </w:rPr>
        <w:t>De conformidad con los términos del Título XI de las Normas de la CNV, los sujetos obligados tienen reguladas específicas modalidades de pago y procedimientos de control para la recepción y entrega de fondos de y hacia clientes. Asimismo, los sujetos obligados sólo podrán dar curso a operaciones en el ámbito de la oferta pública de valores negociables, contratos a término, futuros u opciones de cualquier naturaleza y otros instrumentos y productos financieros, cuando sean efectuadas u ordenadas por sujetos constituidos, domiciliados o que residan en dominios, jurisdicciones, territorios o estados asociados, que no sean considerados como No Cooperantes o de Alto Riesgo por el Grupo de Acción Financiera (GAFI).</w:t>
      </w:r>
    </w:p>
    <w:p w14:paraId="5007D16E" w14:textId="77777777" w:rsidR="007E1807" w:rsidRPr="00655E50" w:rsidRDefault="007E1807" w:rsidP="007E1807">
      <w:pPr>
        <w:spacing w:before="120" w:after="120" w:line="276" w:lineRule="auto"/>
        <w:jc w:val="both"/>
        <w:rPr>
          <w:sz w:val="20"/>
          <w:szCs w:val="20"/>
          <w:lang w:val="es-AR" w:eastAsia="es-ES"/>
        </w:rPr>
      </w:pPr>
      <w:r w:rsidRPr="00655E50">
        <w:rPr>
          <w:sz w:val="20"/>
          <w:szCs w:val="20"/>
          <w:lang w:val="es-AR" w:eastAsia="es-ES"/>
        </w:rPr>
        <w:t>Por estas razones, podría ocurrir que uno o más participantes en el proceso de colocación y emisión de las Obligaciones Negociables, tales como los Colocadores se encuentren obligados a recolectar información vinculada con los suscriptores de Obligaciones Negociables e informar a las autoridades operaciones que parezcan sospechosas o inusuales, o a las que les falten justificación económica o jurídica, o que sean innecesariamente complejas, ya sea que fueren realizadas en oportunidades aisladas o en forma reiterada.</w:t>
      </w:r>
    </w:p>
    <w:p w14:paraId="56FA420D" w14:textId="77777777" w:rsidR="007E1807" w:rsidRPr="00655E50" w:rsidRDefault="007E1807" w:rsidP="007E1807">
      <w:pPr>
        <w:spacing w:before="120" w:after="120" w:line="276" w:lineRule="auto"/>
        <w:jc w:val="both"/>
        <w:rPr>
          <w:sz w:val="20"/>
          <w:szCs w:val="20"/>
          <w:lang w:val="es-ES_tradnl" w:eastAsia="es-ES"/>
        </w:rPr>
      </w:pPr>
      <w:r w:rsidRPr="00655E50">
        <w:rPr>
          <w:sz w:val="20"/>
          <w:szCs w:val="20"/>
          <w:lang w:val="es-ES_tradnl" w:eastAsia="es-ES"/>
        </w:rPr>
        <w:t>En el marco del régimen de sinceramiento fiscal establecido en la Ley 27.260, la UIF emitió la Resolución N° 92/2016, en virtud de la cual se estableció que los sujetos obligados debían implementar, a tales efectos un sistema de gestión de riesgos. Asimismo, en caso de detectarse operaciones sospechosas hasta el 31 de marzo de 2017, en el contexto del mencionado régimen legal, deberán reportarlas en un apartado denominado "ROS SF", en referencia al reporte de operación sospechosa a darse en el marco del régimen de sinceramiento fiscal. Dicho reporte deberá ser debidamente fundado y contener una descripción de las circunstancias por las cuales se considera que la operación tiene carácter de sospechosa, en el marco del régimen de sinceramiento fiscal, y revelar un adecuado análisis de la operatoria y el perfil del cliente (en este caso, no resultan necesarios los requerimientos referidos a información y documentación tributaria).</w:t>
      </w:r>
    </w:p>
    <w:p w14:paraId="59C4C570" w14:textId="77777777" w:rsidR="007E1807" w:rsidRPr="00655E50" w:rsidRDefault="007E1807" w:rsidP="007E1807">
      <w:pPr>
        <w:spacing w:before="120" w:after="120" w:line="276" w:lineRule="auto"/>
        <w:jc w:val="both"/>
        <w:rPr>
          <w:sz w:val="20"/>
          <w:szCs w:val="20"/>
          <w:highlight w:val="yellow"/>
          <w:lang w:val="es-AR" w:eastAsia="es-ES"/>
        </w:rPr>
      </w:pPr>
      <w:r w:rsidRPr="00655E50">
        <w:rPr>
          <w:sz w:val="20"/>
          <w:szCs w:val="20"/>
          <w:lang w:val="es-AR" w:eastAsia="es-ES"/>
        </w:rPr>
        <w:t xml:space="preserve">Asimismo, y en línea con lo expuesto, los Colocadores podrán solicitar, y los inversores deberán presentar a su simple requerimiento, toda la información y documentación que se les solicite, o que pudiera ser solicitada por los Colocadores para el cumplimiento de la normativa aplicable, en particular las normas penales sobre lavado de activos y aquellas </w:t>
      </w:r>
      <w:r w:rsidRPr="00655E50">
        <w:rPr>
          <w:sz w:val="20"/>
          <w:szCs w:val="20"/>
          <w:lang w:val="es-AR" w:eastAsia="es-ES"/>
        </w:rPr>
        <w:lastRenderedPageBreak/>
        <w:t>emitidas por la UIF, la CNV y/o el Banco Central. El Banco y los Colocadores podrán rechazar ofertas de suscripción de no cumplirse con tales normas o requisitos.</w:t>
      </w:r>
    </w:p>
    <w:p w14:paraId="6CD735EC" w14:textId="77777777" w:rsidR="007E1807" w:rsidRPr="00655E50" w:rsidRDefault="007E1807" w:rsidP="007E1807">
      <w:pPr>
        <w:spacing w:before="120" w:after="120" w:line="276" w:lineRule="auto"/>
        <w:jc w:val="both"/>
        <w:rPr>
          <w:b/>
          <w:sz w:val="20"/>
          <w:szCs w:val="20"/>
          <w:lang w:val="es-AR" w:eastAsia="es-ES"/>
        </w:rPr>
      </w:pPr>
      <w:r w:rsidRPr="00655E50">
        <w:rPr>
          <w:b/>
          <w:sz w:val="20"/>
          <w:szCs w:val="20"/>
          <w:lang w:val="es-AR" w:eastAsia="es-ES"/>
        </w:rPr>
        <w:t>EN TAL SENTIDO, A LOS EFECTOS DE SUSCRIBIR LAS OBLIGACIONES NEGOCIABLES, LOS INVERSORES DEBERÁN SUMINISTRAR TODA AQUELLA INFORMACIÓN Y DOCUMENTACIÓN QUE DEBAN PRESENTAR O SER REQUERIDA POR EL O LOS COLOCADORES Y/O EL EMISOR PARA EL CUMPLIMIENTO DE, ENTRE OTRAS, LAS NORMAS SOBRE PREVENCIÓN DEL LAVADO DE ACTIVOS Y CONTRA LA FINANCIACIÓN DEL TERRORISMO EMANADAS DE LA UIF U OTRA AUTORIDAD COMPETENTE O ESTABLECIDAS POR LA CNV O EL BCRA.</w:t>
      </w:r>
    </w:p>
    <w:p w14:paraId="173C8F94" w14:textId="77777777" w:rsidR="007E1807" w:rsidRPr="00655E50" w:rsidRDefault="007E1807" w:rsidP="007E1807">
      <w:pPr>
        <w:spacing w:before="120" w:after="120" w:line="276" w:lineRule="auto"/>
        <w:jc w:val="both"/>
        <w:rPr>
          <w:b/>
          <w:sz w:val="20"/>
          <w:szCs w:val="20"/>
          <w:lang w:val="es-AR" w:eastAsia="es-ES"/>
        </w:rPr>
      </w:pPr>
      <w:r w:rsidRPr="00655E50">
        <w:rPr>
          <w:b/>
          <w:smallCaps/>
          <w:sz w:val="20"/>
          <w:szCs w:val="20"/>
          <w:lang w:val="es-ES" w:eastAsia="es-ES"/>
        </w:rPr>
        <w:t xml:space="preserve">PARA UN ANÁLISIS MÁS EXHAUSTIVO DEL RÉGIMEN DE PREVENCIÓN DEL LAVADO DE ACTIVOS Y CONTRA LA FINANCIACIÓN DEL TERRORISMO VIGENTE AL DÍA DE LA FECHA, SE SUGIERE A LOS INVERSORES CONSULTAR CON SUS ASESORES LEGALES Y DAR UNA LECTURA COMPLETA A LA NORMATIVA CITADA, EN ESPECIAL AL TÍTULO XIII LIBRO SEGUNDO DEL CÓDIGO PENAL ARGENTINO Y A LA NORMATIVA EMITIDA POR LA UIF, A CUYO EFECTO LOS INTERESADOS PODRÁN CONSULTAR EL SITIO WEB DEL MINISTERIO DE HACIENDA DE LA NACIÓN WWW.ECONOMIA.GOB.AR Y/O EL SITIO WEB DE LA UIF </w:t>
      </w:r>
      <w:r w:rsidRPr="00655E50">
        <w:rPr>
          <w:b/>
          <w:sz w:val="20"/>
          <w:szCs w:val="20"/>
          <w:lang w:val="es-AR" w:eastAsia="es-ES"/>
        </w:rPr>
        <w:t>WWW.ARGENTINA.GOB.AR/UIF</w:t>
      </w:r>
      <w:r w:rsidRPr="00655E50">
        <w:rPr>
          <w:b/>
          <w:smallCaps/>
          <w:sz w:val="20"/>
          <w:szCs w:val="20"/>
          <w:lang w:val="es-ES" w:eastAsia="es-ES"/>
        </w:rPr>
        <w:t xml:space="preserve">; COMO ASÍ TAMBIEN LAS NORMAS COMPLEMENTARIAS DICTADAS POR LA CNV EN </w:t>
      </w:r>
      <w:hyperlink r:id="rId47" w:history="1">
        <w:r w:rsidRPr="00C436CD">
          <w:rPr>
            <w:b/>
            <w:smallCaps/>
            <w:sz w:val="20"/>
            <w:szCs w:val="20"/>
            <w:lang w:val="es-ES" w:eastAsia="es-ES"/>
          </w:rPr>
          <w:t>WWW.CNV.GOB.AR</w:t>
        </w:r>
      </w:hyperlink>
      <w:r w:rsidRPr="00C436CD">
        <w:rPr>
          <w:b/>
          <w:smallCaps/>
          <w:sz w:val="20"/>
          <w:szCs w:val="20"/>
          <w:lang w:val="es-ES" w:eastAsia="es-ES"/>
        </w:rPr>
        <w:t>.</w:t>
      </w:r>
    </w:p>
    <w:p w14:paraId="3D832446" w14:textId="6B13583C" w:rsidR="00EF0262" w:rsidRPr="00C436CD" w:rsidRDefault="00EF0262" w:rsidP="00C436CD">
      <w:pPr>
        <w:widowControl w:val="0"/>
        <w:jc w:val="both"/>
        <w:outlineLvl w:val="0"/>
        <w:rPr>
          <w:b/>
          <w:sz w:val="20"/>
          <w:lang w:val="es-AR"/>
        </w:rPr>
      </w:pPr>
    </w:p>
    <w:p w14:paraId="598C8DB9" w14:textId="77777777" w:rsidR="00EF0262" w:rsidRPr="00D354AB" w:rsidRDefault="00EF0262" w:rsidP="00EF0262">
      <w:pPr>
        <w:spacing w:line="240" w:lineRule="atLeast"/>
        <w:jc w:val="both"/>
        <w:rPr>
          <w:noProof/>
          <w:sz w:val="20"/>
          <w:szCs w:val="20"/>
          <w:lang w:val="es-MX"/>
        </w:rPr>
      </w:pPr>
    </w:p>
    <w:p w14:paraId="4DF304D4" w14:textId="77777777" w:rsidR="00BB2DA6" w:rsidRPr="00D354AB" w:rsidRDefault="00BB2DA6" w:rsidP="006C1EFA">
      <w:pPr>
        <w:widowControl w:val="0"/>
        <w:rPr>
          <w:b/>
          <w:smallCaps/>
          <w:sz w:val="20"/>
          <w:szCs w:val="20"/>
          <w:lang w:val="es-AR"/>
        </w:rPr>
      </w:pPr>
      <w:bookmarkStart w:id="0" w:name="_Toc258258776"/>
      <w:bookmarkStart w:id="1" w:name="_Toc258258915"/>
      <w:bookmarkStart w:id="2" w:name="_Toc258258995"/>
      <w:bookmarkStart w:id="3" w:name="_Toc258259234"/>
      <w:bookmarkStart w:id="4" w:name="_Toc258259290"/>
      <w:bookmarkStart w:id="5" w:name="_Toc258312885"/>
      <w:bookmarkStart w:id="6" w:name="_Toc258312907"/>
      <w:bookmarkStart w:id="7" w:name="_Toc258312932"/>
      <w:bookmarkStart w:id="8" w:name="_Toc258313024"/>
      <w:bookmarkStart w:id="9" w:name="_Toc258313052"/>
      <w:bookmarkStart w:id="10" w:name="_Toc258409997"/>
      <w:bookmarkStart w:id="11" w:name="_Toc274315190"/>
      <w:bookmarkStart w:id="12" w:name="_Toc275280764"/>
      <w:bookmarkStart w:id="13" w:name="_Toc275440936"/>
      <w:bookmarkStart w:id="14" w:name="_Toc275512929"/>
      <w:bookmarkStart w:id="15" w:name="_Toc276549582"/>
      <w:bookmarkStart w:id="16" w:name="_Toc276556107"/>
      <w:bookmarkStart w:id="17" w:name="_Toc277155655"/>
      <w:bookmarkStart w:id="18" w:name="_Toc289876954"/>
      <w:bookmarkStart w:id="19" w:name="_Toc318720607"/>
      <w:bookmarkStart w:id="20" w:name="_Toc419370770"/>
      <w:bookmarkStart w:id="21" w:name="_Toc466464996"/>
      <w:bookmarkStart w:id="22" w:name="_Toc463514718"/>
      <w:bookmarkStart w:id="23" w:name="_Toc513712597"/>
      <w:r w:rsidRPr="00D354AB">
        <w:rPr>
          <w:b/>
          <w:smallCaps/>
          <w:sz w:val="20"/>
          <w:szCs w:val="20"/>
          <w:lang w:val="es-AR"/>
        </w:rPr>
        <w:br w:type="page"/>
      </w:r>
    </w:p>
    <w:p w14:paraId="1E5DDC6A" w14:textId="7DA21455" w:rsidR="001F77B0" w:rsidRPr="00C436CD" w:rsidRDefault="001F77B0" w:rsidP="006C1EFA">
      <w:pPr>
        <w:widowControl w:val="0"/>
        <w:rPr>
          <w:sz w:val="20"/>
          <w:lang w:val="es-MX"/>
        </w:rPr>
      </w:pPr>
      <w:r w:rsidRPr="00D354AB">
        <w:rPr>
          <w:b/>
          <w:smallCaps/>
          <w:sz w:val="20"/>
          <w:szCs w:val="20"/>
          <w:lang w:val="es-AR"/>
        </w:rPr>
        <w:lastRenderedPageBreak/>
        <w:t>Oferta de los Valores Negociables</w:t>
      </w:r>
    </w:p>
    <w:p w14:paraId="11DD9DC9" w14:textId="77777777" w:rsidR="001F77B0" w:rsidRPr="00D354AB" w:rsidRDefault="001F77B0" w:rsidP="005451AF">
      <w:pPr>
        <w:widowControl w:val="0"/>
        <w:jc w:val="both"/>
        <w:rPr>
          <w:sz w:val="20"/>
          <w:szCs w:val="20"/>
          <w:lang w:val="es-AR"/>
        </w:rPr>
      </w:pPr>
    </w:p>
    <w:p w14:paraId="7DFAE23C" w14:textId="5B2CAD5D" w:rsidR="001F77B0" w:rsidRPr="00D354AB" w:rsidRDefault="001F77B0" w:rsidP="007C1FCE">
      <w:pPr>
        <w:pStyle w:val="Prrafodelista"/>
        <w:widowControl w:val="0"/>
        <w:numPr>
          <w:ilvl w:val="0"/>
          <w:numId w:val="30"/>
        </w:numPr>
        <w:jc w:val="both"/>
        <w:outlineLvl w:val="0"/>
        <w:rPr>
          <w:b/>
          <w:smallCaps/>
          <w:sz w:val="20"/>
          <w:szCs w:val="20"/>
          <w:lang w:val="es-ES"/>
        </w:rPr>
      </w:pPr>
      <w:r w:rsidRPr="00D354AB">
        <w:rPr>
          <w:b/>
          <w:smallCaps/>
          <w:sz w:val="20"/>
          <w:szCs w:val="20"/>
          <w:lang w:val="es-ES"/>
        </w:rPr>
        <w:t>Términos y Condiciones</w:t>
      </w:r>
      <w:r w:rsidR="00A22160" w:rsidRPr="00D354AB">
        <w:rPr>
          <w:b/>
          <w:smallCaps/>
          <w:sz w:val="20"/>
          <w:szCs w:val="20"/>
          <w:lang w:val="es-ES"/>
        </w:rPr>
        <w:t xml:space="preserve"> Generales</w:t>
      </w:r>
      <w:r w:rsidRPr="00D354AB">
        <w:rPr>
          <w:b/>
          <w:smallCaps/>
          <w:sz w:val="20"/>
          <w:szCs w:val="20"/>
          <w:lang w:val="es-ES"/>
        </w:rPr>
        <w:t xml:space="preserve"> de las Obligaciones Negociables Clase XVII </w:t>
      </w:r>
    </w:p>
    <w:p w14:paraId="1CC61D2C" w14:textId="77777777" w:rsidR="001F77B0" w:rsidRPr="00D354AB" w:rsidRDefault="001F77B0" w:rsidP="007C1FCE">
      <w:pPr>
        <w:widowControl w:val="0"/>
        <w:jc w:val="both"/>
        <w:outlineLvl w:val="0"/>
        <w:rPr>
          <w:b/>
          <w:smallCaps/>
          <w:sz w:val="20"/>
          <w:szCs w:val="20"/>
          <w:lang w:val="es-ES"/>
        </w:rPr>
      </w:pPr>
    </w:p>
    <w:p w14:paraId="7759E0BF" w14:textId="033E547B" w:rsidR="001F77B0" w:rsidRPr="00C436CD" w:rsidRDefault="001F77B0" w:rsidP="006C1EFA">
      <w:pPr>
        <w:widowControl w:val="0"/>
        <w:jc w:val="both"/>
        <w:outlineLvl w:val="0"/>
        <w:rPr>
          <w:b/>
          <w:i/>
          <w:smallCaps/>
          <w:sz w:val="20"/>
          <w:lang w:val="es-MX"/>
        </w:rPr>
      </w:pPr>
      <w:r w:rsidRPr="00D354AB">
        <w:rPr>
          <w:i/>
          <w:sz w:val="20"/>
          <w:szCs w:val="20"/>
          <w:lang w:val="es-MX"/>
        </w:rPr>
        <w:t xml:space="preserve">Los siguientes son los términos y condiciones </w:t>
      </w:r>
      <w:r w:rsidR="004E48E6" w:rsidRPr="00D354AB">
        <w:rPr>
          <w:i/>
          <w:sz w:val="20"/>
          <w:szCs w:val="20"/>
          <w:lang w:val="es-MX"/>
        </w:rPr>
        <w:t xml:space="preserve">generales </w:t>
      </w:r>
      <w:r w:rsidRPr="00D354AB">
        <w:rPr>
          <w:i/>
          <w:sz w:val="20"/>
          <w:szCs w:val="20"/>
          <w:lang w:val="es-MX"/>
        </w:rPr>
        <w:t>de las Obligaciones Negociables Clase XVII</w:t>
      </w:r>
      <w:r w:rsidR="00520C69" w:rsidRPr="00D354AB">
        <w:rPr>
          <w:i/>
          <w:sz w:val="20"/>
          <w:szCs w:val="20"/>
          <w:lang w:val="es-MX"/>
        </w:rPr>
        <w:t xml:space="preserve"> (los “</w:t>
      </w:r>
      <w:r w:rsidR="00520C69" w:rsidRPr="00D354AB">
        <w:rPr>
          <w:i/>
          <w:sz w:val="20"/>
          <w:szCs w:val="20"/>
          <w:u w:val="single"/>
          <w:lang w:val="es-MX"/>
        </w:rPr>
        <w:t>Términos y Condiciones Generales de las Obligaciones Negociables</w:t>
      </w:r>
      <w:r w:rsidR="00520C69" w:rsidRPr="00D354AB">
        <w:rPr>
          <w:i/>
          <w:sz w:val="20"/>
          <w:szCs w:val="20"/>
          <w:lang w:val="es-MX"/>
        </w:rPr>
        <w:t>”)</w:t>
      </w:r>
      <w:r w:rsidRPr="00D354AB">
        <w:rPr>
          <w:i/>
          <w:sz w:val="20"/>
          <w:szCs w:val="20"/>
          <w:lang w:val="es-MX"/>
        </w:rPr>
        <w:t>:</w:t>
      </w:r>
    </w:p>
    <w:p w14:paraId="545D51BD" w14:textId="77777777" w:rsidR="001F77B0" w:rsidRPr="00D354AB" w:rsidRDefault="001F77B0" w:rsidP="001F77B0">
      <w:pPr>
        <w:widowControl w:val="0"/>
        <w:jc w:val="both"/>
        <w:rPr>
          <w:sz w:val="20"/>
          <w:szCs w:val="20"/>
          <w:lang w:val="es-AR"/>
        </w:rPr>
      </w:pPr>
    </w:p>
    <w:tbl>
      <w:tblPr>
        <w:tblW w:w="5000" w:type="pct"/>
        <w:tblLayout w:type="fixed"/>
        <w:tblCellMar>
          <w:left w:w="0" w:type="dxa"/>
          <w:right w:w="0" w:type="dxa"/>
        </w:tblCellMar>
        <w:tblLook w:val="0000" w:firstRow="0" w:lastRow="0" w:firstColumn="0" w:lastColumn="0" w:noHBand="0" w:noVBand="0"/>
      </w:tblPr>
      <w:tblGrid>
        <w:gridCol w:w="2836"/>
        <w:gridCol w:w="6803"/>
      </w:tblGrid>
      <w:tr w:rsidR="001F77B0" w:rsidRPr="0086608C" w14:paraId="20136FD7" w14:textId="77777777" w:rsidTr="005451AF">
        <w:trPr>
          <w:trHeight w:val="20"/>
        </w:trPr>
        <w:tc>
          <w:tcPr>
            <w:tcW w:w="1471" w:type="pct"/>
          </w:tcPr>
          <w:p w14:paraId="1B15B2E7" w14:textId="77777777" w:rsidR="001F77B0" w:rsidRPr="00D354AB" w:rsidRDefault="001F77B0" w:rsidP="005170BE">
            <w:pPr>
              <w:widowControl w:val="0"/>
              <w:jc w:val="left"/>
              <w:rPr>
                <w:b/>
                <w:sz w:val="20"/>
                <w:szCs w:val="20"/>
                <w:lang w:val="es-AR"/>
              </w:rPr>
            </w:pPr>
            <w:r w:rsidRPr="00D354AB">
              <w:rPr>
                <w:b/>
                <w:sz w:val="20"/>
                <w:szCs w:val="20"/>
                <w:lang w:val="es-AR"/>
              </w:rPr>
              <w:t>Emisor</w:t>
            </w:r>
          </w:p>
        </w:tc>
        <w:tc>
          <w:tcPr>
            <w:tcW w:w="3529" w:type="pct"/>
          </w:tcPr>
          <w:p w14:paraId="2A7D0955" w14:textId="77777777" w:rsidR="001F77B0" w:rsidRPr="00D354AB" w:rsidRDefault="001F77B0" w:rsidP="005170BE">
            <w:pPr>
              <w:widowControl w:val="0"/>
              <w:jc w:val="both"/>
              <w:rPr>
                <w:sz w:val="20"/>
                <w:szCs w:val="20"/>
                <w:lang w:val="es-AR"/>
              </w:rPr>
            </w:pPr>
            <w:r w:rsidRPr="00D354AB">
              <w:rPr>
                <w:sz w:val="20"/>
                <w:szCs w:val="20"/>
                <w:lang w:val="es-AR"/>
              </w:rPr>
              <w:t>FCA Compañía Financiera S.A.</w:t>
            </w:r>
          </w:p>
          <w:p w14:paraId="19DBCB50" w14:textId="77777777" w:rsidR="001F77B0" w:rsidRPr="00D354AB" w:rsidRDefault="001F77B0" w:rsidP="005170BE">
            <w:pPr>
              <w:widowControl w:val="0"/>
              <w:jc w:val="both"/>
              <w:outlineLvl w:val="2"/>
              <w:rPr>
                <w:sz w:val="20"/>
                <w:szCs w:val="20"/>
                <w:lang w:val="es-AR"/>
              </w:rPr>
            </w:pPr>
          </w:p>
        </w:tc>
      </w:tr>
      <w:tr w:rsidR="001F77B0" w:rsidRPr="0086608C" w14:paraId="50A8A6E4" w14:textId="77777777" w:rsidTr="005451AF">
        <w:trPr>
          <w:trHeight w:val="20"/>
        </w:trPr>
        <w:tc>
          <w:tcPr>
            <w:tcW w:w="1471" w:type="pct"/>
          </w:tcPr>
          <w:p w14:paraId="24B6524A" w14:textId="77777777" w:rsidR="007F71D2" w:rsidRPr="00D354AB" w:rsidRDefault="001F77B0" w:rsidP="005170BE">
            <w:pPr>
              <w:widowControl w:val="0"/>
              <w:jc w:val="left"/>
              <w:rPr>
                <w:b/>
                <w:bCs/>
                <w:sz w:val="20"/>
                <w:szCs w:val="20"/>
                <w:lang w:val="es-AR"/>
              </w:rPr>
            </w:pPr>
            <w:r w:rsidRPr="00D354AB">
              <w:rPr>
                <w:b/>
                <w:bCs/>
                <w:sz w:val="20"/>
                <w:szCs w:val="20"/>
                <w:lang w:val="es-AR"/>
              </w:rPr>
              <w:t>Organizadores y Colocadores</w:t>
            </w:r>
          </w:p>
          <w:p w14:paraId="017FA9CB" w14:textId="77777777" w:rsidR="001F77B0" w:rsidRPr="00D354AB" w:rsidRDefault="001F77B0" w:rsidP="005170BE">
            <w:pPr>
              <w:widowControl w:val="0"/>
              <w:jc w:val="left"/>
              <w:rPr>
                <w:b/>
                <w:bCs/>
                <w:sz w:val="20"/>
                <w:szCs w:val="20"/>
                <w:lang w:val="es-AR"/>
              </w:rPr>
            </w:pPr>
          </w:p>
        </w:tc>
        <w:tc>
          <w:tcPr>
            <w:tcW w:w="3529" w:type="pct"/>
          </w:tcPr>
          <w:p w14:paraId="629DA184" w14:textId="3ABD4431" w:rsidR="001F77B0" w:rsidRPr="00D354AB" w:rsidRDefault="001F77B0" w:rsidP="005170BE">
            <w:pPr>
              <w:widowControl w:val="0"/>
              <w:jc w:val="both"/>
              <w:rPr>
                <w:sz w:val="20"/>
                <w:szCs w:val="20"/>
                <w:lang w:val="es-AR"/>
              </w:rPr>
            </w:pPr>
            <w:r w:rsidRPr="00D354AB">
              <w:rPr>
                <w:sz w:val="20"/>
                <w:szCs w:val="20"/>
                <w:lang w:val="es-AR"/>
              </w:rPr>
              <w:t>Banco de Galicia y Buenos Aires S.A.</w:t>
            </w:r>
            <w:r w:rsidR="00094877" w:rsidRPr="00D354AB">
              <w:rPr>
                <w:sz w:val="20"/>
                <w:szCs w:val="20"/>
                <w:lang w:val="es-AR"/>
              </w:rPr>
              <w:t>U.</w:t>
            </w:r>
            <w:r w:rsidR="00520C69" w:rsidRPr="00D354AB">
              <w:rPr>
                <w:sz w:val="20"/>
                <w:szCs w:val="20"/>
                <w:lang w:val="es-AR"/>
              </w:rPr>
              <w:t xml:space="preserve"> (“</w:t>
            </w:r>
            <w:r w:rsidR="00520C69" w:rsidRPr="00D354AB">
              <w:rPr>
                <w:sz w:val="20"/>
                <w:szCs w:val="20"/>
                <w:u w:val="single"/>
                <w:lang w:val="es-AR"/>
              </w:rPr>
              <w:t>Banco Galicia</w:t>
            </w:r>
            <w:r w:rsidR="00520C69" w:rsidRPr="00D354AB">
              <w:rPr>
                <w:sz w:val="20"/>
                <w:szCs w:val="20"/>
                <w:lang w:val="es-AR"/>
              </w:rPr>
              <w:t>”)</w:t>
            </w:r>
            <w:r w:rsidRPr="00D354AB">
              <w:rPr>
                <w:sz w:val="20"/>
                <w:szCs w:val="20"/>
                <w:lang w:val="es-AR"/>
              </w:rPr>
              <w:t xml:space="preserve"> y </w:t>
            </w:r>
            <w:r w:rsidR="007F6C56">
              <w:rPr>
                <w:sz w:val="20"/>
                <w:szCs w:val="20"/>
                <w:lang w:val="es-AR"/>
              </w:rPr>
              <w:t>Banco BBVA Argentina</w:t>
            </w:r>
            <w:r w:rsidRPr="00D354AB">
              <w:rPr>
                <w:sz w:val="20"/>
                <w:szCs w:val="20"/>
                <w:lang w:val="es-AR"/>
              </w:rPr>
              <w:t xml:space="preserve"> S.A.</w:t>
            </w:r>
            <w:r w:rsidR="00520C69" w:rsidRPr="00D354AB">
              <w:rPr>
                <w:sz w:val="20"/>
                <w:szCs w:val="20"/>
                <w:lang w:val="es-AR"/>
              </w:rPr>
              <w:t xml:space="preserve"> (“</w:t>
            </w:r>
            <w:r w:rsidR="007F6C56">
              <w:rPr>
                <w:sz w:val="20"/>
                <w:szCs w:val="20"/>
                <w:u w:val="single"/>
                <w:lang w:val="es-AR"/>
              </w:rPr>
              <w:t>BBVA</w:t>
            </w:r>
            <w:r w:rsidR="00520C69" w:rsidRPr="00D354AB">
              <w:rPr>
                <w:sz w:val="20"/>
                <w:szCs w:val="20"/>
                <w:lang w:val="es-AR"/>
              </w:rPr>
              <w:t>”).</w:t>
            </w:r>
          </w:p>
          <w:p w14:paraId="62D641D6" w14:textId="77777777" w:rsidR="001F77B0" w:rsidRPr="00D354AB" w:rsidRDefault="001F77B0" w:rsidP="005170BE">
            <w:pPr>
              <w:widowControl w:val="0"/>
              <w:jc w:val="both"/>
              <w:outlineLvl w:val="2"/>
              <w:rPr>
                <w:sz w:val="20"/>
                <w:szCs w:val="20"/>
                <w:lang w:val="es-AR"/>
              </w:rPr>
            </w:pPr>
          </w:p>
        </w:tc>
      </w:tr>
      <w:tr w:rsidR="001F77B0" w:rsidRPr="0086608C" w14:paraId="5580C7DF" w14:textId="77777777" w:rsidTr="005451AF">
        <w:trPr>
          <w:trHeight w:val="20"/>
        </w:trPr>
        <w:tc>
          <w:tcPr>
            <w:tcW w:w="1471" w:type="pct"/>
          </w:tcPr>
          <w:p w14:paraId="71174973" w14:textId="77777777" w:rsidR="001F77B0" w:rsidRPr="00D354AB" w:rsidRDefault="001F77B0" w:rsidP="005170BE">
            <w:pPr>
              <w:widowControl w:val="0"/>
              <w:jc w:val="left"/>
              <w:rPr>
                <w:b/>
                <w:sz w:val="20"/>
                <w:szCs w:val="20"/>
                <w:lang w:val="es-AR"/>
              </w:rPr>
            </w:pPr>
            <w:proofErr w:type="spellStart"/>
            <w:r w:rsidRPr="00D354AB">
              <w:rPr>
                <w:b/>
                <w:sz w:val="20"/>
                <w:szCs w:val="20"/>
                <w:lang w:val="es-AR"/>
              </w:rPr>
              <w:t>Subcolocadores</w:t>
            </w:r>
            <w:proofErr w:type="spellEnd"/>
          </w:p>
        </w:tc>
        <w:tc>
          <w:tcPr>
            <w:tcW w:w="3529" w:type="pct"/>
          </w:tcPr>
          <w:p w14:paraId="2569ABB4" w14:textId="77777777" w:rsidR="001F77B0" w:rsidRPr="00D354AB" w:rsidRDefault="001F77B0" w:rsidP="005170BE">
            <w:pPr>
              <w:widowControl w:val="0"/>
              <w:jc w:val="both"/>
              <w:outlineLvl w:val="2"/>
              <w:rPr>
                <w:sz w:val="20"/>
                <w:szCs w:val="20"/>
                <w:lang w:val="es-AR"/>
              </w:rPr>
            </w:pPr>
            <w:r w:rsidRPr="00D354AB">
              <w:rPr>
                <w:sz w:val="20"/>
                <w:szCs w:val="20"/>
                <w:lang w:val="es-AR"/>
              </w:rPr>
              <w:t>Podrán designarse subcolocadores de conformidad con lo establecido en el contrato de colocación.</w:t>
            </w:r>
          </w:p>
          <w:p w14:paraId="61ECD3A8" w14:textId="77777777" w:rsidR="001F77B0" w:rsidRPr="00D354AB" w:rsidRDefault="001F77B0" w:rsidP="005170BE">
            <w:pPr>
              <w:widowControl w:val="0"/>
              <w:jc w:val="both"/>
              <w:outlineLvl w:val="2"/>
              <w:rPr>
                <w:sz w:val="20"/>
                <w:szCs w:val="20"/>
                <w:lang w:val="es-AR"/>
              </w:rPr>
            </w:pPr>
          </w:p>
        </w:tc>
      </w:tr>
      <w:tr w:rsidR="001F77B0" w:rsidRPr="0086608C" w14:paraId="43BAE7CC" w14:textId="77777777" w:rsidTr="005451AF">
        <w:trPr>
          <w:trHeight w:val="20"/>
        </w:trPr>
        <w:tc>
          <w:tcPr>
            <w:tcW w:w="1471" w:type="pct"/>
          </w:tcPr>
          <w:p w14:paraId="488088CF" w14:textId="77777777" w:rsidR="001F77B0" w:rsidRPr="00D354AB" w:rsidRDefault="001F77B0" w:rsidP="005170BE">
            <w:pPr>
              <w:widowControl w:val="0"/>
              <w:jc w:val="left"/>
              <w:rPr>
                <w:b/>
                <w:sz w:val="20"/>
                <w:szCs w:val="20"/>
                <w:lang w:val="es-AR"/>
              </w:rPr>
            </w:pPr>
            <w:r w:rsidRPr="00D354AB">
              <w:rPr>
                <w:b/>
                <w:sz w:val="20"/>
                <w:szCs w:val="20"/>
                <w:lang w:val="es-AR"/>
              </w:rPr>
              <w:t>Agente Creador</w:t>
            </w:r>
          </w:p>
        </w:tc>
        <w:tc>
          <w:tcPr>
            <w:tcW w:w="3529" w:type="pct"/>
          </w:tcPr>
          <w:p w14:paraId="060D3C07" w14:textId="1FE40477" w:rsidR="001F77B0" w:rsidRPr="00D354AB" w:rsidRDefault="001F77B0" w:rsidP="005170BE">
            <w:pPr>
              <w:widowControl w:val="0"/>
              <w:jc w:val="both"/>
              <w:rPr>
                <w:sz w:val="20"/>
                <w:szCs w:val="20"/>
                <w:lang w:val="es-AR"/>
              </w:rPr>
            </w:pPr>
            <w:r w:rsidRPr="00D354AB">
              <w:rPr>
                <w:sz w:val="20"/>
                <w:szCs w:val="20"/>
                <w:lang w:val="es-AR"/>
              </w:rPr>
              <w:t>Banco de Galicia y Buenos Aires S.A.</w:t>
            </w:r>
            <w:r w:rsidR="00094877" w:rsidRPr="00D354AB">
              <w:rPr>
                <w:sz w:val="20"/>
                <w:szCs w:val="20"/>
                <w:lang w:val="es-AR"/>
              </w:rPr>
              <w:t>U.</w:t>
            </w:r>
            <w:r w:rsidRPr="00D354AB">
              <w:rPr>
                <w:sz w:val="20"/>
                <w:szCs w:val="20"/>
                <w:lang w:val="es-AR"/>
              </w:rPr>
              <w:t xml:space="preserve"> será el encargado de generar en el Sistema SIOPEL el pliego de licitación de la colocación primaria de las Obligaciones Negociables.</w:t>
            </w:r>
          </w:p>
          <w:p w14:paraId="44C48F51" w14:textId="77777777" w:rsidR="001F77B0" w:rsidRPr="00D354AB" w:rsidRDefault="001F77B0" w:rsidP="005170BE">
            <w:pPr>
              <w:widowControl w:val="0"/>
              <w:jc w:val="both"/>
              <w:outlineLvl w:val="2"/>
              <w:rPr>
                <w:sz w:val="20"/>
                <w:szCs w:val="20"/>
                <w:lang w:val="es-AR"/>
              </w:rPr>
            </w:pPr>
          </w:p>
        </w:tc>
      </w:tr>
      <w:tr w:rsidR="001F77B0" w:rsidRPr="0086608C" w14:paraId="401EC198" w14:textId="77777777" w:rsidTr="005451AF">
        <w:trPr>
          <w:trHeight w:val="20"/>
        </w:trPr>
        <w:tc>
          <w:tcPr>
            <w:tcW w:w="1471" w:type="pct"/>
          </w:tcPr>
          <w:p w14:paraId="745B60FC" w14:textId="77777777" w:rsidR="001F77B0" w:rsidRPr="00D354AB" w:rsidRDefault="001F77B0" w:rsidP="005170BE">
            <w:pPr>
              <w:widowControl w:val="0"/>
              <w:jc w:val="left"/>
              <w:rPr>
                <w:b/>
                <w:sz w:val="20"/>
                <w:szCs w:val="20"/>
                <w:lang w:val="es-AR"/>
              </w:rPr>
            </w:pPr>
            <w:r w:rsidRPr="00D354AB">
              <w:rPr>
                <w:b/>
                <w:sz w:val="20"/>
                <w:szCs w:val="20"/>
                <w:lang w:val="es-AR"/>
              </w:rPr>
              <w:t>Agentes del MAE</w:t>
            </w:r>
          </w:p>
        </w:tc>
        <w:tc>
          <w:tcPr>
            <w:tcW w:w="3529" w:type="pct"/>
          </w:tcPr>
          <w:p w14:paraId="70A4A89E" w14:textId="3C9E77FD" w:rsidR="001F77B0" w:rsidRPr="00D354AB" w:rsidRDefault="001F77B0" w:rsidP="005170BE">
            <w:pPr>
              <w:widowControl w:val="0"/>
              <w:jc w:val="both"/>
              <w:rPr>
                <w:sz w:val="20"/>
                <w:szCs w:val="20"/>
                <w:lang w:val="es-AR"/>
              </w:rPr>
            </w:pPr>
            <w:r w:rsidRPr="00D354AB">
              <w:rPr>
                <w:sz w:val="20"/>
                <w:szCs w:val="20"/>
                <w:lang w:val="es-AR"/>
              </w:rPr>
              <w:t xml:space="preserve">Son los agentes del </w:t>
            </w:r>
            <w:r w:rsidR="00520C69" w:rsidRPr="00D354AB">
              <w:rPr>
                <w:sz w:val="20"/>
                <w:szCs w:val="20"/>
                <w:lang w:val="es-AR"/>
              </w:rPr>
              <w:t>MAE</w:t>
            </w:r>
            <w:r w:rsidRPr="00D354AB">
              <w:rPr>
                <w:sz w:val="20"/>
                <w:szCs w:val="20"/>
                <w:lang w:val="es-AR"/>
              </w:rPr>
              <w:t>, los agentes adherentes del MAE, los agentes habilitados y/o demás agentes habilitados que oportunamente serán autorizados por el Agente Creador para ingresar Ofertas (conforme dicho término se define más adelante) en la rueda del Sistema SIOPEL en que se encuentre habilitada la Subasta Pública (conforme dicho término se define a continuación) de las Obligaciones Negociables.</w:t>
            </w:r>
          </w:p>
          <w:p w14:paraId="77E5A603" w14:textId="77777777" w:rsidR="001F77B0" w:rsidRPr="00D354AB" w:rsidRDefault="001F77B0" w:rsidP="005170BE">
            <w:pPr>
              <w:widowControl w:val="0"/>
              <w:jc w:val="both"/>
              <w:rPr>
                <w:sz w:val="20"/>
                <w:szCs w:val="20"/>
                <w:lang w:val="es-AR"/>
              </w:rPr>
            </w:pPr>
          </w:p>
        </w:tc>
      </w:tr>
      <w:tr w:rsidR="001F77B0" w:rsidRPr="0086608C" w14:paraId="572F7C3D" w14:textId="77777777" w:rsidTr="005451AF">
        <w:trPr>
          <w:trHeight w:val="20"/>
        </w:trPr>
        <w:tc>
          <w:tcPr>
            <w:tcW w:w="1471" w:type="pct"/>
          </w:tcPr>
          <w:p w14:paraId="76F5AB79" w14:textId="77777777" w:rsidR="001F77B0" w:rsidRPr="00D354AB" w:rsidRDefault="001F77B0" w:rsidP="005170BE">
            <w:pPr>
              <w:widowControl w:val="0"/>
              <w:jc w:val="left"/>
              <w:rPr>
                <w:b/>
                <w:sz w:val="20"/>
                <w:szCs w:val="20"/>
                <w:lang w:val="es-AR"/>
              </w:rPr>
            </w:pPr>
            <w:r w:rsidRPr="00D354AB">
              <w:rPr>
                <w:b/>
                <w:sz w:val="20"/>
                <w:szCs w:val="20"/>
                <w:lang w:val="es-AR"/>
              </w:rPr>
              <w:t>Agente de Liquidación</w:t>
            </w:r>
          </w:p>
          <w:p w14:paraId="6E1244EA" w14:textId="77777777" w:rsidR="00094877" w:rsidRPr="00D354AB" w:rsidRDefault="00094877" w:rsidP="00E54A6C">
            <w:pPr>
              <w:widowControl w:val="0"/>
              <w:jc w:val="left"/>
              <w:rPr>
                <w:b/>
                <w:sz w:val="20"/>
                <w:szCs w:val="20"/>
                <w:lang w:val="es-AR"/>
              </w:rPr>
            </w:pPr>
          </w:p>
        </w:tc>
        <w:tc>
          <w:tcPr>
            <w:tcW w:w="3529" w:type="pct"/>
          </w:tcPr>
          <w:p w14:paraId="3A4FC622" w14:textId="77777777" w:rsidR="001F77B0" w:rsidRPr="00D354AB" w:rsidRDefault="001F77B0" w:rsidP="005170BE">
            <w:pPr>
              <w:widowControl w:val="0"/>
              <w:jc w:val="both"/>
              <w:rPr>
                <w:sz w:val="20"/>
                <w:szCs w:val="20"/>
                <w:lang w:val="es-AR"/>
              </w:rPr>
            </w:pPr>
            <w:r w:rsidRPr="00D354AB">
              <w:rPr>
                <w:sz w:val="20"/>
                <w:szCs w:val="20"/>
                <w:lang w:val="es-AR"/>
              </w:rPr>
              <w:t>Banco de Galicia y Buenos Aires S.A.</w:t>
            </w:r>
            <w:r w:rsidR="00094877" w:rsidRPr="00D354AB">
              <w:rPr>
                <w:sz w:val="20"/>
                <w:szCs w:val="20"/>
                <w:lang w:val="es-AR"/>
              </w:rPr>
              <w:t>U.</w:t>
            </w:r>
          </w:p>
          <w:p w14:paraId="4088B25D" w14:textId="77777777" w:rsidR="001F77B0" w:rsidRPr="00D354AB" w:rsidRDefault="001F77B0" w:rsidP="005170BE">
            <w:pPr>
              <w:widowControl w:val="0"/>
              <w:jc w:val="both"/>
              <w:rPr>
                <w:sz w:val="20"/>
                <w:szCs w:val="20"/>
                <w:lang w:val="es-AR"/>
              </w:rPr>
            </w:pPr>
          </w:p>
        </w:tc>
      </w:tr>
      <w:tr w:rsidR="00520C69" w:rsidRPr="0086608C" w14:paraId="026ED725" w14:textId="77777777" w:rsidTr="005451AF">
        <w:trPr>
          <w:trHeight w:val="20"/>
        </w:trPr>
        <w:tc>
          <w:tcPr>
            <w:tcW w:w="1471" w:type="pct"/>
          </w:tcPr>
          <w:p w14:paraId="0B0070EE" w14:textId="77777777" w:rsidR="00520C69" w:rsidRPr="00D354AB" w:rsidRDefault="00520C69" w:rsidP="00520C69">
            <w:pPr>
              <w:widowControl w:val="0"/>
              <w:jc w:val="left"/>
              <w:rPr>
                <w:b/>
                <w:sz w:val="20"/>
                <w:szCs w:val="20"/>
                <w:lang w:val="es-AR"/>
              </w:rPr>
            </w:pPr>
            <w:r w:rsidRPr="00D354AB">
              <w:rPr>
                <w:b/>
                <w:sz w:val="20"/>
                <w:szCs w:val="20"/>
                <w:lang w:val="es-AR"/>
              </w:rPr>
              <w:t>Compensación y Liquidación</w:t>
            </w:r>
          </w:p>
          <w:p w14:paraId="353C6E09" w14:textId="77777777" w:rsidR="00520C69" w:rsidRPr="00D354AB" w:rsidRDefault="00520C69" w:rsidP="005170BE">
            <w:pPr>
              <w:widowControl w:val="0"/>
              <w:jc w:val="left"/>
              <w:rPr>
                <w:b/>
                <w:sz w:val="20"/>
                <w:szCs w:val="20"/>
                <w:lang w:val="es-AR"/>
              </w:rPr>
            </w:pPr>
          </w:p>
        </w:tc>
        <w:tc>
          <w:tcPr>
            <w:tcW w:w="3529" w:type="pct"/>
          </w:tcPr>
          <w:p w14:paraId="7590AEA7" w14:textId="09ACB9E8" w:rsidR="00520C69" w:rsidRPr="00D354AB" w:rsidRDefault="00520C69" w:rsidP="00520C69">
            <w:pPr>
              <w:widowControl w:val="0"/>
              <w:jc w:val="both"/>
              <w:rPr>
                <w:sz w:val="20"/>
                <w:szCs w:val="20"/>
                <w:lang w:val="es-AR"/>
              </w:rPr>
            </w:pPr>
            <w:r w:rsidRPr="00D354AB">
              <w:rPr>
                <w:sz w:val="20"/>
                <w:szCs w:val="20"/>
                <w:lang w:val="es-AR"/>
              </w:rPr>
              <w:t>Se realizará a través del sistema de compensación y liquidación MAE-Clear (“</w:t>
            </w:r>
            <w:r w:rsidRPr="00D354AB">
              <w:rPr>
                <w:sz w:val="20"/>
                <w:szCs w:val="20"/>
                <w:u w:val="single"/>
                <w:lang w:val="es-AR"/>
              </w:rPr>
              <w:t>MAE-Clear</w:t>
            </w:r>
            <w:r w:rsidRPr="00D354AB">
              <w:rPr>
                <w:sz w:val="20"/>
                <w:szCs w:val="20"/>
                <w:lang w:val="es-AR"/>
              </w:rPr>
              <w:t>”), o aquel que en el futuro lo reemplace. En caso de que los Inversores (conforme dicho término se define más adelante) no contasen con una cuenta custodio disponible en el sistema MAE-Clear, la liquidación de las Obligaciones Negociables podrá realizarse por intermedio del Colocador correspondiente a través de Caja de Valores S.A. (“</w:t>
            </w:r>
            <w:r w:rsidRPr="00D354AB">
              <w:rPr>
                <w:sz w:val="20"/>
                <w:szCs w:val="20"/>
                <w:u w:val="single"/>
                <w:lang w:val="es-AR"/>
              </w:rPr>
              <w:t>Caja de Valores</w:t>
            </w:r>
            <w:r w:rsidRPr="00D354AB">
              <w:rPr>
                <w:sz w:val="20"/>
                <w:szCs w:val="20"/>
                <w:lang w:val="es-AR"/>
              </w:rPr>
              <w:t>”).</w:t>
            </w:r>
          </w:p>
          <w:p w14:paraId="6A560E48" w14:textId="77777777" w:rsidR="00520C69" w:rsidRPr="00D354AB" w:rsidRDefault="00520C69" w:rsidP="005170BE">
            <w:pPr>
              <w:widowControl w:val="0"/>
              <w:jc w:val="both"/>
              <w:rPr>
                <w:sz w:val="20"/>
                <w:szCs w:val="20"/>
                <w:lang w:val="es-AR"/>
              </w:rPr>
            </w:pPr>
          </w:p>
        </w:tc>
      </w:tr>
      <w:tr w:rsidR="00520C69" w:rsidRPr="0086608C" w14:paraId="5E23323C" w14:textId="77777777" w:rsidTr="005451AF">
        <w:trPr>
          <w:trHeight w:val="20"/>
        </w:trPr>
        <w:tc>
          <w:tcPr>
            <w:tcW w:w="1471" w:type="pct"/>
          </w:tcPr>
          <w:p w14:paraId="681C7820" w14:textId="77777777" w:rsidR="00520C69" w:rsidRPr="00D354AB" w:rsidRDefault="00520C69" w:rsidP="00520C69">
            <w:pPr>
              <w:widowControl w:val="0"/>
              <w:jc w:val="left"/>
              <w:rPr>
                <w:b/>
                <w:sz w:val="20"/>
                <w:szCs w:val="20"/>
                <w:lang w:val="es-AR"/>
              </w:rPr>
            </w:pPr>
            <w:r w:rsidRPr="00D354AB">
              <w:rPr>
                <w:b/>
                <w:sz w:val="20"/>
                <w:szCs w:val="20"/>
                <w:lang w:val="es-AR"/>
              </w:rPr>
              <w:t>Tipo de valores negociables ofrecidos</w:t>
            </w:r>
          </w:p>
          <w:p w14:paraId="51C959BD" w14:textId="77777777" w:rsidR="00520C69" w:rsidRPr="00D354AB" w:rsidRDefault="00520C69" w:rsidP="00520C69">
            <w:pPr>
              <w:widowControl w:val="0"/>
              <w:jc w:val="left"/>
              <w:rPr>
                <w:b/>
                <w:sz w:val="20"/>
                <w:szCs w:val="20"/>
                <w:lang w:val="es-AR"/>
              </w:rPr>
            </w:pPr>
          </w:p>
        </w:tc>
        <w:tc>
          <w:tcPr>
            <w:tcW w:w="3529" w:type="pct"/>
          </w:tcPr>
          <w:p w14:paraId="06F4DCE6" w14:textId="77777777" w:rsidR="00520C69" w:rsidRPr="00D354AB" w:rsidRDefault="00520C69" w:rsidP="00520C69">
            <w:pPr>
              <w:pStyle w:val="Default"/>
              <w:jc w:val="both"/>
              <w:rPr>
                <w:sz w:val="20"/>
                <w:szCs w:val="20"/>
              </w:rPr>
            </w:pPr>
            <w:r w:rsidRPr="00D354AB">
              <w:rPr>
                <w:sz w:val="20"/>
                <w:szCs w:val="20"/>
              </w:rPr>
              <w:t xml:space="preserve">Las Obligaciones Negociables serán obligaciones negociables simples, no convertibles en acciones en los términos de la Ley de Obligaciones Negociables. Tendrán en todo momento igual prioridad de pago entre sí y respecto a todas las demás obligaciones presentes y futuras, no subordinadas y con garantía común del Emisor, salvo las obligaciones que gozaren de privilegios y/o preferencias en virtud de disposiciones legales o en virtud de disposiciones convencionales. </w:t>
            </w:r>
          </w:p>
          <w:p w14:paraId="34849A60" w14:textId="77777777" w:rsidR="00520C69" w:rsidRPr="00D354AB" w:rsidRDefault="00520C69" w:rsidP="00520C69">
            <w:pPr>
              <w:widowControl w:val="0"/>
              <w:jc w:val="both"/>
              <w:rPr>
                <w:sz w:val="20"/>
                <w:szCs w:val="20"/>
                <w:lang w:val="es-AR"/>
              </w:rPr>
            </w:pPr>
          </w:p>
        </w:tc>
      </w:tr>
      <w:tr w:rsidR="001F77B0" w:rsidRPr="0086608C" w14:paraId="1E6452AF" w14:textId="77777777" w:rsidTr="005451AF">
        <w:trPr>
          <w:trHeight w:val="20"/>
        </w:trPr>
        <w:tc>
          <w:tcPr>
            <w:tcW w:w="1471" w:type="pct"/>
          </w:tcPr>
          <w:p w14:paraId="0479B0F7" w14:textId="77777777" w:rsidR="007F71D2" w:rsidRPr="00D354AB" w:rsidRDefault="007F71D2" w:rsidP="005170BE">
            <w:pPr>
              <w:widowControl w:val="0"/>
              <w:jc w:val="left"/>
              <w:rPr>
                <w:b/>
                <w:sz w:val="20"/>
                <w:szCs w:val="20"/>
                <w:lang w:val="es-AR"/>
              </w:rPr>
            </w:pPr>
            <w:r w:rsidRPr="00D354AB">
              <w:rPr>
                <w:b/>
                <w:sz w:val="20"/>
                <w:szCs w:val="20"/>
                <w:lang w:val="es-AR"/>
              </w:rPr>
              <w:t>Código ISIN</w:t>
            </w:r>
          </w:p>
        </w:tc>
        <w:tc>
          <w:tcPr>
            <w:tcW w:w="3529" w:type="pct"/>
          </w:tcPr>
          <w:p w14:paraId="768B7CB7" w14:textId="2B686CA6" w:rsidR="007F71D2" w:rsidRPr="00D354AB" w:rsidRDefault="003A263E" w:rsidP="006C1EFA">
            <w:pPr>
              <w:pStyle w:val="Default"/>
              <w:jc w:val="both"/>
              <w:rPr>
                <w:sz w:val="20"/>
                <w:szCs w:val="20"/>
              </w:rPr>
            </w:pPr>
            <w:r w:rsidRPr="00D354AB">
              <w:rPr>
                <w:sz w:val="20"/>
                <w:szCs w:val="20"/>
              </w:rPr>
              <w:t>La Sociedad podrá solicitar que las Obligaciones Negociables Clase XVII sean elegibles para su transferencia a través de Euroclear. En tal caso, el Código ISIN s</w:t>
            </w:r>
            <w:r w:rsidR="007F71D2" w:rsidRPr="00D354AB">
              <w:rPr>
                <w:sz w:val="20"/>
                <w:szCs w:val="20"/>
              </w:rPr>
              <w:t>erá informado mediante un aviso complementario al presente Suplemento de Pro</w:t>
            </w:r>
            <w:r w:rsidR="00801F89" w:rsidRPr="00D354AB">
              <w:rPr>
                <w:sz w:val="20"/>
                <w:szCs w:val="20"/>
              </w:rPr>
              <w:t>specto</w:t>
            </w:r>
            <w:r w:rsidR="007F71D2" w:rsidRPr="00D354AB">
              <w:rPr>
                <w:sz w:val="20"/>
                <w:szCs w:val="20"/>
              </w:rPr>
              <w:t xml:space="preserve">, que será publicado en la en la Página Web de la CNV, en el Boletín Diario de la BCBA, en la Página Web del MAE y en la Página Web Institucional. </w:t>
            </w:r>
          </w:p>
          <w:p w14:paraId="7B4B9A1D" w14:textId="2D782E0D" w:rsidR="00520C69" w:rsidRPr="00D354AB" w:rsidRDefault="00520C69" w:rsidP="006C1EFA">
            <w:pPr>
              <w:pStyle w:val="Default"/>
              <w:jc w:val="both"/>
              <w:rPr>
                <w:sz w:val="20"/>
                <w:szCs w:val="20"/>
              </w:rPr>
            </w:pPr>
          </w:p>
        </w:tc>
      </w:tr>
      <w:tr w:rsidR="00E54A6C" w:rsidRPr="0086608C" w14:paraId="26FA55FE" w14:textId="77777777" w:rsidTr="005451AF">
        <w:trPr>
          <w:trHeight w:val="20"/>
        </w:trPr>
        <w:tc>
          <w:tcPr>
            <w:tcW w:w="1471" w:type="pct"/>
          </w:tcPr>
          <w:p w14:paraId="4D48553F" w14:textId="77777777" w:rsidR="00E54A6C" w:rsidRPr="00D354AB" w:rsidRDefault="00E54A6C" w:rsidP="00E54A6C">
            <w:pPr>
              <w:widowControl w:val="0"/>
              <w:jc w:val="left"/>
              <w:rPr>
                <w:b/>
                <w:bCs/>
                <w:sz w:val="20"/>
                <w:szCs w:val="20"/>
                <w:lang w:val="es-AR"/>
              </w:rPr>
            </w:pPr>
            <w:r w:rsidRPr="00D354AB">
              <w:rPr>
                <w:b/>
                <w:bCs/>
                <w:sz w:val="20"/>
                <w:szCs w:val="20"/>
                <w:lang w:val="es-AR"/>
              </w:rPr>
              <w:t>Monto de la Emisión</w:t>
            </w:r>
          </w:p>
          <w:p w14:paraId="62281084" w14:textId="77777777" w:rsidR="00E54A6C" w:rsidRPr="00D354AB" w:rsidRDefault="00E54A6C" w:rsidP="005451AF">
            <w:pPr>
              <w:widowControl w:val="0"/>
              <w:jc w:val="left"/>
              <w:rPr>
                <w:b/>
                <w:sz w:val="20"/>
                <w:szCs w:val="20"/>
                <w:lang w:val="es-AR"/>
              </w:rPr>
            </w:pPr>
          </w:p>
        </w:tc>
        <w:tc>
          <w:tcPr>
            <w:tcW w:w="3529" w:type="pct"/>
          </w:tcPr>
          <w:p w14:paraId="28690FE9" w14:textId="4253B5C4" w:rsidR="00E54A6C" w:rsidRPr="00D354AB" w:rsidRDefault="00E54A6C" w:rsidP="00E54A6C">
            <w:pPr>
              <w:widowControl w:val="0"/>
              <w:jc w:val="both"/>
              <w:outlineLvl w:val="2"/>
              <w:rPr>
                <w:sz w:val="20"/>
                <w:szCs w:val="20"/>
                <w:lang w:val="es-AR"/>
              </w:rPr>
            </w:pPr>
            <w:r w:rsidRPr="00D354AB">
              <w:rPr>
                <w:sz w:val="20"/>
                <w:szCs w:val="20"/>
                <w:lang w:val="es-AR"/>
              </w:rPr>
              <w:t xml:space="preserve">El valor nominal de las Obligaciones Negociables Clase XVII </w:t>
            </w:r>
            <w:r w:rsidR="00F60C20" w:rsidRPr="00D354AB">
              <w:rPr>
                <w:sz w:val="20"/>
                <w:szCs w:val="20"/>
                <w:lang w:val="es-AR"/>
              </w:rPr>
              <w:t>será</w:t>
            </w:r>
            <w:r w:rsidR="00520C69" w:rsidRPr="00D354AB">
              <w:rPr>
                <w:sz w:val="20"/>
                <w:szCs w:val="20"/>
                <w:lang w:val="es-AR"/>
              </w:rPr>
              <w:t xml:space="preserve"> </w:t>
            </w:r>
            <w:r w:rsidRPr="00D354AB">
              <w:rPr>
                <w:sz w:val="20"/>
                <w:szCs w:val="20"/>
                <w:lang w:val="es-AR"/>
              </w:rPr>
              <w:t>de hasta</w:t>
            </w:r>
            <w:r w:rsidR="003A263E" w:rsidRPr="00D354AB">
              <w:rPr>
                <w:sz w:val="20"/>
                <w:szCs w:val="20"/>
                <w:lang w:val="es-AR"/>
              </w:rPr>
              <w:t xml:space="preserve"> $500.000.000 ampliable por hasta el Valor Nominal Máximo, es decir, por hasta $7</w:t>
            </w:r>
            <w:r w:rsidR="002104FB" w:rsidRPr="00D354AB">
              <w:rPr>
                <w:sz w:val="20"/>
                <w:szCs w:val="20"/>
                <w:lang w:val="es-AR"/>
              </w:rPr>
              <w:t>0</w:t>
            </w:r>
            <w:r w:rsidR="003A263E" w:rsidRPr="00D354AB">
              <w:rPr>
                <w:sz w:val="20"/>
                <w:szCs w:val="20"/>
                <w:lang w:val="es-AR"/>
              </w:rPr>
              <w:t xml:space="preserve">0.000.000. </w:t>
            </w:r>
          </w:p>
          <w:p w14:paraId="5F7CEE28" w14:textId="77777777" w:rsidR="00E54A6C" w:rsidRPr="00D354AB" w:rsidRDefault="00E54A6C" w:rsidP="00BB2DA6">
            <w:pPr>
              <w:widowControl w:val="0"/>
              <w:jc w:val="both"/>
              <w:outlineLvl w:val="2"/>
              <w:rPr>
                <w:b/>
                <w:smallCaps/>
                <w:sz w:val="20"/>
                <w:szCs w:val="20"/>
                <w:lang w:val="es-AR"/>
              </w:rPr>
            </w:pPr>
          </w:p>
          <w:p w14:paraId="56C96107" w14:textId="433EA13C" w:rsidR="00E54A6C" w:rsidRPr="00D354AB" w:rsidRDefault="00E54A6C" w:rsidP="00E54A6C">
            <w:pPr>
              <w:pStyle w:val="Default"/>
              <w:jc w:val="both"/>
              <w:rPr>
                <w:sz w:val="20"/>
                <w:szCs w:val="20"/>
              </w:rPr>
            </w:pPr>
            <w:r w:rsidRPr="00D354AB">
              <w:rPr>
                <w:b/>
                <w:bCs/>
                <w:sz w:val="20"/>
                <w:szCs w:val="20"/>
              </w:rPr>
              <w:t xml:space="preserve">EL EMISOR PODRÁ DECLARAR DESIERTO EL PROCESO DE ADJUDICACIÓN DE </w:t>
            </w:r>
            <w:r w:rsidRPr="00D354AB">
              <w:rPr>
                <w:b/>
                <w:smallCaps/>
                <w:color w:val="auto"/>
                <w:sz w:val="20"/>
                <w:szCs w:val="20"/>
                <w:lang w:val="es-AR" w:eastAsia="en-US"/>
              </w:rPr>
              <w:t xml:space="preserve">LAS OBLIGACIONES NEGOCIABLES, LO CUAL IMPLICARÁ QUE NO SE EMITIRÁ OBLIGACIÓN NEGOCIABLE CLASE XVII ALGUNA. ESTA CIRCUNSTANCIA NO GENERARÁ RESPONSABILIDAD ALGUNA POR PARTE DE LOS ORGANIZADORES Y COLOCADORES NI OTORGARÁ A LOS INVERSORES </w:t>
            </w:r>
            <w:r w:rsidR="00520C69" w:rsidRPr="00D354AB">
              <w:rPr>
                <w:b/>
                <w:smallCaps/>
                <w:color w:val="auto"/>
                <w:sz w:val="20"/>
                <w:szCs w:val="20"/>
                <w:lang w:val="es-AR" w:eastAsia="en-US"/>
              </w:rPr>
              <w:t>DERECHO A COMPENSACIÓN NI INDEMNIZACIÓN ALGUNA.</w:t>
            </w:r>
            <w:r w:rsidR="00520C69" w:rsidRPr="00D354AB">
              <w:rPr>
                <w:b/>
                <w:bCs/>
                <w:sz w:val="20"/>
                <w:szCs w:val="20"/>
              </w:rPr>
              <w:t xml:space="preserve"> </w:t>
            </w:r>
          </w:p>
          <w:p w14:paraId="5EEF8CD3" w14:textId="77777777" w:rsidR="00E54A6C" w:rsidRPr="00D354AB" w:rsidRDefault="00E54A6C" w:rsidP="00E54A6C">
            <w:pPr>
              <w:widowControl w:val="0"/>
              <w:jc w:val="both"/>
              <w:rPr>
                <w:sz w:val="20"/>
                <w:szCs w:val="20"/>
                <w:lang w:val="es-AR"/>
              </w:rPr>
            </w:pPr>
          </w:p>
        </w:tc>
      </w:tr>
      <w:tr w:rsidR="00E54A6C" w:rsidRPr="0086608C" w14:paraId="4D4CFBD7" w14:textId="77777777" w:rsidTr="005451AF">
        <w:trPr>
          <w:trHeight w:val="20"/>
        </w:trPr>
        <w:tc>
          <w:tcPr>
            <w:tcW w:w="1471" w:type="pct"/>
          </w:tcPr>
          <w:p w14:paraId="6CC1B4DB" w14:textId="77777777" w:rsidR="00E54A6C" w:rsidRPr="00D354AB" w:rsidRDefault="00E54A6C" w:rsidP="00E54A6C">
            <w:pPr>
              <w:widowControl w:val="0"/>
              <w:jc w:val="left"/>
              <w:rPr>
                <w:b/>
                <w:sz w:val="20"/>
                <w:szCs w:val="20"/>
                <w:lang w:val="es-AR"/>
              </w:rPr>
            </w:pPr>
            <w:r w:rsidRPr="00D354AB">
              <w:rPr>
                <w:b/>
                <w:sz w:val="20"/>
                <w:szCs w:val="20"/>
                <w:lang w:val="es-AR"/>
              </w:rPr>
              <w:t>Forma</w:t>
            </w:r>
          </w:p>
        </w:tc>
        <w:tc>
          <w:tcPr>
            <w:tcW w:w="3529" w:type="pct"/>
          </w:tcPr>
          <w:p w14:paraId="5E442F9E" w14:textId="09EDE173" w:rsidR="00E54A6C" w:rsidRPr="00D354AB" w:rsidRDefault="00E54A6C" w:rsidP="00E54A6C">
            <w:pPr>
              <w:widowControl w:val="0"/>
              <w:jc w:val="both"/>
              <w:rPr>
                <w:sz w:val="20"/>
                <w:szCs w:val="20"/>
                <w:lang w:val="es-AR"/>
              </w:rPr>
            </w:pPr>
            <w:r w:rsidRPr="00D354AB">
              <w:rPr>
                <w:sz w:val="20"/>
                <w:szCs w:val="20"/>
                <w:lang w:val="es-AR"/>
              </w:rPr>
              <w:t>Las Obligaciones Negociables se encontrarán representadas bajo la forma de un certificado global, que será depositado por el Emisor en el sistema de depósito colectivo llevado por Caja de Valores. Las transferencias se realizarán dentro del sistema de depósito colectivo, conforme a la Ley N° 20.643 y al Título VIII de las Normas de la CNV, encontrándose habilitada la Caja de Valores para cobrar aranceles a los depositantes, que éstos podrán trasladar a los tenedores.</w:t>
            </w:r>
          </w:p>
          <w:p w14:paraId="78E39630" w14:textId="77777777" w:rsidR="00E54A6C" w:rsidRPr="00D354AB" w:rsidRDefault="00E54A6C" w:rsidP="00E54A6C">
            <w:pPr>
              <w:widowControl w:val="0"/>
              <w:jc w:val="both"/>
              <w:outlineLvl w:val="2"/>
              <w:rPr>
                <w:sz w:val="20"/>
                <w:szCs w:val="20"/>
                <w:lang w:val="es-AR"/>
              </w:rPr>
            </w:pPr>
          </w:p>
          <w:p w14:paraId="4E05AED1" w14:textId="77777777" w:rsidR="00E54A6C" w:rsidRPr="00D354AB" w:rsidRDefault="00E54A6C" w:rsidP="00E54A6C">
            <w:pPr>
              <w:widowControl w:val="0"/>
              <w:jc w:val="both"/>
              <w:rPr>
                <w:sz w:val="20"/>
                <w:szCs w:val="20"/>
                <w:lang w:val="es-AR"/>
              </w:rPr>
            </w:pPr>
            <w:r w:rsidRPr="00D354AB">
              <w:rPr>
                <w:sz w:val="20"/>
                <w:szCs w:val="20"/>
                <w:lang w:val="es-AR"/>
              </w:rPr>
              <w:t>El artículo 131 de la Ley de Mercado de Capitales establece que se podrán expedir comprobantes de los valores representados en certificados globales a favor de las personas que tengan una participación en los mismos, a los efectos de legitimar al titular para reclamar judicialmente o ante jurisdicción arbitral en su caso, incluso mediante acción ejecutiva si correspondiere, presentar solicitudes de verificación de crédito o participar en procesos universales para lo que será suficiente título dicho comprobante, sin necesidad de autenticación u otro requisito.</w:t>
            </w:r>
          </w:p>
          <w:p w14:paraId="4B1059AC" w14:textId="77777777" w:rsidR="00E54A6C" w:rsidRPr="00D354AB" w:rsidRDefault="00E54A6C" w:rsidP="00E54A6C">
            <w:pPr>
              <w:widowControl w:val="0"/>
              <w:jc w:val="both"/>
              <w:outlineLvl w:val="2"/>
              <w:rPr>
                <w:sz w:val="20"/>
                <w:szCs w:val="20"/>
                <w:lang w:val="es-AR"/>
              </w:rPr>
            </w:pPr>
          </w:p>
        </w:tc>
      </w:tr>
      <w:tr w:rsidR="00E54A6C" w:rsidRPr="0086608C" w14:paraId="5DF1A393" w14:textId="77777777" w:rsidTr="005451AF">
        <w:trPr>
          <w:trHeight w:val="20"/>
        </w:trPr>
        <w:tc>
          <w:tcPr>
            <w:tcW w:w="1471" w:type="pct"/>
          </w:tcPr>
          <w:p w14:paraId="1D665793" w14:textId="77777777" w:rsidR="00E54A6C" w:rsidRPr="00D354AB" w:rsidRDefault="00E54A6C" w:rsidP="00E54A6C">
            <w:pPr>
              <w:widowControl w:val="0"/>
              <w:jc w:val="left"/>
              <w:rPr>
                <w:b/>
                <w:bCs/>
                <w:sz w:val="20"/>
                <w:szCs w:val="20"/>
                <w:lang w:val="es-AR"/>
              </w:rPr>
            </w:pPr>
            <w:r w:rsidRPr="00D354AB">
              <w:rPr>
                <w:b/>
                <w:bCs/>
                <w:sz w:val="20"/>
                <w:szCs w:val="20"/>
                <w:lang w:val="es-AR"/>
              </w:rPr>
              <w:lastRenderedPageBreak/>
              <w:t>Fecha de Emisión y Liquidación</w:t>
            </w:r>
          </w:p>
          <w:p w14:paraId="7A3A6E87" w14:textId="77777777" w:rsidR="00E54A6C" w:rsidRPr="00D354AB" w:rsidRDefault="00E54A6C" w:rsidP="00E54A6C">
            <w:pPr>
              <w:widowControl w:val="0"/>
              <w:jc w:val="left"/>
              <w:rPr>
                <w:b/>
                <w:bCs/>
                <w:sz w:val="20"/>
                <w:szCs w:val="20"/>
                <w:lang w:val="es-AR"/>
              </w:rPr>
            </w:pPr>
          </w:p>
        </w:tc>
        <w:tc>
          <w:tcPr>
            <w:tcW w:w="3529" w:type="pct"/>
          </w:tcPr>
          <w:p w14:paraId="5EACA8FF" w14:textId="051CCD98" w:rsidR="00E54A6C" w:rsidRPr="00D354AB" w:rsidRDefault="00E54A6C" w:rsidP="00E54A6C">
            <w:pPr>
              <w:widowControl w:val="0"/>
              <w:jc w:val="both"/>
              <w:rPr>
                <w:sz w:val="20"/>
                <w:szCs w:val="20"/>
                <w:lang w:val="es-AR"/>
              </w:rPr>
            </w:pPr>
            <w:r w:rsidRPr="00D354AB">
              <w:rPr>
                <w:sz w:val="20"/>
                <w:szCs w:val="20"/>
                <w:lang w:val="es-AR"/>
              </w:rPr>
              <w:t xml:space="preserve">Será aquella fecha informada en el Aviso de Suscripción y/o en el Aviso de Resultados (conforme estos términos se definen más adelante) la cual tendrá lugar dentro de los tres Días Hábiles siguientes a la finalización del </w:t>
            </w:r>
            <w:r w:rsidRPr="00D354AB">
              <w:rPr>
                <w:color w:val="000000"/>
                <w:sz w:val="20"/>
                <w:szCs w:val="20"/>
                <w:lang w:val="es-AR"/>
              </w:rPr>
              <w:t xml:space="preserve">Período de </w:t>
            </w:r>
            <w:r w:rsidR="008F6386">
              <w:rPr>
                <w:color w:val="000000"/>
                <w:sz w:val="20"/>
                <w:szCs w:val="20"/>
                <w:lang w:val="es-AR"/>
              </w:rPr>
              <w:t>Subasta Pública</w:t>
            </w:r>
            <w:r w:rsidRPr="00D354AB" w:rsidDel="00D326FF">
              <w:rPr>
                <w:sz w:val="20"/>
                <w:szCs w:val="20"/>
                <w:lang w:val="es-AR"/>
              </w:rPr>
              <w:t xml:space="preserve"> </w:t>
            </w:r>
            <w:r w:rsidRPr="00D354AB">
              <w:rPr>
                <w:sz w:val="20"/>
                <w:szCs w:val="20"/>
                <w:lang w:val="es-AR"/>
              </w:rPr>
              <w:t>(conforme este término se define más adelante) en la que se emitirán las Obligaciones Negociables de acuerdo a lo que decidan los Colocadores y el Emisor</w:t>
            </w:r>
            <w:r w:rsidRPr="00D354AB">
              <w:rPr>
                <w:color w:val="000000"/>
                <w:sz w:val="20"/>
                <w:szCs w:val="20"/>
                <w:lang w:val="es-AR"/>
              </w:rPr>
              <w:t xml:space="preserve"> y en la que </w:t>
            </w:r>
            <w:r w:rsidRPr="00D354AB">
              <w:rPr>
                <w:sz w:val="20"/>
                <w:szCs w:val="20"/>
                <w:lang w:val="es-AR"/>
              </w:rPr>
              <w:t>los Inversores deberán pagar el Monto a Integrar respectivo (conforme dicho término se define a continuación).</w:t>
            </w:r>
          </w:p>
          <w:p w14:paraId="0F662DA4" w14:textId="29EC05F1" w:rsidR="00520C69" w:rsidRPr="00D354AB" w:rsidRDefault="00520C69" w:rsidP="00E54A6C">
            <w:pPr>
              <w:widowControl w:val="0"/>
              <w:jc w:val="both"/>
              <w:rPr>
                <w:sz w:val="20"/>
                <w:szCs w:val="20"/>
                <w:lang w:val="es-AR"/>
              </w:rPr>
            </w:pPr>
          </w:p>
        </w:tc>
      </w:tr>
      <w:tr w:rsidR="00E54A6C" w:rsidRPr="0086608C" w14:paraId="3E662FC8" w14:textId="77777777" w:rsidTr="005451AF">
        <w:trPr>
          <w:trHeight w:val="20"/>
        </w:trPr>
        <w:tc>
          <w:tcPr>
            <w:tcW w:w="1471" w:type="pct"/>
          </w:tcPr>
          <w:p w14:paraId="00D2BAC4" w14:textId="77777777" w:rsidR="00E54A6C" w:rsidRPr="00D354AB" w:rsidRDefault="00E54A6C" w:rsidP="00E54A6C">
            <w:pPr>
              <w:widowControl w:val="0"/>
              <w:jc w:val="left"/>
              <w:rPr>
                <w:b/>
                <w:sz w:val="20"/>
                <w:szCs w:val="20"/>
                <w:lang w:val="es-AR"/>
              </w:rPr>
            </w:pPr>
            <w:r w:rsidRPr="00D354AB">
              <w:rPr>
                <w:b/>
                <w:sz w:val="20"/>
                <w:szCs w:val="20"/>
                <w:lang w:val="es-AR"/>
              </w:rPr>
              <w:t>Intereses</w:t>
            </w:r>
          </w:p>
        </w:tc>
        <w:tc>
          <w:tcPr>
            <w:tcW w:w="3529" w:type="pct"/>
          </w:tcPr>
          <w:p w14:paraId="2F53B025" w14:textId="43F6E005" w:rsidR="00E54A6C" w:rsidRPr="00D354AB" w:rsidRDefault="00E54A6C" w:rsidP="00E54A6C">
            <w:pPr>
              <w:widowControl w:val="0"/>
              <w:jc w:val="both"/>
              <w:rPr>
                <w:rFonts w:eastAsia="MS Mincho"/>
                <w:sz w:val="20"/>
                <w:szCs w:val="20"/>
                <w:lang w:val="es-AR"/>
              </w:rPr>
            </w:pPr>
            <w:r w:rsidRPr="00D354AB">
              <w:rPr>
                <w:sz w:val="20"/>
                <w:szCs w:val="20"/>
                <w:lang w:val="es-AR"/>
              </w:rPr>
              <w:t>Las Obligaciones Negociables devengarán intereses (los “</w:t>
            </w:r>
            <w:r w:rsidRPr="00D354AB">
              <w:rPr>
                <w:sz w:val="20"/>
                <w:szCs w:val="20"/>
                <w:u w:val="single"/>
                <w:lang w:val="es-AR"/>
              </w:rPr>
              <w:t>Intereses</w:t>
            </w:r>
            <w:r w:rsidRPr="00D354AB">
              <w:rPr>
                <w:sz w:val="20"/>
                <w:szCs w:val="20"/>
                <w:lang w:val="es-AR"/>
              </w:rPr>
              <w:t>”) sobre el saldo de capital impago bajo aquellos títulos, desde la Fecha de Emisión</w:t>
            </w:r>
            <w:r w:rsidR="00520C69" w:rsidRPr="00D354AB">
              <w:rPr>
                <w:sz w:val="20"/>
                <w:szCs w:val="20"/>
                <w:lang w:val="es-AR"/>
              </w:rPr>
              <w:t xml:space="preserve"> y Liquidación</w:t>
            </w:r>
            <w:r w:rsidRPr="00D354AB">
              <w:rPr>
                <w:sz w:val="20"/>
                <w:szCs w:val="20"/>
                <w:lang w:val="es-AR"/>
              </w:rPr>
              <w:t xml:space="preserve"> hasta la Fecha de Vencimiento</w:t>
            </w:r>
            <w:r w:rsidRPr="00D354AB">
              <w:rPr>
                <w:rFonts w:eastAsia="MS Mincho"/>
                <w:sz w:val="20"/>
                <w:szCs w:val="20"/>
                <w:lang w:val="es-AR"/>
              </w:rPr>
              <w:t>.</w:t>
            </w:r>
          </w:p>
          <w:p w14:paraId="38994519" w14:textId="77777777" w:rsidR="00E54A6C" w:rsidRPr="00D354AB" w:rsidRDefault="00E54A6C" w:rsidP="00E54A6C">
            <w:pPr>
              <w:widowControl w:val="0"/>
              <w:jc w:val="both"/>
              <w:rPr>
                <w:rFonts w:eastAsia="MS Mincho"/>
                <w:sz w:val="20"/>
                <w:szCs w:val="20"/>
                <w:lang w:val="es-AR"/>
              </w:rPr>
            </w:pPr>
          </w:p>
          <w:p w14:paraId="6AFCA443" w14:textId="77777777" w:rsidR="00E54A6C" w:rsidRPr="00D354AB" w:rsidRDefault="00E54A6C" w:rsidP="00E54A6C">
            <w:pPr>
              <w:widowControl w:val="0"/>
              <w:jc w:val="both"/>
              <w:rPr>
                <w:rFonts w:eastAsia="MS Mincho"/>
                <w:sz w:val="20"/>
                <w:szCs w:val="20"/>
                <w:lang w:val="es-AR"/>
              </w:rPr>
            </w:pPr>
            <w:r w:rsidRPr="00D354AB">
              <w:rPr>
                <w:rFonts w:eastAsia="MS Mincho"/>
                <w:sz w:val="20"/>
                <w:szCs w:val="20"/>
                <w:lang w:val="es-AR"/>
              </w:rPr>
              <w:t>Los Intereses se calcularán sobre la base de un año de 365 días (cantidad de días transcurridos/365).</w:t>
            </w:r>
          </w:p>
          <w:p w14:paraId="79368E21" w14:textId="77777777" w:rsidR="00E54A6C" w:rsidRPr="00D354AB" w:rsidRDefault="00E54A6C" w:rsidP="00E54A6C">
            <w:pPr>
              <w:widowControl w:val="0"/>
              <w:jc w:val="both"/>
              <w:rPr>
                <w:rFonts w:eastAsia="MS Mincho"/>
                <w:sz w:val="20"/>
                <w:szCs w:val="20"/>
                <w:lang w:val="es-AR"/>
              </w:rPr>
            </w:pPr>
          </w:p>
          <w:p w14:paraId="3CF7887E" w14:textId="1B6BD2DE" w:rsidR="00E54A6C" w:rsidRPr="00D354AB" w:rsidRDefault="00E54A6C" w:rsidP="00E54A6C">
            <w:pPr>
              <w:widowControl w:val="0"/>
              <w:jc w:val="both"/>
              <w:rPr>
                <w:rFonts w:eastAsia="MS Mincho"/>
                <w:sz w:val="20"/>
                <w:szCs w:val="20"/>
                <w:lang w:val="es-AR"/>
              </w:rPr>
            </w:pPr>
            <w:r w:rsidRPr="00D354AB">
              <w:rPr>
                <w:rFonts w:eastAsia="MS Mincho"/>
                <w:sz w:val="20"/>
                <w:szCs w:val="20"/>
                <w:lang w:val="es-AR"/>
              </w:rPr>
              <w:t>En el supuesto en que el Emisor no abonare cualquier monto adeudado bajo las Obligaciones Negociables, el Emisor deberá abonar un interés moratorio equivalente al 50% de la tasa de interés correspondiente al período vencido e impago, que será complementario a dicha tasa de interés desde la fecha en que tales montos debieron ser cancelados y hasta su efectiva cancelación.</w:t>
            </w:r>
          </w:p>
          <w:p w14:paraId="7F3C1107" w14:textId="77777777" w:rsidR="00E54A6C" w:rsidRPr="00D354AB" w:rsidRDefault="00E54A6C" w:rsidP="00E54A6C">
            <w:pPr>
              <w:widowControl w:val="0"/>
              <w:jc w:val="both"/>
              <w:rPr>
                <w:sz w:val="20"/>
                <w:szCs w:val="20"/>
                <w:lang w:val="es-AR"/>
              </w:rPr>
            </w:pPr>
          </w:p>
        </w:tc>
      </w:tr>
      <w:tr w:rsidR="00E54A6C" w:rsidRPr="0086608C" w14:paraId="4773C8B4" w14:textId="77777777" w:rsidTr="005451AF">
        <w:trPr>
          <w:trHeight w:val="20"/>
        </w:trPr>
        <w:tc>
          <w:tcPr>
            <w:tcW w:w="1471" w:type="pct"/>
          </w:tcPr>
          <w:p w14:paraId="7143D768" w14:textId="77777777" w:rsidR="00E54A6C" w:rsidRPr="00D354AB" w:rsidRDefault="00E54A6C" w:rsidP="00E54A6C">
            <w:pPr>
              <w:widowControl w:val="0"/>
              <w:jc w:val="left"/>
              <w:rPr>
                <w:b/>
                <w:sz w:val="20"/>
                <w:szCs w:val="20"/>
                <w:lang w:val="es-AR"/>
              </w:rPr>
            </w:pPr>
            <w:r w:rsidRPr="00D354AB">
              <w:rPr>
                <w:b/>
                <w:sz w:val="20"/>
                <w:szCs w:val="20"/>
                <w:lang w:val="es-AR"/>
              </w:rPr>
              <w:t>Período de Intereses</w:t>
            </w:r>
          </w:p>
        </w:tc>
        <w:tc>
          <w:tcPr>
            <w:tcW w:w="3529" w:type="pct"/>
          </w:tcPr>
          <w:p w14:paraId="52ABA31F" w14:textId="411142E3" w:rsidR="00E54A6C" w:rsidRPr="00D354AB" w:rsidRDefault="00E54A6C" w:rsidP="00E54A6C">
            <w:pPr>
              <w:widowControl w:val="0"/>
              <w:jc w:val="both"/>
              <w:rPr>
                <w:color w:val="000000"/>
                <w:sz w:val="20"/>
                <w:szCs w:val="20"/>
                <w:lang w:val="es-AR"/>
              </w:rPr>
            </w:pPr>
            <w:r w:rsidRPr="00D354AB">
              <w:rPr>
                <w:color w:val="000000"/>
                <w:sz w:val="20"/>
                <w:szCs w:val="20"/>
                <w:lang w:val="es-AR"/>
              </w:rPr>
              <w:t xml:space="preserve">Los Intereses se devengarán desde una Fecha de Pago de Intereses (inclusive) hasta la próxima Fecha de Pago de Intereses (exclusive); salvo para el primer período de Intereses, en cuyo caso los Intereses se devengarán desde la Fecha de Emisión </w:t>
            </w:r>
            <w:r w:rsidR="00520C69" w:rsidRPr="00D354AB">
              <w:rPr>
                <w:color w:val="000000"/>
                <w:sz w:val="20"/>
                <w:szCs w:val="20"/>
                <w:lang w:val="es-AR"/>
              </w:rPr>
              <w:t xml:space="preserve">y Liquidación </w:t>
            </w:r>
            <w:r w:rsidRPr="00D354AB">
              <w:rPr>
                <w:color w:val="000000"/>
                <w:sz w:val="20"/>
                <w:szCs w:val="20"/>
                <w:lang w:val="es-AR"/>
              </w:rPr>
              <w:t>(inclusive) y hasta la primera Fecha de Pago de Intereses (exclusive).</w:t>
            </w:r>
          </w:p>
          <w:p w14:paraId="1D9DBD4C" w14:textId="77777777" w:rsidR="00E54A6C" w:rsidRPr="00D354AB" w:rsidRDefault="00E54A6C" w:rsidP="00E54A6C">
            <w:pPr>
              <w:widowControl w:val="0"/>
              <w:jc w:val="both"/>
              <w:outlineLvl w:val="2"/>
              <w:rPr>
                <w:sz w:val="20"/>
                <w:szCs w:val="20"/>
                <w:lang w:val="es-AR"/>
              </w:rPr>
            </w:pPr>
          </w:p>
        </w:tc>
      </w:tr>
      <w:tr w:rsidR="00E54A6C" w:rsidRPr="0086608C" w14:paraId="7E5F7773" w14:textId="77777777" w:rsidTr="005451AF">
        <w:trPr>
          <w:trHeight w:val="20"/>
        </w:trPr>
        <w:tc>
          <w:tcPr>
            <w:tcW w:w="1471" w:type="pct"/>
          </w:tcPr>
          <w:p w14:paraId="3FE76ECB" w14:textId="77777777" w:rsidR="00E54A6C" w:rsidRPr="00D354AB" w:rsidRDefault="00E54A6C" w:rsidP="00E54A6C">
            <w:pPr>
              <w:widowControl w:val="0"/>
              <w:jc w:val="left"/>
              <w:rPr>
                <w:b/>
                <w:sz w:val="20"/>
                <w:szCs w:val="20"/>
                <w:lang w:val="es-AR"/>
              </w:rPr>
            </w:pPr>
            <w:r w:rsidRPr="00D354AB">
              <w:rPr>
                <w:b/>
                <w:sz w:val="20"/>
                <w:szCs w:val="20"/>
                <w:lang w:val="es-AR"/>
              </w:rPr>
              <w:t>Fecha de pago de Intereses</w:t>
            </w:r>
          </w:p>
        </w:tc>
        <w:tc>
          <w:tcPr>
            <w:tcW w:w="3529" w:type="pct"/>
          </w:tcPr>
          <w:p w14:paraId="2C922D93" w14:textId="1E699015" w:rsidR="00E54A6C" w:rsidRPr="00D354AB" w:rsidRDefault="00E54A6C" w:rsidP="00E54A6C">
            <w:pPr>
              <w:jc w:val="both"/>
              <w:rPr>
                <w:sz w:val="20"/>
                <w:szCs w:val="20"/>
                <w:lang w:val="es-ES"/>
              </w:rPr>
            </w:pPr>
            <w:r w:rsidRPr="00D354AB">
              <w:rPr>
                <w:sz w:val="20"/>
                <w:szCs w:val="20"/>
                <w:lang w:val="es-ES"/>
              </w:rPr>
              <w:t>Los Intereses de las Obligaciones Negociables serán pagaderos de forma trimestral, en las fechas que sean un número de día idéntico a la Fecha de Emisión</w:t>
            </w:r>
            <w:r w:rsidR="00520C69" w:rsidRPr="00D354AB">
              <w:rPr>
                <w:sz w:val="20"/>
                <w:szCs w:val="20"/>
                <w:lang w:val="es-ES"/>
              </w:rPr>
              <w:t xml:space="preserve"> y Liquidación</w:t>
            </w:r>
            <w:r w:rsidRPr="00D354AB">
              <w:rPr>
                <w:sz w:val="20"/>
                <w:szCs w:val="20"/>
                <w:lang w:val="es-ES"/>
              </w:rPr>
              <w:t>, pero del correspondiente mes (cada una de ellas, una “</w:t>
            </w:r>
            <w:r w:rsidRPr="00D354AB">
              <w:rPr>
                <w:sz w:val="20"/>
                <w:szCs w:val="20"/>
                <w:u w:val="single"/>
                <w:lang w:val="es-ES"/>
              </w:rPr>
              <w:t>Fecha de Pago de Intereses</w:t>
            </w:r>
            <w:r w:rsidRPr="00D354AB">
              <w:rPr>
                <w:sz w:val="20"/>
                <w:szCs w:val="20"/>
                <w:lang w:val="es-ES"/>
              </w:rPr>
              <w:t>”)</w:t>
            </w:r>
            <w:r w:rsidR="00F60C20" w:rsidRPr="00D354AB">
              <w:rPr>
                <w:sz w:val="20"/>
                <w:szCs w:val="20"/>
                <w:lang w:val="es-AR"/>
              </w:rPr>
              <w:t>.</w:t>
            </w:r>
          </w:p>
          <w:p w14:paraId="7EEB3358" w14:textId="77777777" w:rsidR="00E54A6C" w:rsidRPr="00D354AB" w:rsidRDefault="00E54A6C" w:rsidP="00E54A6C">
            <w:pPr>
              <w:jc w:val="both"/>
              <w:rPr>
                <w:sz w:val="20"/>
                <w:szCs w:val="20"/>
                <w:lang w:val="es-ES"/>
              </w:rPr>
            </w:pPr>
          </w:p>
          <w:p w14:paraId="201DBA18" w14:textId="77777777" w:rsidR="00E54A6C" w:rsidRPr="00D354AB" w:rsidRDefault="00E54A6C" w:rsidP="00E54A6C">
            <w:pPr>
              <w:jc w:val="both"/>
              <w:rPr>
                <w:sz w:val="20"/>
                <w:szCs w:val="20"/>
                <w:lang w:val="es-ES"/>
              </w:rPr>
            </w:pPr>
            <w:r w:rsidRPr="00D354AB">
              <w:rPr>
                <w:sz w:val="20"/>
                <w:szCs w:val="20"/>
                <w:lang w:val="es-ES"/>
              </w:rPr>
              <w:t>Las Fechas de Pago de Intereses, serán informadas a los Inversores mediante el Aviso de Resultados.</w:t>
            </w:r>
          </w:p>
          <w:p w14:paraId="4FF8BBE6" w14:textId="09D21D3F" w:rsidR="00E54A6C" w:rsidRPr="00D354AB" w:rsidRDefault="00E54A6C" w:rsidP="00E54A6C">
            <w:pPr>
              <w:widowControl w:val="0"/>
              <w:jc w:val="both"/>
              <w:rPr>
                <w:sz w:val="20"/>
                <w:szCs w:val="20"/>
                <w:lang w:val="es-ES"/>
              </w:rPr>
            </w:pPr>
          </w:p>
          <w:p w14:paraId="144D3B27" w14:textId="77777777" w:rsidR="00E54A6C" w:rsidRPr="00D354AB" w:rsidRDefault="00E54A6C" w:rsidP="00E54A6C">
            <w:pPr>
              <w:pStyle w:val="Default"/>
              <w:jc w:val="both"/>
              <w:rPr>
                <w:sz w:val="20"/>
                <w:szCs w:val="20"/>
              </w:rPr>
            </w:pPr>
            <w:r w:rsidRPr="00D354AB">
              <w:rPr>
                <w:sz w:val="20"/>
                <w:szCs w:val="20"/>
              </w:rPr>
              <w:t xml:space="preserve">En caso de que alguna de las Fechas de Pago de Intereses no fuera un Día Hábil, los Intereses se pagarán el Día Hábil inmediato posterior con la misma validez y efecto como si el pago se hubiera efectuado en la fecha originalmente prevista, y no se devengarán intereses por el período comprendido entre dicha fecha y el Día Hábil en que se efectúe el pago, salvo con relación a la última Fecha de Pago de Intereses respecto de la cual, en caso que no fuera un Día Hábil, el Emisor pagará los intereses devengados entre dicha fecha y la fecha en que efectivamente se realice el pago. Las Fechas de Pago de Intereses serán informadas a los Inversores mediante el Aviso de Resultados. </w:t>
            </w:r>
          </w:p>
          <w:p w14:paraId="2C20B8D4" w14:textId="77777777" w:rsidR="00E54A6C" w:rsidRPr="00D354AB" w:rsidRDefault="00E54A6C" w:rsidP="00E54A6C">
            <w:pPr>
              <w:widowControl w:val="0"/>
              <w:jc w:val="both"/>
              <w:rPr>
                <w:color w:val="000000"/>
                <w:sz w:val="20"/>
                <w:szCs w:val="20"/>
                <w:lang w:val="es-ES"/>
              </w:rPr>
            </w:pPr>
          </w:p>
        </w:tc>
      </w:tr>
      <w:tr w:rsidR="00506A48" w:rsidRPr="0086608C" w14:paraId="51CA939C" w14:textId="77777777" w:rsidTr="005451AF">
        <w:trPr>
          <w:trHeight w:val="20"/>
        </w:trPr>
        <w:tc>
          <w:tcPr>
            <w:tcW w:w="1471" w:type="pct"/>
          </w:tcPr>
          <w:p w14:paraId="0FBF4421" w14:textId="77777777" w:rsidR="00506A48" w:rsidRPr="00D354AB" w:rsidRDefault="00506A48" w:rsidP="00506A48">
            <w:pPr>
              <w:widowControl w:val="0"/>
              <w:jc w:val="left"/>
              <w:rPr>
                <w:b/>
                <w:sz w:val="20"/>
                <w:szCs w:val="20"/>
                <w:lang w:val="es-AR"/>
              </w:rPr>
            </w:pPr>
            <w:r w:rsidRPr="00D354AB">
              <w:rPr>
                <w:b/>
                <w:sz w:val="20"/>
                <w:szCs w:val="20"/>
                <w:lang w:val="es-AR"/>
              </w:rPr>
              <w:t>Pagos</w:t>
            </w:r>
          </w:p>
          <w:p w14:paraId="0879CEBC" w14:textId="77777777" w:rsidR="00506A48" w:rsidRPr="00D354AB" w:rsidRDefault="00506A48" w:rsidP="00E54A6C">
            <w:pPr>
              <w:widowControl w:val="0"/>
              <w:jc w:val="left"/>
              <w:rPr>
                <w:b/>
                <w:sz w:val="20"/>
                <w:szCs w:val="20"/>
                <w:lang w:val="es-AR"/>
              </w:rPr>
            </w:pPr>
          </w:p>
        </w:tc>
        <w:tc>
          <w:tcPr>
            <w:tcW w:w="3529" w:type="pct"/>
          </w:tcPr>
          <w:p w14:paraId="1CCD06D5" w14:textId="77777777" w:rsidR="00506A48" w:rsidRPr="00D354AB" w:rsidRDefault="00506A48" w:rsidP="00506A48">
            <w:pPr>
              <w:widowControl w:val="0"/>
              <w:jc w:val="both"/>
              <w:rPr>
                <w:sz w:val="20"/>
                <w:szCs w:val="20"/>
                <w:lang w:val="es-AR"/>
              </w:rPr>
            </w:pPr>
            <w:r w:rsidRPr="00D354AB">
              <w:rPr>
                <w:sz w:val="20"/>
                <w:szCs w:val="20"/>
                <w:lang w:val="es-AR"/>
              </w:rPr>
              <w:t>Todos los pagos bajo las Obligaciones Negociables serán efectuados por el Emisor a través de Caja de Valores en la fecha de pago que corresponda mediante la transferencia de los importes correspondientes, para su acreditación en las respectivas cuentas de los titulares de Obligaciones Negociables con derecho al cobro.</w:t>
            </w:r>
          </w:p>
          <w:p w14:paraId="43FCBC24" w14:textId="77777777" w:rsidR="00506A48" w:rsidRPr="00D354AB" w:rsidRDefault="00506A48" w:rsidP="00E54A6C">
            <w:pPr>
              <w:widowControl w:val="0"/>
              <w:jc w:val="both"/>
              <w:rPr>
                <w:sz w:val="20"/>
                <w:szCs w:val="20"/>
                <w:lang w:val="es-AR"/>
              </w:rPr>
            </w:pPr>
          </w:p>
        </w:tc>
      </w:tr>
      <w:tr w:rsidR="00506A48" w:rsidRPr="0086608C" w14:paraId="2E676226" w14:textId="77777777" w:rsidTr="005451AF">
        <w:trPr>
          <w:trHeight w:val="20"/>
        </w:trPr>
        <w:tc>
          <w:tcPr>
            <w:tcW w:w="1471" w:type="pct"/>
          </w:tcPr>
          <w:p w14:paraId="6D02AAF3" w14:textId="791B8BED" w:rsidR="002C40C6" w:rsidRPr="00D354AB" w:rsidRDefault="002C40C6" w:rsidP="00E54A6C">
            <w:pPr>
              <w:widowControl w:val="0"/>
              <w:jc w:val="left"/>
              <w:rPr>
                <w:b/>
                <w:sz w:val="20"/>
                <w:szCs w:val="20"/>
                <w:lang w:val="es-AR"/>
              </w:rPr>
            </w:pPr>
            <w:r w:rsidRPr="00D354AB">
              <w:rPr>
                <w:b/>
                <w:sz w:val="20"/>
                <w:szCs w:val="20"/>
                <w:lang w:val="es-AR"/>
              </w:rPr>
              <w:t>Definiciones</w:t>
            </w:r>
          </w:p>
          <w:p w14:paraId="36FAD5E9" w14:textId="77777777" w:rsidR="002C40C6" w:rsidRPr="00D354AB" w:rsidRDefault="002C40C6" w:rsidP="00E54A6C">
            <w:pPr>
              <w:widowControl w:val="0"/>
              <w:jc w:val="left"/>
              <w:rPr>
                <w:b/>
                <w:sz w:val="20"/>
                <w:szCs w:val="20"/>
                <w:lang w:val="es-AR"/>
              </w:rPr>
            </w:pPr>
          </w:p>
          <w:p w14:paraId="06C40692" w14:textId="77777777" w:rsidR="00506A48" w:rsidRPr="00D354AB" w:rsidRDefault="00506A48" w:rsidP="00712B42">
            <w:pPr>
              <w:widowControl w:val="0"/>
              <w:jc w:val="left"/>
              <w:rPr>
                <w:b/>
                <w:sz w:val="20"/>
                <w:szCs w:val="20"/>
                <w:lang w:val="es-AR"/>
              </w:rPr>
            </w:pPr>
          </w:p>
        </w:tc>
        <w:tc>
          <w:tcPr>
            <w:tcW w:w="3529" w:type="pct"/>
            <w:vMerge w:val="restart"/>
          </w:tcPr>
          <w:p w14:paraId="29AE1DF3" w14:textId="6BB53AB9" w:rsidR="002C40C6" w:rsidRPr="00D354AB" w:rsidRDefault="002C40C6" w:rsidP="002C40C6">
            <w:pPr>
              <w:widowControl w:val="0"/>
              <w:jc w:val="both"/>
              <w:rPr>
                <w:sz w:val="20"/>
                <w:szCs w:val="20"/>
                <w:lang w:val="es-AR"/>
              </w:rPr>
            </w:pPr>
            <w:r w:rsidRPr="00D354AB">
              <w:rPr>
                <w:sz w:val="20"/>
                <w:szCs w:val="20"/>
                <w:lang w:val="es-AR"/>
              </w:rPr>
              <w:t>Las siguientes son algunas definiciones utilizadas en el presente Suplemento de Prospecto.</w:t>
            </w:r>
          </w:p>
          <w:p w14:paraId="17BFBBE3" w14:textId="77777777" w:rsidR="002C40C6" w:rsidRPr="00D354AB" w:rsidRDefault="002C40C6" w:rsidP="002C40C6">
            <w:pPr>
              <w:widowControl w:val="0"/>
              <w:jc w:val="both"/>
              <w:rPr>
                <w:sz w:val="20"/>
                <w:szCs w:val="20"/>
                <w:lang w:val="es-AR"/>
              </w:rPr>
            </w:pPr>
          </w:p>
          <w:p w14:paraId="26559E8D" w14:textId="77777777" w:rsidR="002C40C6" w:rsidRPr="00D354AB" w:rsidRDefault="002C40C6" w:rsidP="002C40C6">
            <w:pPr>
              <w:widowControl w:val="0"/>
              <w:jc w:val="both"/>
              <w:rPr>
                <w:sz w:val="20"/>
                <w:szCs w:val="20"/>
                <w:lang w:val="es-AR"/>
              </w:rPr>
            </w:pPr>
            <w:r w:rsidRPr="00D354AB">
              <w:rPr>
                <w:sz w:val="20"/>
                <w:szCs w:val="20"/>
                <w:lang w:val="es-AR"/>
              </w:rPr>
              <w:t>“</w:t>
            </w:r>
            <w:r w:rsidRPr="00D354AB">
              <w:rPr>
                <w:sz w:val="20"/>
                <w:szCs w:val="20"/>
                <w:u w:val="single"/>
                <w:lang w:val="es-AR"/>
              </w:rPr>
              <w:t>Efecto Sustancial Adverso</w:t>
            </w:r>
            <w:r w:rsidRPr="00D354AB">
              <w:rPr>
                <w:sz w:val="20"/>
                <w:szCs w:val="20"/>
                <w:lang w:val="es-AR"/>
              </w:rPr>
              <w:t>” significa un efecto sustancial adverso sobre (i) la capacidad del Emisor para cumplir con sus obligaciones sustanciales conforme las Obligaciones Negociables, o (ii) las circunstancias (financieras o de otra clase), ganancias o transacciones, del Emisor y de sus Subsidiarias consideradas conjuntamente.</w:t>
            </w:r>
          </w:p>
          <w:p w14:paraId="69E2E68D" w14:textId="77777777" w:rsidR="002C40C6" w:rsidRPr="00D354AB" w:rsidRDefault="002C40C6" w:rsidP="002C40C6">
            <w:pPr>
              <w:widowControl w:val="0"/>
              <w:jc w:val="both"/>
              <w:rPr>
                <w:sz w:val="20"/>
                <w:szCs w:val="20"/>
                <w:lang w:val="es-AR"/>
              </w:rPr>
            </w:pPr>
            <w:r w:rsidRPr="00D354AB">
              <w:rPr>
                <w:sz w:val="20"/>
                <w:szCs w:val="20"/>
                <w:lang w:val="es-AR"/>
              </w:rPr>
              <w:lastRenderedPageBreak/>
              <w:t>“</w:t>
            </w:r>
            <w:r w:rsidRPr="00D354AB">
              <w:rPr>
                <w:sz w:val="20"/>
                <w:szCs w:val="20"/>
                <w:u w:val="single"/>
                <w:lang w:val="es-AR"/>
              </w:rPr>
              <w:t>Gravamen</w:t>
            </w:r>
            <w:r w:rsidRPr="00D354AB">
              <w:rPr>
                <w:sz w:val="20"/>
                <w:szCs w:val="20"/>
                <w:lang w:val="es-AR"/>
              </w:rPr>
              <w:t>”, cualquier hipoteca, cargo, prenda, cesión en garantía, cesión fiduciaria en garantía, fianza, gravamen, acuerdo preferencial u otra forma de afectación, o conforme ello sea determinado en el Suplemento de Precio aplicable.</w:t>
            </w:r>
          </w:p>
          <w:p w14:paraId="40B39ECB" w14:textId="77777777" w:rsidR="002C40C6" w:rsidRPr="00D354AB" w:rsidRDefault="002C40C6" w:rsidP="002C40C6">
            <w:pPr>
              <w:widowControl w:val="0"/>
              <w:jc w:val="both"/>
              <w:rPr>
                <w:sz w:val="20"/>
                <w:szCs w:val="20"/>
                <w:lang w:val="es-AR"/>
              </w:rPr>
            </w:pPr>
          </w:p>
          <w:p w14:paraId="45DF96FB" w14:textId="77777777" w:rsidR="002C40C6" w:rsidRPr="00D354AB" w:rsidRDefault="002C40C6" w:rsidP="002C40C6">
            <w:pPr>
              <w:pStyle w:val="Textpara"/>
              <w:tabs>
                <w:tab w:val="clear" w:pos="9000"/>
              </w:tabs>
              <w:spacing w:after="0"/>
              <w:rPr>
                <w:lang w:val="es-AR"/>
              </w:rPr>
            </w:pPr>
            <w:r w:rsidRPr="00D354AB">
              <w:rPr>
                <w:lang w:val="es-AR"/>
              </w:rPr>
              <w:t>“</w:t>
            </w:r>
            <w:r w:rsidRPr="00D354AB">
              <w:rPr>
                <w:u w:val="single"/>
                <w:lang w:val="es-AR"/>
              </w:rPr>
              <w:t>Gravámenes Permitidos</w:t>
            </w:r>
            <w:r w:rsidRPr="00D354AB">
              <w:rPr>
                <w:lang w:val="es-AR"/>
              </w:rPr>
              <w:t>” significan: (i) Gravámenes existentes a la fecha del presente Prospecto; (ii) Gravámenes que se originen en oportunidad de la adquisición de cualquier activo que cubran el saldo impago del precio de compra de dicho activo (estableciéndose que el Gravamen deberá constituirse exclusivamente sobre el activo adquirido, simultáneamente con su adquisición o dentro de los 30 Días Hábiles posteriores a la adquisición del mismo), o Gravámenes existentes en oportunidad de la adquisición de los activos garantizados por los mismos (incluyendo la adquisición a través de fusión o consolidación); (iii) Gravámenes que se originen por imperio de la ley y/o sean un pre-requisito para obtener cualquier aprobación gubernamental necesaria o conveniente para el desarrollo de la actividad del Emisor; (iv) Gravámenes (que existan a la fecha del presente o creados en el futuro) respecto de todos los otros activos, cuando el monto total de los Gravámenes sea de un monto que no supere un 25% del total de los activos del Emisor. A tal fin, el monto de cada Gravamen será determinado por el valor contable -que surja de los últimos estados contables de la Compañía- del activo afectado por dicho Gravamen o será determinado por el saldo residual del monto total de deuda por el cual dicho Gravamen se hubiera constituido, lo que fuera mayor; (v) Cualquier Gravamen incurrido en el curso ordinario de los negocios del Emisor para garantizar las operaciones de derivados, ya sean de cobertura o de otro tipo; y (viii) Cualquier prórroga, renovación o sustitución de cualquier Gravamen permitido bajo (i)-(vii) precedentes, siempre que (i) el monto del Gravamen no se incremente en oportunidad de tal prórroga, renovación o sustitución (a cuyo efecto no se computará como aumento de capital garantizado cualquier capitalización de intereses), y (ii) dicho Gravamen afecte únicamente (x) el bien que estaba afectado por el Gravamen existente inmediatamente antes de dicha prórroga, renovación o sustitución; o (y) un activo sustituto que tenga un valor contable -que surja de los últimos estados contables de la Compañía- que no sea superior al del activo originalmente afectado por el Gravamen.</w:t>
            </w:r>
          </w:p>
          <w:p w14:paraId="2DAFEEBB" w14:textId="77777777" w:rsidR="002C40C6" w:rsidRPr="00D354AB" w:rsidRDefault="002C40C6" w:rsidP="002C40C6">
            <w:pPr>
              <w:pStyle w:val="Textpara"/>
              <w:tabs>
                <w:tab w:val="clear" w:pos="9000"/>
              </w:tabs>
              <w:spacing w:after="0"/>
              <w:rPr>
                <w:lang w:val="es-AR"/>
              </w:rPr>
            </w:pPr>
          </w:p>
          <w:p w14:paraId="516643B7" w14:textId="77777777" w:rsidR="002C40C6" w:rsidRPr="00D354AB" w:rsidRDefault="002C40C6" w:rsidP="002C40C6">
            <w:pPr>
              <w:widowControl w:val="0"/>
              <w:jc w:val="both"/>
              <w:rPr>
                <w:sz w:val="20"/>
                <w:szCs w:val="20"/>
                <w:lang w:val="es-AR"/>
              </w:rPr>
            </w:pPr>
            <w:r w:rsidRPr="00D354AB">
              <w:rPr>
                <w:sz w:val="20"/>
                <w:szCs w:val="20"/>
                <w:lang w:val="es-AR"/>
              </w:rPr>
              <w:t>“</w:t>
            </w:r>
            <w:r w:rsidRPr="00D354AB">
              <w:rPr>
                <w:sz w:val="20"/>
                <w:szCs w:val="20"/>
                <w:u w:val="single"/>
                <w:lang w:val="es-AR"/>
              </w:rPr>
              <w:t>Parte Significativa</w:t>
            </w:r>
            <w:r w:rsidRPr="00D354AB">
              <w:rPr>
                <w:sz w:val="20"/>
                <w:szCs w:val="20"/>
                <w:lang w:val="es-AR"/>
              </w:rPr>
              <w:t>” significa, en un momento determinado, aquellos bienes del Emisor que representen más del 30% (o aquel otro porcentaje que se determine en el Suplemento de Precio aplicable) del activo del Emisor según sus estados contables consolidados anuales o trimestrales más recientes a ese momento.</w:t>
            </w:r>
          </w:p>
          <w:p w14:paraId="5B409DC5" w14:textId="77777777" w:rsidR="002C40C6" w:rsidRPr="00D354AB" w:rsidRDefault="002C40C6" w:rsidP="002C40C6">
            <w:pPr>
              <w:pStyle w:val="Textpara"/>
              <w:tabs>
                <w:tab w:val="clear" w:pos="9000"/>
              </w:tabs>
              <w:spacing w:after="0"/>
              <w:rPr>
                <w:lang w:val="es-AR"/>
              </w:rPr>
            </w:pPr>
          </w:p>
          <w:p w14:paraId="58F163AF" w14:textId="77777777" w:rsidR="002C40C6" w:rsidRPr="00D354AB" w:rsidRDefault="002C40C6" w:rsidP="002C40C6">
            <w:pPr>
              <w:widowControl w:val="0"/>
              <w:jc w:val="both"/>
              <w:rPr>
                <w:sz w:val="20"/>
                <w:szCs w:val="20"/>
                <w:lang w:val="es-AR"/>
              </w:rPr>
            </w:pPr>
            <w:r w:rsidRPr="00D354AB">
              <w:rPr>
                <w:sz w:val="20"/>
                <w:szCs w:val="20"/>
                <w:lang w:val="es-AR"/>
              </w:rPr>
              <w:t>“</w:t>
            </w:r>
            <w:r w:rsidRPr="00D354AB">
              <w:rPr>
                <w:sz w:val="20"/>
                <w:szCs w:val="20"/>
                <w:u w:val="single"/>
                <w:lang w:val="es-AR"/>
              </w:rPr>
              <w:t>Subsidiaria</w:t>
            </w:r>
            <w:r w:rsidRPr="00D354AB">
              <w:rPr>
                <w:sz w:val="20"/>
                <w:szCs w:val="20"/>
                <w:lang w:val="es-AR"/>
              </w:rPr>
              <w:t>”, significa toda sociedad anónima respecto de la cual, a la fecha de la determinación, el Emisor y/o una o más de sus Subsidiarias, sea titular o controle en forma directa o indirecta más del 50% de las acciones con derecho a voto. A los fines de esta definición “control”, cuando se use respecto de alguna persona en particular, significará la facultad de influir en la dirección y políticas de dicha persona, ya sea en forma directa o indirecta, mediante la tenencia de títulos con derecho a voto, por contrato o de otro modo.</w:t>
            </w:r>
          </w:p>
          <w:p w14:paraId="3F8A179A" w14:textId="77777777" w:rsidR="002C40C6" w:rsidRPr="00D354AB" w:rsidRDefault="002C40C6" w:rsidP="002C40C6">
            <w:pPr>
              <w:widowControl w:val="0"/>
              <w:jc w:val="both"/>
              <w:rPr>
                <w:sz w:val="20"/>
                <w:szCs w:val="20"/>
                <w:lang w:val="es-AR"/>
              </w:rPr>
            </w:pPr>
          </w:p>
          <w:p w14:paraId="57090020" w14:textId="77777777" w:rsidR="002C40C6" w:rsidRPr="00D354AB" w:rsidRDefault="002C40C6" w:rsidP="00E54A6C">
            <w:pPr>
              <w:widowControl w:val="0"/>
              <w:jc w:val="both"/>
              <w:rPr>
                <w:sz w:val="20"/>
                <w:szCs w:val="20"/>
                <w:lang w:val="es-AR"/>
              </w:rPr>
            </w:pPr>
          </w:p>
          <w:p w14:paraId="09EB79D9" w14:textId="77777777" w:rsidR="002C40C6" w:rsidRPr="00D354AB" w:rsidRDefault="002C40C6" w:rsidP="00E54A6C">
            <w:pPr>
              <w:widowControl w:val="0"/>
              <w:jc w:val="both"/>
              <w:rPr>
                <w:sz w:val="20"/>
                <w:szCs w:val="20"/>
                <w:lang w:val="es-MX"/>
              </w:rPr>
            </w:pPr>
          </w:p>
          <w:p w14:paraId="57067946" w14:textId="5F2AC37E" w:rsidR="00506A48" w:rsidRPr="00D354AB" w:rsidRDefault="00506A48" w:rsidP="00712B42">
            <w:pPr>
              <w:pStyle w:val="Textpara"/>
              <w:spacing w:after="0"/>
              <w:rPr>
                <w:lang w:val="es-MX"/>
              </w:rPr>
            </w:pPr>
          </w:p>
        </w:tc>
      </w:tr>
      <w:tr w:rsidR="00506A48" w:rsidRPr="0086608C" w14:paraId="6E4F10C8" w14:textId="77777777" w:rsidTr="005451AF">
        <w:trPr>
          <w:trHeight w:val="20"/>
        </w:trPr>
        <w:tc>
          <w:tcPr>
            <w:tcW w:w="1471" w:type="pct"/>
          </w:tcPr>
          <w:p w14:paraId="4F2D1EF9" w14:textId="6B4EEDB9" w:rsidR="00506A48" w:rsidRPr="00D354AB" w:rsidRDefault="00506A48" w:rsidP="00E54A6C">
            <w:pPr>
              <w:widowControl w:val="0"/>
              <w:jc w:val="left"/>
              <w:rPr>
                <w:b/>
                <w:bCs/>
                <w:sz w:val="20"/>
                <w:szCs w:val="20"/>
                <w:lang w:val="es-AR"/>
              </w:rPr>
            </w:pPr>
          </w:p>
        </w:tc>
        <w:tc>
          <w:tcPr>
            <w:tcW w:w="3529" w:type="pct"/>
            <w:vMerge/>
          </w:tcPr>
          <w:p w14:paraId="5653F79C" w14:textId="4776BEE9" w:rsidR="00506A48" w:rsidRPr="00D354AB" w:rsidRDefault="00506A48" w:rsidP="00E54A6C">
            <w:pPr>
              <w:pStyle w:val="Textpara"/>
              <w:tabs>
                <w:tab w:val="clear" w:pos="9000"/>
              </w:tabs>
              <w:spacing w:after="0"/>
              <w:rPr>
                <w:lang w:val="es-AR"/>
              </w:rPr>
            </w:pPr>
          </w:p>
        </w:tc>
      </w:tr>
      <w:tr w:rsidR="002C40C6" w:rsidRPr="0086608C" w14:paraId="726F9810" w14:textId="77777777" w:rsidTr="005451AF">
        <w:trPr>
          <w:trHeight w:val="20"/>
        </w:trPr>
        <w:tc>
          <w:tcPr>
            <w:tcW w:w="1471" w:type="pct"/>
          </w:tcPr>
          <w:p w14:paraId="3E299985" w14:textId="77777777" w:rsidR="002C40C6" w:rsidRPr="00D354AB" w:rsidRDefault="002C40C6" w:rsidP="002C40C6">
            <w:pPr>
              <w:widowControl w:val="0"/>
              <w:jc w:val="left"/>
              <w:rPr>
                <w:b/>
                <w:sz w:val="20"/>
                <w:szCs w:val="20"/>
                <w:lang w:val="es-AR"/>
              </w:rPr>
            </w:pPr>
            <w:r w:rsidRPr="00D354AB">
              <w:rPr>
                <w:b/>
                <w:sz w:val="20"/>
                <w:szCs w:val="20"/>
                <w:lang w:val="es-AR"/>
              </w:rPr>
              <w:t>Compromisos del Emisor</w:t>
            </w:r>
          </w:p>
          <w:p w14:paraId="3A84F509" w14:textId="77777777" w:rsidR="002C40C6" w:rsidRPr="00D354AB" w:rsidRDefault="002C40C6" w:rsidP="00E54A6C">
            <w:pPr>
              <w:widowControl w:val="0"/>
              <w:jc w:val="left"/>
              <w:rPr>
                <w:b/>
                <w:bCs/>
                <w:sz w:val="20"/>
                <w:szCs w:val="20"/>
                <w:lang w:val="es-AR"/>
              </w:rPr>
            </w:pPr>
          </w:p>
        </w:tc>
        <w:tc>
          <w:tcPr>
            <w:tcW w:w="3529" w:type="pct"/>
          </w:tcPr>
          <w:p w14:paraId="25020E84" w14:textId="77777777" w:rsidR="002C40C6" w:rsidRPr="00D354AB" w:rsidRDefault="002C40C6" w:rsidP="002C40C6">
            <w:pPr>
              <w:widowControl w:val="0"/>
              <w:jc w:val="both"/>
              <w:rPr>
                <w:sz w:val="20"/>
                <w:szCs w:val="20"/>
                <w:lang w:val="es-MX"/>
              </w:rPr>
            </w:pPr>
            <w:r w:rsidRPr="00D354AB">
              <w:rPr>
                <w:sz w:val="20"/>
                <w:szCs w:val="20"/>
                <w:lang w:val="es-MX"/>
              </w:rPr>
              <w:t>El Emisor deberá cumplir, y en la medida en que se indique más abajo, con los términos de los siguientes compromisos:</w:t>
            </w:r>
          </w:p>
          <w:p w14:paraId="5AF3A881" w14:textId="77777777" w:rsidR="002C40C6" w:rsidRPr="00D354AB" w:rsidRDefault="002C40C6" w:rsidP="002C40C6">
            <w:pPr>
              <w:widowControl w:val="0"/>
              <w:jc w:val="both"/>
              <w:rPr>
                <w:sz w:val="20"/>
                <w:szCs w:val="20"/>
                <w:lang w:val="es-MX"/>
              </w:rPr>
            </w:pPr>
          </w:p>
          <w:p w14:paraId="509452CD" w14:textId="004DAC9E" w:rsidR="002C40C6" w:rsidRPr="00D354AB" w:rsidRDefault="002C40C6" w:rsidP="002C40C6">
            <w:pPr>
              <w:pStyle w:val="Textpara"/>
              <w:spacing w:after="0"/>
            </w:pPr>
            <w:r w:rsidRPr="00D354AB">
              <w:t xml:space="preserve">(i) El Emisor se abstendrá, de vender y/o de transferir de cualquier otro modo todos o una Parte Significativa de sus bienes, en una o más transacciones, salvo que: (1) dicha venta o transferencia sea realizada dentro del curso ordinario de los negocios del Emisor (incluyendo, sin limitación, la venta de cartera, la transmisión de activos a los efectos de securitizarlos y/o titulizarlos y/o constituir fideicomisos); o (2) en el caso de una venta o transferencia de una Parte Significativa de sus bienes, la totalidad o un porcentaje no inferior a 80% del producido de tal venta o transferencia sea destinado a los negocios ordinarios del Emisor; o (3) inmediatamente después de cualquier venta y/o transferencia de todos o una Parte Significativa de los bienes del Emisor, no se produzca y </w:t>
            </w:r>
            <w:r w:rsidRPr="00655E50">
              <w:t xml:space="preserve">continúe sin subsanar un Supuesto de Incumplimiento (según se define más adelante), (ii) </w:t>
            </w:r>
            <w:r w:rsidRPr="00C436CD">
              <w:t xml:space="preserve">El Emisor se abstendrá de fusionarse, salvo que inmediatamente después de </w:t>
            </w:r>
            <w:r w:rsidR="00C706A2" w:rsidRPr="00655E50">
              <w:t>dicha fusión</w:t>
            </w:r>
            <w:r w:rsidRPr="00C436CD">
              <w:t xml:space="preserve">: (a) </w:t>
            </w:r>
            <w:r w:rsidR="00236EDF" w:rsidRPr="00C436CD">
              <w:rPr>
                <w:lang w:val="es-MX"/>
              </w:rPr>
              <w:t>no se produzca un Supuesto de Incumplimiento</w:t>
            </w:r>
            <w:r w:rsidR="00236EDF" w:rsidRPr="00655E50">
              <w:rPr>
                <w:lang w:val="es-MX"/>
              </w:rPr>
              <w:t xml:space="preserve"> (o de haber sucedido, el mismo haya sido subsanado conforme se determina en este Suplemento)</w:t>
            </w:r>
            <w:r w:rsidRPr="00655E50">
              <w:t>;</w:t>
            </w:r>
            <w:r w:rsidRPr="00C436CD">
              <w:t xml:space="preserve"> y (b) (i) la nueva sociedad constituida como consecuencia de dicha </w:t>
            </w:r>
            <w:r w:rsidRPr="00C436CD">
              <w:lastRenderedPageBreak/>
              <w:t>fusión, o la sociedad absorbente tratándose de una fusión por absorción, asuma el cumplimiento de todos los pagos de capital, intereses y/u otros montos adeudados y todas las demás obligaciones asumidas por el Emisor en virtud de las Obligaciones Negociables, con el mismo efecto que si hubiera sido nombrada en las Obligaciones Negociables en lugar del Emisor, o (ii) en el caso de una fusión por absorción en la que la sociedad absorbente sea el Emisor, ésta mantenga el cumplimiento debido y en forma puntual de todos los pagos de capital, intereses y/u otros montos adeudados y todas las demás obligaciones asumidas por el Emisor en virtud de las Obligaciones Negociables Clase XVII</w:t>
            </w:r>
            <w:r w:rsidRPr="00E475BB">
              <w:t>. (iii) El Emisor pagará debida y puntualmente o dispondrá el pago del capital e intereses, sobre las Obligaciones Negociables Clase XVII. (iv) El Emisor deberá: (a) mantener</w:t>
            </w:r>
            <w:r w:rsidRPr="00D354AB">
              <w:t xml:space="preserve"> vigente su personería jurídica y todos los registros necesarios para ello (incluyendo la autorización del Banco Central de la República Argentina (el “</w:t>
            </w:r>
            <w:r w:rsidRPr="00D354AB">
              <w:rPr>
                <w:u w:val="single"/>
              </w:rPr>
              <w:t>BCRA</w:t>
            </w:r>
            <w:r w:rsidRPr="00D354AB">
              <w:t xml:space="preserve">”) para actuar como compañía financiera); (b) adoptar todas las medidas necesarias para mantener todas las autorizaciones, derechos y privilegios que sean necesarios o convenientes en la conducción normal de su negocio, actividades y operaciones, excepto cuando la ausencia de tal medida no tenga ni tendría un efecto sustancial adverso sobre (i) la capacidad del Emisor para cumplir con sus obligaciones sustanciales conforme las Obligaciones Negociables, o (ii) las circunstancias (financieras o de otra clase), ganancias o transacciones, del Emisor y de sus Subsidiarias consideradas conjuntamente; y (c) mantener todos sus bienes en buen orden de funcionamiento y estado, estipulándose, sin embargo, que este acuerdo no exigirá al Emisor o a sus Subsidiarias mantener cualquier autorización, derecho o privilegio para la personería jurídica de cualquier Subsidiaria si el directorio del Emisor hubiera resuelto que el mantenimiento o preservación de la misma ha dejado de ser conveniente en el curso de las operaciones del Emisor y sus Subsidiarias tomados en conjunto y que la pérdida de la misma no tiene ni tendrá un Efecto Sustancial Adverso. (v) El Emisor cumplirá con todas las leyes, normas, reglamentaciones, órdenes y directivas aplicables de cualquier autoridad gubernamental o reguladora de Argentina o cualquier autoridad regional o local de la misma o dentro de la misma, que tenga autoridad o competencia sobre el Emisor o el negocio del Emisor, incluido el BCRA, y cumplirá todos los acuerdos y otras obligaciones incluidos en cualesquier convenios de los cuales el Emisor sea parte, excepto cuando la ausencia de tal cumplimiento no tendría un efecto sustancial adverso sobre las capacidades y circunstancias detalladas previamente. (vi) El Emisor no constituirá, creará, asumirá ni permitirá la existencia de ningún Gravamen, salvo los Gravámenes Permitidos, sobre o respecto de la totalidad o cualquier parte de sus activos, incluyendo activos intangibles o ingresos actuales o futuros, a menos (a) que al mismo tiempo o antes de ello sus obligaciones en virtud de las Obligaciones Negociables Clase XVII, sean garantizadas igual y proporcionalmente que la obligación garantizada por aquellos Gravámenes o que tengan prioridad respecto de la misma, o (b) que hubiere sido acordado por una Asamblea. (vii) El Emisor mantendrá seguros con compañías de seguros responsables y reconocidas, por los montos y cubriendo los riesgos que sean razonables y prudentes en la industria que el Emisor desarrolla sus actividades, tomando en cuenta todas las circunstancias aplicables. (viii) El Emisor notificará de inmediato a los Colocadores por escrito la existencia de cualquier Supuesto de Incumplimiento o cualquier condición o hecho que, por notificación, transcurso del tiempo o cualquier otra condición o cualquier combinación de lo precedente, sería, salvo que fuera subsanado o renunciado, un Supuesto de Incumplimiento. Cada notificación presentada conforme a este apartado indicará que constituye una “notificación de incumplimiento” en virtud del presente, y estará acompañada por un certificado del Emisor estableciendo los detalles del hecho mencionado en la misma, y señalando qué medida el Emisor se propone adoptar con respecto a ello. (ix) El Emisor asegurará que sus obligaciones en virtud de las Obligaciones Negociables constituyan en todo momento, obligaciones generales, directas, no subordinadas e incondicionales del Emisor. (x) En el caso de Obligaciones Negociables Clase XVII con respecto a las cuales la orden del Emisor especifica que se listarán en cualquier mercado, el Emisor pondrá su mayor empeño para obtener y mantener el listado de dichas Obligaciones Negociables en dicho mercado. (xi) Pagará cualquier impuesto de sellos, emisión, registro, documentario u otro impuesto o derecho similar que pudiera corresponder, incluyendo intereses y multas, pagaderos en Argentina o cualquier otro país, o en cualquier subdivisión política de los mismos o autoridad impositiva de los mismos o dentro de los mismos con respecto a la creación, emisión y oferta inicial de las Obligaciones Negociables. </w:t>
            </w:r>
          </w:p>
          <w:p w14:paraId="19B93D41" w14:textId="77777777" w:rsidR="002C40C6" w:rsidRPr="00D354AB" w:rsidRDefault="002C40C6" w:rsidP="006C1EFA">
            <w:pPr>
              <w:pStyle w:val="Default"/>
              <w:jc w:val="both"/>
              <w:rPr>
                <w:sz w:val="20"/>
                <w:szCs w:val="20"/>
              </w:rPr>
            </w:pPr>
          </w:p>
        </w:tc>
      </w:tr>
      <w:tr w:rsidR="00E54A6C" w:rsidRPr="0086608C" w14:paraId="161EC742" w14:textId="77777777" w:rsidTr="005451AF">
        <w:trPr>
          <w:trHeight w:val="20"/>
        </w:trPr>
        <w:tc>
          <w:tcPr>
            <w:tcW w:w="1471" w:type="pct"/>
          </w:tcPr>
          <w:p w14:paraId="12CB35A3" w14:textId="77777777" w:rsidR="00E54A6C" w:rsidRPr="00D354AB" w:rsidRDefault="00E54A6C" w:rsidP="00E54A6C">
            <w:pPr>
              <w:widowControl w:val="0"/>
              <w:jc w:val="left"/>
              <w:rPr>
                <w:b/>
                <w:bCs/>
                <w:sz w:val="20"/>
                <w:szCs w:val="20"/>
                <w:lang w:val="es-AR"/>
              </w:rPr>
            </w:pPr>
            <w:r w:rsidRPr="00D354AB">
              <w:rPr>
                <w:b/>
                <w:bCs/>
                <w:sz w:val="20"/>
                <w:szCs w:val="20"/>
                <w:lang w:val="es-AR"/>
              </w:rPr>
              <w:lastRenderedPageBreak/>
              <w:t>Supuestos de Incumplimiento</w:t>
            </w:r>
          </w:p>
        </w:tc>
        <w:tc>
          <w:tcPr>
            <w:tcW w:w="3529" w:type="pct"/>
          </w:tcPr>
          <w:p w14:paraId="18D55900" w14:textId="5EABE45B" w:rsidR="00E54A6C" w:rsidRPr="00D354AB" w:rsidRDefault="00E54A6C" w:rsidP="006C1EFA">
            <w:pPr>
              <w:pStyle w:val="Default"/>
              <w:jc w:val="both"/>
              <w:rPr>
                <w:sz w:val="20"/>
                <w:szCs w:val="20"/>
              </w:rPr>
            </w:pPr>
            <w:r w:rsidRPr="00D354AB">
              <w:rPr>
                <w:sz w:val="20"/>
                <w:szCs w:val="20"/>
              </w:rPr>
              <w:t>Mientras las Obligaciones Negociables se encuentren en circulación, cualquiera de los supuestos detallados a continuación será un “</w:t>
            </w:r>
            <w:r w:rsidRPr="00D354AB">
              <w:rPr>
                <w:i/>
                <w:sz w:val="20"/>
                <w:szCs w:val="20"/>
              </w:rPr>
              <w:t>Supuesto de Incumplimiento</w:t>
            </w:r>
            <w:r w:rsidRPr="00D354AB">
              <w:rPr>
                <w:sz w:val="20"/>
                <w:szCs w:val="20"/>
              </w:rPr>
              <w:t>” de las Obligaciones Negociables: a) que el Emisor no pagare el capital de cualquiera de las Obligaciones Negociables a su vencimiento y dicho incumplimiento subsistiera durante un período de 7 Días Hábiles desde la fecha de su vencimiento; o b) que el Emisor no pagare cualesquier intereses o Montos Adicionales si los hubiera, sobre cualquiera de las Obligaciones Negociables a su vencimiento y dicho incumplimiento subsistiera durante un período de 14 Días Hábiles; o c) que el Emisor no cumpliera u observare debidamente cualquier compromiso bajo este Suplemento de Pro</w:t>
            </w:r>
            <w:r w:rsidR="00801F89" w:rsidRPr="00D354AB">
              <w:rPr>
                <w:sz w:val="20"/>
                <w:szCs w:val="20"/>
              </w:rPr>
              <w:t>specto</w:t>
            </w:r>
            <w:r w:rsidRPr="00D354AB">
              <w:rPr>
                <w:sz w:val="20"/>
                <w:szCs w:val="20"/>
              </w:rPr>
              <w:t xml:space="preserve"> o sus obligaciones bajo las Obligaciones Negociables y dicho incumplimiento subsistiera durante un período de 45 Días Hábiles contados a partir de la fecha en que el Emisor haya recibido, de algún tenedor y/o tenedores que representen por lo menos el 5% del capital total pendiente de pago de las Obligaciones Negociables Clase XVII, una notificación fehaciente especificando el incumplimiento de que se trate y solicitando que el mismo sea subsanado; o d) (a) un tribunal competente dictara una resolución o auto (i) de apertura de procedimiento de quiebra respecto del Emisor en virtud de toda ley de quiebras, insolvencia u otra ley similar aplicable ya sea que se encuentre en vigencia en la actualidad o en el futuro; o (ii) mediante el cual se designe, respecto del Emisor, un síndico, o un interventor judicial o liquidador judicial previstos en la Ley de Entidades Financieras; y en ambos casos (i) y (ii), siempre que dicha resolución o auto permanezca en vigor por un lapso de 60 Días Hábiles; (b) el BCRA (1) adoptara cualquiera de las determinaciones detalladas en el artículo 35 bis de la Ley de Entidades Financieras, con respecto al Emisor; (2) suspendiera transitoriamente todo o parte de las actividades de la Compañía conforme con el artículo 49 de la Carta Orgánica del BCRA; (3) solicitara a la Sociedad la presentación de un plan de regularización y saneamiento, en virtud del artículo 34 de la Ley de Entidades Financieras; y/o (4) le revocara al Emisor su autorización para funcionar como compañía financiera en los términos del artículo 44 de la Ley de Entidades Financieras; y/o (c) La Sociedad iniciare su liquidación voluntaria bajo la Ley de Entidades Financieras; e) cualquier autoridad gubernamental (a) expropie, nacionalice o confisque (1) todo o una Parte Significativa de los bienes del Emisor, y/o (2) el capital accionario de la Sociedad; y/o (b) asuma la custodia o el control de dichos bienes o de las actividades u operaciones de la Compañía, o del capital accionario del Emisor; y/o (c) tome cualquier acción que impida a la Sociedad desarrollar sus actividades o una parte significativa de las mismas, durante un período mayor de 45 Días Hábiles, y tal acción afecte de manera significativamente adversa la capacidad del Emisor para cumplir con las obligaciones asumidas en relación con las Obligaciones Negociables; f) (i) el Emisor admitiera por escrito su incapacidad para hacer frente a sus obligaciones en general a sus respectivos vencimientos, o (ii) que algún documento firmado en relación con la emisión de las Obligaciones Negociables fuera objetado por el Emisor; o g) que el Emisor no pagare sus deudas en términos generales a medida que venzan, por un monto total de capital adeudado de </w:t>
            </w:r>
            <w:r w:rsidRPr="00D354AB">
              <w:rPr>
                <w:sz w:val="20"/>
                <w:szCs w:val="20"/>
                <w:lang w:val="es-AR"/>
              </w:rPr>
              <w:t xml:space="preserve">U$S5.000.000 </w:t>
            </w:r>
            <w:r w:rsidRPr="00D354AB">
              <w:rPr>
                <w:sz w:val="20"/>
                <w:szCs w:val="20"/>
              </w:rPr>
              <w:t xml:space="preserve">y dicha situación continuara luego del período de gracia, en su caso, aplicable a ella. </w:t>
            </w:r>
          </w:p>
          <w:p w14:paraId="4BC423F9" w14:textId="77777777" w:rsidR="00E54A6C" w:rsidRPr="00D354AB" w:rsidRDefault="00E54A6C" w:rsidP="006C1EFA">
            <w:pPr>
              <w:pStyle w:val="Default"/>
              <w:jc w:val="both"/>
              <w:rPr>
                <w:sz w:val="20"/>
                <w:szCs w:val="20"/>
              </w:rPr>
            </w:pPr>
          </w:p>
          <w:p w14:paraId="3EA4F288" w14:textId="01929B2A" w:rsidR="00E54A6C" w:rsidRPr="00D354AB" w:rsidRDefault="00E54A6C" w:rsidP="006C1EFA">
            <w:pPr>
              <w:pStyle w:val="Default"/>
              <w:jc w:val="both"/>
              <w:rPr>
                <w:sz w:val="20"/>
                <w:szCs w:val="20"/>
              </w:rPr>
            </w:pPr>
            <w:r w:rsidRPr="00D354AB">
              <w:rPr>
                <w:sz w:val="20"/>
                <w:szCs w:val="20"/>
              </w:rPr>
              <w:t>Entonces, (i) en el caso de los incisos (a), (b), (f), y (g), siempre que dichos Supuestos de Incumplimiento no fuesen subsanados por el Emisor, los tenedores que representen como mínimo el 25% del monto de capital total de las Obligaciones Negociables Clase XVII, mediante notificación por escrito al Emisor, podrán declarar todo el capital pendiente sobre las Obligaciones Negociables Clase XVII, en la fecha en circulación, inmediatamente vencido y pagadero; (ii) en caso de producirse el Supuesto de Incumplimiento mencionado en el inciso (c) precedente, y siempre que dicho Supuesto de Incumplimiento no fuese subsanado, los tenedores que representen como mínimo el 33% del monto de capital total de las Obligaciones Negociables Clase XVII, en esa fecha en circulación, mediante notificación por escrito al Emisor, podrán declarar todo el capital pendiente sobre las Obligaciones Negociables Clase XVII, en la fecha en circulación, inmediatamente vencido y pagadero; y (iii) en caso de producirse el Supuesto de Incumplimiento mencionado en el inciso (d) y (e) precedentes, el capital pendiente de todas las Obligaciones Negociables a esa fecha en circulación y los intereses devengados sobre el mismo resultarán vencidos y serán pagaderos de inmediato.</w:t>
            </w:r>
          </w:p>
          <w:p w14:paraId="58F91489" w14:textId="77777777" w:rsidR="00E54A6C" w:rsidRPr="00D354AB" w:rsidRDefault="00E54A6C" w:rsidP="006C1EFA">
            <w:pPr>
              <w:pStyle w:val="Default"/>
              <w:jc w:val="both"/>
              <w:rPr>
                <w:sz w:val="20"/>
                <w:szCs w:val="20"/>
              </w:rPr>
            </w:pPr>
            <w:r w:rsidRPr="00D354AB">
              <w:rPr>
                <w:sz w:val="20"/>
                <w:szCs w:val="20"/>
              </w:rPr>
              <w:t xml:space="preserve"> </w:t>
            </w:r>
          </w:p>
          <w:p w14:paraId="6695B065" w14:textId="5F879FE4" w:rsidR="00E54A6C" w:rsidRPr="00D354AB" w:rsidRDefault="00E54A6C" w:rsidP="006C1EFA">
            <w:pPr>
              <w:pStyle w:val="Default"/>
              <w:jc w:val="both"/>
              <w:rPr>
                <w:sz w:val="20"/>
                <w:szCs w:val="20"/>
              </w:rPr>
            </w:pPr>
            <w:r w:rsidRPr="00D354AB">
              <w:rPr>
                <w:sz w:val="20"/>
                <w:szCs w:val="20"/>
              </w:rPr>
              <w:t xml:space="preserve">Luego de cualquier declaración de caducidad de plazo conforme se menciona precedentemente, y salvo que el Emisor hubiera subsanado todos los incumplimientos o se hubiera rescindido la declaración conforme se describe a continuación, el capital </w:t>
            </w:r>
            <w:r w:rsidRPr="00D354AB">
              <w:rPr>
                <w:sz w:val="20"/>
                <w:szCs w:val="20"/>
              </w:rPr>
              <w:lastRenderedPageBreak/>
              <w:t>pendiente de amortización de las Obligaciones Negociables Clase XVII afectadas en esa fecha en circulación y los intereses devengados sobre el mismo resultarán vencidos y serán pagaderos de inmediato.</w:t>
            </w:r>
          </w:p>
          <w:p w14:paraId="179D10B9" w14:textId="77777777" w:rsidR="00E54A6C" w:rsidRPr="00D354AB" w:rsidRDefault="00E54A6C" w:rsidP="00E54A6C">
            <w:pPr>
              <w:widowControl w:val="0"/>
              <w:jc w:val="both"/>
              <w:rPr>
                <w:sz w:val="20"/>
                <w:szCs w:val="20"/>
                <w:lang w:val="es-ES"/>
              </w:rPr>
            </w:pPr>
          </w:p>
          <w:p w14:paraId="7F97509C" w14:textId="28A979ED" w:rsidR="00E54A6C" w:rsidRPr="00D354AB" w:rsidRDefault="00E54A6C" w:rsidP="00E54A6C">
            <w:pPr>
              <w:widowControl w:val="0"/>
              <w:jc w:val="both"/>
              <w:rPr>
                <w:sz w:val="20"/>
                <w:szCs w:val="20"/>
                <w:lang w:val="es-MX"/>
              </w:rPr>
            </w:pPr>
            <w:r w:rsidRPr="00D354AB">
              <w:rPr>
                <w:sz w:val="20"/>
                <w:szCs w:val="20"/>
                <w:lang w:val="es-MX"/>
              </w:rPr>
              <w:t>Cualquier declaración de caducidad de plazo efectuada en relación con las Obligaciones Negociables Clase XVII, y con el alcance otorgado por la Ley de Concursos y Quiebras, podrá ser rescindida por los tenedores de Obligaciones Negociables Clase XVII que representen como mínimo la mayoría absoluta del monto total de capital pendiente de pago de las Obligaciones Negociables Clase XVII reunidos en una Asamblea convocada a tal efecto.</w:t>
            </w:r>
          </w:p>
          <w:p w14:paraId="4A2F5D65" w14:textId="77777777" w:rsidR="00E54A6C" w:rsidRPr="00D354AB" w:rsidRDefault="00E54A6C" w:rsidP="00E54A6C">
            <w:pPr>
              <w:widowControl w:val="0"/>
              <w:jc w:val="both"/>
              <w:rPr>
                <w:sz w:val="20"/>
                <w:szCs w:val="20"/>
                <w:lang w:val="es-AR"/>
              </w:rPr>
            </w:pPr>
          </w:p>
        </w:tc>
      </w:tr>
      <w:tr w:rsidR="00506A48" w:rsidRPr="0086608C" w14:paraId="0E8BB8EA" w14:textId="77777777" w:rsidTr="005451AF">
        <w:trPr>
          <w:trHeight w:val="20"/>
        </w:trPr>
        <w:tc>
          <w:tcPr>
            <w:tcW w:w="1471" w:type="pct"/>
          </w:tcPr>
          <w:p w14:paraId="436C193E" w14:textId="77777777" w:rsidR="00506A48" w:rsidRPr="00D354AB" w:rsidRDefault="00506A48" w:rsidP="00506A48">
            <w:pPr>
              <w:widowControl w:val="0"/>
              <w:jc w:val="left"/>
              <w:rPr>
                <w:b/>
                <w:bCs/>
                <w:sz w:val="20"/>
                <w:szCs w:val="20"/>
                <w:lang w:val="es-AR"/>
              </w:rPr>
            </w:pPr>
            <w:r w:rsidRPr="00D354AB">
              <w:rPr>
                <w:b/>
                <w:bCs/>
                <w:sz w:val="20"/>
                <w:szCs w:val="20"/>
                <w:lang w:val="es-AR"/>
              </w:rPr>
              <w:lastRenderedPageBreak/>
              <w:t>Rescate Anticipado</w:t>
            </w:r>
          </w:p>
          <w:p w14:paraId="5487A1F9" w14:textId="77777777" w:rsidR="00506A48" w:rsidRPr="00D354AB" w:rsidRDefault="00506A48" w:rsidP="00E54A6C">
            <w:pPr>
              <w:widowControl w:val="0"/>
              <w:jc w:val="left"/>
              <w:rPr>
                <w:b/>
                <w:bCs/>
                <w:sz w:val="20"/>
                <w:szCs w:val="20"/>
                <w:lang w:val="es-AR"/>
              </w:rPr>
            </w:pPr>
          </w:p>
        </w:tc>
        <w:tc>
          <w:tcPr>
            <w:tcW w:w="3529" w:type="pct"/>
          </w:tcPr>
          <w:p w14:paraId="4FC2F61E" w14:textId="77777777" w:rsidR="00506A48" w:rsidRPr="00D354AB" w:rsidRDefault="00506A48" w:rsidP="00506A48">
            <w:pPr>
              <w:pStyle w:val="Default"/>
              <w:jc w:val="both"/>
              <w:rPr>
                <w:sz w:val="20"/>
                <w:szCs w:val="20"/>
              </w:rPr>
            </w:pPr>
            <w:r w:rsidRPr="00D354AB">
              <w:rPr>
                <w:sz w:val="20"/>
                <w:szCs w:val="20"/>
              </w:rPr>
              <w:t xml:space="preserve">Solo se permitirá el rescate anticipado por razones fiscales conforme se menciona a continuación. </w:t>
            </w:r>
          </w:p>
          <w:p w14:paraId="0568B578" w14:textId="77777777" w:rsidR="00506A48" w:rsidRPr="00D354AB" w:rsidRDefault="00506A48" w:rsidP="00506A48">
            <w:pPr>
              <w:pStyle w:val="Default"/>
              <w:jc w:val="both"/>
              <w:rPr>
                <w:sz w:val="20"/>
                <w:szCs w:val="20"/>
              </w:rPr>
            </w:pPr>
          </w:p>
          <w:p w14:paraId="1D066488" w14:textId="77777777" w:rsidR="00506A48" w:rsidRPr="00D354AB" w:rsidRDefault="00506A48" w:rsidP="00506A48">
            <w:pPr>
              <w:widowControl w:val="0"/>
              <w:jc w:val="both"/>
              <w:rPr>
                <w:sz w:val="20"/>
                <w:szCs w:val="20"/>
                <w:lang w:val="es-MX"/>
              </w:rPr>
            </w:pPr>
            <w:r w:rsidRPr="00D354AB">
              <w:rPr>
                <w:sz w:val="20"/>
                <w:szCs w:val="20"/>
                <w:lang w:val="es-MX"/>
              </w:rPr>
              <w:t xml:space="preserve">Si como consecuencia de cualquier cambio o modificación a las normas (incluyendo sin limitación, leyes, decretos, resoluciones, instrucciones y/o tratados en los que Argentina sea parte) o pronunciamiento administrativo, judicial o jurisdiccional de Argentina o de cualquier subdivisión política o autoridad impositiva de la misma o tribunal competente, o de cualquier cambio de la posición oficial o interpretación relativa a la aplicación de dichas normas (incluyendo, entre otras, la sostenida por un tribunal competente), producidas en o a partir de la fecha de suscripción, el Emisor resultare obligado a pagar Montos Adicionales de acuerdo con lo dispuesto bajo el título </w:t>
            </w:r>
            <w:r w:rsidRPr="00D354AB">
              <w:rPr>
                <w:i/>
                <w:iCs/>
                <w:sz w:val="20"/>
                <w:szCs w:val="20"/>
                <w:lang w:val="es-MX"/>
              </w:rPr>
              <w:t xml:space="preserve">“Montos Adicionales” </w:t>
            </w:r>
            <w:r w:rsidRPr="00D354AB">
              <w:rPr>
                <w:sz w:val="20"/>
                <w:szCs w:val="20"/>
                <w:lang w:val="es-MX"/>
              </w:rPr>
              <w:t xml:space="preserve">de esta sección, el Emisor tendrá la facultad de rescatar las Obligaciones Negociables Clase XVII en forma total o parcial. El mencionado rescate anticipado sólo procederá una vez que el Emisor hubiera comunicado a la CNV la configuración del presupuesto que autoriza el rescate anticipado de la Obligaciones Negociables, debidamente acompañado de un dictamen expedido por los auditores del Emisor del cual surja de manera indubitable la configuración de tal supuesto. El rescate deberá ser efectuado al 100% del valor nominal residual de las Obligaciones Negociables rescatadas, más los intereses devengados hasta la fecha del rescate. El Emisor deberá dar aviso a los obligacionistas de su decisión de proceder a rescatar las Obligaciones Negociables mediante la publicación de avisos en los medios indicados bajo el título </w:t>
            </w:r>
            <w:r w:rsidRPr="00D354AB">
              <w:rPr>
                <w:i/>
                <w:iCs/>
                <w:sz w:val="20"/>
                <w:szCs w:val="20"/>
                <w:lang w:val="es-MX"/>
              </w:rPr>
              <w:t xml:space="preserve">“Notificaciones a los Tenedores de las Obligaciones Negociables” </w:t>
            </w:r>
            <w:r w:rsidRPr="00D354AB">
              <w:rPr>
                <w:sz w:val="20"/>
                <w:szCs w:val="20"/>
                <w:lang w:val="es-MX"/>
              </w:rPr>
              <w:t>de esta sección, con una anticipación de por lo menos 30 días corridos a la fecha del rescate, en la que se pondrá a disposición de los obligacionistas el capital e intereses devengados por las Obligaciones Negociables de acuerdo con el contenido del aviso mencionado y el procedimiento establecido para el pago regular de los cupones de interés, y amortización de capital e interés en cada fecha de pago. Sin perjuicio de ello, el procedimiento que el Emisor fije para el rescate anticipado de las Obligaciones Negociables deberá respetar la igualdad de trato de todos los obligacionistas bajo las Obligaciones Negociables Clase XVII rescatadas.</w:t>
            </w:r>
          </w:p>
          <w:p w14:paraId="725DAB90" w14:textId="77777777" w:rsidR="00506A48" w:rsidRPr="00D354AB" w:rsidRDefault="00506A48" w:rsidP="00E54A6C">
            <w:pPr>
              <w:pStyle w:val="Default"/>
              <w:jc w:val="both"/>
              <w:rPr>
                <w:sz w:val="20"/>
                <w:szCs w:val="20"/>
              </w:rPr>
            </w:pPr>
          </w:p>
        </w:tc>
      </w:tr>
      <w:tr w:rsidR="00506A48" w:rsidRPr="0086608C" w14:paraId="2756C515" w14:textId="77777777" w:rsidTr="005451AF">
        <w:trPr>
          <w:trHeight w:val="20"/>
        </w:trPr>
        <w:tc>
          <w:tcPr>
            <w:tcW w:w="1471" w:type="pct"/>
          </w:tcPr>
          <w:p w14:paraId="06C5C62F" w14:textId="77777777" w:rsidR="00506A48" w:rsidRPr="00D354AB" w:rsidRDefault="00506A48" w:rsidP="00506A48">
            <w:pPr>
              <w:widowControl w:val="0"/>
              <w:jc w:val="left"/>
              <w:rPr>
                <w:b/>
                <w:bCs/>
                <w:sz w:val="20"/>
                <w:szCs w:val="20"/>
                <w:lang w:val="es-AR"/>
              </w:rPr>
            </w:pPr>
            <w:r w:rsidRPr="00D354AB">
              <w:rPr>
                <w:b/>
                <w:bCs/>
                <w:sz w:val="20"/>
                <w:szCs w:val="20"/>
                <w:lang w:val="es-AR"/>
              </w:rPr>
              <w:t>Notificación a los Tenedores de las Obligaciones Negociables</w:t>
            </w:r>
          </w:p>
          <w:p w14:paraId="29C93CBA" w14:textId="77777777" w:rsidR="00506A48" w:rsidRPr="00D354AB" w:rsidDel="00506A48" w:rsidRDefault="00506A48" w:rsidP="00E54A6C">
            <w:pPr>
              <w:widowControl w:val="0"/>
              <w:jc w:val="left"/>
              <w:rPr>
                <w:b/>
                <w:bCs/>
                <w:sz w:val="20"/>
                <w:szCs w:val="20"/>
                <w:lang w:val="es-AR"/>
              </w:rPr>
            </w:pPr>
          </w:p>
        </w:tc>
        <w:tc>
          <w:tcPr>
            <w:tcW w:w="3529" w:type="pct"/>
          </w:tcPr>
          <w:p w14:paraId="1DDA9CEC" w14:textId="4A17537B" w:rsidR="00506A48" w:rsidRPr="00D354AB" w:rsidRDefault="00506A48" w:rsidP="00506A48">
            <w:pPr>
              <w:widowControl w:val="0"/>
              <w:jc w:val="both"/>
              <w:rPr>
                <w:sz w:val="20"/>
                <w:szCs w:val="20"/>
                <w:lang w:val="es-MX"/>
              </w:rPr>
            </w:pPr>
            <w:r w:rsidRPr="00D354AB">
              <w:rPr>
                <w:sz w:val="20"/>
                <w:szCs w:val="20"/>
                <w:lang w:val="es-MX"/>
              </w:rPr>
              <w:t>Todas las notificaciones relativas a las Obligaciones Negociables se considerarán debidamente efectuadas a los tenedores si se publican por un Día Hábil en los sistemas de información dispuestos por los mercados en donde se listen y negocien las Obligaciones Negociables Clase XVII y/o aquel otro modo que se indique en la Página Web de la CNV. Cualquier notificación del tipo indicado se considerará efectuada en la fecha de tal publicación o, en caso de que se publicara más de una vez o en distintas fechas, en la fecha de la última publicación.</w:t>
            </w:r>
          </w:p>
          <w:p w14:paraId="282B7C92" w14:textId="77777777" w:rsidR="00506A48" w:rsidRPr="00D354AB" w:rsidDel="00506A48" w:rsidRDefault="00506A48" w:rsidP="00E54A6C">
            <w:pPr>
              <w:widowControl w:val="0"/>
              <w:jc w:val="both"/>
              <w:rPr>
                <w:sz w:val="20"/>
                <w:szCs w:val="20"/>
                <w:lang w:val="es-AR"/>
              </w:rPr>
            </w:pPr>
          </w:p>
        </w:tc>
      </w:tr>
      <w:tr w:rsidR="00E54A6C" w:rsidRPr="0086608C" w14:paraId="632A3258" w14:textId="77777777" w:rsidTr="005451AF">
        <w:trPr>
          <w:trHeight w:val="20"/>
        </w:trPr>
        <w:tc>
          <w:tcPr>
            <w:tcW w:w="1471" w:type="pct"/>
          </w:tcPr>
          <w:p w14:paraId="15D0C3E2" w14:textId="77777777" w:rsidR="00E54A6C" w:rsidRPr="00D354AB" w:rsidRDefault="00E54A6C" w:rsidP="00E54A6C">
            <w:pPr>
              <w:widowControl w:val="0"/>
              <w:jc w:val="left"/>
              <w:rPr>
                <w:b/>
                <w:bCs/>
                <w:sz w:val="20"/>
                <w:szCs w:val="20"/>
                <w:lang w:val="es-AR"/>
              </w:rPr>
            </w:pPr>
            <w:r w:rsidRPr="00D354AB">
              <w:rPr>
                <w:b/>
                <w:bCs/>
                <w:sz w:val="20"/>
                <w:szCs w:val="20"/>
                <w:lang w:val="es-AR"/>
              </w:rPr>
              <w:t>Gravámenes Permitidos</w:t>
            </w:r>
          </w:p>
          <w:p w14:paraId="04F768BB" w14:textId="77777777" w:rsidR="00E54A6C" w:rsidRPr="00D354AB" w:rsidRDefault="00E54A6C" w:rsidP="00E54A6C">
            <w:pPr>
              <w:widowControl w:val="0"/>
              <w:jc w:val="left"/>
              <w:rPr>
                <w:b/>
                <w:bCs/>
                <w:sz w:val="20"/>
                <w:szCs w:val="20"/>
                <w:lang w:val="es-AR"/>
              </w:rPr>
            </w:pPr>
          </w:p>
          <w:p w14:paraId="2279872E" w14:textId="77777777" w:rsidR="00E54A6C" w:rsidRPr="00D354AB" w:rsidRDefault="00E54A6C" w:rsidP="00E54A6C">
            <w:pPr>
              <w:widowControl w:val="0"/>
              <w:jc w:val="left"/>
              <w:rPr>
                <w:b/>
                <w:bCs/>
                <w:sz w:val="20"/>
                <w:szCs w:val="20"/>
                <w:lang w:val="es-AR"/>
              </w:rPr>
            </w:pPr>
          </w:p>
          <w:p w14:paraId="2B43C0DC" w14:textId="77777777" w:rsidR="00E54A6C" w:rsidRPr="00D354AB" w:rsidRDefault="00E54A6C" w:rsidP="00E54A6C">
            <w:pPr>
              <w:widowControl w:val="0"/>
              <w:jc w:val="left"/>
              <w:rPr>
                <w:b/>
                <w:bCs/>
                <w:sz w:val="20"/>
                <w:szCs w:val="20"/>
                <w:lang w:val="es-AR"/>
              </w:rPr>
            </w:pPr>
          </w:p>
          <w:p w14:paraId="614A86E5" w14:textId="77777777" w:rsidR="00E54A6C" w:rsidRPr="00D354AB" w:rsidRDefault="00E54A6C" w:rsidP="00E54A6C">
            <w:pPr>
              <w:widowControl w:val="0"/>
              <w:jc w:val="left"/>
              <w:rPr>
                <w:b/>
                <w:bCs/>
                <w:sz w:val="20"/>
                <w:szCs w:val="20"/>
                <w:lang w:val="es-AR"/>
              </w:rPr>
            </w:pPr>
          </w:p>
        </w:tc>
        <w:tc>
          <w:tcPr>
            <w:tcW w:w="3529" w:type="pct"/>
          </w:tcPr>
          <w:p w14:paraId="78FC15A8" w14:textId="63078895" w:rsidR="00E54A6C" w:rsidRPr="00D354AB" w:rsidRDefault="00E54A6C" w:rsidP="006C1EFA">
            <w:pPr>
              <w:pStyle w:val="Default"/>
              <w:jc w:val="both"/>
              <w:rPr>
                <w:sz w:val="20"/>
                <w:szCs w:val="20"/>
              </w:rPr>
            </w:pPr>
            <w:r w:rsidRPr="00D354AB">
              <w:rPr>
                <w:sz w:val="20"/>
                <w:szCs w:val="20"/>
              </w:rPr>
              <w:t xml:space="preserve">Se entenderá que son Gravámenes Permitidos los Gravámenes </w:t>
            </w:r>
            <w:r w:rsidRPr="00D354AB">
              <w:rPr>
                <w:sz w:val="20"/>
                <w:szCs w:val="20"/>
                <w:lang w:val="es-MX"/>
              </w:rPr>
              <w:t>(i) existentes a la fecha del presente Suplemento de Pro</w:t>
            </w:r>
            <w:r w:rsidR="00801F89" w:rsidRPr="00D354AB">
              <w:rPr>
                <w:sz w:val="20"/>
                <w:szCs w:val="20"/>
                <w:lang w:val="es-MX"/>
              </w:rPr>
              <w:t>specto</w:t>
            </w:r>
            <w:r w:rsidRPr="00D354AB">
              <w:rPr>
                <w:sz w:val="20"/>
                <w:szCs w:val="20"/>
                <w:lang w:val="es-MX"/>
              </w:rPr>
              <w:t xml:space="preserve">; (ii) que se originen en oportunidad de la adquisición de cualquier activo que cubran el saldo impago del precio de compra de dicho activo (estableciéndose que el Gravamen deberá constituirse exclusivamente sobre el activo adquirido, simultáneamente con su adquisición o dentro de los 30 Días Hábiles posteriores a la adquisición del mismo), o Gravámenes existentes en oportunidad de la adquisición de los activos garantizados por los mismos (incluyendo la adquisición a través de fusión o consolidación); (iii) que se originen por imperio de la ley y/o sean un pre-requisito para obtener cualquier aprobación gubernamental necesaria o conveniente para el desarrollo de la actividad del Emisor; (iv) que existan a la fecha del presente o creados en el futuro respecto de todos los otros activos, cuando el monto total de los Gravámenes sea de un monto que no supere un 25% del total de los activos del Emisor. A tal fin, el monto de cada Gravamen será determinado por el valor contable -que surja de los últimos estados contables de la Compañía- del activo afectado por dicho Gravamen o será determinado por el saldo residual del </w:t>
            </w:r>
            <w:r w:rsidRPr="00D354AB">
              <w:rPr>
                <w:sz w:val="20"/>
                <w:szCs w:val="20"/>
                <w:lang w:val="es-MX"/>
              </w:rPr>
              <w:lastRenderedPageBreak/>
              <w:t>monto total de deuda por el cual dicho Gravamen se hubiera constituido, lo que fuera mayor; (v) incurridos en el curso ordinario de los negocios del Emisor para garantizar las operaciones de derivados, ya sean de cobertura o de otro tipo. Cualquier prórroga, renovación o sustitución de cualquier Gravamen permitido bajo (i)-(vi) precedentes, siempre que (i) el monto del Gravamen no se incremente en oportunidad de tal prórroga, renovación o sustitución (a cuyo efecto no se computará como aumento de capital garantizado cualquier capitalización de intereses), y (ii) dicho Gravamen afecte únicamente (x) el bien que estaba afectado por el Gravamen existente inmediatamente antes de dicha prórroga, renovación o sustitución; o (y) un activo sustituto que tenga un valor contable -que surja de los últimos estados contables de la Compañía- que no sea superior al del activo originalmente afectado por el Gravamen.</w:t>
            </w:r>
          </w:p>
          <w:p w14:paraId="79D7B43B" w14:textId="77777777" w:rsidR="00E54A6C" w:rsidRPr="00D354AB" w:rsidRDefault="00E54A6C" w:rsidP="00E54A6C">
            <w:pPr>
              <w:widowControl w:val="0"/>
              <w:jc w:val="both"/>
              <w:rPr>
                <w:sz w:val="20"/>
                <w:szCs w:val="20"/>
                <w:lang w:val="es-AR"/>
              </w:rPr>
            </w:pPr>
          </w:p>
        </w:tc>
      </w:tr>
      <w:tr w:rsidR="00E54A6C" w:rsidRPr="0086608C" w14:paraId="7F996650" w14:textId="77777777" w:rsidTr="005451AF">
        <w:trPr>
          <w:trHeight w:val="20"/>
        </w:trPr>
        <w:tc>
          <w:tcPr>
            <w:tcW w:w="1471" w:type="pct"/>
          </w:tcPr>
          <w:p w14:paraId="64DA3DFF" w14:textId="77777777" w:rsidR="00E54A6C" w:rsidRPr="00C436CD" w:rsidRDefault="00E54A6C" w:rsidP="00E54A6C">
            <w:pPr>
              <w:widowControl w:val="0"/>
              <w:jc w:val="left"/>
              <w:rPr>
                <w:b/>
                <w:sz w:val="20"/>
                <w:lang w:val="es-AR"/>
              </w:rPr>
            </w:pPr>
            <w:r w:rsidRPr="00C436CD">
              <w:rPr>
                <w:b/>
                <w:sz w:val="20"/>
                <w:lang w:val="es-AR"/>
              </w:rPr>
              <w:lastRenderedPageBreak/>
              <w:t>Recompra</w:t>
            </w:r>
          </w:p>
          <w:p w14:paraId="23894C49" w14:textId="77777777" w:rsidR="00E54A6C" w:rsidRPr="00C436CD" w:rsidRDefault="00E54A6C" w:rsidP="00E54A6C">
            <w:pPr>
              <w:widowControl w:val="0"/>
              <w:jc w:val="left"/>
              <w:rPr>
                <w:b/>
                <w:sz w:val="20"/>
                <w:lang w:val="es-AR"/>
              </w:rPr>
            </w:pPr>
          </w:p>
          <w:p w14:paraId="356F7AFE" w14:textId="77777777" w:rsidR="00E54A6C" w:rsidRPr="00C436CD" w:rsidRDefault="00E54A6C" w:rsidP="00E54A6C">
            <w:pPr>
              <w:widowControl w:val="0"/>
              <w:jc w:val="left"/>
              <w:rPr>
                <w:b/>
                <w:sz w:val="20"/>
                <w:lang w:val="es-AR"/>
              </w:rPr>
            </w:pPr>
          </w:p>
        </w:tc>
        <w:tc>
          <w:tcPr>
            <w:tcW w:w="3529" w:type="pct"/>
          </w:tcPr>
          <w:p w14:paraId="10CE3C57" w14:textId="657EA1B8" w:rsidR="00E54A6C" w:rsidRPr="00C706A2" w:rsidRDefault="00712B42" w:rsidP="00E54A6C">
            <w:pPr>
              <w:widowControl w:val="0"/>
              <w:jc w:val="both"/>
              <w:outlineLvl w:val="2"/>
              <w:rPr>
                <w:sz w:val="20"/>
                <w:szCs w:val="20"/>
                <w:lang w:val="es-AR"/>
              </w:rPr>
            </w:pPr>
            <w:r w:rsidRPr="00C706A2">
              <w:rPr>
                <w:color w:val="000000"/>
                <w:sz w:val="20"/>
                <w:szCs w:val="20"/>
                <w:lang w:val="es-MX" w:eastAsia="es-ES"/>
              </w:rPr>
              <w:t>El Emisor podrá en cualquier momento comprar o de otro modo adquirir Obligaciones Negociables mediante la compra o a través de acuerdos privados, en el mercado abierto o de otra forma, a cualquier precio, y podrá revenderlas o cancelarlas en cualquier momento a su solo criterio. Para determinar mayorías si los tenedores representativos del capital requerido de Obligaciones Negociables en circulación han formulado o no una solicitud, demanda, autorización, instrucción, notificación, consentimiento o dispensa en los términos del presente, las Obligaciones Negociables que mantenga el Emisor no se computarán y se considerarán fuera de circulación a tales efectos</w:t>
            </w:r>
          </w:p>
          <w:p w14:paraId="52ED95D1" w14:textId="77777777" w:rsidR="00E54A6C" w:rsidRPr="00C706A2" w:rsidRDefault="00E54A6C" w:rsidP="00E54A6C">
            <w:pPr>
              <w:widowControl w:val="0"/>
              <w:jc w:val="both"/>
              <w:outlineLvl w:val="2"/>
              <w:rPr>
                <w:sz w:val="20"/>
                <w:szCs w:val="20"/>
                <w:lang w:val="es-AR"/>
              </w:rPr>
            </w:pPr>
          </w:p>
        </w:tc>
      </w:tr>
      <w:tr w:rsidR="00E54A6C" w:rsidRPr="0086608C" w14:paraId="1764216F" w14:textId="77777777" w:rsidTr="005451AF">
        <w:trPr>
          <w:trHeight w:val="20"/>
        </w:trPr>
        <w:tc>
          <w:tcPr>
            <w:tcW w:w="1471" w:type="pct"/>
          </w:tcPr>
          <w:p w14:paraId="3AF700C7" w14:textId="77777777" w:rsidR="00E54A6C" w:rsidRPr="00D354AB" w:rsidRDefault="00E54A6C" w:rsidP="00E54A6C">
            <w:pPr>
              <w:widowControl w:val="0"/>
              <w:jc w:val="left"/>
              <w:rPr>
                <w:b/>
                <w:sz w:val="20"/>
                <w:szCs w:val="20"/>
                <w:lang w:val="es-AR"/>
              </w:rPr>
            </w:pPr>
            <w:r w:rsidRPr="00D354AB">
              <w:rPr>
                <w:b/>
                <w:sz w:val="20"/>
                <w:szCs w:val="20"/>
                <w:lang w:val="es-AR"/>
              </w:rPr>
              <w:t>Obligaciones Negociables Adicionales</w:t>
            </w:r>
          </w:p>
        </w:tc>
        <w:tc>
          <w:tcPr>
            <w:tcW w:w="3529" w:type="pct"/>
          </w:tcPr>
          <w:p w14:paraId="30E5938F" w14:textId="3F432265" w:rsidR="00E54A6C" w:rsidRPr="00D354AB" w:rsidRDefault="00E54A6C" w:rsidP="00E54A6C">
            <w:pPr>
              <w:widowControl w:val="0"/>
              <w:jc w:val="both"/>
              <w:outlineLvl w:val="2"/>
              <w:rPr>
                <w:sz w:val="20"/>
                <w:szCs w:val="20"/>
                <w:lang w:val="es-AR"/>
              </w:rPr>
            </w:pPr>
            <w:r w:rsidRPr="00D354AB">
              <w:rPr>
                <w:sz w:val="20"/>
                <w:szCs w:val="20"/>
                <w:lang w:val="es-AR"/>
              </w:rPr>
              <w:t xml:space="preserve">El Emisor podrá, sin el consentimiento de los tenedores de las Obligaciones Negociables, emitir nuevas Obligaciones Negociables en una o más transacciones, que tendrán sustancialmente los mismos términos y condiciones de las Obligaciones Negociables, según corresponda, en circulación, </w:t>
            </w:r>
            <w:r w:rsidRPr="00D354AB">
              <w:rPr>
                <w:sz w:val="20"/>
                <w:szCs w:val="20"/>
                <w:lang w:val="es-ES"/>
              </w:rPr>
              <w:t>con la salvedad de que podrán tener (i) una fecha de emisión distinta; (ii) un precio de emisión distinto; (iii) la fecha desde la cual devengarán intereses distinta; (iv) una suma de intereses diferente a pagar en la primera fecha de pago de intereses después de su emisión; y/o (v) los cambios y ajustes que fueran necesarios para dar cumplimiento a la normativa aplicable vigente.</w:t>
            </w:r>
            <w:r w:rsidRPr="00D354AB">
              <w:rPr>
                <w:sz w:val="20"/>
                <w:szCs w:val="20"/>
                <w:lang w:val="es-AR"/>
              </w:rPr>
              <w:t xml:space="preserve"> Cualquier obligación negociable así emitida será consolidada y formará una sola </w:t>
            </w:r>
            <w:r w:rsidR="00262113" w:rsidRPr="00D354AB">
              <w:rPr>
                <w:sz w:val="20"/>
                <w:szCs w:val="20"/>
                <w:lang w:val="es-AR"/>
              </w:rPr>
              <w:t xml:space="preserve">clase </w:t>
            </w:r>
            <w:r w:rsidRPr="00D354AB">
              <w:rPr>
                <w:sz w:val="20"/>
                <w:szCs w:val="20"/>
                <w:lang w:val="es-AR"/>
              </w:rPr>
              <w:t xml:space="preserve">con las Obligaciones Negociables, en circulación, de modo que, entre otras cuestiones, los tenedores de las obligaciones negociables así emitidas tendrán el derecho de votar en las asambleas juntamente con los tenedores de las Obligaciones Negociables, como una sola </w:t>
            </w:r>
            <w:r w:rsidR="00262113" w:rsidRPr="00D354AB">
              <w:rPr>
                <w:sz w:val="20"/>
                <w:szCs w:val="20"/>
                <w:lang w:val="es-AR"/>
              </w:rPr>
              <w:t>clase</w:t>
            </w:r>
            <w:r w:rsidRPr="00D354AB">
              <w:rPr>
                <w:sz w:val="20"/>
                <w:szCs w:val="20"/>
                <w:lang w:val="es-AR"/>
              </w:rPr>
              <w:t>.</w:t>
            </w:r>
          </w:p>
          <w:p w14:paraId="725A9071" w14:textId="77777777" w:rsidR="00E54A6C" w:rsidRPr="00D354AB" w:rsidRDefault="00E54A6C" w:rsidP="00E54A6C">
            <w:pPr>
              <w:widowControl w:val="0"/>
              <w:jc w:val="both"/>
              <w:outlineLvl w:val="2"/>
              <w:rPr>
                <w:sz w:val="20"/>
                <w:szCs w:val="20"/>
                <w:lang w:val="es-AR"/>
              </w:rPr>
            </w:pPr>
          </w:p>
        </w:tc>
      </w:tr>
      <w:tr w:rsidR="00E54A6C" w:rsidRPr="0086608C" w14:paraId="647C951B" w14:textId="77777777" w:rsidTr="0026183D">
        <w:trPr>
          <w:trHeight w:val="20"/>
        </w:trPr>
        <w:tc>
          <w:tcPr>
            <w:tcW w:w="1471" w:type="pct"/>
          </w:tcPr>
          <w:p w14:paraId="776365D4" w14:textId="77777777" w:rsidR="00E54A6C" w:rsidRPr="00D354AB" w:rsidRDefault="00E54A6C" w:rsidP="00E54A6C">
            <w:pPr>
              <w:widowControl w:val="0"/>
              <w:jc w:val="left"/>
              <w:rPr>
                <w:b/>
                <w:sz w:val="20"/>
                <w:szCs w:val="20"/>
                <w:lang w:val="es-AR"/>
              </w:rPr>
            </w:pPr>
            <w:r w:rsidRPr="00D354AB">
              <w:rPr>
                <w:b/>
                <w:sz w:val="20"/>
                <w:szCs w:val="20"/>
                <w:lang w:val="es-AR"/>
              </w:rPr>
              <w:t>Listado y Negociación</w:t>
            </w:r>
          </w:p>
        </w:tc>
        <w:tc>
          <w:tcPr>
            <w:tcW w:w="3529" w:type="pct"/>
          </w:tcPr>
          <w:p w14:paraId="3B46734C" w14:textId="77777777" w:rsidR="00E54A6C" w:rsidRPr="00D354AB" w:rsidRDefault="00E54A6C" w:rsidP="00E54A6C">
            <w:pPr>
              <w:widowControl w:val="0"/>
              <w:jc w:val="both"/>
              <w:rPr>
                <w:sz w:val="20"/>
                <w:szCs w:val="20"/>
                <w:lang w:val="es-AR"/>
              </w:rPr>
            </w:pPr>
            <w:r w:rsidRPr="00D354AB">
              <w:rPr>
                <w:sz w:val="20"/>
                <w:szCs w:val="20"/>
                <w:lang w:val="es-AR"/>
              </w:rPr>
              <w:t>Las Obligaciones Negociables serán listadas y negociadas en el BYMA y en el MAE, respectivamente, y/o en cualquier otro mercado autorizado, siempre que dichos mercados autorizados otorguen la autorización correspondiente.</w:t>
            </w:r>
          </w:p>
          <w:p w14:paraId="18C1F910" w14:textId="77777777" w:rsidR="00E54A6C" w:rsidRPr="00D354AB" w:rsidRDefault="00E54A6C" w:rsidP="00E54A6C">
            <w:pPr>
              <w:widowControl w:val="0"/>
              <w:jc w:val="both"/>
              <w:outlineLvl w:val="2"/>
              <w:rPr>
                <w:sz w:val="20"/>
                <w:szCs w:val="20"/>
                <w:lang w:val="es-AR"/>
              </w:rPr>
            </w:pPr>
          </w:p>
        </w:tc>
      </w:tr>
      <w:tr w:rsidR="00E54A6C" w:rsidRPr="0086608C" w14:paraId="5D0C6ECC" w14:textId="77777777" w:rsidTr="005451AF">
        <w:trPr>
          <w:trHeight w:val="20"/>
        </w:trPr>
        <w:tc>
          <w:tcPr>
            <w:tcW w:w="1471" w:type="pct"/>
          </w:tcPr>
          <w:p w14:paraId="1530A9E0" w14:textId="45F1AD01" w:rsidR="00E54A6C" w:rsidRPr="00D354AB" w:rsidRDefault="00E54A6C" w:rsidP="00E54A6C">
            <w:pPr>
              <w:widowControl w:val="0"/>
              <w:jc w:val="left"/>
              <w:rPr>
                <w:b/>
                <w:bCs/>
                <w:sz w:val="20"/>
                <w:szCs w:val="20"/>
                <w:lang w:val="es-AR"/>
              </w:rPr>
            </w:pPr>
            <w:r w:rsidRPr="00D354AB">
              <w:rPr>
                <w:b/>
                <w:bCs/>
                <w:sz w:val="20"/>
                <w:szCs w:val="20"/>
                <w:lang w:val="es-AR"/>
              </w:rPr>
              <w:t>Montos Adicionales</w:t>
            </w:r>
          </w:p>
          <w:p w14:paraId="10132AE9" w14:textId="77777777" w:rsidR="00E54A6C" w:rsidRPr="00D354AB" w:rsidRDefault="00E54A6C" w:rsidP="00E54A6C">
            <w:pPr>
              <w:widowControl w:val="0"/>
              <w:jc w:val="left"/>
              <w:rPr>
                <w:b/>
                <w:bCs/>
                <w:sz w:val="20"/>
                <w:szCs w:val="20"/>
                <w:lang w:val="es-AR"/>
              </w:rPr>
            </w:pPr>
          </w:p>
          <w:p w14:paraId="4A61F39A" w14:textId="6386E0C5" w:rsidR="00E54A6C" w:rsidRPr="00D354AB" w:rsidRDefault="00E54A6C" w:rsidP="00E54A6C">
            <w:pPr>
              <w:widowControl w:val="0"/>
              <w:jc w:val="left"/>
              <w:rPr>
                <w:b/>
                <w:bCs/>
                <w:sz w:val="20"/>
                <w:szCs w:val="20"/>
                <w:lang w:val="es-AR"/>
              </w:rPr>
            </w:pPr>
          </w:p>
        </w:tc>
        <w:tc>
          <w:tcPr>
            <w:tcW w:w="3529" w:type="pct"/>
          </w:tcPr>
          <w:p w14:paraId="6233B916" w14:textId="77777777" w:rsidR="00D354AB" w:rsidRPr="00D354AB" w:rsidRDefault="00D354AB" w:rsidP="00C436CD">
            <w:pPr>
              <w:autoSpaceDE w:val="0"/>
              <w:autoSpaceDN w:val="0"/>
              <w:jc w:val="both"/>
              <w:rPr>
                <w:sz w:val="20"/>
                <w:szCs w:val="20"/>
                <w:lang w:val="es-AR"/>
              </w:rPr>
            </w:pPr>
            <w:r w:rsidRPr="00D354AB">
              <w:rPr>
                <w:sz w:val="20"/>
                <w:szCs w:val="20"/>
                <w:lang w:val="es-MX"/>
              </w:rPr>
              <w:t xml:space="preserve">Todos los impuestos presentes y futuros de cualquier jurisdicción, que pudieran recaer sobre los actos, contratos y operaciones relacionados con la emisión y suscripción de las Obligaciones Negociables Clase XVII, estarán exclusivamente a cargo del Emisor, quien abonará las sumas adeudadas por intereses y capital por las Obligaciones Negociables, sin deducción de importe alguno en concepto de impuestos, tasas, contribuciones, gravámenes, retenciones o gastos de transferencia, vigentes a la fecha de suscripción, o que se establezcan en el futuro por cualquier autoridad de Argentina, cualquiera que fuera el origen o causa de los mismos. En consecuencia, si por disposiciones legales o reglamentarias, o por interpretación de estas, el Emisor debiera pagar o retener tales importes, el Emisor se obliga a efectuar a su exclusivo costo el ingreso de los pagos o retenciones en cuestión, en forma tal que, una vez realizadas todas las retenciones o deducciones, los obligacionistas reciban un monto igual al que hubieran recibido si dichas retenciones o deducciones no hubieran sido realizadas. Sin embargo, lo expuesto no será aplicable: </w:t>
            </w:r>
          </w:p>
          <w:p w14:paraId="75506039" w14:textId="77777777" w:rsidR="00D354AB" w:rsidRPr="00D354AB" w:rsidRDefault="00D354AB" w:rsidP="00D354AB">
            <w:pPr>
              <w:pStyle w:val="Default"/>
              <w:rPr>
                <w:sz w:val="20"/>
                <w:szCs w:val="20"/>
              </w:rPr>
            </w:pPr>
          </w:p>
          <w:p w14:paraId="278865BE" w14:textId="3EE3CC2A" w:rsidR="00D354AB" w:rsidRPr="00D354AB" w:rsidRDefault="00D354AB" w:rsidP="00D354AB">
            <w:pPr>
              <w:pStyle w:val="Default"/>
              <w:jc w:val="both"/>
              <w:rPr>
                <w:sz w:val="20"/>
                <w:szCs w:val="20"/>
              </w:rPr>
            </w:pPr>
            <w:r w:rsidRPr="00D354AB">
              <w:rPr>
                <w:sz w:val="20"/>
                <w:szCs w:val="20"/>
              </w:rPr>
              <w:t xml:space="preserve">(i) a los tenedores comprendidos en el título VI (excluidas las entidades de la Ley Nº 21.526 de Entidades Financieras), en el Titulo IV Capítulo II y en el Título V de Ley de Impuesto a las Ganancias de Argentina, en relación al impuesto a las ganancias que les corresponda tributar; </w:t>
            </w:r>
          </w:p>
          <w:p w14:paraId="36B3E764" w14:textId="77777777" w:rsidR="00D354AB" w:rsidRPr="00D354AB" w:rsidRDefault="00D354AB" w:rsidP="00D354AB">
            <w:pPr>
              <w:pStyle w:val="Default"/>
              <w:jc w:val="both"/>
              <w:rPr>
                <w:sz w:val="20"/>
                <w:szCs w:val="20"/>
              </w:rPr>
            </w:pPr>
          </w:p>
          <w:p w14:paraId="2EC0B81A" w14:textId="77777777" w:rsidR="00D354AB" w:rsidRPr="00D354AB" w:rsidRDefault="00D354AB" w:rsidP="00D354AB">
            <w:pPr>
              <w:pStyle w:val="Default"/>
              <w:jc w:val="both"/>
              <w:rPr>
                <w:sz w:val="20"/>
                <w:szCs w:val="20"/>
              </w:rPr>
            </w:pPr>
            <w:r w:rsidRPr="00D354AB">
              <w:rPr>
                <w:sz w:val="20"/>
                <w:szCs w:val="20"/>
              </w:rPr>
              <w:t xml:space="preserve">(ii) cuando se trate del impuesto a los créditos y débitos efectuados en cuentas de cualquier naturaleza abiertas en las entidades regidas por la Ley de Entidades Financieras; </w:t>
            </w:r>
          </w:p>
          <w:p w14:paraId="32638FF1" w14:textId="77777777" w:rsidR="00D354AB" w:rsidRPr="00D354AB" w:rsidRDefault="00D354AB" w:rsidP="00D354AB">
            <w:pPr>
              <w:pStyle w:val="Default"/>
              <w:jc w:val="both"/>
              <w:rPr>
                <w:sz w:val="20"/>
                <w:szCs w:val="20"/>
              </w:rPr>
            </w:pPr>
          </w:p>
          <w:p w14:paraId="3095E9DE" w14:textId="77777777" w:rsidR="00D354AB" w:rsidRPr="00D354AB" w:rsidRDefault="00D354AB" w:rsidP="00D354AB">
            <w:pPr>
              <w:pStyle w:val="Default"/>
              <w:jc w:val="both"/>
              <w:rPr>
                <w:sz w:val="20"/>
                <w:szCs w:val="20"/>
              </w:rPr>
            </w:pPr>
            <w:r w:rsidRPr="00D354AB">
              <w:rPr>
                <w:sz w:val="20"/>
                <w:szCs w:val="20"/>
              </w:rPr>
              <w:lastRenderedPageBreak/>
              <w:t xml:space="preserve">(iii) cuando el Emisor se viera obligado por las disposiciones legales vigentes a realizar una deducción y/o retención por, o a cuenta de, el impuesto sobre los bienes personales; </w:t>
            </w:r>
          </w:p>
          <w:p w14:paraId="0239B0E9" w14:textId="77777777" w:rsidR="00D354AB" w:rsidRPr="00D354AB" w:rsidRDefault="00D354AB" w:rsidP="00D354AB">
            <w:pPr>
              <w:pStyle w:val="Default"/>
              <w:jc w:val="both"/>
              <w:rPr>
                <w:sz w:val="20"/>
                <w:szCs w:val="20"/>
              </w:rPr>
            </w:pPr>
          </w:p>
          <w:p w14:paraId="7A448427" w14:textId="77777777" w:rsidR="00D354AB" w:rsidRPr="00D354AB" w:rsidRDefault="00D354AB" w:rsidP="00D354AB">
            <w:pPr>
              <w:pStyle w:val="Default"/>
              <w:jc w:val="both"/>
              <w:rPr>
                <w:sz w:val="20"/>
                <w:szCs w:val="20"/>
              </w:rPr>
            </w:pPr>
            <w:r w:rsidRPr="00D354AB">
              <w:rPr>
                <w:sz w:val="20"/>
                <w:szCs w:val="20"/>
              </w:rPr>
              <w:t xml:space="preserve">(iv) por cualquier impuesto, tasa o carga gubernamental sobre las sucesiones, herencias, legados, donaciones, ventas, transferencias o impuesto similar; </w:t>
            </w:r>
          </w:p>
          <w:p w14:paraId="318EBE23" w14:textId="77777777" w:rsidR="00D354AB" w:rsidRPr="00D354AB" w:rsidRDefault="00D354AB" w:rsidP="00D354AB">
            <w:pPr>
              <w:pStyle w:val="Default"/>
              <w:jc w:val="both"/>
              <w:rPr>
                <w:sz w:val="20"/>
                <w:szCs w:val="20"/>
              </w:rPr>
            </w:pPr>
          </w:p>
          <w:p w14:paraId="4C2119C2" w14:textId="77777777" w:rsidR="00D354AB" w:rsidRPr="00D354AB" w:rsidRDefault="00D354AB" w:rsidP="00D354AB">
            <w:pPr>
              <w:pStyle w:val="Default"/>
              <w:jc w:val="both"/>
              <w:rPr>
                <w:sz w:val="20"/>
                <w:szCs w:val="20"/>
              </w:rPr>
            </w:pPr>
            <w:r w:rsidRPr="00D354AB">
              <w:rPr>
                <w:sz w:val="20"/>
                <w:szCs w:val="20"/>
              </w:rPr>
              <w:t xml:space="preserve">(v) cuando tales deducciones y/o retenciones no hubieran resultado aplicables de no ser por no haber presentado el tenedor de las Obligaciones Negociables o cualquier otra persona, según lo requerido por normas vigentes -incluyendo, sin limitación, leyes, decretos, resoluciones instrucciones escritas de la AFIP y/o tratados internacionales de los que Argentina sea parte- esté o no dicho tenedor o persona legalmente capacitado para hacerlo: información, documentos, declaraciones u otras constancias en la forma y en las condiciones requeridas por las normas vigentes en relación con la nacionalidad, residencia, identidad, naturaleza jurídica o relación con Argentina de dicho tenedor o persona u otra información significativa que sea requerida o impuesta por normas vigentes como una condición previa o requisito para eliminar y/o reducir tales deducciones y/o retenciones a cuenta de impuesto, tasa, contribución o carga gubernamental; siempre que la carga de cumplir con estos requerimientos sea comercialmente razonable; </w:t>
            </w:r>
          </w:p>
          <w:p w14:paraId="2CE60789" w14:textId="77777777" w:rsidR="00D354AB" w:rsidRPr="00D354AB" w:rsidRDefault="00D354AB" w:rsidP="00D354AB">
            <w:pPr>
              <w:pStyle w:val="Default"/>
              <w:jc w:val="both"/>
              <w:rPr>
                <w:sz w:val="20"/>
                <w:szCs w:val="20"/>
              </w:rPr>
            </w:pPr>
          </w:p>
          <w:p w14:paraId="0FBBE75E" w14:textId="77777777" w:rsidR="00D354AB" w:rsidRPr="00D354AB" w:rsidRDefault="00D354AB" w:rsidP="00D354AB">
            <w:pPr>
              <w:pStyle w:val="Default"/>
              <w:jc w:val="both"/>
              <w:rPr>
                <w:sz w:val="20"/>
                <w:szCs w:val="20"/>
              </w:rPr>
            </w:pPr>
            <w:r w:rsidRPr="00D354AB">
              <w:rPr>
                <w:sz w:val="20"/>
                <w:szCs w:val="20"/>
              </w:rPr>
              <w:t xml:space="preserve">(vi) cuando tales deducciones y/o retenciones resultaran aplicables en virtud de una conexión entre el tenedor de las Obligaciones Negociables y Argentina (o cualquier de sus subdivisiones políticas o autoridades), que no sea la mera tenencia de las Obligaciones Negociables, o el derecho a exigir el cumplimiento o disposición de dicha Obligación Negociable, o la percepción de pagos de capital, intereses y/u otros montos adeudados en virtud de estas; </w:t>
            </w:r>
          </w:p>
          <w:p w14:paraId="36A7B766" w14:textId="77777777" w:rsidR="00D354AB" w:rsidRPr="00D354AB" w:rsidRDefault="00D354AB" w:rsidP="00D354AB">
            <w:pPr>
              <w:pStyle w:val="Default"/>
              <w:jc w:val="both"/>
              <w:rPr>
                <w:sz w:val="20"/>
                <w:szCs w:val="20"/>
              </w:rPr>
            </w:pPr>
          </w:p>
          <w:p w14:paraId="5B338B03" w14:textId="441C4BE3" w:rsidR="00D354AB" w:rsidRPr="00D354AB" w:rsidRDefault="00D354AB" w:rsidP="00D354AB">
            <w:pPr>
              <w:pStyle w:val="Default"/>
              <w:jc w:val="both"/>
              <w:rPr>
                <w:sz w:val="20"/>
                <w:szCs w:val="20"/>
              </w:rPr>
            </w:pPr>
            <w:r w:rsidRPr="00D354AB">
              <w:rPr>
                <w:sz w:val="20"/>
                <w:szCs w:val="20"/>
              </w:rPr>
              <w:t xml:space="preserve">(vii) por cualquier impuesto, tasa, contribución u otra carga gubernamental que sea pagadera de otro modo que no sea mediante una retención o deducción de los pagos sobre o respecto de cualquier Obligación Negociable; </w:t>
            </w:r>
          </w:p>
          <w:p w14:paraId="6368CC74" w14:textId="77777777" w:rsidR="00D354AB" w:rsidRPr="00D354AB" w:rsidRDefault="00D354AB" w:rsidP="00C436CD">
            <w:pPr>
              <w:pStyle w:val="Default"/>
              <w:jc w:val="both"/>
              <w:rPr>
                <w:sz w:val="20"/>
                <w:szCs w:val="20"/>
              </w:rPr>
            </w:pPr>
          </w:p>
          <w:p w14:paraId="46785A3A" w14:textId="0C982985" w:rsidR="00D354AB" w:rsidRPr="00D354AB" w:rsidRDefault="00D354AB" w:rsidP="00D354AB">
            <w:pPr>
              <w:pStyle w:val="Default"/>
              <w:jc w:val="both"/>
              <w:rPr>
                <w:sz w:val="20"/>
                <w:szCs w:val="20"/>
              </w:rPr>
            </w:pPr>
            <w:r w:rsidRPr="00D354AB">
              <w:rPr>
                <w:sz w:val="20"/>
                <w:szCs w:val="20"/>
              </w:rPr>
              <w:t xml:space="preserve">(viii) cuando por ser el obligacionista contribuyente del impuesto sobre los ingresos brutos en cualesquiera de las jurisdicciones provinciales y/o de la Ciudad Autónoma de Buenos Aires, el Emisor y/o el agente pagador se viera obligado por las disposiciones normativas vigentes, a realizar una deducción y/o retención por, o a cuenta de, el impuesto sobre los ingresos brutos; y/o </w:t>
            </w:r>
          </w:p>
          <w:p w14:paraId="122A45FB" w14:textId="77777777" w:rsidR="00D354AB" w:rsidRPr="00D354AB" w:rsidRDefault="00D354AB" w:rsidP="00D354AB">
            <w:pPr>
              <w:pStyle w:val="Default"/>
              <w:rPr>
                <w:sz w:val="20"/>
                <w:szCs w:val="20"/>
              </w:rPr>
            </w:pPr>
          </w:p>
          <w:p w14:paraId="7ACB58AA" w14:textId="447D95ED" w:rsidR="00D354AB" w:rsidRPr="00D354AB" w:rsidRDefault="00D354AB" w:rsidP="00D354AB">
            <w:pPr>
              <w:pStyle w:val="Default"/>
              <w:rPr>
                <w:sz w:val="20"/>
                <w:szCs w:val="20"/>
              </w:rPr>
            </w:pPr>
            <w:r w:rsidRPr="00D354AB">
              <w:rPr>
                <w:sz w:val="20"/>
                <w:szCs w:val="20"/>
              </w:rPr>
              <w:t xml:space="preserve">(ix) por cualquier combinación de lo establecido en (i), (ii), (iii), (iv), (v), (vi), (vii) o (viii). </w:t>
            </w:r>
          </w:p>
          <w:p w14:paraId="66157195" w14:textId="77777777" w:rsidR="00D354AB" w:rsidRPr="00D354AB" w:rsidRDefault="00D354AB" w:rsidP="00D354AB">
            <w:pPr>
              <w:pStyle w:val="Default"/>
              <w:rPr>
                <w:sz w:val="20"/>
                <w:szCs w:val="20"/>
              </w:rPr>
            </w:pPr>
          </w:p>
          <w:p w14:paraId="39827698" w14:textId="54EBCF2C" w:rsidR="00E54A6C" w:rsidRPr="00D354AB" w:rsidRDefault="00D354AB" w:rsidP="005451AF">
            <w:pPr>
              <w:widowControl w:val="0"/>
              <w:jc w:val="both"/>
              <w:rPr>
                <w:sz w:val="20"/>
                <w:szCs w:val="20"/>
                <w:lang w:val="es-AR"/>
              </w:rPr>
            </w:pPr>
            <w:r w:rsidRPr="00C436CD">
              <w:rPr>
                <w:sz w:val="20"/>
                <w:lang w:val="es-MX"/>
              </w:rPr>
              <w:t>Si los tenedores de las Obligaciones Negociables Clase XVII no proveen la totalidad o parte de la información, documentos o constancias que pueden ser requeridas por el Emisor oportunamente conforme las normas vigentes (incluyendo, sin limitación, leyes, decretos, resoluciones instrucciones escritas de la AFIP y/o tratados internacionales de los que Argentina sea parte), el Emisor no pagará Montos Adicionales respecto de las Obligaciones Negociables Clase XVII de dicho tenedor y retendrá o deducirá el monto máximo que sea requerido por la ley argentina; ello a condición que la carga de cumplir con estos requerimientos sea comercialmente razonable y el Emisor haya notificado a los tenedores de las Obligaciones Negociables con por lo menos 30 días de anticipación que deben cumplir con tales requerimientos</w:t>
            </w:r>
          </w:p>
        </w:tc>
      </w:tr>
      <w:tr w:rsidR="00506A48" w:rsidRPr="0086608C" w14:paraId="08992DC3" w14:textId="77777777" w:rsidTr="00052BAF">
        <w:trPr>
          <w:trHeight w:val="20"/>
        </w:trPr>
        <w:tc>
          <w:tcPr>
            <w:tcW w:w="1471" w:type="pct"/>
          </w:tcPr>
          <w:p w14:paraId="4E429F82" w14:textId="7F3349F8" w:rsidR="00506A48" w:rsidRPr="00D354AB" w:rsidRDefault="00506A48" w:rsidP="00E54A6C">
            <w:pPr>
              <w:widowControl w:val="0"/>
              <w:jc w:val="left"/>
              <w:rPr>
                <w:b/>
                <w:bCs/>
                <w:sz w:val="20"/>
                <w:szCs w:val="20"/>
                <w:lang w:val="es-AR"/>
              </w:rPr>
            </w:pPr>
            <w:r w:rsidRPr="00D354AB">
              <w:rPr>
                <w:b/>
                <w:sz w:val="20"/>
                <w:szCs w:val="20"/>
                <w:lang w:val="es-AR"/>
              </w:rPr>
              <w:lastRenderedPageBreak/>
              <w:t>Destino de los Fondos</w:t>
            </w:r>
          </w:p>
        </w:tc>
        <w:tc>
          <w:tcPr>
            <w:tcW w:w="3529" w:type="pct"/>
          </w:tcPr>
          <w:p w14:paraId="478FBC03" w14:textId="77777777" w:rsidR="00506A48" w:rsidRPr="00D354AB" w:rsidRDefault="00506A48" w:rsidP="00506A48">
            <w:pPr>
              <w:widowControl w:val="0"/>
              <w:jc w:val="both"/>
              <w:rPr>
                <w:sz w:val="20"/>
                <w:szCs w:val="20"/>
                <w:lang w:val="es-AR"/>
              </w:rPr>
            </w:pPr>
            <w:r w:rsidRPr="00D354AB">
              <w:rPr>
                <w:sz w:val="20"/>
                <w:szCs w:val="20"/>
                <w:lang w:val="es-AR"/>
              </w:rPr>
              <w:t>Los fondos netos provenientes de la colocación de las Obligaciones Negociables serán utilizados, en cumplimiento de lo establecido por el artículo 36 de la Ley de Obligaciones Negociables y de la Comunicación “A” 3.046 y modificatorias del BCRA, de conformidad con lo previsto más abajo en la sección “</w:t>
            </w:r>
            <w:r w:rsidRPr="00D354AB">
              <w:rPr>
                <w:i/>
                <w:sz w:val="20"/>
                <w:szCs w:val="20"/>
                <w:lang w:val="es-AR"/>
              </w:rPr>
              <w:t>Destino de los Fondos</w:t>
            </w:r>
            <w:r w:rsidRPr="00D354AB">
              <w:rPr>
                <w:sz w:val="20"/>
                <w:szCs w:val="20"/>
                <w:lang w:val="es-AR"/>
              </w:rPr>
              <w:t>”.</w:t>
            </w:r>
          </w:p>
          <w:p w14:paraId="6CEE2F4A" w14:textId="77777777" w:rsidR="00506A48" w:rsidRPr="00D354AB" w:rsidRDefault="00506A48" w:rsidP="00E54A6C">
            <w:pPr>
              <w:widowControl w:val="0"/>
              <w:jc w:val="both"/>
              <w:rPr>
                <w:sz w:val="20"/>
                <w:szCs w:val="20"/>
                <w:lang w:val="es-AR"/>
              </w:rPr>
            </w:pPr>
          </w:p>
        </w:tc>
      </w:tr>
      <w:tr w:rsidR="00E54A6C" w:rsidRPr="0086608C" w14:paraId="51B083DF" w14:textId="77777777" w:rsidTr="005451AF">
        <w:trPr>
          <w:trHeight w:val="20"/>
        </w:trPr>
        <w:tc>
          <w:tcPr>
            <w:tcW w:w="1471" w:type="pct"/>
          </w:tcPr>
          <w:p w14:paraId="4103702F" w14:textId="77777777" w:rsidR="00E54A6C" w:rsidRPr="00D354AB" w:rsidRDefault="00E54A6C" w:rsidP="00E54A6C">
            <w:pPr>
              <w:widowControl w:val="0"/>
              <w:jc w:val="left"/>
              <w:rPr>
                <w:b/>
                <w:bCs/>
                <w:sz w:val="20"/>
                <w:szCs w:val="20"/>
                <w:lang w:val="es-AR"/>
              </w:rPr>
            </w:pPr>
            <w:r w:rsidRPr="00D354AB">
              <w:rPr>
                <w:b/>
                <w:bCs/>
                <w:sz w:val="20"/>
                <w:szCs w:val="20"/>
                <w:lang w:val="es-AR"/>
              </w:rPr>
              <w:t>Garantías</w:t>
            </w:r>
          </w:p>
        </w:tc>
        <w:tc>
          <w:tcPr>
            <w:tcW w:w="3529" w:type="pct"/>
          </w:tcPr>
          <w:p w14:paraId="4C265A8A" w14:textId="77777777" w:rsidR="00E54A6C" w:rsidRPr="00D354AB" w:rsidRDefault="00E54A6C" w:rsidP="00E54A6C">
            <w:pPr>
              <w:widowControl w:val="0"/>
              <w:jc w:val="both"/>
              <w:rPr>
                <w:sz w:val="20"/>
                <w:szCs w:val="20"/>
                <w:lang w:val="es-AR"/>
              </w:rPr>
            </w:pPr>
            <w:r w:rsidRPr="00D354AB">
              <w:rPr>
                <w:sz w:val="20"/>
                <w:szCs w:val="20"/>
                <w:lang w:val="es-AR"/>
              </w:rPr>
              <w:t>Las Obligaciones Negociables no cuentan con garantía flotante o especial ni se encuentran avaladas o garantizadas por cualquier otro medio ni por otra entidad financiera ni por otro modo que no sea el patrimonio común del Emisor.</w:t>
            </w:r>
          </w:p>
          <w:p w14:paraId="0C5C72E5" w14:textId="6DCC27F9" w:rsidR="00506A48" w:rsidRPr="00D354AB" w:rsidRDefault="00506A48" w:rsidP="00E54A6C">
            <w:pPr>
              <w:widowControl w:val="0"/>
              <w:jc w:val="both"/>
              <w:rPr>
                <w:sz w:val="20"/>
                <w:szCs w:val="20"/>
                <w:lang w:val="es-AR"/>
              </w:rPr>
            </w:pPr>
          </w:p>
        </w:tc>
      </w:tr>
      <w:tr w:rsidR="00E54A6C" w:rsidRPr="0086608C" w14:paraId="4885AEC1" w14:textId="77777777" w:rsidTr="005451AF">
        <w:trPr>
          <w:trHeight w:val="20"/>
        </w:trPr>
        <w:tc>
          <w:tcPr>
            <w:tcW w:w="1471" w:type="pct"/>
          </w:tcPr>
          <w:p w14:paraId="3B3DF3D6" w14:textId="77777777" w:rsidR="00E54A6C" w:rsidRPr="00D354AB" w:rsidRDefault="00E54A6C" w:rsidP="00E54A6C">
            <w:pPr>
              <w:widowControl w:val="0"/>
              <w:jc w:val="left"/>
              <w:rPr>
                <w:b/>
                <w:sz w:val="20"/>
                <w:szCs w:val="20"/>
                <w:lang w:val="es-AR"/>
              </w:rPr>
            </w:pPr>
            <w:r w:rsidRPr="00D354AB">
              <w:rPr>
                <w:b/>
                <w:sz w:val="20"/>
                <w:szCs w:val="20"/>
                <w:lang w:val="es-AR"/>
              </w:rPr>
              <w:t>Día Hábil</w:t>
            </w:r>
          </w:p>
        </w:tc>
        <w:tc>
          <w:tcPr>
            <w:tcW w:w="3529" w:type="pct"/>
          </w:tcPr>
          <w:p w14:paraId="33DE75C4" w14:textId="77777777" w:rsidR="00E54A6C" w:rsidRPr="00D354AB" w:rsidRDefault="00E54A6C" w:rsidP="00E54A6C">
            <w:pPr>
              <w:widowControl w:val="0"/>
              <w:jc w:val="both"/>
              <w:rPr>
                <w:sz w:val="20"/>
                <w:szCs w:val="20"/>
                <w:lang w:val="es-AR"/>
              </w:rPr>
            </w:pPr>
            <w:r w:rsidRPr="00D354AB">
              <w:rPr>
                <w:sz w:val="20"/>
                <w:szCs w:val="20"/>
                <w:lang w:val="es-AR"/>
              </w:rPr>
              <w:t>Se entenderá por Día Hábil aquel día en que las entidades financieras están abiertas o no están autorizadas a cerrar, y pueden operar normalmente en toda su actividad bancaria y cambiaria en la Ciudad Autónoma de Buenos Aires.</w:t>
            </w:r>
          </w:p>
          <w:p w14:paraId="32642FAC" w14:textId="766C4D4D" w:rsidR="00506A48" w:rsidRPr="00D354AB" w:rsidRDefault="00506A48" w:rsidP="00E54A6C">
            <w:pPr>
              <w:widowControl w:val="0"/>
              <w:jc w:val="both"/>
              <w:rPr>
                <w:sz w:val="20"/>
                <w:szCs w:val="20"/>
                <w:lang w:val="es-AR"/>
              </w:rPr>
            </w:pPr>
          </w:p>
        </w:tc>
      </w:tr>
      <w:tr w:rsidR="00E54A6C" w:rsidRPr="0086608C" w14:paraId="7026D1F4" w14:textId="77777777" w:rsidTr="005451AF">
        <w:trPr>
          <w:trHeight w:val="20"/>
        </w:trPr>
        <w:tc>
          <w:tcPr>
            <w:tcW w:w="1471" w:type="pct"/>
          </w:tcPr>
          <w:p w14:paraId="65DFFB8D" w14:textId="77777777" w:rsidR="00E54A6C" w:rsidRPr="00D354AB" w:rsidRDefault="00E54A6C" w:rsidP="00E54A6C">
            <w:pPr>
              <w:widowControl w:val="0"/>
              <w:jc w:val="left"/>
              <w:rPr>
                <w:b/>
                <w:bCs/>
                <w:sz w:val="20"/>
                <w:szCs w:val="20"/>
                <w:lang w:val="es-ES"/>
              </w:rPr>
            </w:pPr>
            <w:r w:rsidRPr="00D354AB">
              <w:rPr>
                <w:b/>
                <w:bCs/>
                <w:sz w:val="20"/>
                <w:szCs w:val="20"/>
                <w:lang w:val="es-ES"/>
              </w:rPr>
              <w:lastRenderedPageBreak/>
              <w:t>Ley Aplicable</w:t>
            </w:r>
          </w:p>
        </w:tc>
        <w:tc>
          <w:tcPr>
            <w:tcW w:w="3529" w:type="pct"/>
          </w:tcPr>
          <w:p w14:paraId="5CC231ED" w14:textId="77777777" w:rsidR="00E54A6C" w:rsidRPr="00D354AB" w:rsidRDefault="00E54A6C" w:rsidP="00E54A6C">
            <w:pPr>
              <w:jc w:val="both"/>
              <w:rPr>
                <w:sz w:val="20"/>
                <w:szCs w:val="20"/>
                <w:lang w:val="es-AR"/>
              </w:rPr>
            </w:pPr>
            <w:r w:rsidRPr="00D354AB">
              <w:rPr>
                <w:sz w:val="20"/>
                <w:szCs w:val="20"/>
                <w:lang w:val="es-AR"/>
              </w:rPr>
              <w:t>Las Obligaciones Negociables se regirán y serán interpretadas conforme a las leyes de la República Argentina.</w:t>
            </w:r>
          </w:p>
          <w:p w14:paraId="21024BE8" w14:textId="77777777" w:rsidR="00E54A6C" w:rsidRPr="00D354AB" w:rsidRDefault="00E54A6C" w:rsidP="00E54A6C">
            <w:pPr>
              <w:jc w:val="both"/>
              <w:rPr>
                <w:sz w:val="20"/>
                <w:szCs w:val="20"/>
                <w:lang w:val="es-AR"/>
              </w:rPr>
            </w:pPr>
          </w:p>
        </w:tc>
      </w:tr>
      <w:tr w:rsidR="00E54A6C" w:rsidRPr="0086608C" w14:paraId="152EE9BB" w14:textId="77777777" w:rsidTr="0026183D">
        <w:trPr>
          <w:trHeight w:val="2476"/>
        </w:trPr>
        <w:tc>
          <w:tcPr>
            <w:tcW w:w="1471" w:type="pct"/>
          </w:tcPr>
          <w:p w14:paraId="1C517335" w14:textId="77777777" w:rsidR="00E54A6C" w:rsidRPr="00D354AB" w:rsidRDefault="00E54A6C" w:rsidP="00E54A6C">
            <w:pPr>
              <w:widowControl w:val="0"/>
              <w:jc w:val="left"/>
              <w:rPr>
                <w:b/>
                <w:bCs/>
                <w:sz w:val="20"/>
                <w:szCs w:val="20"/>
                <w:lang w:val="es-ES"/>
              </w:rPr>
            </w:pPr>
            <w:r w:rsidRPr="00D354AB">
              <w:rPr>
                <w:b/>
                <w:bCs/>
                <w:sz w:val="20"/>
                <w:szCs w:val="20"/>
                <w:lang w:val="es-ES"/>
              </w:rPr>
              <w:t>Jurisdicción</w:t>
            </w:r>
          </w:p>
          <w:p w14:paraId="0556464A" w14:textId="77777777" w:rsidR="00E54A6C" w:rsidRPr="00D354AB" w:rsidRDefault="00E54A6C" w:rsidP="00E54A6C">
            <w:pPr>
              <w:widowControl w:val="0"/>
              <w:jc w:val="left"/>
              <w:rPr>
                <w:b/>
                <w:bCs/>
                <w:sz w:val="20"/>
                <w:szCs w:val="20"/>
                <w:lang w:val="es-ES"/>
              </w:rPr>
            </w:pPr>
          </w:p>
        </w:tc>
        <w:tc>
          <w:tcPr>
            <w:tcW w:w="3529" w:type="pct"/>
          </w:tcPr>
          <w:p w14:paraId="1A3F2CAB" w14:textId="5BEB98ED" w:rsidR="00E54A6C" w:rsidRPr="00D354AB" w:rsidRDefault="00262113" w:rsidP="00E54A6C">
            <w:pPr>
              <w:jc w:val="both"/>
              <w:rPr>
                <w:sz w:val="20"/>
                <w:szCs w:val="20"/>
                <w:lang w:val="es-AR"/>
              </w:rPr>
            </w:pPr>
            <w:r w:rsidRPr="00D354AB">
              <w:rPr>
                <w:sz w:val="20"/>
                <w:szCs w:val="20"/>
                <w:lang w:val="es-AR"/>
              </w:rPr>
              <w:t>T</w:t>
            </w:r>
            <w:r w:rsidR="00E54A6C" w:rsidRPr="00D354AB">
              <w:rPr>
                <w:sz w:val="20"/>
                <w:szCs w:val="20"/>
                <w:lang w:val="es-AR"/>
              </w:rPr>
              <w:t>oda controversia que se suscite entre el Emisor y los Inversores en relación con las Obligaciones Negociables podrá someterse a la jurisdicción del Tribunal de Arbitraje General de la Bolsa de Comercio de Buenos Aires (en virtud de la delegación de facultades otorgadas por el BYMA a la BCBA en materia de constitución de Tribunales Arbitrales, de conformidad con lo dispuesto en la Resolución Nº 18.629 de la CNV) o tribunal arbitral del mercado de valores que lo reemplace</w:t>
            </w:r>
            <w:r w:rsidR="00E54A6C" w:rsidRPr="00D354AB" w:rsidDel="00430181">
              <w:rPr>
                <w:sz w:val="20"/>
                <w:szCs w:val="20"/>
                <w:lang w:val="es-AR"/>
              </w:rPr>
              <w:t xml:space="preserve"> </w:t>
            </w:r>
            <w:r w:rsidR="00E54A6C" w:rsidRPr="00D354AB">
              <w:rPr>
                <w:sz w:val="20"/>
                <w:szCs w:val="20"/>
                <w:lang w:val="es-AR"/>
              </w:rPr>
              <w:t>de conformidad con el artículo 46 de la Ley de Mercado de Capitales, sus modificatorias y/o complementarias, sin perjuicio del derecho de los tenedores a acudir a los tribunales judiciales competentes.</w:t>
            </w:r>
          </w:p>
          <w:p w14:paraId="59D32B3F" w14:textId="4A542C95" w:rsidR="00506A48" w:rsidRPr="00D354AB" w:rsidRDefault="00506A48" w:rsidP="00E54A6C">
            <w:pPr>
              <w:jc w:val="both"/>
              <w:rPr>
                <w:sz w:val="20"/>
                <w:szCs w:val="20"/>
                <w:lang w:val="es-ES"/>
              </w:rPr>
            </w:pPr>
          </w:p>
        </w:tc>
      </w:tr>
      <w:tr w:rsidR="00712B42" w:rsidRPr="0086608C" w14:paraId="7A328905" w14:textId="77777777" w:rsidTr="0026183D">
        <w:trPr>
          <w:trHeight w:val="20"/>
        </w:trPr>
        <w:tc>
          <w:tcPr>
            <w:tcW w:w="1471" w:type="pct"/>
          </w:tcPr>
          <w:p w14:paraId="330FFDDE" w14:textId="6E114229" w:rsidR="00712B42" w:rsidRPr="00D354AB" w:rsidRDefault="00712B42" w:rsidP="007E1807">
            <w:pPr>
              <w:widowControl w:val="0"/>
              <w:jc w:val="left"/>
              <w:rPr>
                <w:b/>
                <w:bCs/>
                <w:sz w:val="20"/>
                <w:szCs w:val="20"/>
                <w:lang w:val="es-ES"/>
              </w:rPr>
            </w:pPr>
            <w:r w:rsidRPr="00D354AB">
              <w:rPr>
                <w:b/>
                <w:bCs/>
                <w:sz w:val="20"/>
                <w:szCs w:val="20"/>
                <w:lang w:val="es-ES"/>
              </w:rPr>
              <w:t>Titularidad y Legitimación</w:t>
            </w:r>
          </w:p>
        </w:tc>
        <w:tc>
          <w:tcPr>
            <w:tcW w:w="3529" w:type="pct"/>
          </w:tcPr>
          <w:p w14:paraId="27240300" w14:textId="701475D5" w:rsidR="00712B42" w:rsidRPr="00D354AB" w:rsidRDefault="00712B42" w:rsidP="00712B42">
            <w:pPr>
              <w:widowControl w:val="0"/>
              <w:jc w:val="both"/>
              <w:rPr>
                <w:sz w:val="20"/>
                <w:szCs w:val="20"/>
                <w:lang w:val="es-AR"/>
              </w:rPr>
            </w:pPr>
            <w:r w:rsidRPr="00D354AB">
              <w:rPr>
                <w:sz w:val="20"/>
                <w:szCs w:val="20"/>
                <w:lang w:val="es-AR"/>
              </w:rPr>
              <w:t>De acuerdo con lo dispuesto por el mencionado artículo 129 de la Ley de Mercado de Capitales, se podrán expedir comprobantes del saldo de cuenta de las Obligaciones Negociables a efectos de legitimar al titular para reclamar judicialmente, o ante jurisdicción arbitral (incluso mediante acción ejecutiva si correspondiere), presentar solicitudes de verificación de crédito o participar en procesos universales, para lo que será suficiente título dicho comprobante, sin necesidad de autenticación u otro requisito. Su expedición importará el bloqueo de la cuenta respectiva, sólo para inscribir actos de disposición por su titular, por un plazo de 30 días, salvo que el titular devuelva el comprobante o dentro de dicho plazo se reciba una orden de prórroga del bloqueo del juez o tribunal arbitral ante el cual el comprobante se hubiera hecho valer. El bloqueo de la cuenta sólo afectará a los valores a los que se refieran los comprobantes y éstos serán emitidos por la entidad de Argentina o del exterior que administre el sistema de depósito colectivo en el cual aquellos certificados globales se encuentren inscriptos. Cuando entidades administradoras de sistemas de depósito colectivo tengan participaciones en certificados globales inscriptos en sistemas de depósito colectivo administrados por otra entidad, los comprobantes podrán ser emitidos directamente por las primeras. La expedición de todos los comprobantes previstos en esta sección “</w:t>
            </w:r>
            <w:r w:rsidRPr="00D354AB">
              <w:rPr>
                <w:i/>
                <w:sz w:val="20"/>
                <w:szCs w:val="20"/>
                <w:lang w:val="es-AR"/>
              </w:rPr>
              <w:t>Titularidad y Legitimación</w:t>
            </w:r>
            <w:r w:rsidRPr="00D354AB">
              <w:rPr>
                <w:sz w:val="20"/>
                <w:szCs w:val="20"/>
                <w:lang w:val="es-AR"/>
              </w:rPr>
              <w:t>” será a costa de quienes los soliciten.</w:t>
            </w:r>
          </w:p>
          <w:p w14:paraId="078AFDAD" w14:textId="77777777" w:rsidR="00712B42" w:rsidRPr="00D354AB" w:rsidRDefault="00712B42" w:rsidP="007E1807">
            <w:pPr>
              <w:jc w:val="both"/>
              <w:rPr>
                <w:sz w:val="20"/>
                <w:szCs w:val="20"/>
                <w:lang w:val="es-AR"/>
              </w:rPr>
            </w:pPr>
          </w:p>
        </w:tc>
      </w:tr>
      <w:tr w:rsidR="00712B42" w:rsidRPr="0086608C" w14:paraId="3AB0413A" w14:textId="77777777" w:rsidTr="0026183D">
        <w:trPr>
          <w:trHeight w:val="20"/>
        </w:trPr>
        <w:tc>
          <w:tcPr>
            <w:tcW w:w="1471" w:type="pct"/>
          </w:tcPr>
          <w:p w14:paraId="7FBF8757" w14:textId="733868E5" w:rsidR="00712B42" w:rsidRPr="00D354AB" w:rsidRDefault="00712B42" w:rsidP="007E1807">
            <w:pPr>
              <w:widowControl w:val="0"/>
              <w:jc w:val="left"/>
              <w:rPr>
                <w:b/>
                <w:bCs/>
                <w:sz w:val="20"/>
                <w:szCs w:val="20"/>
                <w:lang w:val="es-ES"/>
              </w:rPr>
            </w:pPr>
            <w:r w:rsidRPr="00D354AB">
              <w:rPr>
                <w:b/>
                <w:bCs/>
                <w:sz w:val="20"/>
                <w:szCs w:val="20"/>
                <w:lang w:val="es-ES"/>
              </w:rPr>
              <w:t>Transferencias</w:t>
            </w:r>
          </w:p>
        </w:tc>
        <w:tc>
          <w:tcPr>
            <w:tcW w:w="3529" w:type="pct"/>
          </w:tcPr>
          <w:p w14:paraId="71B7FEA0" w14:textId="7C277E73" w:rsidR="00712B42" w:rsidRPr="00D354AB" w:rsidRDefault="00712B42" w:rsidP="0026183D">
            <w:pPr>
              <w:widowControl w:val="0"/>
              <w:jc w:val="both"/>
              <w:rPr>
                <w:sz w:val="20"/>
                <w:szCs w:val="20"/>
                <w:lang w:val="es-AR"/>
              </w:rPr>
            </w:pPr>
            <w:r w:rsidRPr="00D354AB">
              <w:rPr>
                <w:sz w:val="20"/>
                <w:szCs w:val="20"/>
                <w:lang w:val="es-AR"/>
              </w:rPr>
              <w:t xml:space="preserve">Las transferencias de Obligaciones Negociables depositadas serán efectuadas de acuerdo con los procedimientos aplicables del depositario y respetando las normas vigentes. Toda transmisión de Obligaciones Negociables deberá notificarse por escrito al Emisor, y surtirá efecto contra el Emisor y los terceros a partir de la fecha de su inscripción en los registros que correspondan. </w:t>
            </w:r>
          </w:p>
        </w:tc>
      </w:tr>
      <w:tr w:rsidR="00712B42" w:rsidRPr="0086608C" w14:paraId="38F64991" w14:textId="77777777" w:rsidTr="0026183D">
        <w:trPr>
          <w:trHeight w:val="20"/>
        </w:trPr>
        <w:tc>
          <w:tcPr>
            <w:tcW w:w="1471" w:type="pct"/>
          </w:tcPr>
          <w:p w14:paraId="16C326B7" w14:textId="57677804" w:rsidR="00712B42" w:rsidRPr="00D354AB" w:rsidRDefault="00E46641" w:rsidP="007E1807">
            <w:pPr>
              <w:widowControl w:val="0"/>
              <w:jc w:val="left"/>
              <w:rPr>
                <w:b/>
                <w:bCs/>
                <w:sz w:val="20"/>
                <w:szCs w:val="20"/>
                <w:lang w:val="es-ES"/>
              </w:rPr>
            </w:pPr>
            <w:r w:rsidRPr="00D354AB">
              <w:rPr>
                <w:b/>
                <w:bCs/>
                <w:sz w:val="20"/>
                <w:szCs w:val="20"/>
                <w:lang w:val="es-ES"/>
              </w:rPr>
              <w:t>Derechos Reales y Gravámenes</w:t>
            </w:r>
          </w:p>
        </w:tc>
        <w:tc>
          <w:tcPr>
            <w:tcW w:w="3529" w:type="pct"/>
          </w:tcPr>
          <w:p w14:paraId="57B0E962" w14:textId="4C976C71" w:rsidR="00712B42" w:rsidRPr="00D354AB" w:rsidRDefault="00E46641" w:rsidP="0026183D">
            <w:pPr>
              <w:widowControl w:val="0"/>
              <w:jc w:val="both"/>
              <w:rPr>
                <w:sz w:val="20"/>
                <w:szCs w:val="20"/>
                <w:lang w:val="es-AR"/>
              </w:rPr>
            </w:pPr>
            <w:r w:rsidRPr="00D354AB">
              <w:rPr>
                <w:sz w:val="20"/>
                <w:szCs w:val="20"/>
                <w:lang w:val="es-AR"/>
              </w:rPr>
              <w:t xml:space="preserve">Toda creación, emisión, transmisión o constitución de derechos reales sobre las Obligaciones Negociables, todo gravamen, medida precautoria y cualquier otra afectación de los derechos conferidos por las Obligaciones Negociables, serán notificados al Emisor, y serán anotados en los registros que correspondan y surtirán efectos frente al Emisor y los terceros desde la fecha de tal inscripción. </w:t>
            </w:r>
          </w:p>
        </w:tc>
      </w:tr>
      <w:tr w:rsidR="00712B42" w:rsidRPr="0086608C" w14:paraId="0450D536" w14:textId="77777777" w:rsidTr="0026183D">
        <w:trPr>
          <w:trHeight w:val="20"/>
        </w:trPr>
        <w:tc>
          <w:tcPr>
            <w:tcW w:w="1471" w:type="pct"/>
          </w:tcPr>
          <w:p w14:paraId="5B7107E8" w14:textId="04BE66A6" w:rsidR="00712B42" w:rsidRPr="00D354AB" w:rsidRDefault="00E46641" w:rsidP="007E1807">
            <w:pPr>
              <w:widowControl w:val="0"/>
              <w:jc w:val="left"/>
              <w:rPr>
                <w:b/>
                <w:bCs/>
                <w:sz w:val="20"/>
                <w:szCs w:val="20"/>
                <w:lang w:val="es-ES"/>
              </w:rPr>
            </w:pPr>
            <w:r w:rsidRPr="00D354AB">
              <w:rPr>
                <w:b/>
                <w:bCs/>
                <w:sz w:val="20"/>
                <w:szCs w:val="20"/>
                <w:lang w:val="es-ES"/>
              </w:rPr>
              <w:t>Asambleas</w:t>
            </w:r>
          </w:p>
        </w:tc>
        <w:tc>
          <w:tcPr>
            <w:tcW w:w="3529" w:type="pct"/>
          </w:tcPr>
          <w:p w14:paraId="1774A980" w14:textId="06ACC70C" w:rsidR="00E46641" w:rsidRPr="00D354AB" w:rsidRDefault="00E46641" w:rsidP="00E46641">
            <w:pPr>
              <w:widowControl w:val="0"/>
              <w:jc w:val="both"/>
              <w:rPr>
                <w:sz w:val="20"/>
                <w:szCs w:val="20"/>
                <w:lang w:val="es-AR"/>
              </w:rPr>
            </w:pPr>
            <w:r w:rsidRPr="00D354AB">
              <w:rPr>
                <w:sz w:val="20"/>
                <w:szCs w:val="20"/>
                <w:lang w:val="es-AR"/>
              </w:rPr>
              <w:t>Las asambleas de tenedores de Obligaciones Negociables en circulación (las “</w:t>
            </w:r>
            <w:r w:rsidRPr="00D354AB">
              <w:rPr>
                <w:sz w:val="20"/>
                <w:szCs w:val="20"/>
                <w:u w:val="single"/>
                <w:lang w:val="es-AR"/>
              </w:rPr>
              <w:t>Asambleas</w:t>
            </w:r>
            <w:r w:rsidRPr="00D354AB">
              <w:rPr>
                <w:sz w:val="20"/>
                <w:szCs w:val="20"/>
                <w:lang w:val="es-AR"/>
              </w:rPr>
              <w:t>”) se regirán por la Ley de Obligaciones Negociables en todo aquello que no esté previsto expresamente en el presente.</w:t>
            </w:r>
          </w:p>
          <w:p w14:paraId="71975A01" w14:textId="77777777" w:rsidR="00E46641" w:rsidRPr="00D354AB" w:rsidRDefault="00E46641" w:rsidP="00E46641">
            <w:pPr>
              <w:widowControl w:val="0"/>
              <w:jc w:val="both"/>
              <w:rPr>
                <w:sz w:val="20"/>
                <w:szCs w:val="20"/>
                <w:lang w:val="es-AR"/>
              </w:rPr>
            </w:pPr>
          </w:p>
          <w:p w14:paraId="5664D5A4" w14:textId="667BD96B" w:rsidR="00E46641" w:rsidRPr="00D354AB" w:rsidRDefault="00E46641" w:rsidP="00E46641">
            <w:pPr>
              <w:widowControl w:val="0"/>
              <w:jc w:val="both"/>
              <w:rPr>
                <w:sz w:val="20"/>
                <w:szCs w:val="20"/>
                <w:lang w:val="es-AR"/>
              </w:rPr>
            </w:pPr>
            <w:r w:rsidRPr="00D354AB">
              <w:rPr>
                <w:i/>
                <w:iCs/>
                <w:sz w:val="20"/>
                <w:szCs w:val="20"/>
                <w:lang w:val="es-AR"/>
              </w:rPr>
              <w:t>Lugar de Reunión.</w:t>
            </w:r>
            <w:r w:rsidRPr="00D354AB">
              <w:rPr>
                <w:sz w:val="20"/>
                <w:szCs w:val="20"/>
                <w:lang w:val="es-AR"/>
              </w:rPr>
              <w:t xml:space="preserve"> Las Asambleas serán celebradas en la Ciudad Autónoma de Buenos Aires.</w:t>
            </w:r>
          </w:p>
          <w:p w14:paraId="7564E963" w14:textId="77777777" w:rsidR="00E46641" w:rsidRPr="00D354AB" w:rsidRDefault="00E46641" w:rsidP="00E46641">
            <w:pPr>
              <w:widowControl w:val="0"/>
              <w:jc w:val="both"/>
              <w:rPr>
                <w:sz w:val="20"/>
                <w:szCs w:val="20"/>
                <w:lang w:val="es-AR"/>
              </w:rPr>
            </w:pPr>
          </w:p>
          <w:p w14:paraId="3B5A81FC" w14:textId="3850C25A" w:rsidR="00E46641" w:rsidRPr="00D354AB" w:rsidRDefault="00E46641" w:rsidP="00E46641">
            <w:pPr>
              <w:widowControl w:val="0"/>
              <w:jc w:val="both"/>
              <w:rPr>
                <w:sz w:val="20"/>
                <w:szCs w:val="20"/>
                <w:lang w:val="es-AR"/>
              </w:rPr>
            </w:pPr>
            <w:r w:rsidRPr="00D354AB">
              <w:rPr>
                <w:i/>
                <w:iCs/>
                <w:sz w:val="20"/>
                <w:szCs w:val="20"/>
                <w:lang w:val="es-AR"/>
              </w:rPr>
              <w:t>Obligatoriedad de sus decisiones.</w:t>
            </w:r>
            <w:r w:rsidRPr="00D354AB">
              <w:rPr>
                <w:sz w:val="20"/>
                <w:szCs w:val="20"/>
                <w:lang w:val="es-AR"/>
              </w:rPr>
              <w:t xml:space="preserve"> Las resoluciones de las Asambleas serán obligatorias y vinculantes para todos los tenedores de las Obligaciones Negociables, aún para los disidentes y ausentes.</w:t>
            </w:r>
          </w:p>
          <w:p w14:paraId="1A3986AD" w14:textId="77777777" w:rsidR="00E46641" w:rsidRPr="00D354AB" w:rsidRDefault="00E46641" w:rsidP="00E46641">
            <w:pPr>
              <w:ind w:left="1200"/>
              <w:rPr>
                <w:sz w:val="20"/>
                <w:szCs w:val="20"/>
                <w:lang w:val="es-AR" w:eastAsia="es-ES"/>
              </w:rPr>
            </w:pPr>
          </w:p>
          <w:p w14:paraId="2BF0646E" w14:textId="77777777" w:rsidR="00E46641" w:rsidRPr="00D354AB" w:rsidRDefault="00E46641" w:rsidP="00E46641">
            <w:pPr>
              <w:widowControl w:val="0"/>
              <w:jc w:val="both"/>
              <w:rPr>
                <w:i/>
                <w:iCs/>
                <w:sz w:val="20"/>
                <w:szCs w:val="20"/>
                <w:lang w:val="es-AR"/>
              </w:rPr>
            </w:pPr>
            <w:r w:rsidRPr="00D354AB">
              <w:rPr>
                <w:i/>
                <w:iCs/>
                <w:sz w:val="20"/>
                <w:szCs w:val="20"/>
                <w:lang w:val="es-AR"/>
              </w:rPr>
              <w:t xml:space="preserve">Voto. </w:t>
            </w:r>
            <w:r w:rsidRPr="00D354AB">
              <w:rPr>
                <w:sz w:val="20"/>
                <w:szCs w:val="20"/>
                <w:lang w:val="es-AR"/>
              </w:rPr>
              <w:t>Cada Obligación Negociable dará derecho a un voto.</w:t>
            </w:r>
          </w:p>
          <w:p w14:paraId="404991AC" w14:textId="77777777" w:rsidR="00E46641" w:rsidRPr="00D354AB" w:rsidRDefault="00E46641" w:rsidP="00E46641">
            <w:pPr>
              <w:widowControl w:val="0"/>
              <w:jc w:val="both"/>
              <w:rPr>
                <w:iCs/>
                <w:sz w:val="20"/>
                <w:szCs w:val="20"/>
                <w:lang w:val="es-AR"/>
              </w:rPr>
            </w:pPr>
          </w:p>
          <w:p w14:paraId="616658C9" w14:textId="7A813228" w:rsidR="00E46641" w:rsidRPr="00D354AB" w:rsidRDefault="00E46641" w:rsidP="00E46641">
            <w:pPr>
              <w:widowControl w:val="0"/>
              <w:jc w:val="both"/>
              <w:rPr>
                <w:sz w:val="20"/>
                <w:szCs w:val="20"/>
                <w:lang w:val="es-AR"/>
              </w:rPr>
            </w:pPr>
            <w:r w:rsidRPr="00D354AB">
              <w:rPr>
                <w:i/>
                <w:iCs/>
                <w:sz w:val="20"/>
                <w:szCs w:val="20"/>
                <w:lang w:val="es-AR"/>
              </w:rPr>
              <w:t>Convocatoria.</w:t>
            </w:r>
            <w:r w:rsidRPr="00D354AB">
              <w:rPr>
                <w:sz w:val="20"/>
                <w:szCs w:val="20"/>
                <w:lang w:val="es-AR"/>
              </w:rPr>
              <w:t xml:space="preserve"> Las Asambleas serán convocadas por el Emisor en los casos previstos en este Suplemento de Prospecto o en cualquier momento en que lo juzgue necesario, o cuando lo requieran tenedores que representen, por lo menos, el 5% del valor nominal en circulación de las Obligaciones Negociables. En este último supuesto, la petición de esos tenedores indicará los temas a tratar y el Emisor, o la autoridad de contralor competente, en su caso, convocará la Asamblea dentro de los 40 días corridos de la fecha en que reciba la solicitud respectiva. Las Asambleas serán convocadas con una antelación no inferior a los 10 días corridos ni superior a los 30 días corridos respecto de la fecha fijada para su celebración, mediante publicaciones </w:t>
            </w:r>
            <w:r w:rsidRPr="00D354AB">
              <w:rPr>
                <w:sz w:val="20"/>
                <w:szCs w:val="20"/>
                <w:lang w:val="es-AR"/>
              </w:rPr>
              <w:lastRenderedPageBreak/>
              <w:t>durante 5 Días Hábiles en el Boletín Oficial de la República Argentina, en un diario de amplia circulación de la República Argentina, en la Página Web de la CNV y en la Página Web Institucional, debiendo el aviso de convocatoria incluir fecha, hora y lugar de la Asamblea, orden del día, y los recaudos exigidos para la concurrencia de los tenedores. Las Asambleas podrán ser convocadas en primera y segunda convocatoria, pudiendo realizarse asimismo dichas convocatorias simultáneamente. En el supuesto de convocatorias simultáneas, si la Asamblea en segunda convocatoria fuera citada para celebrarse el mismo día deberá serlo con un intervalo no inferior a 1 hora de la fijada para la primera.</w:t>
            </w:r>
          </w:p>
          <w:p w14:paraId="2E69070A" w14:textId="77777777" w:rsidR="00E46641" w:rsidRPr="00D354AB" w:rsidRDefault="00E46641" w:rsidP="00E46641">
            <w:pPr>
              <w:widowControl w:val="0"/>
              <w:jc w:val="both"/>
              <w:rPr>
                <w:sz w:val="20"/>
                <w:szCs w:val="20"/>
                <w:lang w:val="es-AR"/>
              </w:rPr>
            </w:pPr>
          </w:p>
          <w:p w14:paraId="0E3FD351" w14:textId="1E78263A" w:rsidR="00E46641" w:rsidRPr="00D354AB" w:rsidRDefault="00E46641" w:rsidP="00E46641">
            <w:pPr>
              <w:widowControl w:val="0"/>
              <w:jc w:val="both"/>
              <w:rPr>
                <w:sz w:val="20"/>
                <w:szCs w:val="20"/>
                <w:lang w:val="es-AR"/>
              </w:rPr>
            </w:pPr>
            <w:r w:rsidRPr="00D354AB">
              <w:rPr>
                <w:i/>
                <w:iCs/>
                <w:sz w:val="20"/>
                <w:szCs w:val="20"/>
                <w:lang w:val="es-AR"/>
              </w:rPr>
              <w:t>Asistencia.</w:t>
            </w:r>
            <w:r w:rsidRPr="00D354AB">
              <w:rPr>
                <w:sz w:val="20"/>
                <w:szCs w:val="20"/>
                <w:lang w:val="es-AR"/>
              </w:rPr>
              <w:t xml:space="preserve"> Todo tenedor de Obligaciones Negociables podrá concurrir a la Asamblea en persona o por medio de representante. Los directores, los miembros de la comisión fiscalizadora, los gerentes y demás empleados del Emisor no podrán ser mandatarios. Los tenedores que tengan la intención de asistir a las Asambleas deberán notificar al Emisor, tal intención con una antelación no menor a los 3 Días Hábiles respecto de la fecha fijada para la Asamblea de que se trate.</w:t>
            </w:r>
          </w:p>
          <w:p w14:paraId="419A853F" w14:textId="77777777" w:rsidR="00E46641" w:rsidRPr="00D354AB" w:rsidRDefault="00E46641" w:rsidP="00E46641">
            <w:pPr>
              <w:widowControl w:val="0"/>
              <w:jc w:val="both"/>
              <w:rPr>
                <w:sz w:val="20"/>
                <w:szCs w:val="20"/>
                <w:lang w:val="es-AR"/>
              </w:rPr>
            </w:pPr>
          </w:p>
          <w:p w14:paraId="5FF68BEA" w14:textId="025F4907" w:rsidR="00E46641" w:rsidRPr="00D354AB" w:rsidRDefault="00E46641" w:rsidP="00E46641">
            <w:pPr>
              <w:widowControl w:val="0"/>
              <w:jc w:val="both"/>
              <w:rPr>
                <w:sz w:val="20"/>
                <w:szCs w:val="20"/>
                <w:lang w:val="es-AR"/>
              </w:rPr>
            </w:pPr>
            <w:r w:rsidRPr="00D354AB">
              <w:rPr>
                <w:i/>
                <w:iCs/>
                <w:sz w:val="20"/>
                <w:szCs w:val="20"/>
                <w:lang w:val="es-AR"/>
              </w:rPr>
              <w:t>Asamblea Unánime. Prescindencia de la publicidad de la convocatoria.</w:t>
            </w:r>
            <w:r w:rsidRPr="00D354AB">
              <w:rPr>
                <w:sz w:val="20"/>
                <w:szCs w:val="20"/>
                <w:lang w:val="es-AR"/>
              </w:rPr>
              <w:t xml:space="preserve"> Las Asambleas podrán celebrarse sin publicación de la convocatoria cuando se reúnan tenedores que representen la totalidad del valor nominal en circulación de las Obligaciones Negociables en ese momento en circulación, y las decisiones se adopten por unanimidad de tales tenedores.</w:t>
            </w:r>
          </w:p>
          <w:p w14:paraId="10627B88" w14:textId="77777777" w:rsidR="00E46641" w:rsidRPr="00D354AB" w:rsidRDefault="00E46641" w:rsidP="00E46641">
            <w:pPr>
              <w:widowControl w:val="0"/>
              <w:jc w:val="both"/>
              <w:rPr>
                <w:sz w:val="20"/>
                <w:szCs w:val="20"/>
                <w:lang w:val="es-AR"/>
              </w:rPr>
            </w:pPr>
          </w:p>
          <w:p w14:paraId="2D29DCFC" w14:textId="39C1776D" w:rsidR="00E46641" w:rsidRPr="00D354AB" w:rsidRDefault="00E46641" w:rsidP="00E46641">
            <w:pPr>
              <w:widowControl w:val="0"/>
              <w:jc w:val="both"/>
              <w:rPr>
                <w:sz w:val="20"/>
                <w:szCs w:val="20"/>
                <w:lang w:val="es-AR"/>
              </w:rPr>
            </w:pPr>
            <w:r w:rsidRPr="00D354AB">
              <w:rPr>
                <w:i/>
                <w:iCs/>
                <w:sz w:val="20"/>
                <w:szCs w:val="20"/>
                <w:lang w:val="es-AR"/>
              </w:rPr>
              <w:t>Cómputo.</w:t>
            </w:r>
            <w:r w:rsidRPr="00D354AB">
              <w:rPr>
                <w:sz w:val="20"/>
                <w:szCs w:val="20"/>
                <w:lang w:val="es-AR"/>
              </w:rPr>
              <w:t xml:space="preserve"> En ningún caso serán computadas a los efectos del </w:t>
            </w:r>
            <w:r w:rsidRPr="00D354AB">
              <w:rPr>
                <w:i/>
                <w:sz w:val="20"/>
                <w:szCs w:val="20"/>
                <w:lang w:val="es-AR"/>
              </w:rPr>
              <w:t>quórum</w:t>
            </w:r>
            <w:r w:rsidRPr="00D354AB">
              <w:rPr>
                <w:sz w:val="20"/>
                <w:szCs w:val="20"/>
                <w:lang w:val="es-AR"/>
              </w:rPr>
              <w:t xml:space="preserve"> y de las mayorías, ni tendrán derecho a voto: (a) las Obligaciones Negociables que no se encuentren en circulación; y (b) las Obligaciones Negociables rescatadas o adquiridas por el Emisor (de conformidad con lo previsto en este Suplemento)</w:t>
            </w:r>
            <w:r w:rsidRPr="00D354AB">
              <w:rPr>
                <w:i/>
                <w:iCs/>
                <w:sz w:val="20"/>
                <w:szCs w:val="20"/>
                <w:lang w:val="es-AR"/>
              </w:rPr>
              <w:t>,</w:t>
            </w:r>
            <w:r w:rsidRPr="00D354AB">
              <w:rPr>
                <w:sz w:val="20"/>
                <w:szCs w:val="20"/>
                <w:lang w:val="es-AR"/>
              </w:rPr>
              <w:t xml:space="preserve"> mientras se mantengan en la cartera propia del Emisor.</w:t>
            </w:r>
          </w:p>
          <w:p w14:paraId="3A0F7B73" w14:textId="77777777" w:rsidR="00E46641" w:rsidRPr="00D354AB" w:rsidRDefault="00E46641" w:rsidP="00E46641">
            <w:pPr>
              <w:widowControl w:val="0"/>
              <w:jc w:val="both"/>
              <w:rPr>
                <w:sz w:val="20"/>
                <w:szCs w:val="20"/>
                <w:lang w:val="es-AR"/>
              </w:rPr>
            </w:pPr>
          </w:p>
          <w:p w14:paraId="7EFFC4B0" w14:textId="77777777" w:rsidR="00E46641" w:rsidRPr="00D354AB" w:rsidRDefault="00E46641" w:rsidP="00E46641">
            <w:pPr>
              <w:widowControl w:val="0"/>
              <w:jc w:val="both"/>
              <w:rPr>
                <w:sz w:val="20"/>
                <w:szCs w:val="20"/>
                <w:lang w:val="es-AR"/>
              </w:rPr>
            </w:pPr>
            <w:r w:rsidRPr="00D354AB">
              <w:rPr>
                <w:i/>
                <w:iCs/>
                <w:sz w:val="20"/>
                <w:szCs w:val="20"/>
                <w:lang w:val="es-AR"/>
              </w:rPr>
              <w:t>Competencia, quórum y mayorías.</w:t>
            </w:r>
            <w:r w:rsidRPr="00D354AB">
              <w:rPr>
                <w:sz w:val="20"/>
                <w:szCs w:val="20"/>
                <w:lang w:val="es-AR"/>
              </w:rPr>
              <w:t>:</w:t>
            </w:r>
          </w:p>
          <w:p w14:paraId="352992F1" w14:textId="77777777" w:rsidR="00E46641" w:rsidRPr="00D354AB" w:rsidRDefault="00E46641" w:rsidP="00E46641">
            <w:pPr>
              <w:widowControl w:val="0"/>
              <w:jc w:val="both"/>
              <w:rPr>
                <w:sz w:val="20"/>
                <w:szCs w:val="20"/>
                <w:lang w:val="es-AR"/>
              </w:rPr>
            </w:pPr>
          </w:p>
          <w:p w14:paraId="16F6FCE6" w14:textId="026A0C2C" w:rsidR="00E46641" w:rsidRPr="00D354AB" w:rsidRDefault="00E46641" w:rsidP="00E46641">
            <w:pPr>
              <w:widowControl w:val="0"/>
              <w:numPr>
                <w:ilvl w:val="0"/>
                <w:numId w:val="39"/>
              </w:numPr>
              <w:ind w:left="567" w:hanging="567"/>
              <w:jc w:val="both"/>
              <w:rPr>
                <w:sz w:val="20"/>
                <w:szCs w:val="20"/>
                <w:lang w:val="es-AR"/>
              </w:rPr>
            </w:pPr>
            <w:r w:rsidRPr="00D354AB">
              <w:rPr>
                <w:sz w:val="20"/>
                <w:szCs w:val="20"/>
                <w:lang w:val="es-AR"/>
              </w:rPr>
              <w:t>Las Asambleas tendrán competencia para tratar y/o decidir sobre cualquier asunto relativo a las Obligaciones Negociables y para que los tenedores puedan efectuar, otorgar o tomar toda solicitud, requerimiento, autorización, consentimiento, dispensa (incluida la dispensa de un Supuesto de Incumplimiento), renuncia y/o cualquier otra acción que los términos de las Obligaciones Negociables dispongan que debe ser efectuado, otorgado o tomado por los tenedores de Obligaciones Negociables.</w:t>
            </w:r>
          </w:p>
          <w:p w14:paraId="1C50B2C3" w14:textId="77777777" w:rsidR="00E46641" w:rsidRPr="00D354AB" w:rsidRDefault="00E46641" w:rsidP="00E46641">
            <w:pPr>
              <w:widowControl w:val="0"/>
              <w:ind w:left="567" w:hanging="567"/>
              <w:jc w:val="both"/>
              <w:rPr>
                <w:sz w:val="20"/>
                <w:szCs w:val="20"/>
                <w:lang w:val="es-AR"/>
              </w:rPr>
            </w:pPr>
          </w:p>
          <w:p w14:paraId="5EE6A6F3" w14:textId="10E8551E" w:rsidR="00E46641" w:rsidRPr="00D354AB" w:rsidRDefault="00E46641" w:rsidP="00E46641">
            <w:pPr>
              <w:widowControl w:val="0"/>
              <w:numPr>
                <w:ilvl w:val="0"/>
                <w:numId w:val="39"/>
              </w:numPr>
              <w:tabs>
                <w:tab w:val="clear" w:pos="2640"/>
              </w:tabs>
              <w:ind w:left="567" w:hanging="567"/>
              <w:jc w:val="both"/>
              <w:rPr>
                <w:sz w:val="20"/>
                <w:szCs w:val="20"/>
                <w:lang w:val="es-AR"/>
              </w:rPr>
            </w:pPr>
            <w:r w:rsidRPr="00D354AB">
              <w:rPr>
                <w:sz w:val="20"/>
                <w:szCs w:val="20"/>
                <w:lang w:val="es-AR"/>
              </w:rPr>
              <w:t xml:space="preserve">El </w:t>
            </w:r>
            <w:r w:rsidRPr="00D354AB">
              <w:rPr>
                <w:i/>
                <w:sz w:val="20"/>
                <w:szCs w:val="20"/>
                <w:lang w:val="es-AR"/>
              </w:rPr>
              <w:t>quórum</w:t>
            </w:r>
            <w:r w:rsidRPr="00D354AB">
              <w:rPr>
                <w:sz w:val="20"/>
                <w:szCs w:val="20"/>
                <w:lang w:val="es-AR"/>
              </w:rPr>
              <w:t xml:space="preserve"> para una asamblea ordinaria estará constituido para la primera convocatoria por tenedores que representen, por lo menos, la mayoría del valor nominal en circulación de las Obligaciones Negociables, y si no se llegase a completar dicho quórum, la Asamblea en segunda convocatoria quedará constituida con los tenedores de las Obligaciones Negociables que se encontraren presentes, cualquiera sea su número y el porcentaje sobre el valor nominal en circulación que representen. Tanto en primera como en segunda convocatoria, todas las decisiones que deben ser tomadas en el seno de una asamblea ordinaria (incluyendo, sin limitación, aquellas relativas a la modificación de términos no esenciales de la emisión) se tomarán por la mayoría absoluta de los votos emitidos por los tenedores de las Obligaciones Negociables presentes con derecho a voto.</w:t>
            </w:r>
          </w:p>
          <w:p w14:paraId="519F9663" w14:textId="77777777" w:rsidR="00E46641" w:rsidRPr="00D354AB" w:rsidRDefault="00E46641" w:rsidP="00E46641">
            <w:pPr>
              <w:pStyle w:val="Prrafodelista"/>
              <w:rPr>
                <w:sz w:val="20"/>
                <w:szCs w:val="20"/>
                <w:lang w:val="es-MX"/>
              </w:rPr>
            </w:pPr>
          </w:p>
          <w:p w14:paraId="72593332" w14:textId="3EB0107C" w:rsidR="00E46641" w:rsidRPr="00D354AB" w:rsidRDefault="00E46641" w:rsidP="00E46641">
            <w:pPr>
              <w:pStyle w:val="Prrafodelista"/>
              <w:numPr>
                <w:ilvl w:val="0"/>
                <w:numId w:val="39"/>
              </w:numPr>
              <w:tabs>
                <w:tab w:val="clear" w:pos="2640"/>
              </w:tabs>
              <w:ind w:left="567" w:hanging="567"/>
              <w:jc w:val="both"/>
              <w:rPr>
                <w:sz w:val="20"/>
                <w:szCs w:val="20"/>
                <w:lang w:val="es-MX"/>
              </w:rPr>
            </w:pPr>
            <w:r w:rsidRPr="00D354AB">
              <w:rPr>
                <w:sz w:val="20"/>
                <w:szCs w:val="20"/>
                <w:lang w:val="es-AR"/>
              </w:rPr>
              <w:t xml:space="preserve">El </w:t>
            </w:r>
            <w:r w:rsidRPr="00D354AB">
              <w:rPr>
                <w:sz w:val="20"/>
                <w:szCs w:val="20"/>
                <w:lang w:val="es-MX"/>
              </w:rPr>
              <w:t xml:space="preserve">quórum para una asamblea extraordinaria estará constituido tanto en primera como en segunda convocatoria por tenedores que representen por lo menos el 60% del valor nominal de capital en circulación de las Obligaciones Negociables. Tanto en primera como en segunda convocatoria las decisiones que deben ser tomadas en el seno de una asamblea extraordinaria (incluyendo, sin limitación, los Supuestos Especiales) se tomarán por la mayoría absoluta de los votos emitidos por los tenedores de las Obligaciones Negociables presentes con derecho a voto, siempre que no se especificare de otro modo en el Suplemento de precio aplicable. Constituirán Supuestos Especiales la modificación de los términos y condiciones esenciales de la emisión, incluyendo sin carácter limitativo: (i) cambio de las fechas de pago de capital, intereses, Montos Adicionales y/o cualquier otro monto adeudado bajo las Obligaciones Negociables; (ii) reducción del monto de capital, de la tasa de </w:t>
            </w:r>
            <w:r w:rsidRPr="00D354AB">
              <w:rPr>
                <w:sz w:val="20"/>
                <w:szCs w:val="20"/>
                <w:lang w:val="es-MX"/>
              </w:rPr>
              <w:lastRenderedPageBreak/>
              <w:t xml:space="preserve">interés y/o de cualquier otro monto pagadero bajo las Obligaciones Negociables; (iii) cambio de la moneda de pago de capital, intereses, Montos Adicionales y/o cualquier otro monto bajo las Obligaciones Negociables, siempre y cuando dicho cambio no sea consecuencia de normas legales y/o regulatorias que el Emisor se encuentre obligado a cumplir, y tales normas hayan entrado en vigencia con posterioridad a la Fecha de Emisión y Liquidación de las Obligaciones Negociables; y/o (iv) reducción de los requisitos de quórum y de mayorías previstos en el presente. </w:t>
            </w:r>
          </w:p>
          <w:p w14:paraId="630E0032" w14:textId="77777777" w:rsidR="00E46641" w:rsidRPr="00D354AB" w:rsidRDefault="00E46641" w:rsidP="00E46641">
            <w:pPr>
              <w:jc w:val="both"/>
              <w:rPr>
                <w:sz w:val="20"/>
                <w:szCs w:val="20"/>
                <w:lang w:val="es-AR"/>
              </w:rPr>
            </w:pPr>
          </w:p>
          <w:p w14:paraId="2B2A61E5" w14:textId="2CA31D53" w:rsidR="00E46641" w:rsidRPr="00D354AB" w:rsidRDefault="00E46641" w:rsidP="00E46641">
            <w:pPr>
              <w:widowControl w:val="0"/>
              <w:jc w:val="both"/>
              <w:rPr>
                <w:sz w:val="20"/>
                <w:szCs w:val="20"/>
                <w:lang w:val="es-AR"/>
              </w:rPr>
            </w:pPr>
            <w:r w:rsidRPr="00D354AB">
              <w:rPr>
                <w:sz w:val="20"/>
                <w:szCs w:val="20"/>
                <w:lang w:val="es-AR"/>
              </w:rPr>
              <w:t>El Emisor podrá, sin necesidad del consentimiento de algún tenedor de Obligaciones Negociables, modificar y reformar las Obligaciones Negociables y/ para cualquiera de los siguientes fines:</w:t>
            </w:r>
          </w:p>
          <w:p w14:paraId="13FA5EF8" w14:textId="77777777" w:rsidR="00E46641" w:rsidRPr="00D354AB" w:rsidRDefault="00E46641" w:rsidP="00E46641">
            <w:pPr>
              <w:widowControl w:val="0"/>
              <w:jc w:val="both"/>
              <w:rPr>
                <w:sz w:val="20"/>
                <w:szCs w:val="20"/>
                <w:lang w:val="es-AR"/>
              </w:rPr>
            </w:pPr>
          </w:p>
          <w:p w14:paraId="0719FC3B" w14:textId="690DC153" w:rsidR="00E46641" w:rsidRPr="00D354AB" w:rsidRDefault="00E46641" w:rsidP="00E46641">
            <w:pPr>
              <w:widowControl w:val="0"/>
              <w:numPr>
                <w:ilvl w:val="0"/>
                <w:numId w:val="41"/>
              </w:numPr>
              <w:ind w:left="567" w:hanging="567"/>
              <w:jc w:val="both"/>
              <w:rPr>
                <w:sz w:val="20"/>
                <w:szCs w:val="20"/>
                <w:lang w:val="es-AR"/>
              </w:rPr>
            </w:pPr>
            <w:r w:rsidRPr="00D354AB">
              <w:rPr>
                <w:sz w:val="20"/>
                <w:szCs w:val="20"/>
                <w:lang w:val="es-AR"/>
              </w:rPr>
              <w:t>agregar compromisos u obligaciones en beneficio de los tenedores de las  Obligaciones Negociables;</w:t>
            </w:r>
          </w:p>
          <w:p w14:paraId="0AEE1663" w14:textId="77777777" w:rsidR="00E46641" w:rsidRPr="00D354AB" w:rsidRDefault="00E46641" w:rsidP="00E46641">
            <w:pPr>
              <w:widowControl w:val="0"/>
              <w:ind w:left="567" w:hanging="567"/>
              <w:jc w:val="both"/>
              <w:rPr>
                <w:sz w:val="20"/>
                <w:szCs w:val="20"/>
                <w:lang w:val="es-AR"/>
              </w:rPr>
            </w:pPr>
          </w:p>
          <w:p w14:paraId="6ADD9B38" w14:textId="6FF1B6BF" w:rsidR="00E46641" w:rsidRPr="00D354AB" w:rsidRDefault="00E46641" w:rsidP="00E46641">
            <w:pPr>
              <w:widowControl w:val="0"/>
              <w:numPr>
                <w:ilvl w:val="0"/>
                <w:numId w:val="41"/>
              </w:numPr>
              <w:ind w:left="567" w:hanging="567"/>
              <w:jc w:val="both"/>
              <w:rPr>
                <w:sz w:val="20"/>
                <w:szCs w:val="20"/>
                <w:lang w:val="es-AR"/>
              </w:rPr>
            </w:pPr>
            <w:r w:rsidRPr="00D354AB">
              <w:rPr>
                <w:sz w:val="20"/>
                <w:szCs w:val="20"/>
                <w:lang w:val="es-AR"/>
              </w:rPr>
              <w:t>agregar Supuestos de Incumplimiento en beneficio de los tenedores de las Obligaciones Negociables;</w:t>
            </w:r>
          </w:p>
          <w:p w14:paraId="5298A994" w14:textId="77777777" w:rsidR="00E46641" w:rsidRPr="00D354AB" w:rsidRDefault="00E46641" w:rsidP="00E46641">
            <w:pPr>
              <w:widowControl w:val="0"/>
              <w:ind w:left="567" w:hanging="567"/>
              <w:jc w:val="both"/>
              <w:rPr>
                <w:sz w:val="20"/>
                <w:szCs w:val="20"/>
                <w:lang w:val="es-AR"/>
              </w:rPr>
            </w:pPr>
          </w:p>
          <w:p w14:paraId="45AE84E2" w14:textId="77777777" w:rsidR="00E46641" w:rsidRPr="00D354AB" w:rsidRDefault="00E46641" w:rsidP="00E46641">
            <w:pPr>
              <w:widowControl w:val="0"/>
              <w:numPr>
                <w:ilvl w:val="0"/>
                <w:numId w:val="41"/>
              </w:numPr>
              <w:ind w:left="567" w:hanging="567"/>
              <w:jc w:val="both"/>
              <w:rPr>
                <w:sz w:val="20"/>
                <w:szCs w:val="20"/>
                <w:lang w:val="es-AR"/>
              </w:rPr>
            </w:pPr>
            <w:r w:rsidRPr="00D354AB">
              <w:rPr>
                <w:sz w:val="20"/>
                <w:szCs w:val="20"/>
                <w:lang w:val="es-AR"/>
              </w:rPr>
              <w:t>designar un sucesor del agente de registro, co-agente de registro, agente de pago o co-agente de pago;</w:t>
            </w:r>
          </w:p>
          <w:p w14:paraId="532C9E14" w14:textId="77777777" w:rsidR="00E46641" w:rsidRPr="00D354AB" w:rsidRDefault="00E46641" w:rsidP="00E46641">
            <w:pPr>
              <w:widowControl w:val="0"/>
              <w:ind w:left="567" w:hanging="567"/>
              <w:jc w:val="both"/>
              <w:rPr>
                <w:sz w:val="20"/>
                <w:szCs w:val="20"/>
                <w:lang w:val="es-AR"/>
              </w:rPr>
            </w:pPr>
          </w:p>
          <w:p w14:paraId="71B94625" w14:textId="71D36102" w:rsidR="00E46641" w:rsidRPr="00D354AB" w:rsidRDefault="00E46641" w:rsidP="00E46641">
            <w:pPr>
              <w:widowControl w:val="0"/>
              <w:numPr>
                <w:ilvl w:val="0"/>
                <w:numId w:val="41"/>
              </w:numPr>
              <w:ind w:left="567" w:hanging="567"/>
              <w:jc w:val="both"/>
              <w:rPr>
                <w:sz w:val="20"/>
                <w:szCs w:val="20"/>
                <w:lang w:val="es-AR"/>
              </w:rPr>
            </w:pPr>
            <w:r w:rsidRPr="00D354AB">
              <w:rPr>
                <w:sz w:val="20"/>
                <w:szCs w:val="20"/>
                <w:lang w:val="es-AR"/>
              </w:rPr>
              <w:t>garantizar las Obligaciones Negociables; y/o</w:t>
            </w:r>
          </w:p>
          <w:p w14:paraId="6BC4F452" w14:textId="77777777" w:rsidR="00E46641" w:rsidRPr="00D354AB" w:rsidRDefault="00E46641" w:rsidP="00E46641">
            <w:pPr>
              <w:widowControl w:val="0"/>
              <w:ind w:left="567" w:hanging="567"/>
              <w:jc w:val="both"/>
              <w:rPr>
                <w:sz w:val="20"/>
                <w:szCs w:val="20"/>
                <w:lang w:val="es-AR"/>
              </w:rPr>
            </w:pPr>
          </w:p>
          <w:p w14:paraId="7DDDE9CB" w14:textId="0900714C" w:rsidR="00E46641" w:rsidRPr="00D354AB" w:rsidRDefault="00E46641" w:rsidP="00E46641">
            <w:pPr>
              <w:widowControl w:val="0"/>
              <w:numPr>
                <w:ilvl w:val="0"/>
                <w:numId w:val="41"/>
              </w:numPr>
              <w:ind w:left="567" w:hanging="567"/>
              <w:jc w:val="both"/>
              <w:rPr>
                <w:sz w:val="20"/>
                <w:szCs w:val="20"/>
                <w:lang w:val="es-AR"/>
              </w:rPr>
            </w:pPr>
            <w:r w:rsidRPr="00D354AB">
              <w:rPr>
                <w:sz w:val="20"/>
                <w:szCs w:val="20"/>
                <w:lang w:val="es-AR"/>
              </w:rPr>
              <w:t>subsanar cualquier ambigüedad, defecto o inconsistencia del presente Suplemento de Prospecto.</w:t>
            </w:r>
          </w:p>
          <w:p w14:paraId="455F0243" w14:textId="77777777" w:rsidR="00E46641" w:rsidRPr="00D354AB" w:rsidRDefault="00E46641" w:rsidP="00E46641">
            <w:pPr>
              <w:jc w:val="both"/>
              <w:rPr>
                <w:sz w:val="20"/>
                <w:szCs w:val="20"/>
                <w:lang w:val="es-AR"/>
              </w:rPr>
            </w:pPr>
          </w:p>
          <w:p w14:paraId="68E6A55F" w14:textId="6D6EB041" w:rsidR="00E46641" w:rsidRPr="00D354AB" w:rsidRDefault="00E46641" w:rsidP="00E46641">
            <w:pPr>
              <w:jc w:val="both"/>
              <w:rPr>
                <w:sz w:val="20"/>
                <w:szCs w:val="20"/>
                <w:lang w:val="es-AR"/>
              </w:rPr>
            </w:pPr>
            <w:r w:rsidRPr="00D354AB">
              <w:rPr>
                <w:sz w:val="20"/>
                <w:szCs w:val="20"/>
                <w:lang w:val="es-AR"/>
              </w:rPr>
              <w:t>El Emisor deberá dar aviso a los obligacionistas de su decisión de modificar y reformar las Obligaciones Negociables para cualquiera de los fines precedentes, mediante la publicación de avisos en los medios indicados bajo el título “</w:t>
            </w:r>
            <w:r w:rsidRPr="00D354AB">
              <w:rPr>
                <w:i/>
                <w:sz w:val="20"/>
                <w:szCs w:val="20"/>
                <w:lang w:val="es-AR"/>
              </w:rPr>
              <w:t>Notificaciones a los Tenedores de las Obligaciones Negociables</w:t>
            </w:r>
            <w:r w:rsidRPr="00D354AB">
              <w:rPr>
                <w:sz w:val="20"/>
                <w:szCs w:val="20"/>
                <w:lang w:val="es-AR"/>
              </w:rPr>
              <w:t>” de</w:t>
            </w:r>
            <w:r w:rsidR="006E6F31" w:rsidRPr="00D354AB">
              <w:rPr>
                <w:sz w:val="20"/>
                <w:szCs w:val="20"/>
                <w:lang w:val="es-AR"/>
              </w:rPr>
              <w:t>l</w:t>
            </w:r>
            <w:r w:rsidRPr="00D354AB">
              <w:rPr>
                <w:sz w:val="20"/>
                <w:szCs w:val="20"/>
                <w:lang w:val="es-AR"/>
              </w:rPr>
              <w:t xml:space="preserve"> presente S</w:t>
            </w:r>
            <w:r w:rsidR="006E6F31" w:rsidRPr="00D354AB">
              <w:rPr>
                <w:sz w:val="20"/>
                <w:szCs w:val="20"/>
                <w:lang w:val="es-AR"/>
              </w:rPr>
              <w:t>uplemento de Prospecto.</w:t>
            </w:r>
          </w:p>
          <w:p w14:paraId="73630FF7" w14:textId="77777777" w:rsidR="00E46641" w:rsidRPr="00D354AB" w:rsidRDefault="00E46641" w:rsidP="00E46641">
            <w:pPr>
              <w:jc w:val="both"/>
              <w:rPr>
                <w:sz w:val="20"/>
                <w:szCs w:val="20"/>
                <w:lang w:val="es-AR"/>
              </w:rPr>
            </w:pPr>
          </w:p>
          <w:p w14:paraId="3A686A7F" w14:textId="77777777" w:rsidR="00E46641" w:rsidRPr="00D354AB" w:rsidRDefault="00E46641" w:rsidP="00E46641">
            <w:pPr>
              <w:jc w:val="both"/>
              <w:rPr>
                <w:i/>
                <w:iCs/>
                <w:sz w:val="20"/>
                <w:szCs w:val="20"/>
                <w:lang w:val="es-MX"/>
              </w:rPr>
            </w:pPr>
            <w:r w:rsidRPr="00D354AB">
              <w:rPr>
                <w:i/>
                <w:iCs/>
                <w:sz w:val="20"/>
                <w:szCs w:val="20"/>
                <w:lang w:val="es-MX"/>
              </w:rPr>
              <w:t>Prescindencia de Asambleas presenciales</w:t>
            </w:r>
          </w:p>
          <w:p w14:paraId="52CA560A" w14:textId="77777777" w:rsidR="00E46641" w:rsidRPr="00D354AB" w:rsidRDefault="00E46641" w:rsidP="00E46641">
            <w:pPr>
              <w:jc w:val="both"/>
              <w:rPr>
                <w:i/>
                <w:iCs/>
                <w:sz w:val="20"/>
                <w:szCs w:val="20"/>
                <w:u w:val="single"/>
                <w:lang w:val="es-MX"/>
              </w:rPr>
            </w:pPr>
          </w:p>
          <w:p w14:paraId="3753978C" w14:textId="046730A6" w:rsidR="00E46641" w:rsidRPr="00D354AB" w:rsidRDefault="00E46641" w:rsidP="00E46641">
            <w:pPr>
              <w:jc w:val="both"/>
              <w:rPr>
                <w:i/>
                <w:iCs/>
                <w:sz w:val="20"/>
                <w:szCs w:val="20"/>
                <w:lang w:val="es-MX"/>
              </w:rPr>
            </w:pPr>
            <w:r w:rsidRPr="00D354AB">
              <w:rPr>
                <w:color w:val="000000"/>
                <w:sz w:val="20"/>
                <w:szCs w:val="20"/>
                <w:lang w:val="es-MX"/>
              </w:rPr>
              <w:t>De conformidad con lo establecido por e</w:t>
            </w:r>
            <w:r w:rsidRPr="00D354AB">
              <w:rPr>
                <w:sz w:val="20"/>
                <w:szCs w:val="20"/>
                <w:lang w:val="es-MX"/>
              </w:rPr>
              <w:t xml:space="preserve">l artículo 14 de la </w:t>
            </w:r>
            <w:r w:rsidR="0026183D" w:rsidRPr="00D354AB">
              <w:rPr>
                <w:sz w:val="20"/>
                <w:szCs w:val="20"/>
                <w:lang w:val="es-MX"/>
              </w:rPr>
              <w:t>Ley de Obligaciones Negociables,</w:t>
            </w:r>
            <w:r w:rsidRPr="00D354AB">
              <w:rPr>
                <w:sz w:val="20"/>
                <w:szCs w:val="20"/>
                <w:lang w:val="es-MX"/>
              </w:rPr>
              <w:t xml:space="preserve"> podrá prescindirse de celebrar una Asamblea de tenedores de Obligaciones Negociables, a exclusivo criterio de</w:t>
            </w:r>
            <w:r w:rsidR="0026183D" w:rsidRPr="00D354AB">
              <w:rPr>
                <w:sz w:val="20"/>
                <w:szCs w:val="20"/>
                <w:lang w:val="es-MX"/>
              </w:rPr>
              <w:t>l</w:t>
            </w:r>
            <w:r w:rsidRPr="00D354AB">
              <w:rPr>
                <w:sz w:val="20"/>
                <w:szCs w:val="20"/>
                <w:lang w:val="es-MX"/>
              </w:rPr>
              <w:t xml:space="preserve"> Emisor, si para adoptar cualquier resolución que fuera de competencia de dicha asamblea, </w:t>
            </w:r>
            <w:r w:rsidR="0026183D" w:rsidRPr="00D354AB">
              <w:rPr>
                <w:sz w:val="20"/>
                <w:szCs w:val="20"/>
                <w:lang w:val="es-MX"/>
              </w:rPr>
              <w:t>el Emisor</w:t>
            </w:r>
            <w:r w:rsidRPr="00D354AB">
              <w:rPr>
                <w:sz w:val="20"/>
                <w:szCs w:val="20"/>
                <w:lang w:val="es-MX"/>
              </w:rPr>
              <w:t xml:space="preserve"> obtuviere el consentimiento de los tenedores de Obligaciones Negociables de las mayorías que correspondan según la decisión a adoptar por medio fehaciente. A tal fin se deberá seguir el siguiente procedimiento:</w:t>
            </w:r>
          </w:p>
          <w:p w14:paraId="1CE9AE81" w14:textId="77777777" w:rsidR="00E46641" w:rsidRPr="00D354AB" w:rsidRDefault="00E46641" w:rsidP="00E46641">
            <w:pPr>
              <w:jc w:val="both"/>
              <w:rPr>
                <w:sz w:val="20"/>
                <w:szCs w:val="20"/>
                <w:lang w:val="es-MX"/>
              </w:rPr>
            </w:pPr>
          </w:p>
          <w:p w14:paraId="4BD839C5" w14:textId="3B0969A6" w:rsidR="00E46641" w:rsidRPr="00D354AB" w:rsidRDefault="0026183D" w:rsidP="00E46641">
            <w:pPr>
              <w:pStyle w:val="Prrafodelista"/>
              <w:numPr>
                <w:ilvl w:val="0"/>
                <w:numId w:val="45"/>
              </w:numPr>
              <w:jc w:val="both"/>
              <w:rPr>
                <w:sz w:val="20"/>
                <w:szCs w:val="20"/>
                <w:lang w:val="es-MX"/>
              </w:rPr>
            </w:pPr>
            <w:r w:rsidRPr="00D354AB">
              <w:rPr>
                <w:sz w:val="20"/>
                <w:szCs w:val="20"/>
                <w:lang w:val="es-MX"/>
              </w:rPr>
              <w:t>El Emisor</w:t>
            </w:r>
            <w:r w:rsidR="00E46641" w:rsidRPr="00D354AB">
              <w:rPr>
                <w:sz w:val="20"/>
                <w:szCs w:val="20"/>
                <w:lang w:val="es-MX"/>
              </w:rPr>
              <w:t xml:space="preserve"> remitirá a cada tenedor registrado por medio fehaciente, escrito dirigido al domicilio registrado ante Caja de Valores, o cualquiera otro denunciado a</w:t>
            </w:r>
            <w:r w:rsidRPr="00D354AB">
              <w:rPr>
                <w:sz w:val="20"/>
                <w:szCs w:val="20"/>
                <w:lang w:val="es-MX"/>
              </w:rPr>
              <w:t>l</w:t>
            </w:r>
            <w:r w:rsidR="00E46641" w:rsidRPr="00D354AB">
              <w:rPr>
                <w:sz w:val="20"/>
                <w:szCs w:val="20"/>
                <w:lang w:val="es-MX"/>
              </w:rPr>
              <w:t xml:space="preserve"> Emisor, una nota (la “</w:t>
            </w:r>
            <w:r w:rsidR="00E46641" w:rsidRPr="00D354AB">
              <w:rPr>
                <w:sz w:val="20"/>
                <w:szCs w:val="20"/>
                <w:u w:val="single"/>
                <w:lang w:val="es-MX"/>
              </w:rPr>
              <w:t>Solicitud de Consentimiento</w:t>
            </w:r>
            <w:r w:rsidR="00E46641" w:rsidRPr="00D354AB">
              <w:rPr>
                <w:sz w:val="20"/>
                <w:szCs w:val="20"/>
                <w:lang w:val="es-MX"/>
              </w:rPr>
              <w:t>”) que deberá incluir (i) una descripción pormenorizada de las circunstancias del caso, (ii) en su caso, su evaluación y el modo en que dicha circunstancias afectarían a la Sociedad</w:t>
            </w:r>
            <w:r w:rsidR="00E46641" w:rsidRPr="00D354AB">
              <w:rPr>
                <w:color w:val="000000"/>
                <w:sz w:val="20"/>
                <w:szCs w:val="20"/>
                <w:lang w:val="es-MX"/>
              </w:rPr>
              <w:t xml:space="preserve"> o a las Obligaciones Negociables, según sea el caso</w:t>
            </w:r>
            <w:r w:rsidR="00E46641" w:rsidRPr="00D354AB">
              <w:rPr>
                <w:sz w:val="20"/>
                <w:szCs w:val="20"/>
                <w:lang w:val="es-MX"/>
              </w:rPr>
              <w:t>, (iii) los recaudos indicados en el punto 2) siguiente a efectos de manifestar su voluntad, y (</w:t>
            </w:r>
            <w:r w:rsidR="00E46641" w:rsidRPr="00D354AB">
              <w:rPr>
                <w:color w:val="000000"/>
                <w:sz w:val="20"/>
                <w:szCs w:val="20"/>
                <w:lang w:val="es-MX"/>
              </w:rPr>
              <w:t>i</w:t>
            </w:r>
            <w:r w:rsidR="00E46641" w:rsidRPr="00D354AB">
              <w:rPr>
                <w:sz w:val="20"/>
                <w:szCs w:val="20"/>
                <w:lang w:val="es-MX"/>
              </w:rPr>
              <w:t xml:space="preserve">v) la advertencia que el silencio, transcurridos 5 Días Hábiles de la recepción de la </w:t>
            </w:r>
            <w:r w:rsidR="00E46641" w:rsidRPr="00D354AB">
              <w:rPr>
                <w:color w:val="000000"/>
                <w:sz w:val="20"/>
                <w:szCs w:val="20"/>
                <w:lang w:val="es-MX"/>
              </w:rPr>
              <w:t>Solicitud de Consentimiento</w:t>
            </w:r>
            <w:r w:rsidR="00E46641" w:rsidRPr="00D354AB">
              <w:rPr>
                <w:sz w:val="20"/>
                <w:szCs w:val="20"/>
                <w:lang w:val="es-MX"/>
              </w:rPr>
              <w:t xml:space="preserve"> (o el plazo mayor que indique </w:t>
            </w:r>
            <w:r w:rsidRPr="00D354AB">
              <w:rPr>
                <w:sz w:val="20"/>
                <w:szCs w:val="20"/>
                <w:lang w:val="es-MX"/>
              </w:rPr>
              <w:t>el</w:t>
            </w:r>
            <w:r w:rsidR="00E46641" w:rsidRPr="00D354AB">
              <w:rPr>
                <w:sz w:val="20"/>
                <w:szCs w:val="20"/>
                <w:lang w:val="es-MX"/>
              </w:rPr>
              <w:t xml:space="preserve"> Emisor), importará </w:t>
            </w:r>
            <w:r w:rsidR="00E46641" w:rsidRPr="00D354AB">
              <w:rPr>
                <w:color w:val="000000"/>
                <w:sz w:val="20"/>
                <w:szCs w:val="20"/>
                <w:lang w:val="es-MX"/>
              </w:rPr>
              <w:t>una negativa a</w:t>
            </w:r>
            <w:r w:rsidR="00E46641" w:rsidRPr="00D354AB">
              <w:rPr>
                <w:sz w:val="20"/>
                <w:szCs w:val="20"/>
                <w:lang w:val="es-MX"/>
              </w:rPr>
              <w:t xml:space="preserve"> la </w:t>
            </w:r>
            <w:r w:rsidR="00E46641" w:rsidRPr="00D354AB">
              <w:rPr>
                <w:color w:val="000000"/>
                <w:sz w:val="20"/>
                <w:szCs w:val="20"/>
                <w:lang w:val="es-MX"/>
              </w:rPr>
              <w:t>Solicitud de Consentimiento</w:t>
            </w:r>
            <w:r w:rsidR="00E46641" w:rsidRPr="00D354AB">
              <w:rPr>
                <w:sz w:val="20"/>
                <w:szCs w:val="20"/>
                <w:lang w:val="es-MX"/>
              </w:rPr>
              <w:t xml:space="preserve">. </w:t>
            </w:r>
          </w:p>
          <w:p w14:paraId="412D092B" w14:textId="77777777" w:rsidR="00E46641" w:rsidRPr="00C436CD" w:rsidRDefault="00E46641" w:rsidP="00E46641">
            <w:pPr>
              <w:jc w:val="both"/>
              <w:rPr>
                <w:rFonts w:eastAsiaTheme="minorHAnsi"/>
                <w:color w:val="000000"/>
                <w:sz w:val="20"/>
                <w:lang w:val="es-MX"/>
              </w:rPr>
            </w:pPr>
          </w:p>
          <w:p w14:paraId="77C57ED9" w14:textId="516D3F2F" w:rsidR="00E46641" w:rsidRPr="00D354AB" w:rsidRDefault="00E46641" w:rsidP="00E46641">
            <w:pPr>
              <w:pStyle w:val="Prrafodelista"/>
              <w:numPr>
                <w:ilvl w:val="0"/>
                <w:numId w:val="45"/>
              </w:numPr>
              <w:jc w:val="both"/>
              <w:rPr>
                <w:sz w:val="20"/>
                <w:szCs w:val="20"/>
                <w:lang w:val="es-MX"/>
              </w:rPr>
            </w:pPr>
            <w:r w:rsidRPr="00D354AB">
              <w:rPr>
                <w:sz w:val="20"/>
                <w:szCs w:val="20"/>
                <w:lang w:val="es-MX"/>
              </w:rPr>
              <w:t xml:space="preserve">Los tenedores de Obligaciones Negociables deberán contestar por nota o según el método fehaciente que señale </w:t>
            </w:r>
            <w:r w:rsidR="0026183D" w:rsidRPr="00D354AB">
              <w:rPr>
                <w:sz w:val="20"/>
                <w:szCs w:val="20"/>
                <w:lang w:val="es-MX"/>
              </w:rPr>
              <w:t>el Emisor</w:t>
            </w:r>
            <w:r w:rsidRPr="00D354AB">
              <w:rPr>
                <w:sz w:val="20"/>
                <w:szCs w:val="20"/>
                <w:lang w:val="es-MX"/>
              </w:rPr>
              <w:t>, dentro de los 5 Días Hábiles de recibida la nota de</w:t>
            </w:r>
            <w:r w:rsidR="0026183D" w:rsidRPr="00D354AB">
              <w:rPr>
                <w:sz w:val="20"/>
                <w:szCs w:val="20"/>
                <w:lang w:val="es-MX"/>
              </w:rPr>
              <w:t>l</w:t>
            </w:r>
            <w:r w:rsidRPr="00D354AB">
              <w:rPr>
                <w:sz w:val="20"/>
                <w:szCs w:val="20"/>
                <w:lang w:val="es-MX"/>
              </w:rPr>
              <w:t xml:space="preserve"> Emisor, o dentro del plazo mayor que </w:t>
            </w:r>
            <w:r w:rsidR="0026183D" w:rsidRPr="00D354AB">
              <w:rPr>
                <w:sz w:val="20"/>
                <w:szCs w:val="20"/>
                <w:lang w:val="es-MX"/>
              </w:rPr>
              <w:t>el</w:t>
            </w:r>
            <w:r w:rsidRPr="00D354AB">
              <w:rPr>
                <w:sz w:val="20"/>
                <w:szCs w:val="20"/>
                <w:lang w:val="es-MX"/>
              </w:rPr>
              <w:t xml:space="preserve"> Emisor indique. </w:t>
            </w:r>
            <w:r w:rsidR="0026183D" w:rsidRPr="00D354AB">
              <w:rPr>
                <w:sz w:val="20"/>
                <w:szCs w:val="20"/>
                <w:lang w:val="es-MX"/>
              </w:rPr>
              <w:t>El Emisor</w:t>
            </w:r>
            <w:r w:rsidRPr="00D354AB">
              <w:rPr>
                <w:sz w:val="20"/>
                <w:szCs w:val="20"/>
                <w:lang w:val="es-MX"/>
              </w:rPr>
              <w:t xml:space="preserve"> deberá verificar que exista consentimiento de la mayoría requerida, según la decisión a adoptar</w:t>
            </w:r>
            <w:r w:rsidRPr="00D354AB">
              <w:rPr>
                <w:color w:val="000000"/>
                <w:sz w:val="20"/>
                <w:szCs w:val="20"/>
                <w:lang w:val="es-MX"/>
              </w:rPr>
              <w:t xml:space="preserve"> conforme se </w:t>
            </w:r>
            <w:r w:rsidR="0026183D" w:rsidRPr="00D354AB">
              <w:rPr>
                <w:color w:val="000000"/>
                <w:sz w:val="20"/>
                <w:szCs w:val="20"/>
                <w:lang w:val="es-MX"/>
              </w:rPr>
              <w:t>indica en el presente</w:t>
            </w:r>
            <w:r w:rsidRPr="00D354AB">
              <w:rPr>
                <w:color w:val="000000"/>
                <w:sz w:val="20"/>
                <w:szCs w:val="20"/>
                <w:lang w:val="es-MX"/>
              </w:rPr>
              <w:t xml:space="preserve"> Suplemento de Pr</w:t>
            </w:r>
            <w:r w:rsidR="0026183D" w:rsidRPr="00D354AB">
              <w:rPr>
                <w:color w:val="000000"/>
                <w:sz w:val="20"/>
                <w:szCs w:val="20"/>
                <w:lang w:val="es-MX"/>
              </w:rPr>
              <w:t>ospecto</w:t>
            </w:r>
            <w:r w:rsidRPr="00D354AB">
              <w:rPr>
                <w:sz w:val="20"/>
                <w:szCs w:val="20"/>
                <w:lang w:val="es-MX"/>
              </w:rPr>
              <w:t xml:space="preserve">, de </w:t>
            </w:r>
            <w:r w:rsidRPr="00D354AB">
              <w:rPr>
                <w:color w:val="000000"/>
                <w:sz w:val="20"/>
                <w:szCs w:val="20"/>
                <w:lang w:val="es-MX"/>
              </w:rPr>
              <w:t xml:space="preserve">los </w:t>
            </w:r>
            <w:r w:rsidRPr="00D354AB">
              <w:rPr>
                <w:sz w:val="20"/>
                <w:szCs w:val="20"/>
                <w:lang w:val="es-MX"/>
              </w:rPr>
              <w:t>tenedores registrados de Obligaciones Negociables a la fecha de vencimiento del plazo correspondiente, conforme a los registros de Caja de Valores.</w:t>
            </w:r>
          </w:p>
          <w:p w14:paraId="1A492D05" w14:textId="77777777" w:rsidR="00712B42" w:rsidRPr="00D354AB" w:rsidRDefault="00712B42" w:rsidP="007E1807">
            <w:pPr>
              <w:jc w:val="both"/>
              <w:rPr>
                <w:sz w:val="20"/>
                <w:szCs w:val="20"/>
                <w:lang w:val="es-MX"/>
              </w:rPr>
            </w:pPr>
          </w:p>
        </w:tc>
      </w:tr>
      <w:tr w:rsidR="00E54A6C" w:rsidRPr="0086608C" w14:paraId="03DAEE34" w14:textId="77777777" w:rsidTr="0026183D">
        <w:trPr>
          <w:trHeight w:val="20"/>
        </w:trPr>
        <w:tc>
          <w:tcPr>
            <w:tcW w:w="1471" w:type="pct"/>
          </w:tcPr>
          <w:p w14:paraId="1DFE61EA" w14:textId="77777777" w:rsidR="00E54A6C" w:rsidRPr="00D354AB" w:rsidRDefault="00E54A6C" w:rsidP="00E54A6C">
            <w:pPr>
              <w:widowControl w:val="0"/>
              <w:jc w:val="left"/>
              <w:rPr>
                <w:b/>
                <w:bCs/>
                <w:sz w:val="20"/>
                <w:szCs w:val="20"/>
                <w:lang w:val="es-ES"/>
              </w:rPr>
            </w:pPr>
            <w:r w:rsidRPr="00D354AB">
              <w:rPr>
                <w:b/>
                <w:bCs/>
                <w:sz w:val="20"/>
                <w:szCs w:val="20"/>
                <w:lang w:val="es-ES"/>
              </w:rPr>
              <w:lastRenderedPageBreak/>
              <w:t>Otros términos</w:t>
            </w:r>
          </w:p>
        </w:tc>
        <w:tc>
          <w:tcPr>
            <w:tcW w:w="3529" w:type="pct"/>
          </w:tcPr>
          <w:p w14:paraId="4FEAF58C" w14:textId="6E659FB1" w:rsidR="00E54A6C" w:rsidRPr="00D354AB" w:rsidRDefault="00E54A6C" w:rsidP="00E54A6C">
            <w:pPr>
              <w:jc w:val="both"/>
              <w:rPr>
                <w:sz w:val="20"/>
                <w:szCs w:val="20"/>
                <w:lang w:val="es-ES"/>
              </w:rPr>
            </w:pPr>
            <w:r w:rsidRPr="00D354AB">
              <w:rPr>
                <w:sz w:val="20"/>
                <w:szCs w:val="20"/>
                <w:lang w:val="es-ES"/>
              </w:rPr>
              <w:t>Todos los aspectos no contemplados en este Suplemento de Pro</w:t>
            </w:r>
            <w:r w:rsidR="00801F89" w:rsidRPr="00D354AB">
              <w:rPr>
                <w:sz w:val="20"/>
                <w:szCs w:val="20"/>
                <w:lang w:val="es-ES"/>
              </w:rPr>
              <w:t>specto</w:t>
            </w:r>
            <w:r w:rsidRPr="00D354AB">
              <w:rPr>
                <w:sz w:val="20"/>
                <w:szCs w:val="20"/>
                <w:lang w:val="es-ES"/>
              </w:rPr>
              <w:t xml:space="preserve"> se regirán por lo expuesto en el Prospecto.</w:t>
            </w:r>
          </w:p>
        </w:tc>
      </w:tr>
    </w:tbl>
    <w:p w14:paraId="72CB2CC8" w14:textId="78569243" w:rsidR="00DF5641" w:rsidRPr="00D354AB" w:rsidRDefault="00DF5641" w:rsidP="006C1EFA">
      <w:pPr>
        <w:pStyle w:val="Prrafodelista"/>
        <w:widowControl w:val="0"/>
        <w:numPr>
          <w:ilvl w:val="0"/>
          <w:numId w:val="30"/>
        </w:numPr>
        <w:jc w:val="both"/>
        <w:outlineLvl w:val="0"/>
        <w:rPr>
          <w:b/>
          <w:smallCaps/>
          <w:sz w:val="20"/>
          <w:szCs w:val="20"/>
          <w:lang w:val="es-AR"/>
        </w:rPr>
      </w:pPr>
      <w:r w:rsidRPr="00D354AB">
        <w:rPr>
          <w:b/>
          <w:smallCaps/>
          <w:sz w:val="20"/>
          <w:szCs w:val="20"/>
          <w:lang w:val="es-AR"/>
        </w:rPr>
        <w:lastRenderedPageBreak/>
        <w:t xml:space="preserve">Términos Particulares de las Obligaciones Negociables </w:t>
      </w:r>
    </w:p>
    <w:p w14:paraId="7781F72E" w14:textId="77777777" w:rsidR="00DF5641" w:rsidRPr="00D354AB" w:rsidRDefault="00DF5641" w:rsidP="00DF5641">
      <w:pPr>
        <w:widowControl w:val="0"/>
        <w:jc w:val="both"/>
        <w:rPr>
          <w:bCs/>
          <w:i/>
          <w:sz w:val="20"/>
          <w:szCs w:val="20"/>
          <w:lang w:val="es-AR"/>
        </w:rPr>
      </w:pPr>
    </w:p>
    <w:p w14:paraId="4FF489BC" w14:textId="2C361033" w:rsidR="00DF5641" w:rsidRPr="00D354AB" w:rsidRDefault="00DF5641" w:rsidP="00DF5641">
      <w:pPr>
        <w:widowControl w:val="0"/>
        <w:jc w:val="both"/>
        <w:rPr>
          <w:bCs/>
          <w:i/>
          <w:sz w:val="20"/>
          <w:szCs w:val="20"/>
          <w:lang w:val="es-AR"/>
        </w:rPr>
      </w:pPr>
      <w:r w:rsidRPr="00D354AB">
        <w:rPr>
          <w:bCs/>
          <w:i/>
          <w:sz w:val="20"/>
          <w:szCs w:val="20"/>
          <w:lang w:val="es-AR"/>
        </w:rPr>
        <w:t xml:space="preserve">A </w:t>
      </w:r>
      <w:r w:rsidR="006C1EFA" w:rsidRPr="00D354AB">
        <w:rPr>
          <w:bCs/>
          <w:i/>
          <w:sz w:val="20"/>
          <w:szCs w:val="20"/>
          <w:lang w:val="es-AR"/>
        </w:rPr>
        <w:t>continuación,</w:t>
      </w:r>
      <w:r w:rsidRPr="00D354AB">
        <w:rPr>
          <w:bCs/>
          <w:i/>
          <w:sz w:val="20"/>
          <w:szCs w:val="20"/>
          <w:lang w:val="es-AR"/>
        </w:rPr>
        <w:t xml:space="preserve"> se exponen los términos particulares de las Obligaciones Negociables, que complementan</w:t>
      </w:r>
      <w:r w:rsidR="00651E2E" w:rsidRPr="00D354AB">
        <w:rPr>
          <w:bCs/>
          <w:i/>
          <w:sz w:val="20"/>
          <w:szCs w:val="20"/>
          <w:lang w:val="es-AR"/>
        </w:rPr>
        <w:t xml:space="preserve"> y deben ser leídos en conjunto con</w:t>
      </w:r>
      <w:r w:rsidRPr="00D354AB">
        <w:rPr>
          <w:bCs/>
          <w:i/>
          <w:sz w:val="20"/>
          <w:szCs w:val="20"/>
          <w:lang w:val="es-AR"/>
        </w:rPr>
        <w:t xml:space="preserve"> los Términos</w:t>
      </w:r>
      <w:r w:rsidR="00A22160" w:rsidRPr="00D354AB">
        <w:rPr>
          <w:bCs/>
          <w:i/>
          <w:sz w:val="20"/>
          <w:szCs w:val="20"/>
          <w:lang w:val="es-AR"/>
        </w:rPr>
        <w:t xml:space="preserve"> y Condiciones</w:t>
      </w:r>
      <w:r w:rsidRPr="00D354AB">
        <w:rPr>
          <w:bCs/>
          <w:i/>
          <w:sz w:val="20"/>
          <w:szCs w:val="20"/>
          <w:lang w:val="es-AR"/>
        </w:rPr>
        <w:t xml:space="preserve"> Generales de las Obligaciones Negociables:</w:t>
      </w:r>
    </w:p>
    <w:p w14:paraId="7354CC08" w14:textId="77777777" w:rsidR="00DF5641" w:rsidRPr="00D354AB" w:rsidRDefault="00DF5641" w:rsidP="00DF5641">
      <w:pPr>
        <w:widowControl w:val="0"/>
        <w:jc w:val="both"/>
        <w:rPr>
          <w:bCs/>
          <w:i/>
          <w:sz w:val="20"/>
          <w:szCs w:val="20"/>
          <w:lang w:val="es-AR"/>
        </w:rPr>
      </w:pPr>
    </w:p>
    <w:tbl>
      <w:tblPr>
        <w:tblW w:w="5000" w:type="pct"/>
        <w:tblCellMar>
          <w:left w:w="0" w:type="dxa"/>
          <w:right w:w="0" w:type="dxa"/>
        </w:tblCellMar>
        <w:tblLook w:val="0000" w:firstRow="0" w:lastRow="0" w:firstColumn="0" w:lastColumn="0" w:noHBand="0" w:noVBand="0"/>
      </w:tblPr>
      <w:tblGrid>
        <w:gridCol w:w="2323"/>
        <w:gridCol w:w="7316"/>
      </w:tblGrid>
      <w:tr w:rsidR="00DF5641" w:rsidRPr="00D354AB" w14:paraId="5040277B" w14:textId="77777777" w:rsidTr="00FF0D9A">
        <w:trPr>
          <w:trHeight w:val="20"/>
        </w:trPr>
        <w:tc>
          <w:tcPr>
            <w:tcW w:w="1205" w:type="pct"/>
          </w:tcPr>
          <w:p w14:paraId="17244DD6" w14:textId="311831BF" w:rsidR="00DF5641" w:rsidRPr="00D354AB" w:rsidRDefault="00B10C08" w:rsidP="00FF0D9A">
            <w:pPr>
              <w:widowControl w:val="0"/>
              <w:jc w:val="left"/>
              <w:rPr>
                <w:b/>
                <w:bCs/>
                <w:sz w:val="20"/>
                <w:szCs w:val="20"/>
                <w:lang w:val="es-AR"/>
              </w:rPr>
            </w:pPr>
            <w:r w:rsidRPr="00D354AB">
              <w:rPr>
                <w:b/>
                <w:bCs/>
                <w:sz w:val="20"/>
                <w:szCs w:val="20"/>
                <w:lang w:val="es-AR"/>
              </w:rPr>
              <w:t>Clase</w:t>
            </w:r>
          </w:p>
        </w:tc>
        <w:tc>
          <w:tcPr>
            <w:tcW w:w="3795" w:type="pct"/>
          </w:tcPr>
          <w:p w14:paraId="66CAD931" w14:textId="08392F3A" w:rsidR="00DF5641" w:rsidRPr="00D354AB" w:rsidRDefault="00DF5641" w:rsidP="00FF0D9A">
            <w:pPr>
              <w:widowControl w:val="0"/>
              <w:jc w:val="both"/>
              <w:rPr>
                <w:sz w:val="20"/>
                <w:szCs w:val="20"/>
                <w:lang w:val="es-AR"/>
              </w:rPr>
            </w:pPr>
            <w:r w:rsidRPr="00D354AB">
              <w:rPr>
                <w:sz w:val="20"/>
                <w:szCs w:val="20"/>
                <w:lang w:val="es-AR"/>
              </w:rPr>
              <w:t xml:space="preserve">Obligaciones Negociables </w:t>
            </w:r>
            <w:r w:rsidR="00B10C08" w:rsidRPr="00D354AB">
              <w:rPr>
                <w:sz w:val="20"/>
                <w:szCs w:val="20"/>
                <w:lang w:val="es-AR"/>
              </w:rPr>
              <w:t>Clase XVI</w:t>
            </w:r>
            <w:r w:rsidRPr="00D354AB">
              <w:rPr>
                <w:sz w:val="20"/>
                <w:szCs w:val="20"/>
                <w:lang w:val="es-AR"/>
              </w:rPr>
              <w:t>I.</w:t>
            </w:r>
          </w:p>
          <w:p w14:paraId="0EFB0D76" w14:textId="77777777" w:rsidR="00DF5641" w:rsidRPr="00D354AB" w:rsidRDefault="00DF5641" w:rsidP="00FF0D9A">
            <w:pPr>
              <w:widowControl w:val="0"/>
              <w:jc w:val="both"/>
              <w:rPr>
                <w:sz w:val="20"/>
                <w:szCs w:val="20"/>
                <w:lang w:val="es-AR"/>
              </w:rPr>
            </w:pPr>
          </w:p>
        </w:tc>
      </w:tr>
      <w:tr w:rsidR="00DF5641" w:rsidRPr="0086608C" w14:paraId="78735351" w14:textId="77777777" w:rsidTr="00FF0D9A">
        <w:trPr>
          <w:trHeight w:val="20"/>
        </w:trPr>
        <w:tc>
          <w:tcPr>
            <w:tcW w:w="1205" w:type="pct"/>
          </w:tcPr>
          <w:p w14:paraId="48377BB1" w14:textId="77777777" w:rsidR="00DF5641" w:rsidRPr="00D354AB" w:rsidRDefault="00DF5641" w:rsidP="00FF0D9A">
            <w:pPr>
              <w:widowControl w:val="0"/>
              <w:jc w:val="left"/>
              <w:rPr>
                <w:b/>
                <w:bCs/>
                <w:sz w:val="20"/>
                <w:szCs w:val="20"/>
                <w:lang w:val="es-AR"/>
              </w:rPr>
            </w:pPr>
            <w:r w:rsidRPr="00D354AB">
              <w:rPr>
                <w:b/>
                <w:bCs/>
                <w:sz w:val="20"/>
                <w:szCs w:val="20"/>
                <w:lang w:val="es-AR"/>
              </w:rPr>
              <w:t>Denominación</w:t>
            </w:r>
          </w:p>
        </w:tc>
        <w:tc>
          <w:tcPr>
            <w:tcW w:w="3795" w:type="pct"/>
          </w:tcPr>
          <w:p w14:paraId="1390FF42" w14:textId="14D57873" w:rsidR="00DF5641" w:rsidRPr="00D354AB" w:rsidRDefault="00DF5641" w:rsidP="00FF0D9A">
            <w:pPr>
              <w:widowControl w:val="0"/>
              <w:jc w:val="both"/>
              <w:rPr>
                <w:sz w:val="20"/>
                <w:szCs w:val="20"/>
                <w:lang w:val="es-AR"/>
              </w:rPr>
            </w:pPr>
            <w:r w:rsidRPr="00D354AB">
              <w:rPr>
                <w:sz w:val="20"/>
                <w:szCs w:val="20"/>
                <w:lang w:val="es-AR"/>
              </w:rPr>
              <w:t xml:space="preserve">Las Obligaciones Negociables </w:t>
            </w:r>
            <w:r w:rsidR="00B10C08" w:rsidRPr="00D354AB">
              <w:rPr>
                <w:sz w:val="20"/>
                <w:szCs w:val="20"/>
                <w:lang w:val="es-AR"/>
              </w:rPr>
              <w:t>Clase XVII</w:t>
            </w:r>
            <w:r w:rsidRPr="00D354AB">
              <w:rPr>
                <w:sz w:val="20"/>
                <w:szCs w:val="20"/>
                <w:lang w:val="es-AR"/>
              </w:rPr>
              <w:t xml:space="preserve"> estarán denominadas en Pesos. </w:t>
            </w:r>
          </w:p>
          <w:p w14:paraId="3C9D452B" w14:textId="77777777" w:rsidR="00DF5641" w:rsidRPr="00D354AB" w:rsidRDefault="00DF5641" w:rsidP="00FF0D9A">
            <w:pPr>
              <w:widowControl w:val="0"/>
              <w:jc w:val="both"/>
              <w:rPr>
                <w:sz w:val="20"/>
                <w:szCs w:val="20"/>
                <w:lang w:val="es-AR"/>
              </w:rPr>
            </w:pPr>
          </w:p>
        </w:tc>
      </w:tr>
      <w:tr w:rsidR="00DF5641" w:rsidRPr="0086608C" w14:paraId="11D281E4" w14:textId="77777777" w:rsidTr="00FF0D9A">
        <w:trPr>
          <w:trHeight w:val="20"/>
        </w:trPr>
        <w:tc>
          <w:tcPr>
            <w:tcW w:w="1205" w:type="pct"/>
          </w:tcPr>
          <w:p w14:paraId="7B503C50" w14:textId="77777777" w:rsidR="00DF5641" w:rsidRPr="00D354AB" w:rsidRDefault="00DF5641" w:rsidP="00FF0D9A">
            <w:pPr>
              <w:widowControl w:val="0"/>
              <w:jc w:val="left"/>
              <w:rPr>
                <w:b/>
                <w:bCs/>
                <w:sz w:val="20"/>
                <w:szCs w:val="20"/>
                <w:lang w:val="es-AR"/>
              </w:rPr>
            </w:pPr>
            <w:r w:rsidRPr="00D354AB">
              <w:rPr>
                <w:b/>
                <w:sz w:val="20"/>
                <w:szCs w:val="20"/>
                <w:lang w:val="es-AR"/>
              </w:rPr>
              <w:t>Monto Mínimo de Suscripción</w:t>
            </w:r>
          </w:p>
        </w:tc>
        <w:tc>
          <w:tcPr>
            <w:tcW w:w="3795" w:type="pct"/>
          </w:tcPr>
          <w:p w14:paraId="732860B4" w14:textId="61F63FE2" w:rsidR="00306973" w:rsidRPr="00D354AB" w:rsidRDefault="00306973" w:rsidP="00DF63B4">
            <w:pPr>
              <w:widowControl w:val="0"/>
              <w:jc w:val="both"/>
              <w:rPr>
                <w:sz w:val="20"/>
                <w:szCs w:val="20"/>
                <w:lang w:val="es-AR"/>
              </w:rPr>
            </w:pPr>
            <w:r w:rsidRPr="00D354AB">
              <w:rPr>
                <w:sz w:val="20"/>
                <w:szCs w:val="20"/>
                <w:lang w:val="es-MX"/>
              </w:rPr>
              <w:t xml:space="preserve">$1.000.000 (Pesos un millón) (o el monto mínimo que establezca oportunamente la normativa del BCRA) </w:t>
            </w:r>
            <w:r w:rsidRPr="00D354AB">
              <w:rPr>
                <w:sz w:val="20"/>
                <w:szCs w:val="20"/>
                <w:lang w:val="es-AR"/>
              </w:rPr>
              <w:t>y múltiplos enteros de $1</w:t>
            </w:r>
            <w:r w:rsidR="00262113" w:rsidRPr="00D354AB">
              <w:rPr>
                <w:sz w:val="20"/>
                <w:szCs w:val="20"/>
                <w:lang w:val="es-AR"/>
              </w:rPr>
              <w:t>.000</w:t>
            </w:r>
            <w:r w:rsidRPr="00D354AB">
              <w:rPr>
                <w:sz w:val="20"/>
                <w:szCs w:val="20"/>
                <w:lang w:val="es-AR"/>
              </w:rPr>
              <w:t xml:space="preserve"> por encima de dicho monto.</w:t>
            </w:r>
          </w:p>
          <w:p w14:paraId="7B8E013D" w14:textId="77777777" w:rsidR="00DF5641" w:rsidRPr="00D354AB" w:rsidRDefault="00DF5641" w:rsidP="00FF0D9A">
            <w:pPr>
              <w:widowControl w:val="0"/>
              <w:jc w:val="both"/>
              <w:rPr>
                <w:sz w:val="20"/>
                <w:szCs w:val="20"/>
                <w:lang w:val="es-AR"/>
              </w:rPr>
            </w:pPr>
          </w:p>
        </w:tc>
      </w:tr>
      <w:tr w:rsidR="00DF5641" w:rsidRPr="0086608C" w14:paraId="265ADA9D" w14:textId="77777777" w:rsidTr="00FF0D9A">
        <w:trPr>
          <w:trHeight w:val="20"/>
        </w:trPr>
        <w:tc>
          <w:tcPr>
            <w:tcW w:w="1205" w:type="pct"/>
          </w:tcPr>
          <w:p w14:paraId="53CDBDB3" w14:textId="77777777" w:rsidR="00DF5641" w:rsidRPr="00D354AB" w:rsidRDefault="00DF5641" w:rsidP="00FF0D9A">
            <w:pPr>
              <w:widowControl w:val="0"/>
              <w:jc w:val="left"/>
              <w:rPr>
                <w:b/>
                <w:bCs/>
                <w:sz w:val="20"/>
                <w:szCs w:val="20"/>
                <w:lang w:val="es-AR"/>
              </w:rPr>
            </w:pPr>
            <w:r w:rsidRPr="00D354AB">
              <w:rPr>
                <w:b/>
                <w:sz w:val="20"/>
                <w:szCs w:val="20"/>
                <w:lang w:val="es-AR"/>
              </w:rPr>
              <w:t>Valor Nominal Unitario</w:t>
            </w:r>
          </w:p>
        </w:tc>
        <w:tc>
          <w:tcPr>
            <w:tcW w:w="3795" w:type="pct"/>
          </w:tcPr>
          <w:p w14:paraId="16F36CDF" w14:textId="168276C6" w:rsidR="00DF5641" w:rsidRPr="00D354AB" w:rsidRDefault="00DF5641" w:rsidP="00FF0D9A">
            <w:pPr>
              <w:widowControl w:val="0"/>
              <w:jc w:val="both"/>
              <w:rPr>
                <w:sz w:val="20"/>
                <w:szCs w:val="20"/>
                <w:lang w:val="es-AR"/>
              </w:rPr>
            </w:pPr>
            <w:r w:rsidRPr="00D354AB">
              <w:rPr>
                <w:sz w:val="20"/>
                <w:szCs w:val="20"/>
                <w:lang w:val="es-AR"/>
              </w:rPr>
              <w:t xml:space="preserve">El valor nominal unitario de las Obligaciones Negociables </w:t>
            </w:r>
            <w:r w:rsidR="00B10C08" w:rsidRPr="00D354AB">
              <w:rPr>
                <w:sz w:val="20"/>
                <w:szCs w:val="20"/>
                <w:lang w:val="es-AR"/>
              </w:rPr>
              <w:t>Clase XVII</w:t>
            </w:r>
            <w:r w:rsidRPr="00D354AB">
              <w:rPr>
                <w:sz w:val="20"/>
                <w:szCs w:val="20"/>
                <w:lang w:val="es-AR"/>
              </w:rPr>
              <w:t xml:space="preserve"> será de $1</w:t>
            </w:r>
            <w:r w:rsidR="00262113" w:rsidRPr="00D354AB">
              <w:rPr>
                <w:sz w:val="20"/>
                <w:szCs w:val="20"/>
                <w:lang w:val="es-AR"/>
              </w:rPr>
              <w:t>.000</w:t>
            </w:r>
            <w:r w:rsidRPr="00D354AB">
              <w:rPr>
                <w:sz w:val="20"/>
                <w:szCs w:val="20"/>
                <w:lang w:val="es-AR"/>
              </w:rPr>
              <w:t>.</w:t>
            </w:r>
          </w:p>
          <w:p w14:paraId="13A46F9F" w14:textId="77777777" w:rsidR="00DF5641" w:rsidRPr="00D354AB" w:rsidRDefault="00DF5641" w:rsidP="00FF0D9A">
            <w:pPr>
              <w:widowControl w:val="0"/>
              <w:jc w:val="both"/>
              <w:rPr>
                <w:sz w:val="20"/>
                <w:szCs w:val="20"/>
                <w:lang w:val="es-AR"/>
              </w:rPr>
            </w:pPr>
          </w:p>
        </w:tc>
      </w:tr>
      <w:tr w:rsidR="00DF5641" w:rsidRPr="0086608C" w14:paraId="3D933A58" w14:textId="77777777" w:rsidTr="00FF0D9A">
        <w:trPr>
          <w:trHeight w:val="20"/>
        </w:trPr>
        <w:tc>
          <w:tcPr>
            <w:tcW w:w="1205" w:type="pct"/>
          </w:tcPr>
          <w:p w14:paraId="06818730" w14:textId="77777777" w:rsidR="00DF5641" w:rsidRPr="00D354AB" w:rsidRDefault="00DF5641" w:rsidP="00FF0D9A">
            <w:pPr>
              <w:widowControl w:val="0"/>
              <w:jc w:val="left"/>
              <w:rPr>
                <w:b/>
                <w:bCs/>
                <w:sz w:val="20"/>
                <w:szCs w:val="20"/>
                <w:lang w:val="es-AR"/>
              </w:rPr>
            </w:pPr>
            <w:r w:rsidRPr="00D354AB">
              <w:rPr>
                <w:b/>
                <w:sz w:val="20"/>
                <w:szCs w:val="20"/>
                <w:lang w:val="es-AR"/>
              </w:rPr>
              <w:t>Unidad Mínima de Negociación</w:t>
            </w:r>
          </w:p>
        </w:tc>
        <w:tc>
          <w:tcPr>
            <w:tcW w:w="3795" w:type="pct"/>
          </w:tcPr>
          <w:p w14:paraId="322C0139" w14:textId="4D2FD90B" w:rsidR="00DF5641" w:rsidRPr="00D354AB" w:rsidRDefault="00DF5641" w:rsidP="00FF0D9A">
            <w:pPr>
              <w:widowControl w:val="0"/>
              <w:jc w:val="both"/>
              <w:rPr>
                <w:sz w:val="20"/>
                <w:szCs w:val="20"/>
                <w:lang w:val="es-AR"/>
              </w:rPr>
            </w:pPr>
            <w:r w:rsidRPr="00D354AB">
              <w:rPr>
                <w:sz w:val="20"/>
                <w:szCs w:val="20"/>
                <w:lang w:val="es-AR"/>
              </w:rPr>
              <w:t xml:space="preserve">La unidad mínima de negociación de las Obligaciones Negociables </w:t>
            </w:r>
            <w:r w:rsidR="00B10C08" w:rsidRPr="00D354AB">
              <w:rPr>
                <w:sz w:val="20"/>
                <w:szCs w:val="20"/>
                <w:lang w:val="es-AR"/>
              </w:rPr>
              <w:t>Clase XVII</w:t>
            </w:r>
            <w:r w:rsidRPr="00D354AB">
              <w:rPr>
                <w:sz w:val="20"/>
                <w:szCs w:val="20"/>
                <w:lang w:val="es-AR"/>
              </w:rPr>
              <w:t xml:space="preserve"> será de $1.000.000 y múltiplos de $1</w:t>
            </w:r>
            <w:r w:rsidR="00262113" w:rsidRPr="00D354AB">
              <w:rPr>
                <w:sz w:val="20"/>
                <w:szCs w:val="20"/>
                <w:lang w:val="es-AR"/>
              </w:rPr>
              <w:t>.000</w:t>
            </w:r>
            <w:r w:rsidRPr="00D354AB">
              <w:rPr>
                <w:sz w:val="20"/>
                <w:szCs w:val="20"/>
                <w:lang w:val="es-AR"/>
              </w:rPr>
              <w:t xml:space="preserve"> por encima de dicho monto.</w:t>
            </w:r>
          </w:p>
          <w:p w14:paraId="5D37B7CE" w14:textId="77777777" w:rsidR="00DF5641" w:rsidRPr="00D354AB" w:rsidRDefault="00DF5641" w:rsidP="00FF0D9A">
            <w:pPr>
              <w:widowControl w:val="0"/>
              <w:jc w:val="both"/>
              <w:rPr>
                <w:sz w:val="20"/>
                <w:szCs w:val="20"/>
                <w:lang w:val="es-AR"/>
              </w:rPr>
            </w:pPr>
          </w:p>
        </w:tc>
      </w:tr>
      <w:tr w:rsidR="00DF5641" w:rsidRPr="0086608C" w14:paraId="7156F9C6" w14:textId="77777777" w:rsidTr="005451AF">
        <w:trPr>
          <w:trHeight w:val="553"/>
        </w:trPr>
        <w:tc>
          <w:tcPr>
            <w:tcW w:w="1205" w:type="pct"/>
          </w:tcPr>
          <w:p w14:paraId="54321A02" w14:textId="77777777" w:rsidR="00DF5641" w:rsidRPr="00D354AB" w:rsidRDefault="00DF5641" w:rsidP="00FF0D9A">
            <w:pPr>
              <w:widowControl w:val="0"/>
              <w:jc w:val="left"/>
              <w:rPr>
                <w:b/>
                <w:bCs/>
                <w:sz w:val="20"/>
                <w:szCs w:val="20"/>
                <w:lang w:val="es-AR"/>
              </w:rPr>
            </w:pPr>
            <w:r w:rsidRPr="00D354AB">
              <w:rPr>
                <w:b/>
                <w:bCs/>
                <w:sz w:val="20"/>
                <w:szCs w:val="20"/>
                <w:lang w:val="es-AR"/>
              </w:rPr>
              <w:t>Moneda de Suscripción y Pago</w:t>
            </w:r>
          </w:p>
        </w:tc>
        <w:tc>
          <w:tcPr>
            <w:tcW w:w="3795" w:type="pct"/>
          </w:tcPr>
          <w:p w14:paraId="211CA8FA" w14:textId="3FA669BE" w:rsidR="00DF5641" w:rsidRPr="00D354AB" w:rsidRDefault="00DF5641" w:rsidP="00FF0D9A">
            <w:pPr>
              <w:widowControl w:val="0"/>
              <w:jc w:val="both"/>
              <w:rPr>
                <w:sz w:val="20"/>
                <w:szCs w:val="20"/>
                <w:lang w:val="es-AR"/>
              </w:rPr>
            </w:pPr>
            <w:r w:rsidRPr="00D354AB">
              <w:rPr>
                <w:sz w:val="20"/>
                <w:szCs w:val="20"/>
                <w:lang w:val="es-AR"/>
              </w:rPr>
              <w:t xml:space="preserve">Las Obligaciones Negociables </w:t>
            </w:r>
            <w:r w:rsidR="00B10C08" w:rsidRPr="00D354AB">
              <w:rPr>
                <w:sz w:val="20"/>
                <w:szCs w:val="20"/>
                <w:lang w:val="es-AR"/>
              </w:rPr>
              <w:t xml:space="preserve">Clase XVII </w:t>
            </w:r>
            <w:r w:rsidRPr="00D354AB">
              <w:rPr>
                <w:sz w:val="20"/>
                <w:szCs w:val="20"/>
                <w:lang w:val="es-AR"/>
              </w:rPr>
              <w:t>serán suscriptas en Pesos y todos los pagos que se efectúen bajo las mismas se realizarán en aquella misma moneda, en la República Argentina.</w:t>
            </w:r>
          </w:p>
          <w:p w14:paraId="638B4806" w14:textId="77777777" w:rsidR="00DF5641" w:rsidRPr="00D354AB" w:rsidRDefault="00DF5641" w:rsidP="00FF0D9A">
            <w:pPr>
              <w:widowControl w:val="0"/>
              <w:jc w:val="both"/>
              <w:rPr>
                <w:sz w:val="20"/>
                <w:szCs w:val="20"/>
                <w:lang w:val="es-AR"/>
              </w:rPr>
            </w:pPr>
          </w:p>
        </w:tc>
      </w:tr>
      <w:tr w:rsidR="00DF5641" w:rsidRPr="0086608C" w14:paraId="2BEF8A20" w14:textId="77777777" w:rsidTr="00FF0D9A">
        <w:trPr>
          <w:trHeight w:val="20"/>
        </w:trPr>
        <w:tc>
          <w:tcPr>
            <w:tcW w:w="1205" w:type="pct"/>
          </w:tcPr>
          <w:p w14:paraId="30B91AD7" w14:textId="77777777" w:rsidR="00DF5641" w:rsidRPr="00D354AB" w:rsidRDefault="00DF5641" w:rsidP="00FF0D9A">
            <w:pPr>
              <w:widowControl w:val="0"/>
              <w:jc w:val="left"/>
              <w:rPr>
                <w:b/>
                <w:bCs/>
                <w:sz w:val="20"/>
                <w:szCs w:val="20"/>
                <w:lang w:val="es-AR"/>
              </w:rPr>
            </w:pPr>
            <w:r w:rsidRPr="00D354AB">
              <w:rPr>
                <w:b/>
                <w:sz w:val="20"/>
                <w:szCs w:val="20"/>
                <w:lang w:val="es-ES"/>
              </w:rPr>
              <w:t>Tasa de Interés:</w:t>
            </w:r>
          </w:p>
        </w:tc>
        <w:tc>
          <w:tcPr>
            <w:tcW w:w="3795" w:type="pct"/>
          </w:tcPr>
          <w:p w14:paraId="484771F6" w14:textId="18CB986F" w:rsidR="00DF5641" w:rsidRPr="00D354AB" w:rsidRDefault="00DF5641" w:rsidP="00FF0D9A">
            <w:pPr>
              <w:ind w:right="136"/>
              <w:jc w:val="both"/>
              <w:rPr>
                <w:sz w:val="20"/>
                <w:szCs w:val="20"/>
                <w:lang w:val="es-ES"/>
              </w:rPr>
            </w:pPr>
            <w:r w:rsidRPr="00D354AB">
              <w:rPr>
                <w:sz w:val="20"/>
                <w:szCs w:val="20"/>
                <w:lang w:val="es-ES"/>
              </w:rPr>
              <w:t xml:space="preserve">Las Obligaciones Negociables </w:t>
            </w:r>
            <w:r w:rsidR="00B10C08" w:rsidRPr="00D354AB">
              <w:rPr>
                <w:sz w:val="20"/>
                <w:szCs w:val="20"/>
                <w:lang w:val="es-ES"/>
              </w:rPr>
              <w:t xml:space="preserve">Clase XVII </w:t>
            </w:r>
            <w:r w:rsidRPr="00D354AB">
              <w:rPr>
                <w:sz w:val="20"/>
                <w:szCs w:val="20"/>
                <w:lang w:val="es-ES"/>
              </w:rPr>
              <w:t xml:space="preserve">devengarán un interés a una tasa de interés variable, que será equivalente a la suma de: (i) la Tasa de Referencia, más (ii) el Margen de Corte que se determine en el </w:t>
            </w:r>
            <w:r w:rsidR="004B7EB4" w:rsidRPr="00D354AB">
              <w:rPr>
                <w:sz w:val="20"/>
                <w:szCs w:val="20"/>
                <w:lang w:val="es-ES"/>
              </w:rPr>
              <w:t>proceso licitatorio</w:t>
            </w:r>
            <w:r w:rsidRPr="00D354AB">
              <w:rPr>
                <w:sz w:val="20"/>
                <w:szCs w:val="20"/>
                <w:lang w:val="es-ES"/>
              </w:rPr>
              <w:t xml:space="preserve">. La Tasa de Interés será calculada para cada Fecha de Pago de Intereses por el Emisor. </w:t>
            </w:r>
          </w:p>
          <w:p w14:paraId="77EBCB9F" w14:textId="77777777" w:rsidR="00DF5641" w:rsidRPr="00D354AB" w:rsidRDefault="00DF5641" w:rsidP="00FF0D9A">
            <w:pPr>
              <w:widowControl w:val="0"/>
              <w:jc w:val="both"/>
              <w:rPr>
                <w:sz w:val="20"/>
                <w:szCs w:val="20"/>
                <w:lang w:val="es-AR"/>
              </w:rPr>
            </w:pPr>
          </w:p>
        </w:tc>
      </w:tr>
      <w:tr w:rsidR="00DF5641" w:rsidRPr="0086608C" w14:paraId="58CF82CA" w14:textId="77777777" w:rsidTr="00FF0D9A">
        <w:trPr>
          <w:trHeight w:val="20"/>
        </w:trPr>
        <w:tc>
          <w:tcPr>
            <w:tcW w:w="1205" w:type="pct"/>
          </w:tcPr>
          <w:p w14:paraId="1F92AEBD" w14:textId="77777777" w:rsidR="00DF5641" w:rsidRPr="00D354AB" w:rsidRDefault="00DF5641" w:rsidP="00FF0D9A">
            <w:pPr>
              <w:widowControl w:val="0"/>
              <w:jc w:val="left"/>
              <w:rPr>
                <w:b/>
                <w:bCs/>
                <w:sz w:val="20"/>
                <w:szCs w:val="20"/>
                <w:lang w:val="es-AR"/>
              </w:rPr>
            </w:pPr>
            <w:r w:rsidRPr="00D354AB">
              <w:rPr>
                <w:b/>
                <w:sz w:val="20"/>
                <w:szCs w:val="20"/>
                <w:lang w:val="es-ES"/>
              </w:rPr>
              <w:t>Tasa de Referencia:</w:t>
            </w:r>
          </w:p>
        </w:tc>
        <w:tc>
          <w:tcPr>
            <w:tcW w:w="3795" w:type="pct"/>
          </w:tcPr>
          <w:p w14:paraId="59465C94" w14:textId="77777777" w:rsidR="00DF5641" w:rsidRPr="00D354AB" w:rsidRDefault="00DF5641" w:rsidP="00FF0D9A">
            <w:pPr>
              <w:ind w:left="85" w:right="136"/>
              <w:jc w:val="both"/>
              <w:rPr>
                <w:sz w:val="20"/>
                <w:szCs w:val="20"/>
                <w:lang w:val="es-ES"/>
              </w:rPr>
            </w:pPr>
            <w:r w:rsidRPr="00D354AB">
              <w:rPr>
                <w:sz w:val="20"/>
                <w:szCs w:val="20"/>
                <w:lang w:val="es-ES"/>
              </w:rPr>
              <w:t>Será el promedio aritmético simple de la tasa de interés para depósitos a plazo fijo de más de $ 1.000.000 (Pesos un millón) por períodos de entre treinta (30) y treinta y cinco (35) días de plazo de bancos privados de Argentina publicada por el BCRA (la “</w:t>
            </w:r>
            <w:r w:rsidRPr="00D354AB">
              <w:rPr>
                <w:sz w:val="20"/>
                <w:szCs w:val="20"/>
                <w:u w:val="single"/>
                <w:lang w:val="es-ES"/>
              </w:rPr>
              <w:t>Tasa BADLAR Privada</w:t>
            </w:r>
            <w:r w:rsidRPr="00D354AB">
              <w:rPr>
                <w:sz w:val="20"/>
                <w:szCs w:val="20"/>
                <w:lang w:val="es-ES"/>
              </w:rPr>
              <w:t>”), durante el período que se inicia el séptimo Día Hábil anterior al inicio de cada Período de Devengamiento de Intereses y finaliza el séptimo Día Hábil anterior a la Fecha de Pago de Intereses correspondiente, incluyendo el primer día, pero excluyendo el último día.</w:t>
            </w:r>
          </w:p>
          <w:p w14:paraId="7B5A8463" w14:textId="77777777" w:rsidR="00DF5641" w:rsidRPr="00D354AB" w:rsidRDefault="00DF5641" w:rsidP="00FF0D9A">
            <w:pPr>
              <w:ind w:left="85" w:right="136"/>
              <w:jc w:val="both"/>
              <w:rPr>
                <w:sz w:val="20"/>
                <w:szCs w:val="20"/>
                <w:lang w:val="es-ES"/>
              </w:rPr>
            </w:pPr>
          </w:p>
          <w:p w14:paraId="5A95B603" w14:textId="77777777" w:rsidR="00DF5641" w:rsidRPr="00D354AB" w:rsidRDefault="00DF5641" w:rsidP="00FF0D9A">
            <w:pPr>
              <w:ind w:left="85" w:right="136"/>
              <w:jc w:val="both"/>
              <w:rPr>
                <w:sz w:val="20"/>
                <w:szCs w:val="20"/>
                <w:lang w:val="es-ES"/>
              </w:rPr>
            </w:pPr>
            <w:r w:rsidRPr="00D354AB">
              <w:rPr>
                <w:sz w:val="20"/>
                <w:szCs w:val="20"/>
                <w:lang w:val="es-ES"/>
              </w:rPr>
              <w:t>En caso de que la Tasa BADLAR Privada dejare de ser informada por el BCRA, se tomará: (i) la tasa sustitutiva de la Tasa BADLAR Privada que informe el BCRA o (ii) en caso de no existir o no informarse la tasa sustitutiva indicada en (i) precedente, el Agente de Cálculo calculará la Tasa de Referencia, considerando el promedio de tasas informadas para depósitos a plazos fijo de más de $ 1.000.000 (Pesos un millón) por períodos de entre treinta (30) y treinta y cinco (35) días de plazo de los cinco (5) primeros bancos privados de Argentina. A fin de seleccionar los cinco (5) primeros bancos privados se considerará el último informe de depósitos disponibles publicados por el BCRA.</w:t>
            </w:r>
          </w:p>
          <w:p w14:paraId="3C74683B" w14:textId="77777777" w:rsidR="00DF5641" w:rsidRPr="00D354AB" w:rsidRDefault="00DF5641" w:rsidP="00FF0D9A">
            <w:pPr>
              <w:widowControl w:val="0"/>
              <w:ind w:left="85"/>
              <w:jc w:val="both"/>
              <w:rPr>
                <w:sz w:val="20"/>
                <w:szCs w:val="20"/>
                <w:lang w:val="es-AR"/>
              </w:rPr>
            </w:pPr>
          </w:p>
        </w:tc>
      </w:tr>
      <w:tr w:rsidR="00DF5641" w:rsidRPr="0086608C" w14:paraId="410C52B5" w14:textId="77777777" w:rsidTr="00FF0D9A">
        <w:trPr>
          <w:trHeight w:val="20"/>
        </w:trPr>
        <w:tc>
          <w:tcPr>
            <w:tcW w:w="1205" w:type="pct"/>
          </w:tcPr>
          <w:p w14:paraId="2BD953AE" w14:textId="77777777" w:rsidR="00DF5641" w:rsidRPr="00D354AB" w:rsidRDefault="00DF5641" w:rsidP="00FF0D9A">
            <w:pPr>
              <w:widowControl w:val="0"/>
              <w:jc w:val="left"/>
              <w:rPr>
                <w:b/>
                <w:bCs/>
                <w:sz w:val="20"/>
                <w:szCs w:val="20"/>
                <w:lang w:val="es-AR"/>
              </w:rPr>
            </w:pPr>
            <w:r w:rsidRPr="00D354AB">
              <w:rPr>
                <w:b/>
                <w:sz w:val="20"/>
                <w:szCs w:val="20"/>
                <w:lang w:val="es-ES"/>
              </w:rPr>
              <w:t xml:space="preserve">Margen de Corte </w:t>
            </w:r>
          </w:p>
        </w:tc>
        <w:tc>
          <w:tcPr>
            <w:tcW w:w="3795" w:type="pct"/>
          </w:tcPr>
          <w:p w14:paraId="4B6BFAF3" w14:textId="3D07F498" w:rsidR="00DF5641" w:rsidRPr="00D354AB" w:rsidRDefault="00DF5641" w:rsidP="00FF0D9A">
            <w:pPr>
              <w:ind w:left="85" w:right="136"/>
              <w:jc w:val="both"/>
              <w:rPr>
                <w:sz w:val="20"/>
                <w:szCs w:val="20"/>
                <w:lang w:val="es-ES"/>
              </w:rPr>
            </w:pPr>
            <w:r w:rsidRPr="00D354AB">
              <w:rPr>
                <w:sz w:val="20"/>
                <w:szCs w:val="20"/>
                <w:lang w:val="es-ES"/>
              </w:rPr>
              <w:t xml:space="preserve">Es la cantidad de puntos básicos (expresado como porcentaje nominal anual) a adicionarse a la Tasa de Referencia en cada Período de Devengamiento de Intereses. El Margen de Corte será determinado luego del cierre del Período de </w:t>
            </w:r>
            <w:r w:rsidR="008F6386">
              <w:rPr>
                <w:sz w:val="20"/>
                <w:szCs w:val="20"/>
                <w:lang w:val="es-ES"/>
              </w:rPr>
              <w:t>Subasta Pública</w:t>
            </w:r>
            <w:r w:rsidRPr="00D354AB">
              <w:rPr>
                <w:sz w:val="20"/>
                <w:szCs w:val="20"/>
                <w:lang w:val="es-ES"/>
              </w:rPr>
              <w:t xml:space="preserve"> y antes de la Fecha de Emisión y Liquidación e informado mediante el Aviso de Resultados. Dicha determinación será efectuada sobre la base del resultado del proceso </w:t>
            </w:r>
            <w:r w:rsidR="002104FB" w:rsidRPr="00D354AB">
              <w:rPr>
                <w:sz w:val="20"/>
                <w:szCs w:val="20"/>
                <w:lang w:val="es-ES"/>
              </w:rPr>
              <w:t>licitatorio</w:t>
            </w:r>
            <w:r w:rsidRPr="00D354AB">
              <w:rPr>
                <w:sz w:val="20"/>
                <w:szCs w:val="20"/>
                <w:lang w:val="es-ES"/>
              </w:rPr>
              <w:t>, conforme se detalla en la sección “</w:t>
            </w:r>
            <w:r w:rsidRPr="00D354AB">
              <w:rPr>
                <w:i/>
                <w:sz w:val="20"/>
                <w:szCs w:val="20"/>
                <w:lang w:val="es-ES"/>
              </w:rPr>
              <w:t>Plan de Distribución</w:t>
            </w:r>
            <w:r w:rsidRPr="00D354AB">
              <w:rPr>
                <w:sz w:val="20"/>
                <w:szCs w:val="20"/>
                <w:lang w:val="es-ES"/>
              </w:rPr>
              <w:t>” de este Suplemento de Pro</w:t>
            </w:r>
            <w:r w:rsidR="00801F89" w:rsidRPr="00D354AB">
              <w:rPr>
                <w:sz w:val="20"/>
                <w:szCs w:val="20"/>
                <w:lang w:val="es-ES"/>
              </w:rPr>
              <w:t>specto</w:t>
            </w:r>
            <w:r w:rsidRPr="00D354AB">
              <w:rPr>
                <w:sz w:val="20"/>
                <w:szCs w:val="20"/>
                <w:lang w:val="es-ES"/>
              </w:rPr>
              <w:t>.</w:t>
            </w:r>
          </w:p>
          <w:p w14:paraId="088713B9" w14:textId="77777777" w:rsidR="00DF5641" w:rsidRPr="00D354AB" w:rsidRDefault="00DF5641" w:rsidP="00FF0D9A">
            <w:pPr>
              <w:widowControl w:val="0"/>
              <w:ind w:left="85"/>
              <w:jc w:val="both"/>
              <w:rPr>
                <w:sz w:val="20"/>
                <w:szCs w:val="20"/>
                <w:lang w:val="es-AR"/>
              </w:rPr>
            </w:pPr>
          </w:p>
        </w:tc>
      </w:tr>
      <w:tr w:rsidR="00DF5641" w:rsidRPr="0086608C" w14:paraId="45FA8C3C" w14:textId="77777777" w:rsidTr="00FF0D9A">
        <w:trPr>
          <w:trHeight w:val="20"/>
        </w:trPr>
        <w:tc>
          <w:tcPr>
            <w:tcW w:w="1205" w:type="pct"/>
          </w:tcPr>
          <w:p w14:paraId="10CDD3EE" w14:textId="77777777" w:rsidR="00DF5641" w:rsidRPr="00D354AB" w:rsidRDefault="00DF5641" w:rsidP="00FF0D9A">
            <w:pPr>
              <w:widowControl w:val="0"/>
              <w:jc w:val="left"/>
              <w:rPr>
                <w:b/>
                <w:bCs/>
                <w:sz w:val="20"/>
                <w:szCs w:val="20"/>
                <w:lang w:val="es-AR"/>
              </w:rPr>
            </w:pPr>
            <w:r w:rsidRPr="00D354AB">
              <w:rPr>
                <w:b/>
                <w:bCs/>
                <w:sz w:val="20"/>
                <w:szCs w:val="20"/>
                <w:lang w:val="es-AR"/>
              </w:rPr>
              <w:t>Amortización</w:t>
            </w:r>
          </w:p>
          <w:p w14:paraId="434813B3" w14:textId="77777777" w:rsidR="00DF5641" w:rsidRPr="00D354AB" w:rsidRDefault="00DF5641" w:rsidP="00FF0D9A">
            <w:pPr>
              <w:widowControl w:val="0"/>
              <w:jc w:val="left"/>
              <w:rPr>
                <w:b/>
                <w:bCs/>
                <w:sz w:val="20"/>
                <w:szCs w:val="20"/>
                <w:lang w:val="es-AR"/>
              </w:rPr>
            </w:pPr>
          </w:p>
        </w:tc>
        <w:tc>
          <w:tcPr>
            <w:tcW w:w="3795" w:type="pct"/>
          </w:tcPr>
          <w:p w14:paraId="3F288362" w14:textId="42DF209B" w:rsidR="00DF5641" w:rsidRPr="00D354AB" w:rsidRDefault="00DF5641" w:rsidP="00FF0D9A">
            <w:pPr>
              <w:widowControl w:val="0"/>
              <w:jc w:val="both"/>
              <w:rPr>
                <w:sz w:val="20"/>
                <w:szCs w:val="20"/>
                <w:lang w:val="es-AR"/>
              </w:rPr>
            </w:pPr>
            <w:r w:rsidRPr="00D354AB">
              <w:rPr>
                <w:sz w:val="20"/>
                <w:szCs w:val="20"/>
                <w:lang w:val="es-AR"/>
              </w:rPr>
              <w:t xml:space="preserve">El 100% del valor nominal de las Obligaciones Negociables </w:t>
            </w:r>
            <w:r w:rsidR="00B10C08" w:rsidRPr="00D354AB">
              <w:rPr>
                <w:sz w:val="20"/>
                <w:szCs w:val="20"/>
                <w:lang w:val="es-AR"/>
              </w:rPr>
              <w:t xml:space="preserve">Clase XVII </w:t>
            </w:r>
            <w:r w:rsidRPr="00D354AB">
              <w:rPr>
                <w:sz w:val="20"/>
                <w:szCs w:val="20"/>
                <w:lang w:val="es-AR"/>
              </w:rPr>
              <w:t>será pagado en una sola cuota en la Fecha de Vencimiento</w:t>
            </w:r>
            <w:r w:rsidR="00D20C68" w:rsidRPr="00D354AB">
              <w:rPr>
                <w:sz w:val="20"/>
                <w:szCs w:val="20"/>
                <w:lang w:val="es-AR"/>
              </w:rPr>
              <w:t xml:space="preserve"> de la Clase XVII</w:t>
            </w:r>
            <w:r w:rsidR="00425EC2" w:rsidRPr="00D354AB">
              <w:rPr>
                <w:sz w:val="20"/>
                <w:szCs w:val="20"/>
                <w:lang w:val="es-AR"/>
              </w:rPr>
              <w:t>, según se define más adelante</w:t>
            </w:r>
            <w:r w:rsidRPr="00D354AB">
              <w:rPr>
                <w:sz w:val="20"/>
                <w:szCs w:val="20"/>
                <w:lang w:val="es-AR"/>
              </w:rPr>
              <w:t>.</w:t>
            </w:r>
          </w:p>
          <w:p w14:paraId="104519C6" w14:textId="77777777" w:rsidR="00DF5641" w:rsidRPr="00D354AB" w:rsidRDefault="00DF5641" w:rsidP="00FF0D9A">
            <w:pPr>
              <w:widowControl w:val="0"/>
              <w:jc w:val="both"/>
              <w:rPr>
                <w:sz w:val="20"/>
                <w:szCs w:val="20"/>
                <w:lang w:val="es-AR"/>
              </w:rPr>
            </w:pPr>
          </w:p>
        </w:tc>
      </w:tr>
      <w:tr w:rsidR="00DF5641" w:rsidRPr="0086608C" w14:paraId="436EB6F2" w14:textId="77777777" w:rsidTr="00FF0D9A">
        <w:trPr>
          <w:trHeight w:val="20"/>
        </w:trPr>
        <w:tc>
          <w:tcPr>
            <w:tcW w:w="1205" w:type="pct"/>
          </w:tcPr>
          <w:p w14:paraId="37E2A254" w14:textId="77777777" w:rsidR="00DF5641" w:rsidRPr="00D354AB" w:rsidRDefault="00DF5641" w:rsidP="00FF0D9A">
            <w:pPr>
              <w:widowControl w:val="0"/>
              <w:jc w:val="left"/>
              <w:rPr>
                <w:b/>
                <w:sz w:val="20"/>
                <w:szCs w:val="20"/>
                <w:lang w:val="es-AR"/>
              </w:rPr>
            </w:pPr>
            <w:r w:rsidRPr="00D354AB">
              <w:rPr>
                <w:b/>
                <w:sz w:val="20"/>
                <w:szCs w:val="20"/>
                <w:lang w:val="es-AR"/>
              </w:rPr>
              <w:t>Fecha de Vencimiento</w:t>
            </w:r>
          </w:p>
        </w:tc>
        <w:tc>
          <w:tcPr>
            <w:tcW w:w="3795" w:type="pct"/>
          </w:tcPr>
          <w:p w14:paraId="0C7A43C4" w14:textId="333D82C3" w:rsidR="00DF5641" w:rsidRPr="00D354AB" w:rsidRDefault="00DF5641" w:rsidP="00FF0D9A">
            <w:pPr>
              <w:widowControl w:val="0"/>
              <w:jc w:val="both"/>
              <w:rPr>
                <w:sz w:val="20"/>
                <w:szCs w:val="20"/>
                <w:lang w:val="es-AR"/>
              </w:rPr>
            </w:pPr>
            <w:r w:rsidRPr="00D354AB">
              <w:rPr>
                <w:sz w:val="20"/>
                <w:szCs w:val="20"/>
                <w:lang w:val="es-AR"/>
              </w:rPr>
              <w:t xml:space="preserve">Las Obligaciones Negociables </w:t>
            </w:r>
            <w:r w:rsidR="00B10C08" w:rsidRPr="00D354AB">
              <w:rPr>
                <w:sz w:val="20"/>
                <w:szCs w:val="20"/>
                <w:lang w:val="es-AR"/>
              </w:rPr>
              <w:t>Clase XVII</w:t>
            </w:r>
            <w:r w:rsidRPr="00D354AB">
              <w:rPr>
                <w:sz w:val="20"/>
                <w:szCs w:val="20"/>
                <w:lang w:val="es-AR"/>
              </w:rPr>
              <w:t xml:space="preserve"> vencerán a los </w:t>
            </w:r>
            <w:r w:rsidR="002104FB" w:rsidRPr="00D354AB">
              <w:rPr>
                <w:sz w:val="20"/>
                <w:szCs w:val="20"/>
                <w:lang w:val="es-AR"/>
              </w:rPr>
              <w:t>180</w:t>
            </w:r>
            <w:r w:rsidR="00B10C08" w:rsidRPr="00D354AB">
              <w:rPr>
                <w:sz w:val="20"/>
                <w:szCs w:val="20"/>
                <w:lang w:val="es-AR"/>
              </w:rPr>
              <w:t xml:space="preserve"> </w:t>
            </w:r>
            <w:r w:rsidR="00651E2E" w:rsidRPr="00D354AB">
              <w:rPr>
                <w:sz w:val="20"/>
                <w:szCs w:val="20"/>
                <w:lang w:val="es-AR"/>
              </w:rPr>
              <w:t>(</w:t>
            </w:r>
            <w:r w:rsidR="002104FB" w:rsidRPr="00D354AB">
              <w:rPr>
                <w:sz w:val="20"/>
                <w:szCs w:val="20"/>
                <w:lang w:val="es-AR"/>
              </w:rPr>
              <w:t>ciento ochenta</w:t>
            </w:r>
            <w:r w:rsidR="00651E2E" w:rsidRPr="00D354AB">
              <w:rPr>
                <w:sz w:val="20"/>
                <w:szCs w:val="20"/>
                <w:lang w:val="es-AR"/>
              </w:rPr>
              <w:t>)</w:t>
            </w:r>
            <w:r w:rsidRPr="00D354AB">
              <w:rPr>
                <w:sz w:val="20"/>
                <w:szCs w:val="20"/>
                <w:lang w:val="es-AR"/>
              </w:rPr>
              <w:t xml:space="preserve"> </w:t>
            </w:r>
            <w:r w:rsidR="002104FB" w:rsidRPr="00D354AB">
              <w:rPr>
                <w:sz w:val="20"/>
                <w:szCs w:val="20"/>
                <w:lang w:val="es-AR"/>
              </w:rPr>
              <w:t xml:space="preserve">días </w:t>
            </w:r>
            <w:r w:rsidRPr="00D354AB">
              <w:rPr>
                <w:sz w:val="20"/>
                <w:szCs w:val="20"/>
                <w:lang w:val="es-AR"/>
              </w:rPr>
              <w:t>computados desde la Fecha de Emisión y Liquidación, o el Día Hábil inmediato posterior si dicha fecha no fuese un Día Hábil (la “</w:t>
            </w:r>
            <w:r w:rsidRPr="00D354AB">
              <w:rPr>
                <w:sz w:val="20"/>
                <w:szCs w:val="20"/>
                <w:u w:val="single"/>
                <w:lang w:val="es-AR"/>
              </w:rPr>
              <w:t xml:space="preserve">Fecha de Vencimiento de la </w:t>
            </w:r>
            <w:r w:rsidR="00425EC2" w:rsidRPr="00D354AB">
              <w:rPr>
                <w:sz w:val="20"/>
                <w:szCs w:val="20"/>
                <w:u w:val="single"/>
                <w:lang w:val="es-AR"/>
              </w:rPr>
              <w:t>Clase XVII</w:t>
            </w:r>
            <w:r w:rsidRPr="00D354AB">
              <w:rPr>
                <w:sz w:val="20"/>
                <w:szCs w:val="20"/>
                <w:lang w:val="es-AR"/>
              </w:rPr>
              <w:t>”).</w:t>
            </w:r>
          </w:p>
          <w:p w14:paraId="4986621C" w14:textId="77777777" w:rsidR="00DF5641" w:rsidRPr="00D354AB" w:rsidRDefault="00DF5641" w:rsidP="00FF0D9A">
            <w:pPr>
              <w:widowControl w:val="0"/>
              <w:jc w:val="both"/>
              <w:rPr>
                <w:sz w:val="20"/>
                <w:szCs w:val="20"/>
                <w:lang w:val="es-AR"/>
              </w:rPr>
            </w:pPr>
          </w:p>
        </w:tc>
      </w:tr>
      <w:tr w:rsidR="00DF5641" w:rsidRPr="00AA31B7" w14:paraId="7AE09F7B" w14:textId="77777777" w:rsidTr="00FF0D9A">
        <w:trPr>
          <w:trHeight w:val="20"/>
        </w:trPr>
        <w:tc>
          <w:tcPr>
            <w:tcW w:w="1205" w:type="pct"/>
          </w:tcPr>
          <w:p w14:paraId="096D358A" w14:textId="77777777" w:rsidR="00DF5641" w:rsidRPr="00D354AB" w:rsidRDefault="00DF5641" w:rsidP="00FF0D9A">
            <w:pPr>
              <w:widowControl w:val="0"/>
              <w:jc w:val="left"/>
              <w:rPr>
                <w:b/>
                <w:sz w:val="20"/>
                <w:szCs w:val="20"/>
                <w:lang w:val="es-AR"/>
              </w:rPr>
            </w:pPr>
            <w:r w:rsidRPr="00D354AB">
              <w:rPr>
                <w:b/>
                <w:sz w:val="20"/>
                <w:szCs w:val="20"/>
                <w:lang w:val="es-AR"/>
              </w:rPr>
              <w:t xml:space="preserve">Calificación de Riesgo </w:t>
            </w:r>
          </w:p>
        </w:tc>
        <w:tc>
          <w:tcPr>
            <w:tcW w:w="3795" w:type="pct"/>
          </w:tcPr>
          <w:p w14:paraId="3DAB9785" w14:textId="7FB09766" w:rsidR="00DF5641" w:rsidRPr="00D354AB" w:rsidRDefault="00DF5641" w:rsidP="00FF0D9A">
            <w:pPr>
              <w:widowControl w:val="0"/>
              <w:jc w:val="both"/>
              <w:rPr>
                <w:sz w:val="20"/>
                <w:szCs w:val="20"/>
                <w:lang w:val="es-AR"/>
              </w:rPr>
            </w:pPr>
            <w:r w:rsidRPr="00D354AB">
              <w:rPr>
                <w:rFonts w:eastAsia="MS Mincho"/>
                <w:sz w:val="20"/>
                <w:szCs w:val="20"/>
                <w:lang w:val="es-AR"/>
              </w:rPr>
              <w:t xml:space="preserve">Las Obligaciones Negociables </w:t>
            </w:r>
            <w:r w:rsidR="00425EC2" w:rsidRPr="00D354AB">
              <w:rPr>
                <w:rFonts w:eastAsia="MS Mincho"/>
                <w:sz w:val="20"/>
                <w:szCs w:val="20"/>
                <w:lang w:val="es-AR"/>
              </w:rPr>
              <w:t>Clase XVII</w:t>
            </w:r>
            <w:r w:rsidRPr="00D354AB">
              <w:rPr>
                <w:rFonts w:eastAsia="MS Mincho"/>
                <w:sz w:val="20"/>
                <w:szCs w:val="20"/>
                <w:lang w:val="es-AR"/>
              </w:rPr>
              <w:t xml:space="preserve"> cuentan solamente con una calificación de riesgo, que ha sido otorgada el </w:t>
            </w:r>
            <w:r w:rsidR="00AA31B7">
              <w:rPr>
                <w:sz w:val="20"/>
                <w:szCs w:val="20"/>
                <w:lang w:val="es-AR"/>
              </w:rPr>
              <w:t>5</w:t>
            </w:r>
            <w:r w:rsidR="00AA31B7" w:rsidRPr="00D354AB">
              <w:rPr>
                <w:sz w:val="20"/>
                <w:szCs w:val="20"/>
                <w:lang w:val="es-AR"/>
              </w:rPr>
              <w:t xml:space="preserve"> </w:t>
            </w:r>
            <w:r w:rsidR="00AB1B43" w:rsidRPr="00D354AB">
              <w:rPr>
                <w:sz w:val="20"/>
                <w:szCs w:val="20"/>
                <w:lang w:val="es-AR"/>
              </w:rPr>
              <w:t xml:space="preserve">de </w:t>
            </w:r>
            <w:r w:rsidR="00425EC2" w:rsidRPr="00D354AB">
              <w:rPr>
                <w:rFonts w:eastAsia="MS Mincho"/>
                <w:sz w:val="20"/>
                <w:szCs w:val="20"/>
                <w:lang w:val="es-AR"/>
              </w:rPr>
              <w:t xml:space="preserve">diciembre </w:t>
            </w:r>
            <w:r w:rsidRPr="00D354AB">
              <w:rPr>
                <w:rFonts w:eastAsia="MS Mincho"/>
                <w:sz w:val="20"/>
                <w:szCs w:val="20"/>
                <w:lang w:val="es-AR"/>
              </w:rPr>
              <w:t xml:space="preserve">de 2019 por </w:t>
            </w:r>
            <w:r w:rsidRPr="00D354AB">
              <w:rPr>
                <w:bCs/>
                <w:sz w:val="20"/>
                <w:szCs w:val="20"/>
                <w:lang w:val="es-AR"/>
              </w:rPr>
              <w:t>FIX SCR S.A.</w:t>
            </w:r>
            <w:r w:rsidRPr="00D354AB">
              <w:rPr>
                <w:bCs/>
                <w:smallCaps/>
                <w:sz w:val="20"/>
                <w:szCs w:val="20"/>
                <w:lang w:val="es-AR"/>
              </w:rPr>
              <w:t xml:space="preserve"> </w:t>
            </w:r>
            <w:r w:rsidRPr="00D354AB">
              <w:rPr>
                <w:rFonts w:eastAsia="MS Mincho"/>
                <w:sz w:val="20"/>
                <w:szCs w:val="20"/>
                <w:lang w:val="es-AR"/>
              </w:rPr>
              <w:t xml:space="preserve">Agente de Calificación de Riesgo, habiendo obtenido la calificación </w:t>
            </w:r>
            <w:r w:rsidR="00AA31B7">
              <w:rPr>
                <w:rFonts w:eastAsia="MS Mincho"/>
                <w:sz w:val="20"/>
                <w:szCs w:val="20"/>
                <w:lang w:val="es-AR"/>
              </w:rPr>
              <w:t>“</w:t>
            </w:r>
            <w:r w:rsidR="00AA31B7">
              <w:rPr>
                <w:bCs/>
                <w:sz w:val="20"/>
                <w:szCs w:val="20"/>
                <w:lang w:val="es-AR"/>
              </w:rPr>
              <w:t>A1+(arg)</w:t>
            </w:r>
            <w:r w:rsidR="00AA31B7" w:rsidRPr="00D354AB">
              <w:rPr>
                <w:bCs/>
                <w:sz w:val="20"/>
                <w:szCs w:val="20"/>
                <w:lang w:val="es-AR"/>
              </w:rPr>
              <w:t>”</w:t>
            </w:r>
            <w:r w:rsidR="00AA31B7" w:rsidRPr="00D354AB">
              <w:rPr>
                <w:smallCaps/>
                <w:sz w:val="20"/>
                <w:szCs w:val="20"/>
                <w:lang w:val="es-AR"/>
              </w:rPr>
              <w:t>.</w:t>
            </w:r>
            <w:r w:rsidR="00AA31B7" w:rsidRPr="00D354AB">
              <w:rPr>
                <w:rFonts w:eastAsia="MS Mincho"/>
                <w:sz w:val="20"/>
                <w:szCs w:val="20"/>
                <w:lang w:val="es-AR"/>
              </w:rPr>
              <w:t xml:space="preserve"> </w:t>
            </w:r>
            <w:r w:rsidR="006C1EFA" w:rsidRPr="00D354AB">
              <w:rPr>
                <w:rFonts w:eastAsia="MS Mincho"/>
                <w:sz w:val="20"/>
                <w:szCs w:val="20"/>
                <w:lang w:val="es-AR"/>
              </w:rPr>
              <w:t>Véase</w:t>
            </w:r>
            <w:r w:rsidRPr="00D354AB">
              <w:rPr>
                <w:rFonts w:eastAsia="MS Mincho"/>
                <w:sz w:val="20"/>
                <w:szCs w:val="20"/>
                <w:lang w:val="es-AR"/>
              </w:rPr>
              <w:t xml:space="preserve"> al respecto “</w:t>
            </w:r>
            <w:r w:rsidRPr="00D354AB">
              <w:rPr>
                <w:rFonts w:eastAsia="MS Mincho"/>
                <w:i/>
                <w:sz w:val="20"/>
                <w:szCs w:val="20"/>
                <w:lang w:val="es-AR"/>
              </w:rPr>
              <w:t>Calificación de Riesgo</w:t>
            </w:r>
            <w:r w:rsidRPr="00D354AB">
              <w:rPr>
                <w:rFonts w:eastAsia="MS Mincho"/>
                <w:sz w:val="20"/>
                <w:szCs w:val="20"/>
                <w:lang w:val="es-AR"/>
              </w:rPr>
              <w:t>” del presente.</w:t>
            </w:r>
          </w:p>
        </w:tc>
      </w:tr>
    </w:tbl>
    <w:p w14:paraId="44B8CD55" w14:textId="0F357DE6" w:rsidR="00DF5641" w:rsidRPr="00C436CD" w:rsidRDefault="00DF5641" w:rsidP="00BB2DA6">
      <w:pPr>
        <w:pStyle w:val="Prrafodelista"/>
        <w:numPr>
          <w:ilvl w:val="0"/>
          <w:numId w:val="30"/>
        </w:numPr>
        <w:rPr>
          <w:b/>
          <w:sz w:val="20"/>
          <w:lang w:val="es-MX"/>
        </w:rPr>
      </w:pPr>
      <w:r w:rsidRPr="00D354AB">
        <w:rPr>
          <w:b/>
          <w:smallCaps/>
          <w:sz w:val="20"/>
          <w:szCs w:val="20"/>
          <w:lang w:val="es-AR"/>
        </w:rPr>
        <w:br w:type="page"/>
      </w:r>
      <w:r w:rsidRPr="00D354AB">
        <w:rPr>
          <w:b/>
          <w:bCs/>
          <w:sz w:val="20"/>
          <w:szCs w:val="20"/>
          <w:lang w:val="es-MX"/>
        </w:rPr>
        <w:lastRenderedPageBreak/>
        <w:t>T</w:t>
      </w:r>
      <w:r w:rsidRPr="00C436CD">
        <w:rPr>
          <w:b/>
          <w:sz w:val="20"/>
          <w:lang w:val="es-MX"/>
        </w:rPr>
        <w:t xml:space="preserve">ÉRMINOS Y </w:t>
      </w:r>
      <w:r w:rsidRPr="00D354AB">
        <w:rPr>
          <w:b/>
          <w:bCs/>
          <w:sz w:val="20"/>
          <w:szCs w:val="20"/>
          <w:lang w:val="es-MX"/>
        </w:rPr>
        <w:t>C</w:t>
      </w:r>
      <w:r w:rsidRPr="00C436CD">
        <w:rPr>
          <w:b/>
          <w:sz w:val="20"/>
          <w:lang w:val="es-MX"/>
        </w:rPr>
        <w:t xml:space="preserve">ONDICIONES </w:t>
      </w:r>
      <w:r w:rsidRPr="00D354AB">
        <w:rPr>
          <w:b/>
          <w:bCs/>
          <w:sz w:val="20"/>
          <w:szCs w:val="20"/>
          <w:lang w:val="es-MX"/>
        </w:rPr>
        <w:t>A</w:t>
      </w:r>
      <w:r w:rsidRPr="00C436CD">
        <w:rPr>
          <w:b/>
          <w:sz w:val="20"/>
          <w:lang w:val="es-MX"/>
        </w:rPr>
        <w:t xml:space="preserve">DICIONALES DE LAS </w:t>
      </w:r>
      <w:r w:rsidRPr="00D354AB">
        <w:rPr>
          <w:b/>
          <w:bCs/>
          <w:sz w:val="20"/>
          <w:szCs w:val="20"/>
          <w:lang w:val="es-MX"/>
        </w:rPr>
        <w:t>O</w:t>
      </w:r>
      <w:r w:rsidRPr="00C436CD">
        <w:rPr>
          <w:b/>
          <w:sz w:val="20"/>
          <w:lang w:val="es-MX"/>
        </w:rPr>
        <w:t xml:space="preserve">BLIGACIONES </w:t>
      </w:r>
      <w:r w:rsidRPr="00D354AB">
        <w:rPr>
          <w:b/>
          <w:bCs/>
          <w:sz w:val="20"/>
          <w:szCs w:val="20"/>
          <w:lang w:val="es-MX"/>
        </w:rPr>
        <w:t>N</w:t>
      </w:r>
      <w:r w:rsidRPr="00C436CD">
        <w:rPr>
          <w:b/>
          <w:sz w:val="20"/>
          <w:lang w:val="es-MX"/>
        </w:rPr>
        <w:t>EGOCIABLES</w:t>
      </w:r>
    </w:p>
    <w:p w14:paraId="00AA00D0" w14:textId="77777777" w:rsidR="00DF5641" w:rsidRPr="00C436CD" w:rsidRDefault="00DF5641" w:rsidP="00DF5641">
      <w:pPr>
        <w:rPr>
          <w:sz w:val="20"/>
          <w:lang w:val="es-MX"/>
        </w:rPr>
      </w:pPr>
    </w:p>
    <w:p w14:paraId="14EDD141" w14:textId="77777777" w:rsidR="00DF5641" w:rsidRPr="00D354AB" w:rsidRDefault="00DF5641" w:rsidP="00DF5641">
      <w:pPr>
        <w:pStyle w:val="Default"/>
        <w:jc w:val="both"/>
        <w:rPr>
          <w:b/>
          <w:bCs/>
          <w:sz w:val="20"/>
          <w:szCs w:val="20"/>
        </w:rPr>
      </w:pPr>
      <w:r w:rsidRPr="00D354AB">
        <w:rPr>
          <w:b/>
          <w:bCs/>
          <w:sz w:val="20"/>
          <w:szCs w:val="20"/>
        </w:rPr>
        <w:t xml:space="preserve">Deterioro, sustracción, pérdida y destrucción de títulos valores o de sus registros </w:t>
      </w:r>
    </w:p>
    <w:p w14:paraId="02816C1B" w14:textId="77777777" w:rsidR="00DF5641" w:rsidRPr="00D354AB" w:rsidRDefault="00DF5641" w:rsidP="00DF5641">
      <w:pPr>
        <w:pStyle w:val="Default"/>
        <w:jc w:val="both"/>
        <w:rPr>
          <w:sz w:val="20"/>
          <w:szCs w:val="20"/>
        </w:rPr>
      </w:pPr>
    </w:p>
    <w:p w14:paraId="3A1CFD58" w14:textId="77777777" w:rsidR="00DF5641" w:rsidRPr="00D354AB" w:rsidRDefault="00DF5641" w:rsidP="00DF5641">
      <w:pPr>
        <w:pStyle w:val="Default"/>
        <w:jc w:val="both"/>
        <w:rPr>
          <w:i/>
          <w:color w:val="auto"/>
          <w:sz w:val="20"/>
          <w:szCs w:val="20"/>
          <w:lang w:val="es-AR"/>
        </w:rPr>
      </w:pPr>
      <w:r w:rsidRPr="00D354AB">
        <w:rPr>
          <w:i/>
          <w:color w:val="auto"/>
          <w:sz w:val="20"/>
          <w:szCs w:val="20"/>
          <w:lang w:val="es-AR"/>
        </w:rPr>
        <w:t xml:space="preserve">Normas comunes para títulos valores </w:t>
      </w:r>
    </w:p>
    <w:p w14:paraId="052FFDA4" w14:textId="77777777" w:rsidR="00DF5641" w:rsidRPr="00D354AB" w:rsidRDefault="00DF5641" w:rsidP="00DF5641">
      <w:pPr>
        <w:pStyle w:val="Default"/>
        <w:jc w:val="both"/>
        <w:rPr>
          <w:i/>
          <w:color w:val="auto"/>
          <w:sz w:val="20"/>
          <w:szCs w:val="20"/>
          <w:lang w:val="es-AR"/>
        </w:rPr>
      </w:pPr>
    </w:p>
    <w:p w14:paraId="1D223527" w14:textId="77777777" w:rsidR="00DF5641" w:rsidRPr="00D354AB" w:rsidRDefault="00DF5641" w:rsidP="00DF5641">
      <w:pPr>
        <w:pStyle w:val="Default"/>
        <w:jc w:val="both"/>
        <w:rPr>
          <w:color w:val="auto"/>
          <w:sz w:val="20"/>
          <w:szCs w:val="20"/>
          <w:lang w:val="es-AR"/>
        </w:rPr>
      </w:pPr>
      <w:r w:rsidRPr="00D354AB">
        <w:rPr>
          <w:color w:val="auto"/>
          <w:sz w:val="20"/>
          <w:szCs w:val="20"/>
          <w:lang w:val="es-AR"/>
        </w:rPr>
        <w:t xml:space="preserve">El Código Civil y Comercial en su artículo 1852, establece el ámbito de aplicación en caso de sustracción, pérdida o destrucción de títulos valores incorporados a documentos representativos, en tanto no existan normas especiales para tipos determinados de ellos. El procedimiento se lleva a cabo en la jurisdicción del domicilio del creador, en los títulos valores en serie; o en la del lugar de pago, en los títulos valores individuales. Los gastos son a cargo del solicitante. La cancelación del título valor no perjudica los derechos de quien no formula oposición respecto de quien obtiene la cancelación. En los supuestos en que la sentencia que ordena la cancelación queda firme, el juez puede exigir que el solicitante preste caución en resguardo de los derechos del adquirente del título valor cancelado, por un plazo no superior a dos años. </w:t>
      </w:r>
    </w:p>
    <w:p w14:paraId="445DD1F7" w14:textId="22BA72CA" w:rsidR="00DF5641" w:rsidRPr="00D354AB" w:rsidRDefault="00DF5641" w:rsidP="00DF5641">
      <w:pPr>
        <w:pStyle w:val="Default"/>
        <w:jc w:val="both"/>
        <w:rPr>
          <w:color w:val="auto"/>
          <w:sz w:val="20"/>
          <w:szCs w:val="20"/>
          <w:lang w:val="es-AR"/>
        </w:rPr>
      </w:pPr>
      <w:r w:rsidRPr="00D354AB">
        <w:rPr>
          <w:color w:val="auto"/>
          <w:sz w:val="20"/>
          <w:szCs w:val="20"/>
          <w:lang w:val="es-AR"/>
        </w:rPr>
        <w:t xml:space="preserve">En el caso de sustitución por deterioro, el artículo 1853 del Código Civil y Comercial de la Nación establece que el portador de un título valor deteriorado, pero identificable con certeza, tiene derecho a obtener del emisor un duplicado si restituye el original y reembolsa los gastos. Los firmantes del título valor original están obligados a reproducir su firma en el duplicado. </w:t>
      </w:r>
    </w:p>
    <w:p w14:paraId="65D26BA0" w14:textId="77777777" w:rsidR="005B69AF" w:rsidRPr="00D354AB" w:rsidRDefault="005B69AF" w:rsidP="00DF5641">
      <w:pPr>
        <w:pStyle w:val="Default"/>
        <w:jc w:val="both"/>
        <w:rPr>
          <w:color w:val="auto"/>
          <w:sz w:val="20"/>
          <w:szCs w:val="20"/>
          <w:lang w:val="es-AR"/>
        </w:rPr>
      </w:pPr>
    </w:p>
    <w:p w14:paraId="5E4CBE6E" w14:textId="77777777" w:rsidR="00DF5641" w:rsidRPr="00D354AB" w:rsidRDefault="00DF5641" w:rsidP="00DF5641">
      <w:pPr>
        <w:jc w:val="both"/>
        <w:rPr>
          <w:sz w:val="20"/>
          <w:szCs w:val="20"/>
          <w:lang w:val="es-AR"/>
        </w:rPr>
      </w:pPr>
      <w:r w:rsidRPr="00D354AB">
        <w:rPr>
          <w:sz w:val="20"/>
          <w:szCs w:val="20"/>
          <w:lang w:val="es-AR"/>
        </w:rPr>
        <w:t>Seguidamente, el artículo 1854 refiere a que, si los títulos valores instrumentaban obligaciones de otras personas, además de las del emisor, deben reproducirlas en los nuevos títulos. Igualmente debe efectuarse una atestación notarial de correlación. Cuando los terceros se oponen a reproducir instrumentalmente sus obligaciones, debe resolver el juez por el procedimiento contradictorio más breve que prevea la ley local, sin perjuicio del otorgamiento de los títulos valores provisorios o definitivos, cuando corresponda.</w:t>
      </w:r>
    </w:p>
    <w:p w14:paraId="413269A9" w14:textId="77777777" w:rsidR="00DF5641" w:rsidRPr="00D354AB" w:rsidRDefault="00DF5641" w:rsidP="00DF5641">
      <w:pPr>
        <w:jc w:val="both"/>
        <w:rPr>
          <w:sz w:val="20"/>
          <w:szCs w:val="20"/>
          <w:u w:val="single"/>
          <w:lang w:val="es-AR"/>
        </w:rPr>
      </w:pPr>
    </w:p>
    <w:p w14:paraId="460C6138" w14:textId="77777777" w:rsidR="00DF5641" w:rsidRPr="00D354AB" w:rsidRDefault="00DF5641" w:rsidP="00DF5641">
      <w:pPr>
        <w:pStyle w:val="Default"/>
        <w:jc w:val="both"/>
        <w:rPr>
          <w:i/>
          <w:sz w:val="20"/>
          <w:szCs w:val="20"/>
        </w:rPr>
      </w:pPr>
      <w:r w:rsidRPr="00D354AB">
        <w:rPr>
          <w:i/>
          <w:sz w:val="20"/>
          <w:szCs w:val="20"/>
        </w:rPr>
        <w:t xml:space="preserve">Sustracción, pérdida o destrucción de los libros de registro </w:t>
      </w:r>
    </w:p>
    <w:p w14:paraId="63FA7F9A" w14:textId="77777777" w:rsidR="00DF5641" w:rsidRPr="00D354AB" w:rsidRDefault="00DF5641" w:rsidP="00DF5641">
      <w:pPr>
        <w:pStyle w:val="Default"/>
        <w:jc w:val="both"/>
        <w:rPr>
          <w:sz w:val="20"/>
          <w:szCs w:val="20"/>
        </w:rPr>
      </w:pPr>
    </w:p>
    <w:p w14:paraId="1BFE241E" w14:textId="77777777" w:rsidR="00DF5641" w:rsidRPr="00D354AB" w:rsidRDefault="00DF5641" w:rsidP="00DF5641">
      <w:pPr>
        <w:pStyle w:val="Default"/>
        <w:jc w:val="both"/>
        <w:rPr>
          <w:sz w:val="20"/>
          <w:szCs w:val="20"/>
        </w:rPr>
      </w:pPr>
      <w:r w:rsidRPr="00D354AB">
        <w:rPr>
          <w:sz w:val="20"/>
          <w:szCs w:val="20"/>
        </w:rPr>
        <w:t xml:space="preserve">Para el caso de sustracción, pérdida o destrucción de las Obligaciones Negociables, conforme lo prescripto por el artículo 1876 y concordantes del Código Civil y Comercial de la Nación, dicha situación deberá ser denunciada por el Emisor o por quien lo lleva en su nombre, dentro de las veinticuatro horas de conocido el hecho. La denuncia debe efectuarse ante el juez del domicilio del Emisor, con indicación de los elementos necesarios para juzgarla y contener los datos que puede aportar el denunciante sobre las constancias que incluía el libro. Copias de la denuncia deben ser presentadas en igual término al organismo de contralor societario, al organismo de contralor de los mercados de valores y a las entidades expresamente autorizadas por la ley especial o la autoridad de aplicación y cajas de valores respectivos, en su caso. </w:t>
      </w:r>
    </w:p>
    <w:p w14:paraId="7FBC5F52" w14:textId="77777777" w:rsidR="00DF5641" w:rsidRPr="00D354AB" w:rsidRDefault="00DF5641" w:rsidP="00DF5641">
      <w:pPr>
        <w:pStyle w:val="Default"/>
        <w:jc w:val="both"/>
        <w:rPr>
          <w:sz w:val="20"/>
          <w:szCs w:val="20"/>
        </w:rPr>
      </w:pPr>
    </w:p>
    <w:p w14:paraId="78A1D77A" w14:textId="77777777" w:rsidR="00DF5641" w:rsidRPr="00D354AB" w:rsidRDefault="00DF5641" w:rsidP="00DF5641">
      <w:pPr>
        <w:pStyle w:val="Default"/>
        <w:jc w:val="both"/>
        <w:rPr>
          <w:sz w:val="20"/>
          <w:szCs w:val="20"/>
        </w:rPr>
      </w:pPr>
      <w:r w:rsidRPr="00D354AB">
        <w:rPr>
          <w:sz w:val="20"/>
          <w:szCs w:val="20"/>
        </w:rPr>
        <w:t xml:space="preserve">Recibida la denuncia, el juez ordenará la publicación de edictos por cinco días en el Boletín Oficial y en uno de los diarios de mayor circulación en la República Argentina para citar a quienes pretenden derechos sobre los títulos valores respectivos, para que se presenten dentro de los 30 (treinta) días al perito contador que se designe, para alegar y probar cuanto estimen pertinente, bajo apercibimiento de resolverse con las constancias que se agreguen a las actuaciones. Los edictos deben contener los elementos necesarios para identificar al emisor, los títulos valores a los que se refiere el registro y las demás circunstancias que el juez considere oportunas, así como las fechas para ejercer los derechos a que se refiere el artículo 1878 del Código Civil y Comercial de la Nación. Si el emisor tiene establecimientos en distintas jurisdicciones judiciales, los edictos se deben publicar en cada una de ellas. </w:t>
      </w:r>
    </w:p>
    <w:p w14:paraId="73D46BE9" w14:textId="77777777" w:rsidR="00DF5641" w:rsidRPr="00D354AB" w:rsidRDefault="00DF5641" w:rsidP="00DF5641">
      <w:pPr>
        <w:pStyle w:val="Default"/>
        <w:jc w:val="both"/>
        <w:rPr>
          <w:sz w:val="20"/>
          <w:szCs w:val="20"/>
        </w:rPr>
      </w:pPr>
    </w:p>
    <w:p w14:paraId="373CCEF1" w14:textId="77777777" w:rsidR="00DF5641" w:rsidRPr="00D354AB" w:rsidRDefault="00DF5641" w:rsidP="00DF5641">
      <w:pPr>
        <w:pStyle w:val="Default"/>
        <w:jc w:val="both"/>
        <w:rPr>
          <w:sz w:val="20"/>
          <w:szCs w:val="20"/>
        </w:rPr>
      </w:pPr>
      <w:r w:rsidRPr="00D354AB">
        <w:rPr>
          <w:sz w:val="20"/>
          <w:szCs w:val="20"/>
        </w:rPr>
        <w:t xml:space="preserve">Si el emisor ha sido autorizado a la oferta pública de los títulos valores a los que se refiere el registro, la denuncia debe hacerse conocer de inmediato al organismo de contralor de los mercados de valores y a las entidades expresamente autorizadas por la ley especial o la autoridad de aplicación en los que se negocien, debiéndose publicar edictos en los boletines respectivos. Si los títulos valores han sido colocados o negociados públicamente en el exterior, el juez debe ordenar las publicaciones o comunicaciones que estime apropiadas. </w:t>
      </w:r>
    </w:p>
    <w:p w14:paraId="32DBD2C9" w14:textId="77777777" w:rsidR="00DF5641" w:rsidRPr="00D354AB" w:rsidRDefault="00DF5641" w:rsidP="00DF5641">
      <w:pPr>
        <w:pStyle w:val="Default"/>
        <w:jc w:val="both"/>
        <w:rPr>
          <w:sz w:val="20"/>
          <w:szCs w:val="20"/>
        </w:rPr>
      </w:pPr>
    </w:p>
    <w:p w14:paraId="36323DB0" w14:textId="77777777" w:rsidR="00DF5641" w:rsidRPr="00D354AB" w:rsidRDefault="00DF5641" w:rsidP="00DF5641">
      <w:pPr>
        <w:jc w:val="both"/>
        <w:rPr>
          <w:sz w:val="20"/>
          <w:szCs w:val="20"/>
          <w:lang w:val="es-MX"/>
        </w:rPr>
      </w:pPr>
      <w:r w:rsidRPr="00D354AB">
        <w:rPr>
          <w:sz w:val="20"/>
          <w:szCs w:val="20"/>
          <w:lang w:val="es-MX"/>
        </w:rPr>
        <w:t>Las presentaciones se efectúan ante el perito contador designado por el juez. Se aplica el procedimiento de la verificación de créditos en los concursos, incluso en cuanto a los efectos de las resoluciones, los recursos y las presentaciones tardías. Las costas ordinarias del procedimiento son soportadas solidariamente por el emisor y por quien llevaba el libro, sin perjuicio de la repetición entre ellos.</w:t>
      </w:r>
    </w:p>
    <w:p w14:paraId="40756C84" w14:textId="77777777" w:rsidR="00DF5641" w:rsidRPr="00D354AB" w:rsidRDefault="00DF5641" w:rsidP="00DF5641">
      <w:pPr>
        <w:pStyle w:val="Default"/>
        <w:rPr>
          <w:sz w:val="20"/>
          <w:szCs w:val="20"/>
        </w:rPr>
      </w:pPr>
      <w:r w:rsidRPr="00D354AB">
        <w:rPr>
          <w:sz w:val="20"/>
          <w:szCs w:val="20"/>
        </w:rPr>
        <w:t xml:space="preserve">El juez debe disponer la confección de un nuevo libro de registro, en el que se asienten las inscripciones que se ordenen por sentencia firme. El juez puede conceder a los presentantes el ejercicio cautelar de los derechos emergentes de los títulos valores antes de la confección del nuevo libro, en su caso, antes de que se dicte o quede firme la sentencia que ordena la inscripción respecto de un título valor determinado, conforme a la verosimilitud del derecho invocado y, de estimarlo necesario, bajo la caución que determine. En todos los casos, el emisor debe depositar a la orden del juez las prestaciones de contenido patrimonial que sean exigibles. </w:t>
      </w:r>
    </w:p>
    <w:p w14:paraId="73D0ED26" w14:textId="77777777" w:rsidR="00DF5641" w:rsidRPr="00D354AB" w:rsidRDefault="00DF5641" w:rsidP="00DF5641">
      <w:pPr>
        <w:pStyle w:val="Default"/>
        <w:rPr>
          <w:sz w:val="20"/>
          <w:szCs w:val="20"/>
        </w:rPr>
      </w:pPr>
    </w:p>
    <w:p w14:paraId="3126CBE8" w14:textId="77777777" w:rsidR="00DF5641" w:rsidRPr="00D354AB" w:rsidRDefault="00DF5641" w:rsidP="00DF5641">
      <w:pPr>
        <w:jc w:val="both"/>
        <w:rPr>
          <w:sz w:val="20"/>
          <w:szCs w:val="20"/>
          <w:lang w:val="es-MX"/>
        </w:rPr>
      </w:pPr>
      <w:r w:rsidRPr="00D354AB">
        <w:rPr>
          <w:sz w:val="20"/>
          <w:szCs w:val="20"/>
          <w:lang w:val="es-MX"/>
        </w:rPr>
        <w:t>La denuncia de sustracción, pérdida o destrucción del libro de registro autoriza al juez, a pedido de parte interesada y conforme a las circunstancias del caso, a disponer una intervención cautelar o una veeduría respecto del emisor y de quien llevaba el libro, con la extensión que estima pertinente para la adecuada protección de quienes resultan titulares de derechos sobre los títulos valores registrados. Puede, también, ordenar la suspensión de la realización de asambleas, cuando circunstancias excepcionales así lo aconsejen.</w:t>
      </w:r>
    </w:p>
    <w:p w14:paraId="38695BEC" w14:textId="77777777" w:rsidR="00DF5641" w:rsidRPr="00D354AB" w:rsidRDefault="00DF5641" w:rsidP="00DF5641">
      <w:pPr>
        <w:jc w:val="both"/>
        <w:rPr>
          <w:sz w:val="20"/>
          <w:szCs w:val="20"/>
          <w:lang w:val="es-AR"/>
        </w:rPr>
      </w:pPr>
    </w:p>
    <w:p w14:paraId="3CF84201" w14:textId="77777777" w:rsidR="00DF5641" w:rsidRPr="00D354AB" w:rsidRDefault="00DF5641" w:rsidP="00DF5641">
      <w:pPr>
        <w:pStyle w:val="Default"/>
        <w:rPr>
          <w:b/>
          <w:bCs/>
          <w:sz w:val="20"/>
          <w:szCs w:val="20"/>
        </w:rPr>
      </w:pPr>
      <w:r w:rsidRPr="00D354AB">
        <w:rPr>
          <w:b/>
          <w:bCs/>
          <w:sz w:val="20"/>
          <w:szCs w:val="20"/>
        </w:rPr>
        <w:t xml:space="preserve">Calificación de Riesgo </w:t>
      </w:r>
    </w:p>
    <w:p w14:paraId="4423581A" w14:textId="77777777" w:rsidR="00DF5641" w:rsidRPr="00D354AB" w:rsidRDefault="00DF5641" w:rsidP="00DF5641">
      <w:pPr>
        <w:pStyle w:val="Default"/>
        <w:jc w:val="both"/>
        <w:rPr>
          <w:sz w:val="20"/>
          <w:szCs w:val="20"/>
        </w:rPr>
      </w:pPr>
    </w:p>
    <w:p w14:paraId="3C54CC54" w14:textId="02A128BC" w:rsidR="00AB1B43" w:rsidRPr="00D354AB" w:rsidRDefault="00AB1B43" w:rsidP="00DF5641">
      <w:pPr>
        <w:pStyle w:val="Default"/>
        <w:jc w:val="both"/>
        <w:rPr>
          <w:bCs/>
          <w:color w:val="auto"/>
          <w:sz w:val="20"/>
          <w:szCs w:val="20"/>
          <w:lang w:val="es-AR" w:eastAsia="en-US"/>
        </w:rPr>
      </w:pPr>
      <w:r w:rsidRPr="00D354AB">
        <w:rPr>
          <w:sz w:val="20"/>
          <w:szCs w:val="20"/>
        </w:rPr>
        <w:t xml:space="preserve">Con fecha </w:t>
      </w:r>
      <w:r w:rsidR="00AA31B7">
        <w:rPr>
          <w:sz w:val="20"/>
          <w:szCs w:val="20"/>
        </w:rPr>
        <w:t>5</w:t>
      </w:r>
      <w:r w:rsidR="00AA31B7" w:rsidRPr="00D354AB">
        <w:rPr>
          <w:sz w:val="20"/>
          <w:szCs w:val="20"/>
        </w:rPr>
        <w:t xml:space="preserve"> </w:t>
      </w:r>
      <w:r w:rsidRPr="00D354AB">
        <w:rPr>
          <w:sz w:val="20"/>
          <w:szCs w:val="20"/>
        </w:rPr>
        <w:t xml:space="preserve">de </w:t>
      </w:r>
      <w:r w:rsidR="00425EC2" w:rsidRPr="00D354AB">
        <w:rPr>
          <w:sz w:val="20"/>
          <w:szCs w:val="20"/>
        </w:rPr>
        <w:t xml:space="preserve">diciembre </w:t>
      </w:r>
      <w:r w:rsidRPr="00D354AB">
        <w:rPr>
          <w:sz w:val="20"/>
          <w:szCs w:val="20"/>
        </w:rPr>
        <w:t xml:space="preserve">de 2019 FIX SCR S.A. calificó a las Obligaciones Negociables XVII con </w:t>
      </w:r>
      <w:r w:rsidR="00AA31B7" w:rsidRPr="00D354AB">
        <w:rPr>
          <w:sz w:val="20"/>
          <w:szCs w:val="20"/>
        </w:rPr>
        <w:t>“</w:t>
      </w:r>
      <w:r w:rsidR="00AA31B7">
        <w:rPr>
          <w:bCs/>
          <w:color w:val="auto"/>
          <w:sz w:val="20"/>
          <w:szCs w:val="20"/>
          <w:lang w:val="es-AR" w:eastAsia="en-US"/>
        </w:rPr>
        <w:t>A1+(arg)</w:t>
      </w:r>
      <w:r w:rsidR="00AA31B7" w:rsidRPr="00D354AB">
        <w:rPr>
          <w:bCs/>
          <w:sz w:val="20"/>
          <w:szCs w:val="20"/>
          <w:lang w:val="es-AR"/>
        </w:rPr>
        <w:t>”</w:t>
      </w:r>
      <w:r w:rsidR="00AA31B7" w:rsidRPr="00D354AB">
        <w:rPr>
          <w:sz w:val="20"/>
          <w:szCs w:val="20"/>
        </w:rPr>
        <w:t xml:space="preserve"> </w:t>
      </w:r>
      <w:r w:rsidRPr="00D354AB">
        <w:rPr>
          <w:sz w:val="20"/>
          <w:szCs w:val="20"/>
        </w:rPr>
        <w:t>en la escala nacional de largo plazo</w:t>
      </w:r>
      <w:r w:rsidR="00DC5954">
        <w:rPr>
          <w:sz w:val="20"/>
          <w:szCs w:val="20"/>
        </w:rPr>
        <w:t>, lo que indica una muy sólida capacidad de pago en tiempo y forma de los compromisos financieros respecto de otros emisores o emisiones del mismo país</w:t>
      </w:r>
      <w:r w:rsidRPr="00D354AB">
        <w:rPr>
          <w:sz w:val="20"/>
          <w:szCs w:val="20"/>
        </w:rPr>
        <w:t>.</w:t>
      </w:r>
    </w:p>
    <w:p w14:paraId="2D954DCE" w14:textId="004BEBF0" w:rsidR="00DF5641" w:rsidRPr="00D354AB" w:rsidRDefault="00DF5641" w:rsidP="00DF5641">
      <w:pPr>
        <w:pStyle w:val="Default"/>
        <w:jc w:val="both"/>
        <w:rPr>
          <w:sz w:val="20"/>
          <w:szCs w:val="20"/>
        </w:rPr>
      </w:pPr>
      <w:r w:rsidRPr="00D354AB">
        <w:rPr>
          <w:sz w:val="20"/>
          <w:szCs w:val="20"/>
        </w:rPr>
        <w:t xml:space="preserve"> </w:t>
      </w:r>
    </w:p>
    <w:p w14:paraId="53D6932E" w14:textId="77777777" w:rsidR="00DF5641" w:rsidRPr="00D354AB" w:rsidRDefault="00DF5641" w:rsidP="00DF5641">
      <w:pPr>
        <w:pStyle w:val="Default"/>
        <w:jc w:val="both"/>
        <w:rPr>
          <w:sz w:val="20"/>
          <w:szCs w:val="20"/>
        </w:rPr>
      </w:pPr>
      <w:r w:rsidRPr="00D354AB">
        <w:rPr>
          <w:sz w:val="20"/>
          <w:szCs w:val="20"/>
        </w:rPr>
        <w:t xml:space="preserve">Los signos "+" o "-" podrán ser añadidos a una calificación nacional para mostrar una mayor o menor importancia relativa dentro de la correspondiente categoría, y no alteran la definición de la categoría a la cual se los añade. </w:t>
      </w:r>
    </w:p>
    <w:p w14:paraId="69D92027" w14:textId="77777777" w:rsidR="00DF5641" w:rsidRPr="00D354AB" w:rsidRDefault="00DF5641" w:rsidP="00DF5641">
      <w:pPr>
        <w:pStyle w:val="Default"/>
        <w:jc w:val="both"/>
        <w:rPr>
          <w:sz w:val="20"/>
          <w:szCs w:val="20"/>
        </w:rPr>
      </w:pPr>
    </w:p>
    <w:p w14:paraId="49B36D35" w14:textId="77777777" w:rsidR="00DF5641" w:rsidRPr="00D354AB" w:rsidRDefault="00DF5641" w:rsidP="00DF5641">
      <w:pPr>
        <w:pStyle w:val="Default"/>
        <w:jc w:val="both"/>
        <w:rPr>
          <w:sz w:val="20"/>
          <w:szCs w:val="20"/>
        </w:rPr>
      </w:pPr>
      <w:r w:rsidRPr="00D354AB">
        <w:rPr>
          <w:sz w:val="20"/>
          <w:szCs w:val="20"/>
        </w:rPr>
        <w:t xml:space="preserve">La calificación de riesgo de las Obligaciones Negociables Clase XVII podrá ser consultada en la Página Web de la CNV. </w:t>
      </w:r>
    </w:p>
    <w:p w14:paraId="03715975" w14:textId="77777777" w:rsidR="00DF5641" w:rsidRPr="00D354AB" w:rsidRDefault="00DF5641" w:rsidP="00DF5641">
      <w:pPr>
        <w:pStyle w:val="Default"/>
        <w:jc w:val="both"/>
        <w:rPr>
          <w:sz w:val="20"/>
          <w:szCs w:val="20"/>
        </w:rPr>
      </w:pPr>
    </w:p>
    <w:p w14:paraId="2E8190C2" w14:textId="77777777" w:rsidR="00DF5641" w:rsidRPr="00D354AB" w:rsidRDefault="00DF5641" w:rsidP="00DF5641">
      <w:pPr>
        <w:pStyle w:val="Default"/>
        <w:jc w:val="both"/>
        <w:rPr>
          <w:sz w:val="20"/>
          <w:szCs w:val="20"/>
        </w:rPr>
      </w:pPr>
      <w:r w:rsidRPr="00D354AB">
        <w:rPr>
          <w:sz w:val="20"/>
          <w:szCs w:val="20"/>
        </w:rPr>
        <w:t xml:space="preserve">Conforme lo dispuesto en el artículo 25 de la Sección VIII del Capítulo I del Título IX de las Normas de la CNV, los emisores que en forma voluntaria soliciten el servicio de calificación de riesgo de los valores negociables al momento de su emisión deberán mantenerlo hasta su cancelación total salvo consentimiento unánime de los tenedores de los valores negociables emitidos. </w:t>
      </w:r>
    </w:p>
    <w:p w14:paraId="3B9B1F3E" w14:textId="77777777" w:rsidR="00DF5641" w:rsidRPr="00D354AB" w:rsidRDefault="00DF5641" w:rsidP="00DF5641">
      <w:pPr>
        <w:pStyle w:val="Default"/>
        <w:jc w:val="both"/>
        <w:rPr>
          <w:sz w:val="20"/>
          <w:szCs w:val="20"/>
        </w:rPr>
      </w:pPr>
    </w:p>
    <w:p w14:paraId="490A7347" w14:textId="26D6B046" w:rsidR="00DF5641" w:rsidRPr="00D354AB" w:rsidRDefault="00DF5641" w:rsidP="00DF5641">
      <w:pPr>
        <w:pStyle w:val="Default"/>
        <w:jc w:val="both"/>
        <w:rPr>
          <w:sz w:val="20"/>
          <w:szCs w:val="20"/>
        </w:rPr>
      </w:pPr>
      <w:r w:rsidRPr="00D354AB">
        <w:rPr>
          <w:sz w:val="20"/>
          <w:szCs w:val="20"/>
        </w:rPr>
        <w:t xml:space="preserve">Asimismo, y de acuerdo con lo establecido por el artículo 47, Sección X, Capítulo I del Título IX de las Normas de la CNV y sus modificatorias, la sociedad calificadora de las obligaciones negociables, FIX SCR S.A., tendrá el deber de revisar de manera continua y permanente la calificación de riesgo emitida respecto a las Obligaciones Negociables, durante el período de vigencia. FIX SCR </w:t>
      </w:r>
      <w:r w:rsidR="00425EC2" w:rsidRPr="00D354AB">
        <w:rPr>
          <w:sz w:val="20"/>
          <w:szCs w:val="20"/>
        </w:rPr>
        <w:t xml:space="preserve">S.A. </w:t>
      </w:r>
      <w:r w:rsidRPr="00D354AB">
        <w:rPr>
          <w:sz w:val="20"/>
          <w:szCs w:val="20"/>
        </w:rPr>
        <w:t xml:space="preserve">deberá realizar al menos 4 informes respecto a las Obligaciones Negociables por año. De producirse cualquier evento que pudiera producir cambios sustanciales que puedan afectar la calificación, la calificadora deberá efectuar un nuevo dictamen acerca de la calificación de las obligaciones negociables. </w:t>
      </w:r>
    </w:p>
    <w:p w14:paraId="54ABE4D2" w14:textId="7A7941CC" w:rsidR="00DF5641" w:rsidRPr="00D354AB" w:rsidRDefault="00DF5641" w:rsidP="00052BAF">
      <w:pPr>
        <w:widowControl w:val="0"/>
        <w:jc w:val="both"/>
        <w:rPr>
          <w:sz w:val="20"/>
          <w:szCs w:val="20"/>
          <w:lang w:val="es-AR"/>
        </w:rPr>
      </w:pPr>
    </w:p>
    <w:p w14:paraId="18DE3575" w14:textId="1FB59735" w:rsidR="005B69AF" w:rsidRPr="00D354AB" w:rsidRDefault="005B69AF">
      <w:pPr>
        <w:jc w:val="left"/>
        <w:rPr>
          <w:sz w:val="20"/>
          <w:szCs w:val="20"/>
          <w:lang w:val="es-AR"/>
        </w:rPr>
      </w:pPr>
      <w:r w:rsidRPr="00D354AB">
        <w:rPr>
          <w:sz w:val="20"/>
          <w:szCs w:val="20"/>
          <w:lang w:val="es-AR"/>
        </w:rPr>
        <w:br w:type="page"/>
      </w:r>
    </w:p>
    <w:p w14:paraId="316FD0CA" w14:textId="6E6A7CA5" w:rsidR="00FF0D9A" w:rsidRPr="00D354AB" w:rsidRDefault="00FF0D9A" w:rsidP="00FF0D9A">
      <w:pPr>
        <w:widowControl w:val="0"/>
        <w:outlineLvl w:val="0"/>
        <w:rPr>
          <w:sz w:val="20"/>
          <w:szCs w:val="20"/>
          <w:lang w:val="es-AR"/>
        </w:rPr>
      </w:pPr>
      <w:bookmarkStart w:id="24" w:name="_Hlk26523014"/>
      <w:bookmarkStart w:id="25" w:name="_Toc463514721"/>
      <w:bookmarkStart w:id="26" w:name="_Toc513712600"/>
      <w:bookmarkStart w:id="27" w:name="_Toc258258777"/>
      <w:bookmarkStart w:id="28" w:name="_Toc258258916"/>
      <w:bookmarkStart w:id="29" w:name="_Toc258258996"/>
      <w:bookmarkStart w:id="30" w:name="_Toc258259235"/>
      <w:bookmarkStart w:id="31" w:name="_Toc258259291"/>
      <w:bookmarkStart w:id="32" w:name="_Toc258312886"/>
      <w:bookmarkStart w:id="33" w:name="_Toc258312908"/>
      <w:bookmarkStart w:id="34" w:name="_Toc258312933"/>
      <w:bookmarkStart w:id="35" w:name="_Toc258313025"/>
      <w:bookmarkStart w:id="36" w:name="_Toc258313053"/>
      <w:bookmarkStart w:id="37" w:name="_Toc258409998"/>
      <w:bookmarkStart w:id="38" w:name="_Toc274315191"/>
      <w:bookmarkStart w:id="39" w:name="_Toc274315282"/>
      <w:bookmarkStart w:id="40" w:name="_Toc275280765"/>
      <w:bookmarkStart w:id="41" w:name="_Toc275440937"/>
      <w:bookmarkStart w:id="42" w:name="_Toc275512930"/>
      <w:bookmarkStart w:id="43" w:name="_Toc276549585"/>
      <w:bookmarkStart w:id="44" w:name="_Toc276556110"/>
      <w:bookmarkStart w:id="45" w:name="_Toc277155659"/>
      <w:bookmarkStart w:id="46" w:name="_Toc289876955"/>
      <w:bookmarkStart w:id="47" w:name="_Toc318720608"/>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r w:rsidRPr="00D354AB">
        <w:rPr>
          <w:b/>
          <w:smallCaps/>
          <w:sz w:val="20"/>
          <w:szCs w:val="20"/>
          <w:lang w:val="es-AR"/>
        </w:rPr>
        <w:lastRenderedPageBreak/>
        <w:t>Plan de Distribución</w:t>
      </w:r>
    </w:p>
    <w:p w14:paraId="29A992FA" w14:textId="77777777" w:rsidR="00FF0D9A" w:rsidRPr="00D354AB" w:rsidRDefault="00FF0D9A" w:rsidP="00FF0D9A">
      <w:pPr>
        <w:widowControl w:val="0"/>
        <w:jc w:val="both"/>
        <w:rPr>
          <w:snapToGrid w:val="0"/>
          <w:sz w:val="20"/>
          <w:szCs w:val="20"/>
          <w:lang w:val="es-AR"/>
        </w:rPr>
      </w:pPr>
    </w:p>
    <w:p w14:paraId="69784022" w14:textId="77777777" w:rsidR="00FF0D9A" w:rsidRPr="00D354AB" w:rsidRDefault="00FF0D9A" w:rsidP="00FF0D9A">
      <w:pPr>
        <w:pStyle w:val="Ttulo7"/>
        <w:keepNext w:val="0"/>
        <w:widowControl w:val="0"/>
        <w:rPr>
          <w:noProof w:val="0"/>
          <w:sz w:val="20"/>
          <w:szCs w:val="20"/>
          <w:u w:val="none"/>
        </w:rPr>
      </w:pPr>
      <w:r w:rsidRPr="00D354AB">
        <w:rPr>
          <w:noProof w:val="0"/>
          <w:sz w:val="20"/>
          <w:szCs w:val="20"/>
          <w:u w:val="none"/>
        </w:rPr>
        <w:t>General</w:t>
      </w:r>
    </w:p>
    <w:p w14:paraId="454144D9" w14:textId="77777777" w:rsidR="00FF0D9A" w:rsidRPr="00D354AB" w:rsidRDefault="00FF0D9A" w:rsidP="00FF0D9A">
      <w:pPr>
        <w:widowControl w:val="0"/>
        <w:jc w:val="both"/>
        <w:rPr>
          <w:sz w:val="20"/>
          <w:szCs w:val="20"/>
          <w:lang w:val="es-AR"/>
        </w:rPr>
      </w:pPr>
    </w:p>
    <w:p w14:paraId="73FB1345" w14:textId="541BDA0F" w:rsidR="00FF0D9A" w:rsidRPr="00D354AB" w:rsidRDefault="00FF0D9A" w:rsidP="00FF0D9A">
      <w:pPr>
        <w:widowControl w:val="0"/>
        <w:jc w:val="both"/>
        <w:rPr>
          <w:sz w:val="20"/>
          <w:szCs w:val="20"/>
          <w:lang w:val="es-AR"/>
        </w:rPr>
      </w:pPr>
      <w:r w:rsidRPr="00D354AB">
        <w:rPr>
          <w:sz w:val="20"/>
          <w:szCs w:val="20"/>
          <w:lang w:val="es-AR"/>
        </w:rPr>
        <w:t xml:space="preserve">Las Obligaciones Negociables serán colocadas por oferta pública, </w:t>
      </w:r>
      <w:r w:rsidR="005B69AF" w:rsidRPr="00D354AB">
        <w:rPr>
          <w:sz w:val="20"/>
          <w:szCs w:val="20"/>
          <w:lang w:val="es-AR"/>
        </w:rPr>
        <w:t xml:space="preserve">de conformidad </w:t>
      </w:r>
      <w:r w:rsidRPr="00D354AB">
        <w:rPr>
          <w:sz w:val="20"/>
          <w:szCs w:val="20"/>
          <w:lang w:val="es-AR"/>
        </w:rPr>
        <w:t>con los términos de la Ley de Mercado de Capitales, las Normas de la CNV y las demás normas aplicables.</w:t>
      </w:r>
    </w:p>
    <w:p w14:paraId="021F2120" w14:textId="77777777" w:rsidR="00FF0D9A" w:rsidRPr="00D354AB" w:rsidRDefault="00FF0D9A" w:rsidP="00FF0D9A">
      <w:pPr>
        <w:widowControl w:val="0"/>
        <w:jc w:val="both"/>
        <w:rPr>
          <w:snapToGrid w:val="0"/>
          <w:sz w:val="20"/>
          <w:szCs w:val="20"/>
          <w:lang w:val="es-AR"/>
        </w:rPr>
      </w:pPr>
    </w:p>
    <w:p w14:paraId="7F468131" w14:textId="19346076" w:rsidR="00FF0D9A" w:rsidRPr="00D354AB" w:rsidRDefault="00FF0D9A" w:rsidP="00FF0D9A">
      <w:pPr>
        <w:widowControl w:val="0"/>
        <w:jc w:val="both"/>
        <w:rPr>
          <w:sz w:val="20"/>
          <w:szCs w:val="20"/>
          <w:lang w:val="es-AR"/>
        </w:rPr>
      </w:pPr>
      <w:r w:rsidRPr="00D354AB">
        <w:rPr>
          <w:sz w:val="20"/>
          <w:szCs w:val="20"/>
          <w:lang w:val="es-AR"/>
        </w:rPr>
        <w:t xml:space="preserve">La colocación primaria de las Obligaciones Negociables se realizará mediante </w:t>
      </w:r>
      <w:r w:rsidR="005B69AF" w:rsidRPr="00D354AB">
        <w:rPr>
          <w:sz w:val="20"/>
          <w:szCs w:val="20"/>
          <w:lang w:val="es-AR"/>
        </w:rPr>
        <w:t xml:space="preserve">Subasta Pública </w:t>
      </w:r>
      <w:r w:rsidRPr="00D354AB">
        <w:rPr>
          <w:sz w:val="20"/>
          <w:szCs w:val="20"/>
          <w:lang w:val="es-AR"/>
        </w:rPr>
        <w:t xml:space="preserve">con posibilidad de participación de todos los interesados, a través del módulo de licitaciones del </w:t>
      </w:r>
      <w:r w:rsidR="005B69AF" w:rsidRPr="00D354AB">
        <w:rPr>
          <w:sz w:val="20"/>
          <w:szCs w:val="20"/>
          <w:lang w:val="es-AR"/>
        </w:rPr>
        <w:t xml:space="preserve">Sistema </w:t>
      </w:r>
      <w:r w:rsidRPr="00D354AB">
        <w:rPr>
          <w:sz w:val="20"/>
          <w:szCs w:val="20"/>
          <w:lang w:val="es-AR"/>
        </w:rPr>
        <w:t>SIOPEL del MAE, un sistema que garantiza la transparencia y la igualdad de trato entre los Inversores, de conformidad con las Normas de la CNV.</w:t>
      </w:r>
      <w:r w:rsidRPr="00C436CD">
        <w:rPr>
          <w:sz w:val="20"/>
          <w:lang w:val="es-ES"/>
        </w:rPr>
        <w:t xml:space="preserve"> </w:t>
      </w:r>
    </w:p>
    <w:p w14:paraId="4ED73A53" w14:textId="77777777" w:rsidR="00FF0D9A" w:rsidRPr="00D354AB" w:rsidRDefault="00FF0D9A" w:rsidP="00FF0D9A">
      <w:pPr>
        <w:widowControl w:val="0"/>
        <w:jc w:val="both"/>
        <w:rPr>
          <w:sz w:val="20"/>
          <w:szCs w:val="20"/>
          <w:lang w:val="es-AR"/>
        </w:rPr>
      </w:pPr>
    </w:p>
    <w:p w14:paraId="31E566EF" w14:textId="753F43C8" w:rsidR="00FF0D9A" w:rsidRPr="00D354AB" w:rsidRDefault="00FF0D9A" w:rsidP="00FF0D9A">
      <w:pPr>
        <w:jc w:val="both"/>
        <w:rPr>
          <w:sz w:val="20"/>
          <w:szCs w:val="20"/>
          <w:lang w:val="es-MX"/>
        </w:rPr>
      </w:pPr>
      <w:bookmarkStart w:id="48" w:name="_Hlk5699431"/>
      <w:r w:rsidRPr="00D354AB">
        <w:rPr>
          <w:sz w:val="20"/>
          <w:szCs w:val="20"/>
          <w:lang w:val="es-MX"/>
        </w:rPr>
        <w:t xml:space="preserve">La licitación pública que se realizará durante el Período de </w:t>
      </w:r>
      <w:r w:rsidR="008F6386">
        <w:rPr>
          <w:sz w:val="20"/>
          <w:szCs w:val="20"/>
          <w:lang w:val="es-MX"/>
        </w:rPr>
        <w:t>Subasta Pública</w:t>
      </w:r>
      <w:r w:rsidR="004B7EB4" w:rsidRPr="00D354AB">
        <w:rPr>
          <w:sz w:val="20"/>
          <w:szCs w:val="20"/>
          <w:lang w:val="es-MX"/>
        </w:rPr>
        <w:t xml:space="preserve"> </w:t>
      </w:r>
      <w:r w:rsidRPr="00D354AB">
        <w:rPr>
          <w:sz w:val="20"/>
          <w:szCs w:val="20"/>
          <w:lang w:val="es-MX"/>
        </w:rPr>
        <w:t xml:space="preserve">será de modalidad </w:t>
      </w:r>
      <w:r w:rsidR="00D51410" w:rsidRPr="00D354AB">
        <w:rPr>
          <w:rFonts w:eastAsiaTheme="minorHAnsi"/>
          <w:color w:val="000000"/>
          <w:sz w:val="20"/>
          <w:szCs w:val="20"/>
          <w:lang w:val="es-ES" w:eastAsia="es-ES"/>
        </w:rPr>
        <w:t xml:space="preserve">abierta </w:t>
      </w:r>
      <w:r w:rsidRPr="00D354AB">
        <w:rPr>
          <w:sz w:val="20"/>
          <w:szCs w:val="20"/>
          <w:lang w:val="es-MX"/>
        </w:rPr>
        <w:t xml:space="preserve">conforme lo establece el artículo 8, inciso d), Sección II, Capítulo IV del Título VI de las Normas de la CNV, lo que implica que la totalidad de las ofertas ingresadas en el sistema “SIOPEL” del MAE serán accesibles para los participantes de la licitación pública a medida que las mismas se vayan ingresando en el </w:t>
      </w:r>
      <w:r w:rsidR="001E185C" w:rsidRPr="00D354AB">
        <w:rPr>
          <w:sz w:val="20"/>
          <w:szCs w:val="20"/>
          <w:lang w:val="es-MX"/>
        </w:rPr>
        <w:t>mismo</w:t>
      </w:r>
      <w:r w:rsidRPr="00D354AB">
        <w:rPr>
          <w:sz w:val="20"/>
          <w:szCs w:val="20"/>
          <w:lang w:val="es-MX"/>
        </w:rPr>
        <w:t>.</w:t>
      </w:r>
      <w:bookmarkEnd w:id="48"/>
      <w:r w:rsidRPr="00D354AB">
        <w:rPr>
          <w:sz w:val="20"/>
          <w:szCs w:val="20"/>
          <w:lang w:val="es-MX"/>
        </w:rPr>
        <w:t xml:space="preserve"> Respecto de cada oferta, constará en el registro la siguiente información: (i) los datos identificatorios del inversor o el nombre del Agente del MAE que cargó dicha oferta, y si lo hizo para cartera propia o por cuenta y orden de terceros; (ii) el valor nominal requerido; (iii) el tramo correspondiente; (iv)</w:t>
      </w:r>
      <w:r w:rsidR="001E6111" w:rsidRPr="00D354AB">
        <w:rPr>
          <w:sz w:val="20"/>
          <w:szCs w:val="20"/>
          <w:lang w:val="es-MX"/>
        </w:rPr>
        <w:t xml:space="preserve"> el Margen Solicitado expresad</w:t>
      </w:r>
      <w:r w:rsidR="001A0046" w:rsidRPr="00D354AB">
        <w:rPr>
          <w:sz w:val="20"/>
          <w:szCs w:val="20"/>
          <w:lang w:val="es-MX"/>
        </w:rPr>
        <w:t>o</w:t>
      </w:r>
      <w:r w:rsidR="001E6111" w:rsidRPr="00D354AB">
        <w:rPr>
          <w:sz w:val="20"/>
          <w:szCs w:val="20"/>
          <w:lang w:val="es-MX"/>
        </w:rPr>
        <w:t xml:space="preserve"> como porcentaje anual truncado a dos decimales (para el caso de ofertas de compra remitidas bajo el Tramo Competitivo de las Obligaciones Negociables </w:t>
      </w:r>
      <w:r w:rsidR="00A54633" w:rsidRPr="00D354AB">
        <w:rPr>
          <w:sz w:val="20"/>
          <w:szCs w:val="20"/>
          <w:lang w:val="es-MX"/>
        </w:rPr>
        <w:t xml:space="preserve">Clase XVIII </w:t>
      </w:r>
      <w:r w:rsidR="001E6111" w:rsidRPr="00D354AB">
        <w:rPr>
          <w:sz w:val="20"/>
          <w:szCs w:val="20"/>
          <w:lang w:val="es-MX"/>
        </w:rPr>
        <w:t>(según dichos términos se definen más adelante)</w:t>
      </w:r>
      <w:r w:rsidRPr="00D354AB">
        <w:rPr>
          <w:sz w:val="20"/>
          <w:szCs w:val="20"/>
          <w:lang w:val="es-MX"/>
        </w:rPr>
        <w:t>; (v) la fecha, hora, minuto y segundo de recepción de la oferta; (vi) su número de Orden; y (vii) cualquier otro dato que resulte relevante y/o sea requerido por el formulario del sistema “SIOPEL” del MAE.</w:t>
      </w:r>
    </w:p>
    <w:p w14:paraId="48AA9E10" w14:textId="77777777" w:rsidR="00FF0D9A" w:rsidRPr="00D354AB" w:rsidRDefault="00FF0D9A" w:rsidP="00FF0D9A">
      <w:pPr>
        <w:widowControl w:val="0"/>
        <w:jc w:val="both"/>
        <w:rPr>
          <w:sz w:val="20"/>
          <w:szCs w:val="20"/>
          <w:lang w:val="es-AR"/>
        </w:rPr>
      </w:pPr>
    </w:p>
    <w:p w14:paraId="547EB157" w14:textId="5359C6C2" w:rsidR="00FF0D9A" w:rsidRPr="00D354AB" w:rsidRDefault="00FF0D9A" w:rsidP="00FF0D9A">
      <w:pPr>
        <w:jc w:val="both"/>
        <w:rPr>
          <w:sz w:val="20"/>
          <w:szCs w:val="20"/>
          <w:lang w:val="es-MX"/>
        </w:rPr>
      </w:pPr>
      <w:r w:rsidRPr="00D354AB">
        <w:rPr>
          <w:sz w:val="20"/>
          <w:szCs w:val="20"/>
          <w:lang w:val="es-MX"/>
        </w:rPr>
        <w:t xml:space="preserve">En virtud de ello, durante el Período de </w:t>
      </w:r>
      <w:r w:rsidR="008F6386">
        <w:rPr>
          <w:sz w:val="20"/>
          <w:szCs w:val="20"/>
          <w:lang w:val="es-MX"/>
        </w:rPr>
        <w:t>Subasta Pública</w:t>
      </w:r>
      <w:r w:rsidR="00CB631E" w:rsidRPr="00D354AB">
        <w:rPr>
          <w:sz w:val="20"/>
          <w:szCs w:val="20"/>
          <w:lang w:val="es-MX"/>
        </w:rPr>
        <w:t xml:space="preserve"> (conforme dicho término se define más adelante)</w:t>
      </w:r>
      <w:r w:rsidRPr="00D354AB">
        <w:rPr>
          <w:sz w:val="20"/>
          <w:szCs w:val="20"/>
          <w:lang w:val="es-MX"/>
        </w:rPr>
        <w:t>, los Colocadores y los Agentes del MAE, que sean habilitados a tal efecto, podrán participar en la rueda y ver las Ofertas a medida que las mismas se vayan ingresando en el sistema a través del sistema “SIOPEL” del MAE. A dichos efectos, todos aquellos Agentes del MAE deberán solicitar</w:t>
      </w:r>
      <w:r w:rsidR="00325504" w:rsidRPr="00D354AB">
        <w:rPr>
          <w:sz w:val="20"/>
          <w:szCs w:val="20"/>
          <w:lang w:val="es-MX"/>
        </w:rPr>
        <w:t xml:space="preserve"> al Agente de Liquidación</w:t>
      </w:r>
      <w:r w:rsidRPr="00D354AB">
        <w:rPr>
          <w:sz w:val="20"/>
          <w:szCs w:val="20"/>
          <w:lang w:val="es-MX"/>
        </w:rPr>
        <w:t xml:space="preserve"> la habilitación para participar en la rueda, para lo cual deberán acreditar su inscripción ante la CNV como “</w:t>
      </w:r>
      <w:r w:rsidRPr="00D354AB">
        <w:rPr>
          <w:i/>
          <w:sz w:val="20"/>
          <w:szCs w:val="20"/>
          <w:lang w:val="es-MX"/>
        </w:rPr>
        <w:t>Agente Registrado</w:t>
      </w:r>
      <w:r w:rsidRPr="00D354AB">
        <w:rPr>
          <w:sz w:val="20"/>
          <w:szCs w:val="20"/>
          <w:lang w:val="es-MX"/>
        </w:rPr>
        <w:t xml:space="preserve">” en los términos de la Ley de Mercado de Capitales y el cumplimiento de las normas en materia de prevención de encubrimiento, lavado de activos y financiación del terrorismo de forma satisfactoria para el Agente de Liquidación, quienes observarán y respetarán en todo momento el trato igualitario entre aquéllos. En cualquier caso, la solicitud deberá realizarse </w:t>
      </w:r>
      <w:r w:rsidR="000C0FD7">
        <w:rPr>
          <w:sz w:val="20"/>
          <w:szCs w:val="20"/>
          <w:lang w:val="es-MX"/>
        </w:rPr>
        <w:t>conforme se indique en el Aviso de Suscripción</w:t>
      </w:r>
      <w:r w:rsidRPr="00D354AB">
        <w:rPr>
          <w:sz w:val="20"/>
          <w:szCs w:val="20"/>
          <w:lang w:val="es-MX"/>
        </w:rPr>
        <w:t xml:space="preserve">. </w:t>
      </w:r>
    </w:p>
    <w:p w14:paraId="1B66352B" w14:textId="77777777" w:rsidR="00FF0D9A" w:rsidRPr="00D354AB" w:rsidRDefault="00FF0D9A" w:rsidP="00FF0D9A">
      <w:pPr>
        <w:widowControl w:val="0"/>
        <w:jc w:val="both"/>
        <w:rPr>
          <w:snapToGrid w:val="0"/>
          <w:sz w:val="20"/>
          <w:szCs w:val="20"/>
          <w:lang w:val="es-AR"/>
        </w:rPr>
      </w:pPr>
    </w:p>
    <w:p w14:paraId="3B126EF0" w14:textId="77777777" w:rsidR="00FF0D9A" w:rsidRPr="00D354AB" w:rsidRDefault="00FF0D9A" w:rsidP="00FF0D9A">
      <w:pPr>
        <w:widowControl w:val="0"/>
        <w:jc w:val="both"/>
        <w:rPr>
          <w:sz w:val="20"/>
          <w:szCs w:val="20"/>
          <w:lang w:val="es-AR"/>
        </w:rPr>
      </w:pPr>
      <w:r w:rsidRPr="00D354AB">
        <w:rPr>
          <w:sz w:val="20"/>
          <w:szCs w:val="20"/>
          <w:lang w:val="es-AR"/>
        </w:rPr>
        <w:t>El Agente Creador será el encargado de generar en el Sistema SIOPEL el pliego de licitación de la colocación primaria de las Obligaciones Negociables.</w:t>
      </w:r>
    </w:p>
    <w:p w14:paraId="4D36CF7E" w14:textId="77777777" w:rsidR="00FF0D9A" w:rsidRPr="00D354AB" w:rsidRDefault="00FF0D9A" w:rsidP="00FF0D9A">
      <w:pPr>
        <w:widowControl w:val="0"/>
        <w:jc w:val="both"/>
        <w:rPr>
          <w:sz w:val="20"/>
          <w:szCs w:val="20"/>
          <w:lang w:val="es-AR"/>
        </w:rPr>
      </w:pPr>
    </w:p>
    <w:p w14:paraId="4AC2FA9A" w14:textId="77777777" w:rsidR="00FF0D9A" w:rsidRPr="00D354AB" w:rsidRDefault="00FF0D9A" w:rsidP="00FF0D9A">
      <w:pPr>
        <w:autoSpaceDE w:val="0"/>
        <w:autoSpaceDN w:val="0"/>
        <w:adjustRightInd w:val="0"/>
        <w:jc w:val="both"/>
        <w:rPr>
          <w:b/>
          <w:smallCaps/>
          <w:sz w:val="20"/>
          <w:szCs w:val="20"/>
          <w:lang w:val="es-AR" w:eastAsia="es-ES"/>
        </w:rPr>
      </w:pPr>
      <w:r w:rsidRPr="00D354AB">
        <w:rPr>
          <w:b/>
          <w:smallCaps/>
          <w:sz w:val="20"/>
          <w:szCs w:val="20"/>
          <w:lang w:val="es-AR" w:eastAsia="es-ES"/>
        </w:rPr>
        <w:t>La remisión de una Orden por parte de los Inversores o de una Oferta por parte de los Agentes del MAE implicará la aceptación y el conocimiento de todos y cada uno de los términos y mecanismos establecidos bajo la presente sección.</w:t>
      </w:r>
    </w:p>
    <w:p w14:paraId="3514BA04" w14:textId="77777777" w:rsidR="00FF0D9A" w:rsidRPr="00D354AB" w:rsidRDefault="00FF0D9A" w:rsidP="00FF0D9A">
      <w:pPr>
        <w:widowControl w:val="0"/>
        <w:jc w:val="both"/>
        <w:rPr>
          <w:iCs/>
          <w:snapToGrid w:val="0"/>
          <w:sz w:val="20"/>
          <w:szCs w:val="20"/>
          <w:lang w:val="es-AR"/>
        </w:rPr>
      </w:pPr>
    </w:p>
    <w:p w14:paraId="7730FDA5" w14:textId="362AEB53" w:rsidR="00FF0D9A" w:rsidRPr="00D354AB" w:rsidRDefault="004B7EB4" w:rsidP="00FF0D9A">
      <w:pPr>
        <w:widowControl w:val="0"/>
        <w:jc w:val="both"/>
        <w:rPr>
          <w:i/>
          <w:iCs/>
          <w:snapToGrid w:val="0"/>
          <w:sz w:val="20"/>
          <w:szCs w:val="20"/>
          <w:lang w:val="es-AR"/>
        </w:rPr>
      </w:pPr>
      <w:r w:rsidRPr="00D354AB">
        <w:rPr>
          <w:i/>
          <w:iCs/>
          <w:snapToGrid w:val="0"/>
          <w:sz w:val="20"/>
          <w:szCs w:val="20"/>
          <w:lang w:val="es-AR"/>
        </w:rPr>
        <w:t xml:space="preserve">Período de </w:t>
      </w:r>
      <w:r w:rsidR="008F6386">
        <w:rPr>
          <w:i/>
          <w:iCs/>
          <w:snapToGrid w:val="0"/>
          <w:sz w:val="20"/>
          <w:szCs w:val="20"/>
          <w:lang w:val="es-AR"/>
        </w:rPr>
        <w:t>Difusión Pública</w:t>
      </w:r>
    </w:p>
    <w:p w14:paraId="2D7FAD1C" w14:textId="77777777" w:rsidR="00FF0D9A" w:rsidRPr="00D354AB" w:rsidRDefault="00FF0D9A" w:rsidP="00FF0D9A">
      <w:pPr>
        <w:widowControl w:val="0"/>
        <w:jc w:val="both"/>
        <w:rPr>
          <w:snapToGrid w:val="0"/>
          <w:sz w:val="20"/>
          <w:szCs w:val="20"/>
          <w:lang w:val="es-AR"/>
        </w:rPr>
      </w:pPr>
    </w:p>
    <w:p w14:paraId="1620E2EA" w14:textId="35398199" w:rsidR="00FF0D9A" w:rsidRDefault="008F6386" w:rsidP="00FF0D9A">
      <w:pPr>
        <w:pStyle w:val="Sangradetextonormal"/>
        <w:widowControl w:val="0"/>
        <w:tabs>
          <w:tab w:val="clear" w:pos="397"/>
          <w:tab w:val="clear" w:pos="794"/>
          <w:tab w:val="clear" w:pos="1191"/>
          <w:tab w:val="clear" w:pos="1588"/>
          <w:tab w:val="clear" w:pos="1985"/>
          <w:tab w:val="clear" w:pos="2382"/>
          <w:tab w:val="clear" w:pos="2779"/>
          <w:tab w:val="clear" w:pos="3176"/>
          <w:tab w:val="clear" w:pos="3573"/>
          <w:tab w:val="clear" w:pos="3970"/>
          <w:tab w:val="clear" w:pos="4367"/>
          <w:tab w:val="clear" w:pos="4764"/>
          <w:tab w:val="clear" w:pos="5161"/>
          <w:tab w:val="clear" w:pos="5558"/>
          <w:tab w:val="clear" w:pos="5955"/>
          <w:tab w:val="clear" w:pos="6352"/>
          <w:tab w:val="clear" w:pos="6749"/>
          <w:tab w:val="clear" w:pos="7146"/>
          <w:tab w:val="clear" w:pos="7543"/>
          <w:tab w:val="clear" w:pos="7940"/>
          <w:tab w:val="clear" w:pos="8337"/>
          <w:tab w:val="clear" w:pos="8734"/>
          <w:tab w:val="clear" w:pos="9131"/>
          <w:tab w:val="clear" w:pos="9528"/>
        </w:tabs>
        <w:rPr>
          <w:rFonts w:ascii="Times New Roman" w:hAnsi="Times New Roman"/>
          <w:lang w:val="es-AR"/>
        </w:rPr>
      </w:pPr>
      <w:r w:rsidRPr="000C74A2">
        <w:rPr>
          <w:rFonts w:ascii="Times New Roman" w:hAnsi="Times New Roman"/>
          <w:lang w:val="es-AR"/>
        </w:rPr>
        <w:t xml:space="preserve">El período de difusión pública será de, por lo menos, </w:t>
      </w:r>
      <w:r>
        <w:rPr>
          <w:rFonts w:ascii="Times New Roman" w:hAnsi="Times New Roman"/>
          <w:lang w:val="es-AR"/>
        </w:rPr>
        <w:t>1</w:t>
      </w:r>
      <w:r w:rsidRPr="000C74A2">
        <w:rPr>
          <w:rFonts w:ascii="Times New Roman" w:hAnsi="Times New Roman"/>
          <w:lang w:val="es-AR"/>
        </w:rPr>
        <w:t xml:space="preserve"> </w:t>
      </w:r>
      <w:r>
        <w:rPr>
          <w:rFonts w:ascii="Times New Roman" w:hAnsi="Times New Roman"/>
          <w:lang w:val="es-AR"/>
        </w:rPr>
        <w:t>D</w:t>
      </w:r>
      <w:r w:rsidRPr="000C74A2">
        <w:rPr>
          <w:rFonts w:ascii="Times New Roman" w:hAnsi="Times New Roman"/>
          <w:lang w:val="es-AR"/>
        </w:rPr>
        <w:t xml:space="preserve">ía </w:t>
      </w:r>
      <w:r>
        <w:rPr>
          <w:rFonts w:ascii="Times New Roman" w:hAnsi="Times New Roman"/>
          <w:lang w:val="es-AR"/>
        </w:rPr>
        <w:t>H</w:t>
      </w:r>
      <w:r w:rsidRPr="000C74A2">
        <w:rPr>
          <w:rFonts w:ascii="Times New Roman" w:hAnsi="Times New Roman"/>
          <w:lang w:val="es-AR"/>
        </w:rPr>
        <w:t>ábil (el “</w:t>
      </w:r>
      <w:r w:rsidRPr="000C74A2">
        <w:rPr>
          <w:rFonts w:ascii="Times New Roman" w:hAnsi="Times New Roman"/>
          <w:u w:val="single"/>
          <w:lang w:val="es-AR"/>
        </w:rPr>
        <w:t>Período de Difusión Pública</w:t>
      </w:r>
      <w:r w:rsidRPr="000C74A2">
        <w:rPr>
          <w:rFonts w:ascii="Times New Roman" w:hAnsi="Times New Roman"/>
          <w:lang w:val="es-AR"/>
        </w:rPr>
        <w:t>”)</w:t>
      </w:r>
      <w:r>
        <w:rPr>
          <w:rFonts w:ascii="Times New Roman" w:hAnsi="Times New Roman"/>
          <w:lang w:val="es-AR"/>
        </w:rPr>
        <w:t xml:space="preserve"> </w:t>
      </w:r>
      <w:r w:rsidRPr="00921206">
        <w:rPr>
          <w:rFonts w:ascii="Times New Roman" w:hAnsi="Times New Roman"/>
          <w:lang w:val="es-AR"/>
        </w:rPr>
        <w:t xml:space="preserve">conforme lo prescripto </w:t>
      </w:r>
      <w:r>
        <w:rPr>
          <w:rFonts w:ascii="Times New Roman" w:hAnsi="Times New Roman"/>
          <w:lang w:val="es-AR"/>
        </w:rPr>
        <w:t>por las Normas de la CNV</w:t>
      </w:r>
      <w:r w:rsidRPr="000C74A2">
        <w:rPr>
          <w:rFonts w:ascii="Times New Roman" w:hAnsi="Times New Roman"/>
          <w:lang w:val="es-AR"/>
        </w:rPr>
        <w:t xml:space="preserve">. </w:t>
      </w:r>
      <w:r w:rsidR="00FF0D9A" w:rsidRPr="00D354AB">
        <w:rPr>
          <w:rFonts w:ascii="Times New Roman" w:hAnsi="Times New Roman"/>
          <w:lang w:val="es-AR"/>
        </w:rPr>
        <w:t>En la oportunidad que determinen el Emisor, conjuntamente con los Colocadores, se publicará un aviso de suscripción (el “</w:t>
      </w:r>
      <w:r w:rsidR="00FF0D9A" w:rsidRPr="00D354AB">
        <w:rPr>
          <w:rFonts w:ascii="Times New Roman" w:hAnsi="Times New Roman"/>
          <w:u w:val="single"/>
          <w:lang w:val="es-AR"/>
        </w:rPr>
        <w:t>Aviso de Suscripción</w:t>
      </w:r>
      <w:r w:rsidR="00FF0D9A" w:rsidRPr="00D354AB">
        <w:rPr>
          <w:rFonts w:ascii="Times New Roman" w:hAnsi="Times New Roman"/>
          <w:lang w:val="es-AR"/>
        </w:rPr>
        <w:t>”) en el Boletín Diario de la BCBA, en virtud del ejercicio de la facultad delegada por BYMA a la BCBA conforme lo dispuesto por la Resolución N° 18.629 de la CNV, en la Página Web de la CNV bajo el ítem “</w:t>
      </w:r>
      <w:r w:rsidR="00CB631E" w:rsidRPr="00D354AB">
        <w:rPr>
          <w:rFonts w:ascii="Times New Roman" w:hAnsi="Times New Roman"/>
          <w:i/>
          <w:color w:val="000000"/>
          <w:lang w:val="es-AR"/>
        </w:rPr>
        <w:t>Empresas - FCA Compañía Financiera S.A</w:t>
      </w:r>
      <w:r w:rsidR="00FF0D9A" w:rsidRPr="00D354AB">
        <w:rPr>
          <w:rFonts w:ascii="Times New Roman" w:hAnsi="Times New Roman"/>
          <w:lang w:val="es-AR"/>
        </w:rPr>
        <w:t xml:space="preserve">”, en la </w:t>
      </w:r>
      <w:r w:rsidR="008B06B1" w:rsidRPr="00D354AB">
        <w:rPr>
          <w:rFonts w:ascii="Times New Roman" w:hAnsi="Times New Roman"/>
          <w:lang w:val="es-MX"/>
        </w:rPr>
        <w:t>Página Web Institucional</w:t>
      </w:r>
      <w:r w:rsidR="008B06B1" w:rsidRPr="00D354AB" w:rsidDel="008B06B1">
        <w:rPr>
          <w:rFonts w:ascii="Times New Roman" w:hAnsi="Times New Roman"/>
          <w:lang w:val="es-AR"/>
        </w:rPr>
        <w:t xml:space="preserve"> </w:t>
      </w:r>
      <w:r w:rsidR="00FF0D9A" w:rsidRPr="00D354AB">
        <w:rPr>
          <w:rFonts w:ascii="Times New Roman" w:hAnsi="Times New Roman"/>
          <w:lang w:val="es-AR"/>
        </w:rPr>
        <w:t>y en la Página Web del MAE, en el cual conforme las Normas de la CNV, se indicará, entre otra información, la fecha de inicio y de finalización d</w:t>
      </w:r>
      <w:r>
        <w:rPr>
          <w:rFonts w:ascii="Times New Roman" w:hAnsi="Times New Roman"/>
          <w:lang w:val="es-AR"/>
        </w:rPr>
        <w:t xml:space="preserve">el Período de Difusión Pública y del </w:t>
      </w:r>
      <w:r w:rsidR="00600CDA">
        <w:rPr>
          <w:rFonts w:ascii="Times New Roman" w:hAnsi="Times New Roman"/>
          <w:lang w:val="es-AR"/>
        </w:rPr>
        <w:t xml:space="preserve">Período </w:t>
      </w:r>
      <w:r>
        <w:rPr>
          <w:rFonts w:ascii="Times New Roman" w:hAnsi="Times New Roman"/>
          <w:lang w:val="es-AR"/>
        </w:rPr>
        <w:t xml:space="preserve">de </w:t>
      </w:r>
      <w:r w:rsidR="00600CDA" w:rsidRPr="00D354AB">
        <w:rPr>
          <w:rFonts w:ascii="Times New Roman" w:hAnsi="Times New Roman"/>
          <w:lang w:val="es-AR"/>
        </w:rPr>
        <w:t>Subasta Pública</w:t>
      </w:r>
      <w:r w:rsidR="00600CDA">
        <w:rPr>
          <w:rFonts w:ascii="Times New Roman" w:hAnsi="Times New Roman"/>
          <w:lang w:val="es-AR"/>
        </w:rPr>
        <w:t xml:space="preserve"> (conforme se define más adelante). El Período de Subasta Pública</w:t>
      </w:r>
      <w:r w:rsidR="00FF0D9A" w:rsidRPr="00D354AB">
        <w:rPr>
          <w:rFonts w:ascii="Times New Roman" w:hAnsi="Times New Roman"/>
          <w:lang w:val="es-AR"/>
        </w:rPr>
        <w:t xml:space="preserve"> será de, por lo menos, 1 Día Hábil</w:t>
      </w:r>
      <w:r w:rsidR="004B7EB4" w:rsidRPr="00D354AB">
        <w:rPr>
          <w:rFonts w:ascii="Times New Roman" w:hAnsi="Times New Roman"/>
          <w:lang w:val="es-AR"/>
        </w:rPr>
        <w:t xml:space="preserve"> conforme lo prescripto por las Normas de la CNV</w:t>
      </w:r>
      <w:r>
        <w:rPr>
          <w:rFonts w:ascii="Times New Roman" w:hAnsi="Times New Roman"/>
          <w:lang w:val="es-AR"/>
        </w:rPr>
        <w:t xml:space="preserve"> y podrá realizarse el mismo día que el </w:t>
      </w:r>
      <w:r w:rsidRPr="00B6267E">
        <w:rPr>
          <w:rFonts w:ascii="Times New Roman" w:hAnsi="Times New Roman"/>
          <w:lang w:val="es-AR"/>
        </w:rPr>
        <w:t xml:space="preserve">Período de </w:t>
      </w:r>
      <w:r>
        <w:rPr>
          <w:rFonts w:ascii="Times New Roman" w:hAnsi="Times New Roman"/>
          <w:lang w:val="es-AR"/>
        </w:rPr>
        <w:t>Difusión</w:t>
      </w:r>
      <w:r w:rsidR="0002753C">
        <w:rPr>
          <w:rFonts w:ascii="Times New Roman" w:hAnsi="Times New Roman"/>
          <w:lang w:val="es-AR"/>
        </w:rPr>
        <w:t xml:space="preserve"> Pública</w:t>
      </w:r>
      <w:r w:rsidR="00FF0D9A" w:rsidRPr="00D354AB">
        <w:rPr>
          <w:rFonts w:ascii="Times New Roman" w:hAnsi="Times New Roman"/>
          <w:lang w:val="es-AR"/>
        </w:rPr>
        <w:t xml:space="preserve"> </w:t>
      </w:r>
      <w:r w:rsidR="004B7EB4" w:rsidRPr="00D354AB">
        <w:rPr>
          <w:rFonts w:ascii="Times New Roman" w:hAnsi="Times New Roman"/>
          <w:lang w:val="es-AR"/>
        </w:rPr>
        <w:t>(el “</w:t>
      </w:r>
      <w:r w:rsidR="004B7EB4" w:rsidRPr="00D354AB">
        <w:rPr>
          <w:rFonts w:ascii="Times New Roman" w:hAnsi="Times New Roman"/>
          <w:u w:val="single"/>
          <w:lang w:val="es-AR"/>
        </w:rPr>
        <w:t xml:space="preserve">Período de </w:t>
      </w:r>
      <w:r w:rsidR="0002753C">
        <w:rPr>
          <w:rFonts w:ascii="Times New Roman" w:hAnsi="Times New Roman"/>
          <w:u w:val="single"/>
          <w:lang w:val="es-AR"/>
        </w:rPr>
        <w:t>Subasta Pública</w:t>
      </w:r>
      <w:r w:rsidR="004B7EB4" w:rsidRPr="00D354AB">
        <w:rPr>
          <w:rFonts w:ascii="Times New Roman" w:hAnsi="Times New Roman"/>
          <w:lang w:val="es-AR"/>
        </w:rPr>
        <w:t>”).</w:t>
      </w:r>
    </w:p>
    <w:p w14:paraId="4D07F475" w14:textId="453A0435" w:rsidR="008F6386" w:rsidRDefault="008F6386" w:rsidP="00FF0D9A">
      <w:pPr>
        <w:pStyle w:val="Sangradetextonormal"/>
        <w:widowControl w:val="0"/>
        <w:tabs>
          <w:tab w:val="clear" w:pos="397"/>
          <w:tab w:val="clear" w:pos="794"/>
          <w:tab w:val="clear" w:pos="1191"/>
          <w:tab w:val="clear" w:pos="1588"/>
          <w:tab w:val="clear" w:pos="1985"/>
          <w:tab w:val="clear" w:pos="2382"/>
          <w:tab w:val="clear" w:pos="2779"/>
          <w:tab w:val="clear" w:pos="3176"/>
          <w:tab w:val="clear" w:pos="3573"/>
          <w:tab w:val="clear" w:pos="3970"/>
          <w:tab w:val="clear" w:pos="4367"/>
          <w:tab w:val="clear" w:pos="4764"/>
          <w:tab w:val="clear" w:pos="5161"/>
          <w:tab w:val="clear" w:pos="5558"/>
          <w:tab w:val="clear" w:pos="5955"/>
          <w:tab w:val="clear" w:pos="6352"/>
          <w:tab w:val="clear" w:pos="6749"/>
          <w:tab w:val="clear" w:pos="7146"/>
          <w:tab w:val="clear" w:pos="7543"/>
          <w:tab w:val="clear" w:pos="7940"/>
          <w:tab w:val="clear" w:pos="8337"/>
          <w:tab w:val="clear" w:pos="8734"/>
          <w:tab w:val="clear" w:pos="9131"/>
          <w:tab w:val="clear" w:pos="9528"/>
        </w:tabs>
        <w:rPr>
          <w:rFonts w:ascii="Times New Roman" w:hAnsi="Times New Roman"/>
          <w:lang w:val="es-AR"/>
        </w:rPr>
      </w:pPr>
    </w:p>
    <w:p w14:paraId="1D9BECD1" w14:textId="7F95D3B3" w:rsidR="00FF0D9A" w:rsidRPr="00D354AB" w:rsidRDefault="00FF0D9A" w:rsidP="00FF0D9A">
      <w:pPr>
        <w:pStyle w:val="Sangradetextonormal"/>
        <w:widowControl w:val="0"/>
        <w:tabs>
          <w:tab w:val="clear" w:pos="397"/>
          <w:tab w:val="clear" w:pos="794"/>
          <w:tab w:val="clear" w:pos="1191"/>
          <w:tab w:val="clear" w:pos="1588"/>
          <w:tab w:val="clear" w:pos="1985"/>
          <w:tab w:val="clear" w:pos="2382"/>
          <w:tab w:val="clear" w:pos="2779"/>
          <w:tab w:val="clear" w:pos="3176"/>
          <w:tab w:val="clear" w:pos="3573"/>
          <w:tab w:val="clear" w:pos="3970"/>
          <w:tab w:val="clear" w:pos="4367"/>
          <w:tab w:val="clear" w:pos="4764"/>
          <w:tab w:val="clear" w:pos="5161"/>
          <w:tab w:val="clear" w:pos="5558"/>
          <w:tab w:val="clear" w:pos="5955"/>
          <w:tab w:val="clear" w:pos="6352"/>
          <w:tab w:val="clear" w:pos="6749"/>
          <w:tab w:val="clear" w:pos="7146"/>
          <w:tab w:val="clear" w:pos="7543"/>
          <w:tab w:val="clear" w:pos="7940"/>
          <w:tab w:val="clear" w:pos="8337"/>
          <w:tab w:val="clear" w:pos="8734"/>
          <w:tab w:val="clear" w:pos="9131"/>
          <w:tab w:val="clear" w:pos="9528"/>
        </w:tabs>
        <w:rPr>
          <w:rFonts w:ascii="Times New Roman" w:hAnsi="Times New Roman"/>
          <w:lang w:val="es-AR"/>
        </w:rPr>
      </w:pPr>
      <w:bookmarkStart w:id="49" w:name="_Hlk5698928"/>
      <w:r w:rsidRPr="00D354AB">
        <w:rPr>
          <w:rFonts w:ascii="Times New Roman" w:hAnsi="Times New Roman"/>
          <w:lang w:val="es-AR"/>
        </w:rPr>
        <w:t xml:space="preserve">Los Colocadores, conforme las instrucciones que reciban del Emisor, podrán suspender, interrumpir </w:t>
      </w:r>
      <w:r w:rsidR="00722F8E" w:rsidRPr="00D354AB">
        <w:rPr>
          <w:rFonts w:ascii="Times New Roman" w:hAnsi="Times New Roman"/>
          <w:lang w:val="es-AR"/>
        </w:rPr>
        <w:t>y/</w:t>
      </w:r>
      <w:r w:rsidRPr="00D354AB">
        <w:rPr>
          <w:rFonts w:ascii="Times New Roman" w:hAnsi="Times New Roman"/>
          <w:lang w:val="es-AR"/>
        </w:rPr>
        <w:t xml:space="preserve">o prorrogar, el Período de </w:t>
      </w:r>
      <w:r w:rsidR="008F6386">
        <w:rPr>
          <w:rFonts w:ascii="Times New Roman" w:hAnsi="Times New Roman"/>
          <w:lang w:val="es-AR"/>
        </w:rPr>
        <w:t>Difusión Pública y/o el Período de Subasta Pública</w:t>
      </w:r>
      <w:r w:rsidRPr="00D354AB">
        <w:rPr>
          <w:rFonts w:ascii="Times New Roman" w:hAnsi="Times New Roman"/>
          <w:lang w:val="es-AR"/>
        </w:rPr>
        <w:t>, en cuyo caso dicha alteración</w:t>
      </w:r>
      <w:r w:rsidR="00CC4529" w:rsidRPr="00D354AB">
        <w:rPr>
          <w:rFonts w:ascii="Times New Roman" w:hAnsi="Times New Roman"/>
          <w:lang w:val="es-AR"/>
        </w:rPr>
        <w:t xml:space="preserve"> </w:t>
      </w:r>
      <w:r w:rsidR="00CC4529" w:rsidRPr="00D354AB">
        <w:rPr>
          <w:rFonts w:ascii="Times New Roman" w:hAnsi="Times New Roman"/>
          <w:lang w:val="es-MX"/>
        </w:rPr>
        <w:t xml:space="preserve">será informada con anterioridad a la finalización del </w:t>
      </w:r>
      <w:r w:rsidR="008F6386">
        <w:rPr>
          <w:rFonts w:ascii="Times New Roman" w:hAnsi="Times New Roman"/>
          <w:lang w:val="es-MX"/>
        </w:rPr>
        <w:t>período que se trate</w:t>
      </w:r>
      <w:r w:rsidR="00CC4529" w:rsidRPr="00D354AB">
        <w:rPr>
          <w:rFonts w:ascii="Times New Roman" w:hAnsi="Times New Roman"/>
          <w:lang w:val="es-MX"/>
        </w:rPr>
        <w:t xml:space="preserve"> mediante un aviso a ser </w:t>
      </w:r>
      <w:r w:rsidRPr="00D354AB">
        <w:rPr>
          <w:rFonts w:ascii="Times New Roman" w:hAnsi="Times New Roman"/>
          <w:lang w:val="es-AR"/>
        </w:rPr>
        <w:t>(i) presentado para su publicación en el Boletín Diario de la BCBA, en virtud del ejercicio de la facultad delegada por BYMA a la BCBA conforme lo dispuesto por la Resolución N° 18.629 de la CNV; (ii) publicado en la Página Web de la CNV; (iii) publicado en la Página Web del MAE y (iv) publicado en la</w:t>
      </w:r>
      <w:r w:rsidR="008B06B1" w:rsidRPr="00D354AB">
        <w:rPr>
          <w:rFonts w:ascii="Times New Roman" w:hAnsi="Times New Roman"/>
          <w:lang w:val="es-AR"/>
        </w:rPr>
        <w:t xml:space="preserve"> </w:t>
      </w:r>
      <w:r w:rsidR="008B06B1" w:rsidRPr="00D354AB">
        <w:rPr>
          <w:rFonts w:ascii="Times New Roman" w:hAnsi="Times New Roman"/>
          <w:lang w:val="es-MX"/>
        </w:rPr>
        <w:t>Página Web Institucional</w:t>
      </w:r>
      <w:r w:rsidRPr="00D354AB">
        <w:rPr>
          <w:rFonts w:ascii="Times New Roman" w:hAnsi="Times New Roman"/>
          <w:lang w:val="es-AR"/>
        </w:rPr>
        <w:t>. En dicho caso, los Inversores que hubieran presentado Ofertas</w:t>
      </w:r>
      <w:r w:rsidR="00024B3A">
        <w:rPr>
          <w:rFonts w:ascii="Times New Roman" w:hAnsi="Times New Roman"/>
          <w:lang w:val="es-AR"/>
        </w:rPr>
        <w:t xml:space="preserve"> durante el Período de Subasta Pública</w:t>
      </w:r>
      <w:r w:rsidRPr="00D354AB">
        <w:rPr>
          <w:rFonts w:ascii="Times New Roman" w:hAnsi="Times New Roman"/>
          <w:lang w:val="es-AR"/>
        </w:rPr>
        <w:t xml:space="preserve">, podrán a su solo criterio y sin penalidad alguna, retirar </w:t>
      </w:r>
      <w:r w:rsidR="002606DA" w:rsidRPr="00D354AB">
        <w:rPr>
          <w:rFonts w:ascii="Times New Roman" w:hAnsi="Times New Roman"/>
          <w:lang w:val="es-AR"/>
        </w:rPr>
        <w:t>las mismas</w:t>
      </w:r>
      <w:r w:rsidRPr="00D354AB">
        <w:rPr>
          <w:rFonts w:ascii="Times New Roman" w:hAnsi="Times New Roman"/>
          <w:lang w:val="es-AR"/>
        </w:rPr>
        <w:t xml:space="preserve"> en cualquier momento anterior a la finalización del Período de </w:t>
      </w:r>
      <w:r w:rsidR="0002753C">
        <w:rPr>
          <w:rFonts w:ascii="Times New Roman" w:hAnsi="Times New Roman"/>
          <w:lang w:val="es-AR"/>
        </w:rPr>
        <w:t>Subasta Pública</w:t>
      </w:r>
      <w:r w:rsidRPr="00D354AB">
        <w:rPr>
          <w:rFonts w:ascii="Times New Roman" w:hAnsi="Times New Roman"/>
          <w:lang w:val="es-AR"/>
        </w:rPr>
        <w:t>.</w:t>
      </w:r>
    </w:p>
    <w:p w14:paraId="79273D5E" w14:textId="716A3861" w:rsidR="00F07ACB" w:rsidRPr="00D354AB" w:rsidRDefault="00F07ACB" w:rsidP="00FF0D9A">
      <w:pPr>
        <w:pStyle w:val="Sangradetextonormal"/>
        <w:widowControl w:val="0"/>
        <w:tabs>
          <w:tab w:val="clear" w:pos="397"/>
          <w:tab w:val="clear" w:pos="794"/>
          <w:tab w:val="clear" w:pos="1191"/>
          <w:tab w:val="clear" w:pos="1588"/>
          <w:tab w:val="clear" w:pos="1985"/>
          <w:tab w:val="clear" w:pos="2382"/>
          <w:tab w:val="clear" w:pos="2779"/>
          <w:tab w:val="clear" w:pos="3176"/>
          <w:tab w:val="clear" w:pos="3573"/>
          <w:tab w:val="clear" w:pos="3970"/>
          <w:tab w:val="clear" w:pos="4367"/>
          <w:tab w:val="clear" w:pos="4764"/>
          <w:tab w:val="clear" w:pos="5161"/>
          <w:tab w:val="clear" w:pos="5558"/>
          <w:tab w:val="clear" w:pos="5955"/>
          <w:tab w:val="clear" w:pos="6352"/>
          <w:tab w:val="clear" w:pos="6749"/>
          <w:tab w:val="clear" w:pos="7146"/>
          <w:tab w:val="clear" w:pos="7543"/>
          <w:tab w:val="clear" w:pos="7940"/>
          <w:tab w:val="clear" w:pos="8337"/>
          <w:tab w:val="clear" w:pos="8734"/>
          <w:tab w:val="clear" w:pos="9131"/>
          <w:tab w:val="clear" w:pos="9528"/>
        </w:tabs>
        <w:rPr>
          <w:rFonts w:ascii="Times New Roman" w:hAnsi="Times New Roman"/>
          <w:lang w:val="es-MX"/>
        </w:rPr>
      </w:pPr>
    </w:p>
    <w:p w14:paraId="46F0D7EE" w14:textId="178E23AA" w:rsidR="0002753C" w:rsidRPr="000C6B0A" w:rsidRDefault="0002753C" w:rsidP="0002753C">
      <w:pPr>
        <w:pStyle w:val="Sangradetextonormal"/>
        <w:widowControl w:val="0"/>
        <w:tabs>
          <w:tab w:val="clear" w:pos="397"/>
          <w:tab w:val="clear" w:pos="794"/>
          <w:tab w:val="clear" w:pos="1191"/>
          <w:tab w:val="clear" w:pos="1588"/>
          <w:tab w:val="clear" w:pos="1985"/>
          <w:tab w:val="clear" w:pos="2382"/>
          <w:tab w:val="clear" w:pos="2779"/>
          <w:tab w:val="clear" w:pos="3176"/>
          <w:tab w:val="clear" w:pos="3573"/>
          <w:tab w:val="clear" w:pos="3970"/>
          <w:tab w:val="clear" w:pos="4367"/>
          <w:tab w:val="clear" w:pos="4764"/>
          <w:tab w:val="clear" w:pos="5161"/>
          <w:tab w:val="clear" w:pos="5558"/>
          <w:tab w:val="clear" w:pos="5955"/>
          <w:tab w:val="clear" w:pos="6352"/>
          <w:tab w:val="clear" w:pos="6749"/>
          <w:tab w:val="clear" w:pos="7146"/>
          <w:tab w:val="clear" w:pos="7543"/>
          <w:tab w:val="clear" w:pos="7940"/>
          <w:tab w:val="clear" w:pos="8337"/>
          <w:tab w:val="clear" w:pos="8734"/>
          <w:tab w:val="clear" w:pos="9131"/>
          <w:tab w:val="clear" w:pos="9528"/>
        </w:tabs>
        <w:rPr>
          <w:rFonts w:ascii="Times New Roman" w:hAnsi="Times New Roman"/>
          <w:lang w:val="es-MX"/>
        </w:rPr>
      </w:pPr>
      <w:r w:rsidRPr="00DF63B4">
        <w:rPr>
          <w:rFonts w:ascii="Times New Roman" w:hAnsi="Times New Roman"/>
          <w:lang w:val="es-MX"/>
        </w:rPr>
        <w:t xml:space="preserve">La terminación, suspensión y/o prórroga del Período de Difusión Pública y/o del Período de Subasta Pública no generará responsabilidad alguna </w:t>
      </w:r>
      <w:r>
        <w:rPr>
          <w:rFonts w:ascii="Times New Roman" w:hAnsi="Times New Roman"/>
          <w:lang w:val="es-MX"/>
        </w:rPr>
        <w:t xml:space="preserve">ni </w:t>
      </w:r>
      <w:r w:rsidRPr="00DF63B4">
        <w:rPr>
          <w:rFonts w:ascii="Times New Roman" w:hAnsi="Times New Roman"/>
          <w:lang w:val="es-MX"/>
        </w:rPr>
        <w:t xml:space="preserve">al Emisor </w:t>
      </w:r>
      <w:r>
        <w:rPr>
          <w:rFonts w:ascii="Times New Roman" w:hAnsi="Times New Roman"/>
          <w:lang w:val="es-MX"/>
        </w:rPr>
        <w:t>ni</w:t>
      </w:r>
      <w:r w:rsidRPr="00DF63B4">
        <w:rPr>
          <w:rFonts w:ascii="Times New Roman" w:hAnsi="Times New Roman"/>
          <w:lang w:val="es-MX"/>
        </w:rPr>
        <w:t xml:space="preserve"> a los Colocadores, ni otorgará a los Inversores que hayan presentado Órdenes</w:t>
      </w:r>
      <w:r>
        <w:rPr>
          <w:rFonts w:ascii="Times New Roman" w:hAnsi="Times New Roman"/>
          <w:lang w:val="es-MX"/>
        </w:rPr>
        <w:t>,</w:t>
      </w:r>
      <w:r w:rsidRPr="000C6B0A">
        <w:rPr>
          <w:rFonts w:ascii="Times New Roman" w:hAnsi="Times New Roman"/>
          <w:lang w:val="es-MX"/>
        </w:rPr>
        <w:t xml:space="preserve"> </w:t>
      </w:r>
      <w:r w:rsidRPr="00DF63B4">
        <w:rPr>
          <w:rFonts w:ascii="Times New Roman" w:hAnsi="Times New Roman"/>
          <w:lang w:val="es-MX"/>
        </w:rPr>
        <w:t xml:space="preserve">ni a los Agentes del MAE y/o adherentes </w:t>
      </w:r>
      <w:r w:rsidRPr="00C70CBE">
        <w:rPr>
          <w:rFonts w:ascii="Times New Roman" w:hAnsi="Times New Roman"/>
          <w:lang w:val="es-MX"/>
        </w:rPr>
        <w:t>de este</w:t>
      </w:r>
      <w:r w:rsidRPr="00DF63B4">
        <w:rPr>
          <w:rFonts w:ascii="Times New Roman" w:hAnsi="Times New Roman"/>
          <w:lang w:val="es-MX"/>
        </w:rPr>
        <w:t xml:space="preserve"> que hayan presentado Ofertas, derecho a compensación y/o indemnización alguna. En caso de terminación del Período de Difusión Pública y/o del Período de Subasta Pública, todas las Ofertas que </w:t>
      </w:r>
      <w:r w:rsidRPr="00DF63B4">
        <w:rPr>
          <w:rFonts w:ascii="Times New Roman" w:hAnsi="Times New Roman"/>
          <w:lang w:val="es-MX"/>
        </w:rPr>
        <w:lastRenderedPageBreak/>
        <w:t>en su caso se hayan presentado hasta ese momento quedarán automáticamente sin efecto.</w:t>
      </w:r>
    </w:p>
    <w:bookmarkEnd w:id="49"/>
    <w:p w14:paraId="19D135F5" w14:textId="694E7CDC" w:rsidR="00FF0D9A" w:rsidRDefault="00FF0D9A" w:rsidP="00FF0D9A">
      <w:pPr>
        <w:widowControl w:val="0"/>
        <w:jc w:val="both"/>
        <w:rPr>
          <w:sz w:val="20"/>
          <w:szCs w:val="20"/>
          <w:lang w:val="es-AR"/>
        </w:rPr>
      </w:pPr>
    </w:p>
    <w:p w14:paraId="0318E1A9" w14:textId="4F5B9565" w:rsidR="0002753C" w:rsidRPr="0002753C" w:rsidRDefault="0002753C" w:rsidP="00FF0D9A">
      <w:pPr>
        <w:widowControl w:val="0"/>
        <w:jc w:val="both"/>
        <w:rPr>
          <w:i/>
          <w:sz w:val="20"/>
          <w:szCs w:val="20"/>
          <w:lang w:val="es-AR"/>
        </w:rPr>
      </w:pPr>
      <w:r>
        <w:rPr>
          <w:i/>
          <w:sz w:val="20"/>
          <w:szCs w:val="20"/>
          <w:lang w:val="es-AR"/>
        </w:rPr>
        <w:t>Período de Subasta Pública</w:t>
      </w:r>
    </w:p>
    <w:p w14:paraId="66D90761" w14:textId="77777777" w:rsidR="0002753C" w:rsidRPr="00D354AB" w:rsidRDefault="0002753C" w:rsidP="00FF0D9A">
      <w:pPr>
        <w:widowControl w:val="0"/>
        <w:jc w:val="both"/>
        <w:rPr>
          <w:sz w:val="20"/>
          <w:szCs w:val="20"/>
          <w:lang w:val="es-AR"/>
        </w:rPr>
      </w:pPr>
    </w:p>
    <w:p w14:paraId="0A0FC64F" w14:textId="42FAF10C" w:rsidR="00FF0D9A" w:rsidRPr="00D354AB" w:rsidRDefault="00FF0D9A" w:rsidP="00FF0D9A">
      <w:pPr>
        <w:widowControl w:val="0"/>
        <w:jc w:val="both"/>
        <w:rPr>
          <w:snapToGrid w:val="0"/>
          <w:sz w:val="20"/>
          <w:szCs w:val="20"/>
          <w:lang w:val="es-AR"/>
        </w:rPr>
      </w:pPr>
      <w:r w:rsidRPr="00D354AB">
        <w:rPr>
          <w:snapToGrid w:val="0"/>
          <w:sz w:val="20"/>
          <w:szCs w:val="20"/>
          <w:lang w:val="es-AR"/>
        </w:rPr>
        <w:t xml:space="preserve">Durante el Período de </w:t>
      </w:r>
      <w:r w:rsidR="0002753C">
        <w:rPr>
          <w:snapToGrid w:val="0"/>
          <w:sz w:val="20"/>
          <w:szCs w:val="20"/>
          <w:lang w:val="es-AR"/>
        </w:rPr>
        <w:t>Subasta Pública</w:t>
      </w:r>
      <w:r w:rsidRPr="00D354AB">
        <w:rPr>
          <w:snapToGrid w:val="0"/>
          <w:sz w:val="20"/>
          <w:szCs w:val="20"/>
          <w:lang w:val="es-AR"/>
        </w:rPr>
        <w:t xml:space="preserve"> los inversores interesados (los “</w:t>
      </w:r>
      <w:r w:rsidRPr="00D354AB">
        <w:rPr>
          <w:snapToGrid w:val="0"/>
          <w:sz w:val="20"/>
          <w:szCs w:val="20"/>
          <w:u w:val="single"/>
          <w:lang w:val="es-AR"/>
        </w:rPr>
        <w:t>Inversores</w:t>
      </w:r>
      <w:r w:rsidRPr="00D354AB">
        <w:rPr>
          <w:snapToGrid w:val="0"/>
          <w:sz w:val="20"/>
          <w:szCs w:val="20"/>
          <w:lang w:val="es-AR"/>
        </w:rPr>
        <w:t xml:space="preserve">”) en la adquisición de las Obligaciones Negociables </w:t>
      </w:r>
      <w:r w:rsidR="00AD4AB4" w:rsidRPr="00D354AB">
        <w:rPr>
          <w:snapToGrid w:val="0"/>
          <w:sz w:val="20"/>
          <w:szCs w:val="20"/>
          <w:lang w:val="es-AR"/>
        </w:rPr>
        <w:t>Clase XVII</w:t>
      </w:r>
      <w:r w:rsidRPr="00D354AB">
        <w:rPr>
          <w:snapToGrid w:val="0"/>
          <w:sz w:val="20"/>
          <w:szCs w:val="20"/>
          <w:lang w:val="es-AR"/>
        </w:rPr>
        <w:t>, podrán asignar a los Colocadores o a los Agentes del MAE las ordenes en firme y vinculantes de las Obligaciones Negociables que deseen suscribir (las “</w:t>
      </w:r>
      <w:r w:rsidRPr="00D354AB">
        <w:rPr>
          <w:snapToGrid w:val="0"/>
          <w:sz w:val="20"/>
          <w:szCs w:val="20"/>
          <w:u w:val="single"/>
          <w:lang w:val="es-AR"/>
        </w:rPr>
        <w:t>Órdenes</w:t>
      </w:r>
      <w:r w:rsidRPr="00D354AB">
        <w:rPr>
          <w:snapToGrid w:val="0"/>
          <w:sz w:val="20"/>
          <w:szCs w:val="20"/>
          <w:lang w:val="es-AR"/>
        </w:rPr>
        <w:t>”). Las Órdenes no podrán ser retiradas, con excepción de lo establecido en el párrafo anterior.</w:t>
      </w:r>
    </w:p>
    <w:p w14:paraId="1A37710F" w14:textId="77777777" w:rsidR="00FF0D9A" w:rsidRPr="00D354AB" w:rsidRDefault="00FF0D9A" w:rsidP="00FF0D9A">
      <w:pPr>
        <w:widowControl w:val="0"/>
        <w:jc w:val="both"/>
        <w:rPr>
          <w:snapToGrid w:val="0"/>
          <w:sz w:val="20"/>
          <w:szCs w:val="20"/>
          <w:lang w:val="es-AR"/>
        </w:rPr>
      </w:pPr>
    </w:p>
    <w:p w14:paraId="5BF9144E" w14:textId="2A00B08E" w:rsidR="00FF0D9A" w:rsidRPr="00D354AB" w:rsidRDefault="00FF0D9A" w:rsidP="00FF0D9A">
      <w:pPr>
        <w:widowControl w:val="0"/>
        <w:jc w:val="both"/>
        <w:rPr>
          <w:snapToGrid w:val="0"/>
          <w:sz w:val="20"/>
          <w:szCs w:val="20"/>
          <w:lang w:val="es-AR"/>
        </w:rPr>
      </w:pPr>
      <w:r w:rsidRPr="00D354AB">
        <w:rPr>
          <w:snapToGrid w:val="0"/>
          <w:sz w:val="20"/>
          <w:szCs w:val="20"/>
          <w:lang w:val="es-AR"/>
        </w:rPr>
        <w:t>Podrán remitirse Órdenes para el Tramo Competitivo y Órdenes para el Tramo No Competitivo (según ambos términos se definen más adelante). Cada Inversor deberá detallar en la Orden correspondiente la siguiente información:</w:t>
      </w:r>
    </w:p>
    <w:p w14:paraId="7D8CD597" w14:textId="77777777" w:rsidR="00FF0D9A" w:rsidRPr="00D354AB" w:rsidRDefault="00FF0D9A" w:rsidP="00FF0D9A">
      <w:pPr>
        <w:widowControl w:val="0"/>
        <w:jc w:val="both"/>
        <w:rPr>
          <w:snapToGrid w:val="0"/>
          <w:sz w:val="20"/>
          <w:szCs w:val="20"/>
          <w:lang w:val="es-AR"/>
        </w:rPr>
      </w:pPr>
    </w:p>
    <w:p w14:paraId="1EEAF938" w14:textId="778203A3" w:rsidR="00FF0D9A" w:rsidRPr="00D354AB" w:rsidRDefault="00FF0D9A" w:rsidP="00FF0D9A">
      <w:pPr>
        <w:widowControl w:val="0"/>
        <w:jc w:val="both"/>
        <w:rPr>
          <w:snapToGrid w:val="0"/>
          <w:sz w:val="20"/>
          <w:szCs w:val="20"/>
          <w:lang w:val="es-AR"/>
        </w:rPr>
      </w:pPr>
      <w:r w:rsidRPr="00D354AB">
        <w:rPr>
          <w:snapToGrid w:val="0"/>
          <w:sz w:val="20"/>
          <w:szCs w:val="20"/>
          <w:lang w:val="es-AR"/>
        </w:rPr>
        <w:t xml:space="preserve">Obligaciones Negociables </w:t>
      </w:r>
      <w:r w:rsidR="00AD4AB4" w:rsidRPr="00D354AB">
        <w:rPr>
          <w:snapToGrid w:val="0"/>
          <w:sz w:val="20"/>
          <w:szCs w:val="20"/>
          <w:lang w:val="es-AR"/>
        </w:rPr>
        <w:t>Clase XVII</w:t>
      </w:r>
      <w:r w:rsidRPr="00D354AB">
        <w:rPr>
          <w:snapToGrid w:val="0"/>
          <w:sz w:val="20"/>
          <w:szCs w:val="20"/>
          <w:lang w:val="es-AR"/>
        </w:rPr>
        <w:t>:</w:t>
      </w:r>
    </w:p>
    <w:p w14:paraId="37679A75" w14:textId="77777777" w:rsidR="00FF0D9A" w:rsidRPr="00D354AB" w:rsidRDefault="00FF0D9A" w:rsidP="00FF0D9A">
      <w:pPr>
        <w:widowControl w:val="0"/>
        <w:jc w:val="both"/>
        <w:rPr>
          <w:snapToGrid w:val="0"/>
          <w:sz w:val="20"/>
          <w:szCs w:val="20"/>
          <w:lang w:val="es-AR"/>
        </w:rPr>
      </w:pPr>
    </w:p>
    <w:p w14:paraId="1C9D4E6D" w14:textId="77777777" w:rsidR="00FF0D9A" w:rsidRPr="00D354AB" w:rsidRDefault="00FF0D9A" w:rsidP="00FF0D9A">
      <w:pPr>
        <w:widowControl w:val="0"/>
        <w:ind w:left="284" w:hanging="284"/>
        <w:jc w:val="both"/>
        <w:rPr>
          <w:snapToGrid w:val="0"/>
          <w:sz w:val="20"/>
          <w:szCs w:val="20"/>
          <w:lang w:val="es-AR"/>
        </w:rPr>
      </w:pPr>
      <w:r w:rsidRPr="00D354AB">
        <w:rPr>
          <w:snapToGrid w:val="0"/>
          <w:sz w:val="20"/>
          <w:szCs w:val="20"/>
          <w:lang w:val="es-AR"/>
        </w:rPr>
        <w:t>-</w:t>
      </w:r>
      <w:r w:rsidRPr="00D354AB">
        <w:rPr>
          <w:snapToGrid w:val="0"/>
          <w:sz w:val="20"/>
          <w:szCs w:val="20"/>
          <w:lang w:val="es-AR"/>
        </w:rPr>
        <w:tab/>
        <w:t>sus datos identificatorios;</w:t>
      </w:r>
    </w:p>
    <w:p w14:paraId="59D66FDB" w14:textId="51D26C11" w:rsidR="00FF0D9A" w:rsidRPr="00D354AB" w:rsidRDefault="00FF0D9A" w:rsidP="00FF0D9A">
      <w:pPr>
        <w:widowControl w:val="0"/>
        <w:ind w:left="284" w:hanging="284"/>
        <w:jc w:val="both"/>
        <w:rPr>
          <w:snapToGrid w:val="0"/>
          <w:sz w:val="20"/>
          <w:szCs w:val="20"/>
          <w:lang w:val="es-AR"/>
        </w:rPr>
      </w:pPr>
      <w:r w:rsidRPr="00D354AB">
        <w:rPr>
          <w:snapToGrid w:val="0"/>
          <w:sz w:val="20"/>
          <w:szCs w:val="20"/>
          <w:lang w:val="es-AR"/>
        </w:rPr>
        <w:t>-</w:t>
      </w:r>
      <w:r w:rsidRPr="00D354AB">
        <w:rPr>
          <w:snapToGrid w:val="0"/>
          <w:sz w:val="20"/>
          <w:szCs w:val="20"/>
          <w:lang w:val="es-AR"/>
        </w:rPr>
        <w:tab/>
        <w:t xml:space="preserve">el valor nominal total que se pretenda suscribir de las Obligaciones Negociables </w:t>
      </w:r>
      <w:r w:rsidR="00AD4AB4" w:rsidRPr="00D354AB">
        <w:rPr>
          <w:snapToGrid w:val="0"/>
          <w:sz w:val="20"/>
          <w:szCs w:val="20"/>
          <w:lang w:val="es-AR"/>
        </w:rPr>
        <w:t>Clase XVII</w:t>
      </w:r>
      <w:r w:rsidRPr="00D354AB">
        <w:rPr>
          <w:snapToGrid w:val="0"/>
          <w:sz w:val="20"/>
          <w:szCs w:val="20"/>
          <w:lang w:val="es-AR"/>
        </w:rPr>
        <w:t>;</w:t>
      </w:r>
    </w:p>
    <w:p w14:paraId="128E109C" w14:textId="76627A05" w:rsidR="00FF0D9A" w:rsidRPr="00D354AB" w:rsidRDefault="00FF0D9A" w:rsidP="00FF0D9A">
      <w:pPr>
        <w:widowControl w:val="0"/>
        <w:ind w:left="284" w:hanging="284"/>
        <w:jc w:val="both"/>
        <w:rPr>
          <w:snapToGrid w:val="0"/>
          <w:sz w:val="20"/>
          <w:szCs w:val="20"/>
          <w:lang w:val="es-AR"/>
        </w:rPr>
      </w:pPr>
      <w:r w:rsidRPr="00D354AB">
        <w:rPr>
          <w:snapToGrid w:val="0"/>
          <w:sz w:val="20"/>
          <w:szCs w:val="20"/>
          <w:lang w:val="es-AR"/>
        </w:rPr>
        <w:t>-</w:t>
      </w:r>
      <w:r w:rsidRPr="00D354AB">
        <w:rPr>
          <w:snapToGrid w:val="0"/>
          <w:sz w:val="20"/>
          <w:szCs w:val="20"/>
          <w:lang w:val="es-AR"/>
        </w:rPr>
        <w:tab/>
        <w:t>solo las Órdenes para el Tramo Competitivo deberán indicar el Margen de Corte solicitado,</w:t>
      </w:r>
      <w:r w:rsidRPr="00D354AB">
        <w:rPr>
          <w:sz w:val="20"/>
          <w:szCs w:val="20"/>
          <w:lang w:val="es-MX"/>
        </w:rPr>
        <w:t xml:space="preserve"> expresado en un porcentaje truncado a dos decimales (el “</w:t>
      </w:r>
      <w:r w:rsidRPr="00D354AB">
        <w:rPr>
          <w:sz w:val="20"/>
          <w:szCs w:val="20"/>
          <w:u w:val="single"/>
          <w:lang w:val="es-MX"/>
        </w:rPr>
        <w:t>Margen Solicitado</w:t>
      </w:r>
      <w:r w:rsidRPr="00D354AB">
        <w:rPr>
          <w:sz w:val="20"/>
          <w:szCs w:val="20"/>
          <w:lang w:val="es-MX"/>
        </w:rPr>
        <w:t>”)</w:t>
      </w:r>
      <w:r w:rsidRPr="00D354AB">
        <w:rPr>
          <w:snapToGrid w:val="0"/>
          <w:sz w:val="20"/>
          <w:szCs w:val="20"/>
          <w:lang w:val="es-AR"/>
        </w:rPr>
        <w:t>; y</w:t>
      </w:r>
    </w:p>
    <w:p w14:paraId="6F1FE14C" w14:textId="77777777" w:rsidR="00FF0D9A" w:rsidRPr="00D354AB" w:rsidRDefault="00FF0D9A" w:rsidP="00FF0D9A">
      <w:pPr>
        <w:widowControl w:val="0"/>
        <w:ind w:left="284" w:hanging="284"/>
        <w:jc w:val="both"/>
        <w:rPr>
          <w:snapToGrid w:val="0"/>
          <w:sz w:val="20"/>
          <w:szCs w:val="20"/>
          <w:lang w:val="es-AR"/>
        </w:rPr>
      </w:pPr>
      <w:r w:rsidRPr="00D354AB">
        <w:rPr>
          <w:snapToGrid w:val="0"/>
          <w:sz w:val="20"/>
          <w:szCs w:val="20"/>
          <w:lang w:val="es-AR"/>
        </w:rPr>
        <w:t>-</w:t>
      </w:r>
      <w:r w:rsidRPr="00D354AB">
        <w:rPr>
          <w:snapToGrid w:val="0"/>
          <w:sz w:val="20"/>
          <w:szCs w:val="20"/>
          <w:lang w:val="es-AR"/>
        </w:rPr>
        <w:tab/>
        <w:t>otros datos que requiera el formulario de ingresos de órdenes del Sistema SIOPEL.</w:t>
      </w:r>
    </w:p>
    <w:p w14:paraId="35131C64" w14:textId="77777777" w:rsidR="00FF0D9A" w:rsidRPr="00D354AB" w:rsidRDefault="00FF0D9A" w:rsidP="00FF0D9A">
      <w:pPr>
        <w:widowControl w:val="0"/>
        <w:jc w:val="both"/>
        <w:rPr>
          <w:snapToGrid w:val="0"/>
          <w:sz w:val="20"/>
          <w:szCs w:val="20"/>
          <w:lang w:val="es-AR"/>
        </w:rPr>
      </w:pPr>
    </w:p>
    <w:p w14:paraId="6DAEB0E7" w14:textId="34DC4A6F" w:rsidR="00FF0D9A" w:rsidRPr="00D354AB" w:rsidRDefault="00AD4AB4" w:rsidP="00FF0D9A">
      <w:pPr>
        <w:widowControl w:val="0"/>
        <w:jc w:val="both"/>
        <w:rPr>
          <w:snapToGrid w:val="0"/>
          <w:sz w:val="20"/>
          <w:szCs w:val="20"/>
          <w:lang w:val="es-AR"/>
        </w:rPr>
      </w:pPr>
      <w:r w:rsidRPr="00D354AB">
        <w:rPr>
          <w:snapToGrid w:val="0"/>
          <w:sz w:val="20"/>
          <w:szCs w:val="20"/>
          <w:lang w:val="es-AR"/>
        </w:rPr>
        <w:t xml:space="preserve">Cada </w:t>
      </w:r>
      <w:r w:rsidR="00FF0D9A" w:rsidRPr="00D354AB">
        <w:rPr>
          <w:snapToGrid w:val="0"/>
          <w:sz w:val="20"/>
          <w:szCs w:val="20"/>
          <w:lang w:val="es-AR"/>
        </w:rPr>
        <w:t>Inversor podrá presentar una o más Órdenes que constituirán el Tramo No Competitivo y una o más Órdenes que constituirán el Tramo Competitivo con distint</w:t>
      </w:r>
      <w:r w:rsidR="001A0046" w:rsidRPr="00D354AB">
        <w:rPr>
          <w:snapToGrid w:val="0"/>
          <w:sz w:val="20"/>
          <w:szCs w:val="20"/>
          <w:lang w:val="es-AR"/>
        </w:rPr>
        <w:t>o</w:t>
      </w:r>
      <w:r w:rsidR="00FF0D9A" w:rsidRPr="00D354AB">
        <w:rPr>
          <w:snapToGrid w:val="0"/>
          <w:sz w:val="20"/>
          <w:szCs w:val="20"/>
          <w:lang w:val="es-AR"/>
        </w:rPr>
        <w:t>s</w:t>
      </w:r>
      <w:r w:rsidR="003A636F" w:rsidRPr="00D354AB">
        <w:rPr>
          <w:snapToGrid w:val="0"/>
          <w:sz w:val="20"/>
          <w:szCs w:val="20"/>
          <w:lang w:val="es-AR"/>
        </w:rPr>
        <w:t xml:space="preserve"> </w:t>
      </w:r>
      <w:r w:rsidR="00FF0D9A" w:rsidRPr="00D354AB">
        <w:rPr>
          <w:snapToGrid w:val="0"/>
          <w:sz w:val="20"/>
          <w:szCs w:val="20"/>
          <w:lang w:val="es-AR"/>
        </w:rPr>
        <w:t>Márgenes Solicitados, y distintos valores nominales que se pretenda suscribir de las Obligaciones Negociables, pudiendo quedar adjudicadas una, todas, o ninguna de las Órdenes remitidas, de conformidad con el procedimiento que se prevé en “</w:t>
      </w:r>
      <w:r w:rsidR="00FF0D9A" w:rsidRPr="00D354AB">
        <w:rPr>
          <w:i/>
          <w:snapToGrid w:val="0"/>
          <w:sz w:val="20"/>
          <w:szCs w:val="20"/>
          <w:lang w:val="es-AR"/>
        </w:rPr>
        <w:t>Adjudicación y Prorrateo</w:t>
      </w:r>
      <w:r w:rsidR="00FF0D9A" w:rsidRPr="00D354AB">
        <w:rPr>
          <w:snapToGrid w:val="0"/>
          <w:sz w:val="20"/>
          <w:szCs w:val="20"/>
          <w:lang w:val="es-AR"/>
        </w:rPr>
        <w:t>”.</w:t>
      </w:r>
    </w:p>
    <w:p w14:paraId="61C58DF8" w14:textId="77777777" w:rsidR="00FF0D9A" w:rsidRPr="00D354AB" w:rsidRDefault="00FF0D9A" w:rsidP="00FF0D9A">
      <w:pPr>
        <w:widowControl w:val="0"/>
        <w:jc w:val="both"/>
        <w:rPr>
          <w:snapToGrid w:val="0"/>
          <w:sz w:val="20"/>
          <w:szCs w:val="20"/>
          <w:lang w:val="es-AR"/>
        </w:rPr>
      </w:pPr>
    </w:p>
    <w:p w14:paraId="72E44D44" w14:textId="621D008D" w:rsidR="00FF0D9A" w:rsidRPr="00D354AB" w:rsidRDefault="00FF0D9A" w:rsidP="00FF0D9A">
      <w:pPr>
        <w:widowControl w:val="0"/>
        <w:jc w:val="both"/>
        <w:rPr>
          <w:color w:val="000000"/>
          <w:sz w:val="20"/>
          <w:szCs w:val="20"/>
          <w:lang w:val="es-MX"/>
        </w:rPr>
      </w:pPr>
      <w:r w:rsidRPr="00D354AB">
        <w:rPr>
          <w:color w:val="000000"/>
          <w:sz w:val="20"/>
          <w:szCs w:val="20"/>
          <w:lang w:val="es-AR"/>
        </w:rPr>
        <w:t>Ni los Colocadores</w:t>
      </w:r>
      <w:r w:rsidRPr="00D354AB">
        <w:rPr>
          <w:snapToGrid w:val="0"/>
          <w:sz w:val="20"/>
          <w:szCs w:val="20"/>
          <w:lang w:val="es-AR"/>
        </w:rPr>
        <w:t xml:space="preserve"> ni los Agentes del MAE </w:t>
      </w:r>
      <w:r w:rsidRPr="00D354AB">
        <w:rPr>
          <w:color w:val="000000"/>
          <w:sz w:val="20"/>
          <w:szCs w:val="20"/>
          <w:lang w:val="es-AR"/>
        </w:rPr>
        <w:t>aceptarán Órdenes por un valor nominal menor a $1.000.000</w:t>
      </w:r>
      <w:r w:rsidR="00D2629D" w:rsidRPr="00D354AB">
        <w:rPr>
          <w:color w:val="000000"/>
          <w:sz w:val="20"/>
          <w:szCs w:val="20"/>
          <w:lang w:val="es-AR"/>
        </w:rPr>
        <w:t xml:space="preserve"> </w:t>
      </w:r>
      <w:r w:rsidR="00D2629D" w:rsidRPr="00D354AB">
        <w:rPr>
          <w:sz w:val="20"/>
          <w:szCs w:val="20"/>
          <w:lang w:val="es-MX"/>
        </w:rPr>
        <w:t>(o el monto mínimo que establezca oportunamente la normativa del BCRA)</w:t>
      </w:r>
      <w:r w:rsidR="00D2629D" w:rsidRPr="00D354AB">
        <w:rPr>
          <w:color w:val="000000"/>
          <w:sz w:val="20"/>
          <w:szCs w:val="20"/>
          <w:lang w:val="es-MX"/>
        </w:rPr>
        <w:t xml:space="preserve"> </w:t>
      </w:r>
      <w:r w:rsidRPr="00D354AB">
        <w:rPr>
          <w:sz w:val="20"/>
          <w:szCs w:val="20"/>
          <w:lang w:val="es-AR"/>
        </w:rPr>
        <w:t xml:space="preserve">para las Obligaciones Negociables </w:t>
      </w:r>
      <w:r w:rsidR="00AD4AB4" w:rsidRPr="00D354AB">
        <w:rPr>
          <w:sz w:val="20"/>
          <w:szCs w:val="20"/>
          <w:lang w:val="es-AR"/>
        </w:rPr>
        <w:t>Clase XVII</w:t>
      </w:r>
      <w:r w:rsidRPr="00D354AB">
        <w:rPr>
          <w:sz w:val="20"/>
          <w:szCs w:val="20"/>
          <w:lang w:val="es-AR"/>
        </w:rPr>
        <w:t>.</w:t>
      </w:r>
    </w:p>
    <w:p w14:paraId="3B75124E" w14:textId="77777777" w:rsidR="00FF0D9A" w:rsidRPr="00D354AB" w:rsidRDefault="00FF0D9A" w:rsidP="00FF0D9A">
      <w:pPr>
        <w:widowControl w:val="0"/>
        <w:jc w:val="both"/>
        <w:rPr>
          <w:snapToGrid w:val="0"/>
          <w:sz w:val="20"/>
          <w:szCs w:val="20"/>
          <w:lang w:val="es-AR"/>
        </w:rPr>
      </w:pPr>
    </w:p>
    <w:p w14:paraId="154C03B2" w14:textId="0DAB0ED9" w:rsidR="00FF0D9A" w:rsidRPr="00D354AB" w:rsidRDefault="00FF0D9A" w:rsidP="00FF0D9A">
      <w:pPr>
        <w:widowControl w:val="0"/>
        <w:jc w:val="both"/>
        <w:rPr>
          <w:snapToGrid w:val="0"/>
          <w:sz w:val="20"/>
          <w:szCs w:val="20"/>
          <w:lang w:val="es-AR"/>
        </w:rPr>
      </w:pPr>
      <w:r w:rsidRPr="00D354AB">
        <w:rPr>
          <w:snapToGrid w:val="0"/>
          <w:sz w:val="20"/>
          <w:szCs w:val="20"/>
          <w:lang w:val="es-AR"/>
        </w:rPr>
        <w:t>En caso de que así lo deseen, los Inversores podrán limitar su adjudicación final en un porcentaje máximo del valor nominal total a emitir</w:t>
      </w:r>
      <w:r w:rsidR="001A0046" w:rsidRPr="00D354AB">
        <w:rPr>
          <w:snapToGrid w:val="0"/>
          <w:sz w:val="20"/>
          <w:szCs w:val="20"/>
          <w:lang w:val="es-AR"/>
        </w:rPr>
        <w:t>;</w:t>
      </w:r>
      <w:r w:rsidRPr="00D354AB">
        <w:rPr>
          <w:snapToGrid w:val="0"/>
          <w:sz w:val="20"/>
          <w:szCs w:val="20"/>
          <w:lang w:val="es-AR"/>
        </w:rPr>
        <w:t xml:space="preserve"> porcentaje que deberá ser detallado por cada Inversor en la respectiva Orden.</w:t>
      </w:r>
    </w:p>
    <w:p w14:paraId="20367079" w14:textId="77777777" w:rsidR="00FF0D9A" w:rsidRPr="00D354AB" w:rsidRDefault="00FF0D9A" w:rsidP="00FF0D9A">
      <w:pPr>
        <w:widowControl w:val="0"/>
        <w:jc w:val="both"/>
        <w:rPr>
          <w:snapToGrid w:val="0"/>
          <w:sz w:val="20"/>
          <w:szCs w:val="20"/>
          <w:lang w:val="es-AR"/>
        </w:rPr>
      </w:pPr>
    </w:p>
    <w:p w14:paraId="3364C633" w14:textId="53CFB00C" w:rsidR="00573EE0" w:rsidRPr="00D354AB" w:rsidRDefault="00FF0D9A" w:rsidP="00FF0D9A">
      <w:pPr>
        <w:widowControl w:val="0"/>
        <w:jc w:val="both"/>
        <w:rPr>
          <w:sz w:val="20"/>
          <w:szCs w:val="20"/>
          <w:lang w:val="es-MX"/>
        </w:rPr>
      </w:pPr>
      <w:r w:rsidRPr="00D354AB">
        <w:rPr>
          <w:color w:val="000000"/>
          <w:sz w:val="20"/>
          <w:szCs w:val="20"/>
          <w:lang w:val="es-AR"/>
        </w:rPr>
        <w:t xml:space="preserve">Los Inversores deben presentar toda la información y documentación que se les solicite, o que pudiera ser solicitada por los Colocadores o los Agentes del MAE, quienes podrán rechazar cualquier Orden que bajo su exclusivo criterio no cumpla con la totalidad de la información requerida, aun cuando dicha Orden contenga </w:t>
      </w:r>
      <w:r w:rsidRPr="00D354AB">
        <w:rPr>
          <w:sz w:val="20"/>
          <w:szCs w:val="20"/>
          <w:lang w:val="es-MX"/>
        </w:rPr>
        <w:t>un Margen Solicitado menor al Margen de Corte</w:t>
      </w:r>
      <w:r w:rsidR="00573EE0" w:rsidRPr="00D354AB">
        <w:rPr>
          <w:sz w:val="20"/>
          <w:szCs w:val="20"/>
          <w:lang w:val="es-MX"/>
        </w:rPr>
        <w:t>. El rechazo de cualquier Orden deberá basarse en causales objetivas respetando en todo momento la igualdad de trato entre los inversores.</w:t>
      </w:r>
    </w:p>
    <w:p w14:paraId="17EEDBE0" w14:textId="77777777" w:rsidR="00FF0D9A" w:rsidRPr="00D354AB" w:rsidRDefault="00FF0D9A" w:rsidP="00FF0D9A">
      <w:pPr>
        <w:widowControl w:val="0"/>
        <w:jc w:val="both"/>
        <w:rPr>
          <w:color w:val="000000"/>
          <w:sz w:val="20"/>
          <w:szCs w:val="20"/>
          <w:lang w:val="es-AR"/>
        </w:rPr>
      </w:pPr>
    </w:p>
    <w:p w14:paraId="4175CD42" w14:textId="77777777" w:rsidR="00FF0D9A" w:rsidRPr="00D354AB" w:rsidRDefault="00FF0D9A" w:rsidP="00FF0D9A">
      <w:pPr>
        <w:widowControl w:val="0"/>
        <w:jc w:val="both"/>
        <w:rPr>
          <w:b/>
          <w:smallCaps/>
          <w:color w:val="000000"/>
          <w:sz w:val="20"/>
          <w:szCs w:val="20"/>
          <w:lang w:val="es-AR"/>
        </w:rPr>
      </w:pPr>
      <w:r w:rsidRPr="00D354AB">
        <w:rPr>
          <w:b/>
          <w:smallCaps/>
          <w:color w:val="000000"/>
          <w:sz w:val="20"/>
          <w:szCs w:val="20"/>
          <w:lang w:val="es-AR"/>
        </w:rPr>
        <w:t>Cada Colocador será solo y exclusivamente responsable por las Órdenes que los Inversores le hubieran asignado y se reserva el derecho de rechazarlas si dichos Inversores no cumplen con la normativa relativa a encubrimiento y lavado de activos y/o no proporcionan, a satisfacción de dicho Colocador, la información y documentación solicitada por dicho Colocador. En dicho caso, los rechazos no darán derecho a reclamo alguno contra el Emisor ni contra los colocadores.</w:t>
      </w:r>
    </w:p>
    <w:p w14:paraId="5F502F3F" w14:textId="77777777" w:rsidR="00FF0D9A" w:rsidRPr="00D354AB" w:rsidRDefault="00FF0D9A" w:rsidP="00FF0D9A">
      <w:pPr>
        <w:widowControl w:val="0"/>
        <w:jc w:val="both"/>
        <w:rPr>
          <w:color w:val="000000"/>
          <w:sz w:val="20"/>
          <w:szCs w:val="20"/>
          <w:lang w:val="es-AR"/>
        </w:rPr>
      </w:pPr>
    </w:p>
    <w:p w14:paraId="22316EA9" w14:textId="77777777" w:rsidR="00FF0D9A" w:rsidRPr="00D354AB" w:rsidRDefault="00FF0D9A" w:rsidP="00FF0D9A">
      <w:pPr>
        <w:widowControl w:val="0"/>
        <w:jc w:val="both"/>
        <w:rPr>
          <w:b/>
          <w:smallCaps/>
          <w:color w:val="000000"/>
          <w:sz w:val="20"/>
          <w:szCs w:val="20"/>
          <w:lang w:val="es-AR"/>
        </w:rPr>
      </w:pPr>
      <w:r w:rsidRPr="00D354AB">
        <w:rPr>
          <w:b/>
          <w:smallCaps/>
          <w:color w:val="000000"/>
          <w:sz w:val="20"/>
          <w:szCs w:val="20"/>
          <w:lang w:val="es-AR"/>
        </w:rPr>
        <w:t>Asimismo, cada Agente del MAE será el único responsable por las Órdenes que los Inversores le hubieran asignado y será el único responsable de dar cumplimiento con la normativa relativa a encubrimiento y lavado de activos respecto de dichas Órdenes y de requerirle a tales Inversores toda la información y documentación que estime a los fines descriptos.</w:t>
      </w:r>
    </w:p>
    <w:p w14:paraId="5D6F1D03" w14:textId="77777777" w:rsidR="00FF0D9A" w:rsidRPr="00D354AB" w:rsidRDefault="00FF0D9A" w:rsidP="00FF0D9A">
      <w:pPr>
        <w:widowControl w:val="0"/>
        <w:jc w:val="both"/>
        <w:rPr>
          <w:color w:val="000000"/>
          <w:sz w:val="20"/>
          <w:szCs w:val="20"/>
          <w:lang w:val="es-AR"/>
        </w:rPr>
      </w:pPr>
    </w:p>
    <w:p w14:paraId="0AB8F135" w14:textId="77777777" w:rsidR="00FF0D9A" w:rsidRPr="00D354AB" w:rsidRDefault="00FF0D9A" w:rsidP="00FF0D9A">
      <w:pPr>
        <w:widowControl w:val="0"/>
        <w:jc w:val="both"/>
        <w:rPr>
          <w:color w:val="000000"/>
          <w:sz w:val="20"/>
          <w:szCs w:val="20"/>
          <w:lang w:val="es-AR"/>
        </w:rPr>
      </w:pPr>
      <w:r w:rsidRPr="00D354AB">
        <w:rPr>
          <w:b/>
          <w:smallCaps/>
          <w:color w:val="000000"/>
          <w:sz w:val="20"/>
          <w:szCs w:val="20"/>
          <w:lang w:val="es-AR"/>
        </w:rPr>
        <w:t>Los Colocadores y los Agentes del MAE podrán requerir a los Inversores la firma de formularios a fin de respaldar la información contenida en las Órdenes que los Inversores le hubiesen asignado. Los Colocadores y cada Agente del MAE, según corresponda, podrá rechazar dichas Órdenes frente a la falta de firma y entrega por dicho Inversor del mencionado formulario. En dicho caso, los rechazos no darán derecho a reclamo alguno contra el Emisor ni contra los Colocadores ni contra los Agentes del MAE.</w:t>
      </w:r>
    </w:p>
    <w:p w14:paraId="740A2E0E" w14:textId="77777777" w:rsidR="00FF0D9A" w:rsidRPr="00D354AB" w:rsidRDefault="00FF0D9A" w:rsidP="00FF0D9A">
      <w:pPr>
        <w:widowControl w:val="0"/>
        <w:jc w:val="both"/>
        <w:rPr>
          <w:sz w:val="20"/>
          <w:szCs w:val="20"/>
          <w:lang w:val="es-AR"/>
        </w:rPr>
      </w:pPr>
    </w:p>
    <w:p w14:paraId="4595CAF1" w14:textId="77777777" w:rsidR="00FF0D9A" w:rsidRPr="00D354AB" w:rsidRDefault="00FF0D9A" w:rsidP="00FF0D9A">
      <w:pPr>
        <w:widowControl w:val="0"/>
        <w:jc w:val="both"/>
        <w:rPr>
          <w:snapToGrid w:val="0"/>
          <w:sz w:val="20"/>
          <w:szCs w:val="20"/>
          <w:lang w:val="es-AR"/>
        </w:rPr>
      </w:pPr>
      <w:r w:rsidRPr="00D354AB">
        <w:rPr>
          <w:snapToGrid w:val="0"/>
          <w:sz w:val="20"/>
          <w:szCs w:val="20"/>
          <w:lang w:val="es-AR"/>
        </w:rPr>
        <w:t>Los Colocadores o los Agentes del MAE serán los responsables de activar e ingresar las Órdenes -que los Inversores hubieran cursado a través suyo- como ofertas (las “</w:t>
      </w:r>
      <w:r w:rsidRPr="00D354AB">
        <w:rPr>
          <w:snapToGrid w:val="0"/>
          <w:sz w:val="20"/>
          <w:szCs w:val="20"/>
          <w:u w:val="single"/>
          <w:lang w:val="es-AR"/>
        </w:rPr>
        <w:t>Ofertas</w:t>
      </w:r>
      <w:r w:rsidRPr="00D354AB">
        <w:rPr>
          <w:snapToGrid w:val="0"/>
          <w:sz w:val="20"/>
          <w:szCs w:val="20"/>
          <w:lang w:val="es-AR"/>
        </w:rPr>
        <w:t>”) en la rueda en que se encuentre habilitada la Subasta Pública de las Obligaciones Negociables. Dichas Ofertas serán irrevocables y no podrán ser retiradas. Solo las Ofertas participarán del proceso de Subasta Pública y serán adjudicadas de conformidad con el procedimiento que se prevé en “</w:t>
      </w:r>
      <w:r w:rsidRPr="00D354AB">
        <w:rPr>
          <w:i/>
          <w:snapToGrid w:val="0"/>
          <w:sz w:val="20"/>
          <w:szCs w:val="20"/>
          <w:lang w:val="es-AR"/>
        </w:rPr>
        <w:t>Adjudicación y Prorrateo</w:t>
      </w:r>
      <w:r w:rsidRPr="00D354AB">
        <w:rPr>
          <w:snapToGrid w:val="0"/>
          <w:sz w:val="20"/>
          <w:szCs w:val="20"/>
          <w:lang w:val="es-AR"/>
        </w:rPr>
        <w:t>”.</w:t>
      </w:r>
    </w:p>
    <w:p w14:paraId="1E976322" w14:textId="77777777" w:rsidR="00FF0D9A" w:rsidRPr="00D354AB" w:rsidRDefault="00FF0D9A" w:rsidP="00FF0D9A">
      <w:pPr>
        <w:widowControl w:val="0"/>
        <w:jc w:val="both"/>
        <w:rPr>
          <w:snapToGrid w:val="0"/>
          <w:sz w:val="20"/>
          <w:szCs w:val="20"/>
          <w:lang w:val="es-AR"/>
        </w:rPr>
      </w:pPr>
    </w:p>
    <w:p w14:paraId="30C2D230" w14:textId="77777777" w:rsidR="00FF0D9A" w:rsidRPr="00D354AB" w:rsidRDefault="00FF0D9A" w:rsidP="00FF0D9A">
      <w:pPr>
        <w:widowControl w:val="0"/>
        <w:jc w:val="both"/>
        <w:rPr>
          <w:noProof/>
          <w:snapToGrid w:val="0"/>
          <w:sz w:val="20"/>
          <w:szCs w:val="20"/>
          <w:lang w:val="es-AR"/>
        </w:rPr>
      </w:pPr>
      <w:r w:rsidRPr="00D354AB">
        <w:rPr>
          <w:noProof/>
          <w:snapToGrid w:val="0"/>
          <w:sz w:val="20"/>
          <w:szCs w:val="20"/>
          <w:lang w:val="es-AR"/>
        </w:rPr>
        <w:t>Tanto los Colocadores</w:t>
      </w:r>
      <w:r w:rsidRPr="00D354AB">
        <w:rPr>
          <w:snapToGrid w:val="0"/>
          <w:sz w:val="20"/>
          <w:szCs w:val="20"/>
          <w:lang w:val="es-AR"/>
        </w:rPr>
        <w:t xml:space="preserve"> como los Agentes del MAE </w:t>
      </w:r>
      <w:r w:rsidRPr="00D354AB">
        <w:rPr>
          <w:noProof/>
          <w:snapToGrid w:val="0"/>
          <w:sz w:val="20"/>
          <w:szCs w:val="20"/>
          <w:lang w:val="es-AR"/>
        </w:rPr>
        <w:t xml:space="preserve">podrán, pero no estarán obligados a, ingresar Ofertas para sí </w:t>
      </w:r>
      <w:r w:rsidRPr="00D354AB">
        <w:rPr>
          <w:snapToGrid w:val="0"/>
          <w:sz w:val="20"/>
          <w:szCs w:val="20"/>
          <w:lang w:val="es-AR"/>
        </w:rPr>
        <w:t>en la rueda en que se encuentre habilitada la Subasta Pública de las Obligaciones Negociables.</w:t>
      </w:r>
    </w:p>
    <w:p w14:paraId="3D06562D" w14:textId="77777777" w:rsidR="00FF0D9A" w:rsidRPr="00D354AB" w:rsidRDefault="00FF0D9A" w:rsidP="00FF0D9A">
      <w:pPr>
        <w:widowControl w:val="0"/>
        <w:jc w:val="both"/>
        <w:rPr>
          <w:snapToGrid w:val="0"/>
          <w:sz w:val="20"/>
          <w:szCs w:val="20"/>
          <w:lang w:val="es-AR"/>
        </w:rPr>
      </w:pPr>
    </w:p>
    <w:p w14:paraId="3724D4EA" w14:textId="2FFE2D5B" w:rsidR="00FF0D9A" w:rsidRPr="00D354AB" w:rsidRDefault="00FF0D9A" w:rsidP="00FF0D9A">
      <w:pPr>
        <w:widowControl w:val="0"/>
        <w:jc w:val="both"/>
        <w:rPr>
          <w:snapToGrid w:val="0"/>
          <w:sz w:val="20"/>
          <w:szCs w:val="20"/>
          <w:lang w:val="es-AR"/>
        </w:rPr>
      </w:pPr>
      <w:r w:rsidRPr="00D354AB">
        <w:rPr>
          <w:snapToGrid w:val="0"/>
          <w:sz w:val="20"/>
          <w:szCs w:val="20"/>
          <w:lang w:val="es-AR"/>
        </w:rPr>
        <w:t xml:space="preserve">Una vez finalizado el Período de </w:t>
      </w:r>
      <w:r w:rsidR="0002753C">
        <w:rPr>
          <w:snapToGrid w:val="0"/>
          <w:sz w:val="20"/>
          <w:szCs w:val="20"/>
          <w:lang w:val="es-AR"/>
        </w:rPr>
        <w:t>Subasta Pública</w:t>
      </w:r>
      <w:r w:rsidRPr="00D354AB">
        <w:rPr>
          <w:snapToGrid w:val="0"/>
          <w:sz w:val="20"/>
          <w:szCs w:val="20"/>
          <w:lang w:val="es-AR"/>
        </w:rPr>
        <w:t xml:space="preserve"> no podrán modificarse las Ofertas ingresadas ni podrán ingresarse </w:t>
      </w:r>
      <w:r w:rsidRPr="00D354AB">
        <w:rPr>
          <w:snapToGrid w:val="0"/>
          <w:sz w:val="20"/>
          <w:szCs w:val="20"/>
          <w:lang w:val="es-AR"/>
        </w:rPr>
        <w:lastRenderedPageBreak/>
        <w:t>nuevas.</w:t>
      </w:r>
    </w:p>
    <w:p w14:paraId="1B08E34F" w14:textId="77777777" w:rsidR="00FF0D9A" w:rsidRPr="00D354AB" w:rsidRDefault="00FF0D9A" w:rsidP="00FF0D9A">
      <w:pPr>
        <w:autoSpaceDE w:val="0"/>
        <w:autoSpaceDN w:val="0"/>
        <w:adjustRightInd w:val="0"/>
        <w:jc w:val="left"/>
        <w:rPr>
          <w:sz w:val="20"/>
          <w:szCs w:val="20"/>
          <w:lang w:val="es-AR" w:eastAsia="es-ES"/>
        </w:rPr>
      </w:pPr>
    </w:p>
    <w:p w14:paraId="3F05206C" w14:textId="77777777" w:rsidR="00FF0D9A" w:rsidRPr="00D354AB" w:rsidRDefault="00FF0D9A" w:rsidP="00FF0D9A">
      <w:pPr>
        <w:pStyle w:val="Textoindependiente2"/>
        <w:rPr>
          <w:b w:val="0"/>
          <w:bCs w:val="0"/>
          <w:i/>
          <w:iCs/>
          <w:lang w:val="es-AR"/>
        </w:rPr>
      </w:pPr>
      <w:r w:rsidRPr="00D354AB">
        <w:rPr>
          <w:rStyle w:val="DeltaViewDeletion"/>
          <w:b w:val="0"/>
          <w:bCs w:val="0"/>
          <w:i/>
          <w:iCs/>
          <w:strike w:val="0"/>
          <w:color w:val="auto"/>
          <w:lang w:val="es-AR"/>
        </w:rPr>
        <w:t>Garantías</w:t>
      </w:r>
    </w:p>
    <w:p w14:paraId="42B99717" w14:textId="77777777" w:rsidR="00FF0D9A" w:rsidRPr="00D354AB" w:rsidRDefault="00FF0D9A" w:rsidP="00FF0D9A">
      <w:pPr>
        <w:jc w:val="both"/>
        <w:rPr>
          <w:sz w:val="20"/>
          <w:szCs w:val="20"/>
          <w:lang w:val="es-AR"/>
        </w:rPr>
      </w:pPr>
    </w:p>
    <w:p w14:paraId="64E62E9C" w14:textId="77777777" w:rsidR="00FF0D9A" w:rsidRPr="00D354AB" w:rsidRDefault="00FF0D9A" w:rsidP="00FF0D9A">
      <w:pPr>
        <w:jc w:val="both"/>
        <w:rPr>
          <w:sz w:val="20"/>
          <w:szCs w:val="20"/>
          <w:lang w:val="es-AR"/>
        </w:rPr>
      </w:pPr>
      <w:r w:rsidRPr="00D354AB">
        <w:rPr>
          <w:rStyle w:val="DeltaViewDeletion"/>
          <w:strike w:val="0"/>
          <w:color w:val="auto"/>
          <w:sz w:val="20"/>
          <w:szCs w:val="20"/>
          <w:lang w:val="es-AR"/>
        </w:rPr>
        <w:t>Los Colocadores tendrán la facultad, pero no la obligación, de solicitar a los interesados que presenten Órdenes el otorgamiento o la constitución de garantías para asegurar la integración de las Obligaciones Negociables que les sean adjudicadas y la procedencia de los fondos respectivos, cuando a exclusivo juicio de los Colocadores lo consideren conveniente, siempre respetando el principio de trato igualitario entre los Inversores.</w:t>
      </w:r>
    </w:p>
    <w:p w14:paraId="6D970E08" w14:textId="77777777" w:rsidR="00FF0D9A" w:rsidRPr="00D354AB" w:rsidRDefault="00FF0D9A" w:rsidP="00FF0D9A">
      <w:pPr>
        <w:jc w:val="both"/>
        <w:rPr>
          <w:sz w:val="20"/>
          <w:szCs w:val="20"/>
          <w:lang w:val="es-AR"/>
        </w:rPr>
      </w:pPr>
    </w:p>
    <w:p w14:paraId="5702304E" w14:textId="451EC749" w:rsidR="00FF0D9A" w:rsidRPr="00D354AB" w:rsidRDefault="00FF0D9A" w:rsidP="00FF0D9A">
      <w:pPr>
        <w:jc w:val="both"/>
        <w:rPr>
          <w:sz w:val="20"/>
          <w:szCs w:val="20"/>
          <w:lang w:val="es-AR"/>
        </w:rPr>
      </w:pPr>
      <w:r w:rsidRPr="00D354AB">
        <w:rPr>
          <w:rStyle w:val="DeltaViewDeletion"/>
          <w:strike w:val="0"/>
          <w:color w:val="auto"/>
          <w:sz w:val="20"/>
          <w:szCs w:val="20"/>
          <w:lang w:val="es-AR"/>
        </w:rPr>
        <w:t xml:space="preserve">Toda información adicional que pudieran solicitar los Colocadores en oportunidad de recibir Órdenes durante el Período de </w:t>
      </w:r>
      <w:r w:rsidR="0002753C">
        <w:rPr>
          <w:rStyle w:val="DeltaViewDeletion"/>
          <w:strike w:val="0"/>
          <w:color w:val="auto"/>
          <w:sz w:val="20"/>
          <w:szCs w:val="20"/>
          <w:lang w:val="es-AR"/>
        </w:rPr>
        <w:t>Subasta Pública</w:t>
      </w:r>
      <w:r w:rsidRPr="00D354AB">
        <w:rPr>
          <w:rStyle w:val="DeltaViewDeletion"/>
          <w:strike w:val="0"/>
          <w:color w:val="auto"/>
          <w:sz w:val="20"/>
          <w:szCs w:val="20"/>
          <w:lang w:val="es-AR"/>
        </w:rPr>
        <w:t xml:space="preserve"> se hará atendiendo el principio de igualdad de los inversores, y en virtud de la implementación y el ejercicio de políticas del tipo “</w:t>
      </w:r>
      <w:r w:rsidRPr="00D354AB">
        <w:rPr>
          <w:rStyle w:val="DeltaViewDeletion"/>
          <w:i/>
          <w:iCs/>
          <w:strike w:val="0"/>
          <w:color w:val="auto"/>
          <w:sz w:val="20"/>
          <w:szCs w:val="20"/>
          <w:lang w:val="es-AR"/>
        </w:rPr>
        <w:t>conocer al cliente</w:t>
      </w:r>
      <w:r w:rsidRPr="00D354AB">
        <w:rPr>
          <w:rStyle w:val="DeltaViewDeletion"/>
          <w:strike w:val="0"/>
          <w:color w:val="auto"/>
          <w:sz w:val="20"/>
          <w:szCs w:val="20"/>
          <w:lang w:val="es-AR"/>
        </w:rPr>
        <w:t>” y demás prescripciones establecidas y/o relacionadas al correcto cumplimiento del régimen penal cambiario y financiero y demás normativa vinculada, a fin de validar la identidad de los oferentes.</w:t>
      </w:r>
    </w:p>
    <w:p w14:paraId="0A0413A7" w14:textId="77777777" w:rsidR="00FF0D9A" w:rsidRPr="00D354AB" w:rsidRDefault="00FF0D9A" w:rsidP="00FF0D9A">
      <w:pPr>
        <w:autoSpaceDE w:val="0"/>
        <w:autoSpaceDN w:val="0"/>
        <w:adjustRightInd w:val="0"/>
        <w:jc w:val="left"/>
        <w:rPr>
          <w:sz w:val="20"/>
          <w:szCs w:val="20"/>
          <w:lang w:val="es-AR" w:eastAsia="es-ES"/>
        </w:rPr>
      </w:pPr>
    </w:p>
    <w:p w14:paraId="5972B60C" w14:textId="24C6FD4C" w:rsidR="00FF0D9A" w:rsidRPr="00D354AB" w:rsidRDefault="00FF0D9A" w:rsidP="00FF0D9A">
      <w:pPr>
        <w:pStyle w:val="Sangradetextonormal"/>
        <w:widowControl w:val="0"/>
        <w:tabs>
          <w:tab w:val="clear" w:pos="397"/>
          <w:tab w:val="clear" w:pos="794"/>
          <w:tab w:val="clear" w:pos="1191"/>
          <w:tab w:val="clear" w:pos="1588"/>
          <w:tab w:val="clear" w:pos="1985"/>
          <w:tab w:val="clear" w:pos="2382"/>
          <w:tab w:val="clear" w:pos="2779"/>
          <w:tab w:val="clear" w:pos="3176"/>
          <w:tab w:val="clear" w:pos="3573"/>
          <w:tab w:val="clear" w:pos="3970"/>
          <w:tab w:val="clear" w:pos="4367"/>
          <w:tab w:val="clear" w:pos="4764"/>
          <w:tab w:val="clear" w:pos="5161"/>
          <w:tab w:val="clear" w:pos="5558"/>
          <w:tab w:val="clear" w:pos="5955"/>
          <w:tab w:val="clear" w:pos="6352"/>
          <w:tab w:val="clear" w:pos="6749"/>
          <w:tab w:val="clear" w:pos="7146"/>
          <w:tab w:val="clear" w:pos="7543"/>
          <w:tab w:val="clear" w:pos="7940"/>
          <w:tab w:val="clear" w:pos="8337"/>
          <w:tab w:val="clear" w:pos="8734"/>
          <w:tab w:val="clear" w:pos="9131"/>
          <w:tab w:val="clear" w:pos="9528"/>
        </w:tabs>
        <w:rPr>
          <w:rFonts w:ascii="Times New Roman" w:hAnsi="Times New Roman"/>
          <w:i/>
          <w:iCs/>
          <w:lang w:val="es-AR"/>
        </w:rPr>
      </w:pPr>
      <w:r w:rsidRPr="00D354AB">
        <w:rPr>
          <w:rFonts w:ascii="Times New Roman" w:hAnsi="Times New Roman"/>
          <w:i/>
          <w:iCs/>
          <w:lang w:val="es-AR"/>
        </w:rPr>
        <w:t>Tramo Competitivo</w:t>
      </w:r>
    </w:p>
    <w:p w14:paraId="00F019B7" w14:textId="16173170" w:rsidR="005C415C" w:rsidRPr="00D354AB" w:rsidRDefault="005C415C" w:rsidP="00FF0D9A">
      <w:pPr>
        <w:pStyle w:val="Sangradetextonormal"/>
        <w:widowControl w:val="0"/>
        <w:tabs>
          <w:tab w:val="clear" w:pos="397"/>
          <w:tab w:val="clear" w:pos="794"/>
          <w:tab w:val="clear" w:pos="1191"/>
          <w:tab w:val="clear" w:pos="1588"/>
          <w:tab w:val="clear" w:pos="1985"/>
          <w:tab w:val="clear" w:pos="2382"/>
          <w:tab w:val="clear" w:pos="2779"/>
          <w:tab w:val="clear" w:pos="3176"/>
          <w:tab w:val="clear" w:pos="3573"/>
          <w:tab w:val="clear" w:pos="3970"/>
          <w:tab w:val="clear" w:pos="4367"/>
          <w:tab w:val="clear" w:pos="4764"/>
          <w:tab w:val="clear" w:pos="5161"/>
          <w:tab w:val="clear" w:pos="5558"/>
          <w:tab w:val="clear" w:pos="5955"/>
          <w:tab w:val="clear" w:pos="6352"/>
          <w:tab w:val="clear" w:pos="6749"/>
          <w:tab w:val="clear" w:pos="7146"/>
          <w:tab w:val="clear" w:pos="7543"/>
          <w:tab w:val="clear" w:pos="7940"/>
          <w:tab w:val="clear" w:pos="8337"/>
          <w:tab w:val="clear" w:pos="8734"/>
          <w:tab w:val="clear" w:pos="9131"/>
          <w:tab w:val="clear" w:pos="9528"/>
        </w:tabs>
        <w:rPr>
          <w:rFonts w:ascii="Times New Roman" w:hAnsi="Times New Roman"/>
          <w:i/>
          <w:iCs/>
          <w:u w:val="single"/>
          <w:lang w:val="es-AR"/>
        </w:rPr>
      </w:pPr>
    </w:p>
    <w:p w14:paraId="6EA62F00" w14:textId="7B1C0926" w:rsidR="005C415C" w:rsidRPr="00D354AB" w:rsidRDefault="005C415C" w:rsidP="00610557">
      <w:pPr>
        <w:pStyle w:val="Default"/>
        <w:jc w:val="both"/>
        <w:rPr>
          <w:sz w:val="20"/>
          <w:szCs w:val="20"/>
        </w:rPr>
      </w:pPr>
      <w:r w:rsidRPr="00D354AB">
        <w:rPr>
          <w:sz w:val="20"/>
          <w:szCs w:val="20"/>
        </w:rPr>
        <w:t xml:space="preserve">Constituirán Ofertas que conformarán el Tramo Competitivo de las Obligaciones Negociables </w:t>
      </w:r>
      <w:r w:rsidR="00770791" w:rsidRPr="00D354AB">
        <w:rPr>
          <w:sz w:val="20"/>
          <w:szCs w:val="20"/>
        </w:rPr>
        <w:t>Clase XVII</w:t>
      </w:r>
      <w:r w:rsidRPr="00D354AB">
        <w:rPr>
          <w:sz w:val="20"/>
          <w:szCs w:val="20"/>
        </w:rPr>
        <w:t xml:space="preserve"> las Ofertas que indiquen </w:t>
      </w:r>
      <w:r w:rsidRPr="00D354AB">
        <w:rPr>
          <w:sz w:val="20"/>
          <w:szCs w:val="20"/>
          <w:lang w:val="es-MX"/>
        </w:rPr>
        <w:t>un Margen Solicitado.</w:t>
      </w:r>
      <w:r w:rsidRPr="00D354AB">
        <w:rPr>
          <w:sz w:val="20"/>
          <w:szCs w:val="20"/>
        </w:rPr>
        <w:t xml:space="preserve"> </w:t>
      </w:r>
    </w:p>
    <w:p w14:paraId="063214D1" w14:textId="77777777" w:rsidR="005C415C" w:rsidRPr="00D354AB" w:rsidRDefault="005C415C" w:rsidP="005C415C">
      <w:pPr>
        <w:pStyle w:val="Default"/>
        <w:rPr>
          <w:sz w:val="20"/>
          <w:szCs w:val="20"/>
        </w:rPr>
      </w:pPr>
    </w:p>
    <w:p w14:paraId="588BA23F" w14:textId="13DC2ED6" w:rsidR="005C415C" w:rsidRPr="00D354AB" w:rsidRDefault="005C415C" w:rsidP="00FF0D9A">
      <w:pPr>
        <w:pStyle w:val="Textpara"/>
        <w:widowControl/>
        <w:tabs>
          <w:tab w:val="clear" w:pos="9000"/>
        </w:tabs>
        <w:autoSpaceDE/>
        <w:autoSpaceDN/>
        <w:adjustRightInd/>
        <w:spacing w:after="0"/>
        <w:rPr>
          <w:i/>
          <w:noProof/>
          <w:snapToGrid w:val="0"/>
          <w:lang w:val="es-AR"/>
        </w:rPr>
      </w:pPr>
      <w:r w:rsidRPr="00D354AB">
        <w:t>S</w:t>
      </w:r>
      <w:r w:rsidR="002606DA" w:rsidRPr="00D354AB">
        <w:t>ó</w:t>
      </w:r>
      <w:r w:rsidRPr="00D354AB">
        <w:t>lo las Ofertas que conformen el Tramo Competitivo se tomarán en cuenta para la determinación</w:t>
      </w:r>
      <w:r w:rsidR="00FE10A4" w:rsidRPr="00D354AB">
        <w:t xml:space="preserve"> del</w:t>
      </w:r>
      <w:r w:rsidRPr="00D354AB">
        <w:t xml:space="preserve"> </w:t>
      </w:r>
      <w:r w:rsidR="00573EE0" w:rsidRPr="00D354AB">
        <w:t>Margen</w:t>
      </w:r>
      <w:r w:rsidRPr="00D354AB">
        <w:t xml:space="preserve"> de Corte. Al respecto, véase “</w:t>
      </w:r>
      <w:r w:rsidRPr="00D354AB">
        <w:rPr>
          <w:i/>
          <w:iCs/>
        </w:rPr>
        <w:t xml:space="preserve">Determinación del Margen de Corte de las Obligaciones Negociables </w:t>
      </w:r>
      <w:r w:rsidR="00770791" w:rsidRPr="00D354AB">
        <w:rPr>
          <w:i/>
          <w:iCs/>
        </w:rPr>
        <w:t>Clase XVII</w:t>
      </w:r>
      <w:r w:rsidRPr="00D354AB">
        <w:rPr>
          <w:i/>
          <w:iCs/>
        </w:rPr>
        <w:t>”.</w:t>
      </w:r>
    </w:p>
    <w:p w14:paraId="7534C649" w14:textId="77777777" w:rsidR="00FF0D9A" w:rsidRPr="00D354AB" w:rsidRDefault="00FF0D9A" w:rsidP="00FF0D9A">
      <w:pPr>
        <w:autoSpaceDE w:val="0"/>
        <w:autoSpaceDN w:val="0"/>
        <w:adjustRightInd w:val="0"/>
        <w:jc w:val="left"/>
        <w:rPr>
          <w:sz w:val="20"/>
          <w:szCs w:val="20"/>
          <w:lang w:val="es-AR" w:eastAsia="es-ES"/>
        </w:rPr>
      </w:pPr>
    </w:p>
    <w:p w14:paraId="04A7D463" w14:textId="29430610" w:rsidR="00FF0D9A" w:rsidRPr="00D354AB" w:rsidRDefault="00FF0D9A" w:rsidP="00FF0D9A">
      <w:pPr>
        <w:pStyle w:val="Sangradetextonormal"/>
        <w:widowControl w:val="0"/>
        <w:tabs>
          <w:tab w:val="clear" w:pos="397"/>
          <w:tab w:val="clear" w:pos="794"/>
          <w:tab w:val="clear" w:pos="1191"/>
          <w:tab w:val="clear" w:pos="1588"/>
          <w:tab w:val="clear" w:pos="1985"/>
          <w:tab w:val="clear" w:pos="2382"/>
          <w:tab w:val="clear" w:pos="2779"/>
          <w:tab w:val="clear" w:pos="3176"/>
          <w:tab w:val="clear" w:pos="3573"/>
          <w:tab w:val="clear" w:pos="3970"/>
          <w:tab w:val="clear" w:pos="4367"/>
          <w:tab w:val="clear" w:pos="4764"/>
          <w:tab w:val="clear" w:pos="5161"/>
          <w:tab w:val="clear" w:pos="5558"/>
          <w:tab w:val="clear" w:pos="5955"/>
          <w:tab w:val="clear" w:pos="6352"/>
          <w:tab w:val="clear" w:pos="6749"/>
          <w:tab w:val="clear" w:pos="7146"/>
          <w:tab w:val="clear" w:pos="7543"/>
          <w:tab w:val="clear" w:pos="7940"/>
          <w:tab w:val="clear" w:pos="8337"/>
          <w:tab w:val="clear" w:pos="8734"/>
          <w:tab w:val="clear" w:pos="9131"/>
          <w:tab w:val="clear" w:pos="9528"/>
        </w:tabs>
        <w:rPr>
          <w:rFonts w:ascii="Times New Roman" w:hAnsi="Times New Roman"/>
          <w:i/>
          <w:iCs/>
          <w:lang w:val="es-AR"/>
        </w:rPr>
      </w:pPr>
      <w:r w:rsidRPr="00D354AB">
        <w:rPr>
          <w:rFonts w:ascii="Times New Roman" w:hAnsi="Times New Roman"/>
          <w:i/>
          <w:iCs/>
          <w:lang w:val="es-AR"/>
        </w:rPr>
        <w:t>Tramo No Competitivo</w:t>
      </w:r>
    </w:p>
    <w:p w14:paraId="0B4C53E1" w14:textId="0A3A9DD5" w:rsidR="004E644F" w:rsidRPr="00D354AB" w:rsidRDefault="004E644F" w:rsidP="00A22160">
      <w:pPr>
        <w:pStyle w:val="Sangradetextonormal"/>
        <w:widowControl w:val="0"/>
        <w:tabs>
          <w:tab w:val="clear" w:pos="397"/>
          <w:tab w:val="clear" w:pos="794"/>
          <w:tab w:val="clear" w:pos="1191"/>
          <w:tab w:val="clear" w:pos="1588"/>
          <w:tab w:val="clear" w:pos="1985"/>
          <w:tab w:val="clear" w:pos="2382"/>
          <w:tab w:val="clear" w:pos="2779"/>
          <w:tab w:val="clear" w:pos="3176"/>
          <w:tab w:val="clear" w:pos="3573"/>
          <w:tab w:val="clear" w:pos="3970"/>
          <w:tab w:val="clear" w:pos="4367"/>
          <w:tab w:val="clear" w:pos="4764"/>
          <w:tab w:val="clear" w:pos="5161"/>
          <w:tab w:val="clear" w:pos="5558"/>
          <w:tab w:val="clear" w:pos="5955"/>
          <w:tab w:val="clear" w:pos="6352"/>
          <w:tab w:val="clear" w:pos="6749"/>
          <w:tab w:val="clear" w:pos="7146"/>
          <w:tab w:val="clear" w:pos="7543"/>
          <w:tab w:val="clear" w:pos="7940"/>
          <w:tab w:val="clear" w:pos="8337"/>
          <w:tab w:val="clear" w:pos="8734"/>
          <w:tab w:val="clear" w:pos="9131"/>
          <w:tab w:val="clear" w:pos="9528"/>
        </w:tabs>
        <w:rPr>
          <w:rFonts w:ascii="Times New Roman" w:hAnsi="Times New Roman"/>
          <w:i/>
          <w:iCs/>
          <w:u w:val="single"/>
          <w:lang w:val="es-AR"/>
        </w:rPr>
      </w:pPr>
    </w:p>
    <w:p w14:paraId="127B5790" w14:textId="31F869B2" w:rsidR="004E644F" w:rsidRPr="00D354AB" w:rsidRDefault="004E644F" w:rsidP="00DF63B4">
      <w:pPr>
        <w:pStyle w:val="Default"/>
        <w:jc w:val="both"/>
        <w:rPr>
          <w:sz w:val="20"/>
          <w:szCs w:val="20"/>
        </w:rPr>
      </w:pPr>
      <w:r w:rsidRPr="00D354AB">
        <w:rPr>
          <w:sz w:val="20"/>
          <w:szCs w:val="20"/>
        </w:rPr>
        <w:t xml:space="preserve">Constituirán Ofertas que conformarán el Tramo No Competitivo de las Obligaciones Negociables </w:t>
      </w:r>
      <w:r w:rsidR="00770791" w:rsidRPr="00D354AB">
        <w:rPr>
          <w:sz w:val="20"/>
          <w:szCs w:val="20"/>
        </w:rPr>
        <w:t xml:space="preserve">Clase XVII </w:t>
      </w:r>
      <w:r w:rsidRPr="00D354AB">
        <w:rPr>
          <w:sz w:val="20"/>
          <w:szCs w:val="20"/>
        </w:rPr>
        <w:t>las Ofertas que no indiquen un</w:t>
      </w:r>
      <w:r w:rsidR="000434D5" w:rsidRPr="00D354AB">
        <w:rPr>
          <w:sz w:val="20"/>
          <w:szCs w:val="20"/>
        </w:rPr>
        <w:t xml:space="preserve"> Margen Solicitado. </w:t>
      </w:r>
    </w:p>
    <w:p w14:paraId="3C529F7C" w14:textId="77777777" w:rsidR="004E644F" w:rsidRPr="00D354AB" w:rsidRDefault="004E644F" w:rsidP="004E644F">
      <w:pPr>
        <w:pStyle w:val="Default"/>
        <w:rPr>
          <w:sz w:val="20"/>
          <w:szCs w:val="20"/>
        </w:rPr>
      </w:pPr>
    </w:p>
    <w:p w14:paraId="5A3A2F38" w14:textId="4B0F7547" w:rsidR="004E644F" w:rsidRPr="00D354AB" w:rsidRDefault="004E644F" w:rsidP="000434D5">
      <w:pPr>
        <w:pStyle w:val="Default"/>
        <w:jc w:val="both"/>
        <w:rPr>
          <w:sz w:val="20"/>
          <w:szCs w:val="20"/>
        </w:rPr>
      </w:pPr>
      <w:r w:rsidRPr="00D354AB">
        <w:rPr>
          <w:sz w:val="20"/>
          <w:szCs w:val="20"/>
        </w:rPr>
        <w:t>Las Ofertas que conformen el Tramo No Competitivo no se tomarán en cuenta para la determinación de</w:t>
      </w:r>
      <w:r w:rsidR="000434D5" w:rsidRPr="00D354AB">
        <w:rPr>
          <w:sz w:val="20"/>
          <w:szCs w:val="20"/>
        </w:rPr>
        <w:t>l Margen de Corte.</w:t>
      </w:r>
    </w:p>
    <w:p w14:paraId="77CBA1F3" w14:textId="77777777" w:rsidR="000434D5" w:rsidRPr="00D354AB" w:rsidRDefault="000434D5" w:rsidP="000434D5">
      <w:pPr>
        <w:pStyle w:val="Default"/>
        <w:jc w:val="both"/>
        <w:rPr>
          <w:sz w:val="20"/>
          <w:szCs w:val="20"/>
        </w:rPr>
      </w:pPr>
    </w:p>
    <w:p w14:paraId="05C5A59C" w14:textId="39FB3ABF" w:rsidR="004E644F" w:rsidRPr="00D354AB" w:rsidRDefault="004E644F" w:rsidP="004E644F">
      <w:pPr>
        <w:pStyle w:val="Sangradetextonormal"/>
        <w:widowControl w:val="0"/>
        <w:tabs>
          <w:tab w:val="clear" w:pos="397"/>
          <w:tab w:val="clear" w:pos="794"/>
          <w:tab w:val="clear" w:pos="1191"/>
          <w:tab w:val="clear" w:pos="1588"/>
          <w:tab w:val="clear" w:pos="1985"/>
          <w:tab w:val="clear" w:pos="2382"/>
          <w:tab w:val="clear" w:pos="2779"/>
          <w:tab w:val="clear" w:pos="3176"/>
          <w:tab w:val="clear" w:pos="3573"/>
          <w:tab w:val="clear" w:pos="3970"/>
          <w:tab w:val="clear" w:pos="4367"/>
          <w:tab w:val="clear" w:pos="4764"/>
          <w:tab w:val="clear" w:pos="5161"/>
          <w:tab w:val="clear" w:pos="5558"/>
          <w:tab w:val="clear" w:pos="5955"/>
          <w:tab w:val="clear" w:pos="6352"/>
          <w:tab w:val="clear" w:pos="6749"/>
          <w:tab w:val="clear" w:pos="7146"/>
          <w:tab w:val="clear" w:pos="7543"/>
          <w:tab w:val="clear" w:pos="7940"/>
          <w:tab w:val="clear" w:pos="8337"/>
          <w:tab w:val="clear" w:pos="8734"/>
          <w:tab w:val="clear" w:pos="9131"/>
          <w:tab w:val="clear" w:pos="9528"/>
        </w:tabs>
        <w:rPr>
          <w:rFonts w:ascii="Times New Roman" w:hAnsi="Times New Roman"/>
          <w:i/>
          <w:iCs/>
          <w:u w:val="single"/>
          <w:lang w:val="es-MX"/>
        </w:rPr>
      </w:pPr>
      <w:r w:rsidRPr="00D354AB">
        <w:rPr>
          <w:rFonts w:ascii="Times New Roman" w:hAnsi="Times New Roman"/>
          <w:lang w:val="es-MX"/>
        </w:rPr>
        <w:t xml:space="preserve">A las </w:t>
      </w:r>
      <w:r w:rsidRPr="00D354AB">
        <w:rPr>
          <w:rFonts w:ascii="Times New Roman" w:hAnsi="Times New Roman"/>
          <w:color w:val="000000"/>
          <w:lang w:val="es-ES" w:eastAsia="es-ES"/>
        </w:rPr>
        <w:t>Ofertas</w:t>
      </w:r>
      <w:r w:rsidRPr="00D354AB">
        <w:rPr>
          <w:rFonts w:ascii="Times New Roman" w:hAnsi="Times New Roman"/>
          <w:lang w:val="es-MX"/>
        </w:rPr>
        <w:t xml:space="preserve"> que conformen el Tramo No Competitivo, se les aplicar</w:t>
      </w:r>
      <w:r w:rsidR="00770791" w:rsidRPr="00D354AB">
        <w:rPr>
          <w:rFonts w:ascii="Times New Roman" w:hAnsi="Times New Roman"/>
          <w:lang w:val="es-MX"/>
        </w:rPr>
        <w:t>á</w:t>
      </w:r>
      <w:r w:rsidRPr="00D354AB">
        <w:rPr>
          <w:rFonts w:ascii="Times New Roman" w:hAnsi="Times New Roman"/>
          <w:lang w:val="es-MX"/>
        </w:rPr>
        <w:t xml:space="preserve"> </w:t>
      </w:r>
      <w:r w:rsidR="00573EE0" w:rsidRPr="00D354AB">
        <w:rPr>
          <w:rFonts w:ascii="Times New Roman" w:hAnsi="Times New Roman"/>
          <w:lang w:val="es-MX"/>
        </w:rPr>
        <w:t>el</w:t>
      </w:r>
      <w:r w:rsidRPr="00D354AB">
        <w:rPr>
          <w:rFonts w:ascii="Times New Roman" w:hAnsi="Times New Roman"/>
          <w:lang w:val="es-MX"/>
        </w:rPr>
        <w:t xml:space="preserve"> Margen de Corte que finalmente se determine </w:t>
      </w:r>
      <w:r w:rsidR="002606DA" w:rsidRPr="00D354AB">
        <w:rPr>
          <w:rFonts w:ascii="Times New Roman" w:hAnsi="Times New Roman"/>
          <w:lang w:val="es-MX"/>
        </w:rPr>
        <w:t xml:space="preserve">bajo </w:t>
      </w:r>
      <w:r w:rsidRPr="00D354AB">
        <w:rPr>
          <w:rFonts w:ascii="Times New Roman" w:hAnsi="Times New Roman"/>
          <w:lang w:val="es-MX"/>
        </w:rPr>
        <w:t>el Tramo Competitivo. Al respecto, véase “</w:t>
      </w:r>
      <w:r w:rsidRPr="00D354AB">
        <w:rPr>
          <w:rFonts w:ascii="Times New Roman" w:hAnsi="Times New Roman"/>
          <w:i/>
          <w:iCs/>
          <w:lang w:val="es-MX"/>
        </w:rPr>
        <w:t>Determinación</w:t>
      </w:r>
      <w:r w:rsidR="000434D5" w:rsidRPr="00D354AB">
        <w:rPr>
          <w:rFonts w:ascii="Times New Roman" w:hAnsi="Times New Roman"/>
          <w:i/>
          <w:iCs/>
          <w:lang w:val="es-MX"/>
        </w:rPr>
        <w:t xml:space="preserve"> del Margen de Corte </w:t>
      </w:r>
      <w:r w:rsidRPr="00D354AB">
        <w:rPr>
          <w:rFonts w:ascii="Times New Roman" w:hAnsi="Times New Roman"/>
          <w:i/>
          <w:iCs/>
          <w:lang w:val="es-MX"/>
        </w:rPr>
        <w:t xml:space="preserve">de las Obligaciones Negociables </w:t>
      </w:r>
      <w:r w:rsidR="00770791" w:rsidRPr="00D354AB">
        <w:rPr>
          <w:rFonts w:ascii="Times New Roman" w:hAnsi="Times New Roman"/>
          <w:i/>
          <w:iCs/>
          <w:lang w:val="es-MX"/>
        </w:rPr>
        <w:t>Clase XVII</w:t>
      </w:r>
      <w:r w:rsidRPr="00D354AB">
        <w:rPr>
          <w:rFonts w:ascii="Times New Roman" w:hAnsi="Times New Roman"/>
          <w:lang w:val="es-MX"/>
        </w:rPr>
        <w:t>”.</w:t>
      </w:r>
    </w:p>
    <w:p w14:paraId="1F270F7C" w14:textId="77777777" w:rsidR="00FF0D9A" w:rsidRPr="00D354AB" w:rsidRDefault="00FF0D9A" w:rsidP="00FF0D9A">
      <w:pPr>
        <w:widowControl w:val="0"/>
        <w:jc w:val="both"/>
        <w:rPr>
          <w:snapToGrid w:val="0"/>
          <w:sz w:val="20"/>
          <w:szCs w:val="20"/>
          <w:lang w:val="es-AR"/>
        </w:rPr>
      </w:pPr>
    </w:p>
    <w:p w14:paraId="3889B83A" w14:textId="76097B6A" w:rsidR="00FF0D9A" w:rsidRPr="00D354AB" w:rsidRDefault="000434D5" w:rsidP="00FF0D9A">
      <w:pPr>
        <w:pStyle w:val="Sangradetextonormal"/>
        <w:widowControl w:val="0"/>
        <w:tabs>
          <w:tab w:val="clear" w:pos="397"/>
          <w:tab w:val="clear" w:pos="794"/>
          <w:tab w:val="clear" w:pos="1191"/>
          <w:tab w:val="clear" w:pos="1588"/>
          <w:tab w:val="clear" w:pos="1985"/>
          <w:tab w:val="clear" w:pos="2382"/>
          <w:tab w:val="clear" w:pos="2779"/>
          <w:tab w:val="clear" w:pos="3176"/>
          <w:tab w:val="clear" w:pos="3573"/>
          <w:tab w:val="clear" w:pos="3970"/>
          <w:tab w:val="clear" w:pos="4367"/>
          <w:tab w:val="clear" w:pos="4764"/>
          <w:tab w:val="clear" w:pos="5161"/>
          <w:tab w:val="clear" w:pos="5558"/>
          <w:tab w:val="clear" w:pos="5955"/>
          <w:tab w:val="clear" w:pos="6352"/>
          <w:tab w:val="clear" w:pos="6749"/>
          <w:tab w:val="clear" w:pos="7146"/>
          <w:tab w:val="clear" w:pos="7543"/>
          <w:tab w:val="clear" w:pos="7940"/>
          <w:tab w:val="clear" w:pos="8337"/>
          <w:tab w:val="clear" w:pos="8734"/>
          <w:tab w:val="clear" w:pos="9131"/>
          <w:tab w:val="clear" w:pos="9528"/>
        </w:tabs>
        <w:rPr>
          <w:rFonts w:ascii="Times New Roman" w:hAnsi="Times New Roman"/>
          <w:i/>
          <w:iCs/>
          <w:lang w:val="es-AR"/>
        </w:rPr>
      </w:pPr>
      <w:r w:rsidRPr="00D354AB">
        <w:rPr>
          <w:rFonts w:ascii="Times New Roman" w:hAnsi="Times New Roman"/>
          <w:i/>
          <w:iCs/>
          <w:lang w:val="es-AR"/>
        </w:rPr>
        <w:t xml:space="preserve">Determinación del Margen de Corte de las Obligaciones Negociables </w:t>
      </w:r>
      <w:r w:rsidR="00770791" w:rsidRPr="00D354AB">
        <w:rPr>
          <w:rFonts w:ascii="Times New Roman" w:hAnsi="Times New Roman"/>
          <w:i/>
          <w:iCs/>
          <w:lang w:val="es-AR"/>
        </w:rPr>
        <w:t>Clase XVII</w:t>
      </w:r>
    </w:p>
    <w:p w14:paraId="7C4A83E4" w14:textId="77777777" w:rsidR="00FF0D9A" w:rsidRPr="00D354AB" w:rsidRDefault="00FF0D9A" w:rsidP="00FF0D9A">
      <w:pPr>
        <w:pStyle w:val="Sangradetextonormal"/>
        <w:widowControl w:val="0"/>
        <w:tabs>
          <w:tab w:val="clear" w:pos="397"/>
          <w:tab w:val="clear" w:pos="794"/>
          <w:tab w:val="clear" w:pos="1191"/>
          <w:tab w:val="clear" w:pos="1588"/>
          <w:tab w:val="clear" w:pos="1985"/>
          <w:tab w:val="clear" w:pos="2382"/>
          <w:tab w:val="clear" w:pos="2779"/>
          <w:tab w:val="clear" w:pos="3176"/>
          <w:tab w:val="clear" w:pos="3573"/>
          <w:tab w:val="clear" w:pos="3970"/>
          <w:tab w:val="clear" w:pos="4367"/>
          <w:tab w:val="clear" w:pos="4764"/>
          <w:tab w:val="clear" w:pos="5161"/>
          <w:tab w:val="clear" w:pos="5558"/>
          <w:tab w:val="clear" w:pos="5955"/>
          <w:tab w:val="clear" w:pos="6352"/>
          <w:tab w:val="clear" w:pos="6749"/>
          <w:tab w:val="clear" w:pos="7146"/>
          <w:tab w:val="clear" w:pos="7543"/>
          <w:tab w:val="clear" w:pos="7940"/>
          <w:tab w:val="clear" w:pos="8337"/>
          <w:tab w:val="clear" w:pos="8734"/>
          <w:tab w:val="clear" w:pos="9131"/>
          <w:tab w:val="clear" w:pos="9528"/>
        </w:tabs>
        <w:rPr>
          <w:rFonts w:ascii="Times New Roman" w:hAnsi="Times New Roman"/>
          <w:lang w:val="es-AR"/>
        </w:rPr>
      </w:pPr>
    </w:p>
    <w:p w14:paraId="53544CDC" w14:textId="48D02372" w:rsidR="00FF0D9A" w:rsidRPr="00D354AB" w:rsidRDefault="000434D5" w:rsidP="00FF0D9A">
      <w:pPr>
        <w:pStyle w:val="Sangradetextonormal"/>
        <w:widowControl w:val="0"/>
        <w:tabs>
          <w:tab w:val="clear" w:pos="397"/>
          <w:tab w:val="clear" w:pos="794"/>
          <w:tab w:val="clear" w:pos="1191"/>
          <w:tab w:val="clear" w:pos="1588"/>
          <w:tab w:val="clear" w:pos="1985"/>
          <w:tab w:val="clear" w:pos="2382"/>
          <w:tab w:val="clear" w:pos="2779"/>
          <w:tab w:val="clear" w:pos="3176"/>
          <w:tab w:val="clear" w:pos="3573"/>
          <w:tab w:val="clear" w:pos="3970"/>
          <w:tab w:val="clear" w:pos="4367"/>
          <w:tab w:val="clear" w:pos="4764"/>
          <w:tab w:val="clear" w:pos="5161"/>
          <w:tab w:val="clear" w:pos="5558"/>
          <w:tab w:val="clear" w:pos="5955"/>
          <w:tab w:val="clear" w:pos="6352"/>
          <w:tab w:val="clear" w:pos="6749"/>
          <w:tab w:val="clear" w:pos="7146"/>
          <w:tab w:val="clear" w:pos="7543"/>
          <w:tab w:val="clear" w:pos="7940"/>
          <w:tab w:val="clear" w:pos="8337"/>
          <w:tab w:val="clear" w:pos="8734"/>
          <w:tab w:val="clear" w:pos="9131"/>
          <w:tab w:val="clear" w:pos="9528"/>
        </w:tabs>
        <w:rPr>
          <w:rFonts w:ascii="Times New Roman" w:hAnsi="Times New Roman"/>
          <w:lang w:val="es-MX"/>
        </w:rPr>
      </w:pPr>
      <w:r w:rsidRPr="00D354AB">
        <w:rPr>
          <w:rFonts w:ascii="Times New Roman" w:hAnsi="Times New Roman"/>
          <w:lang w:val="es-MX"/>
        </w:rPr>
        <w:t xml:space="preserve">Al finalizar el Período de </w:t>
      </w:r>
      <w:r w:rsidR="0002753C">
        <w:rPr>
          <w:rFonts w:ascii="Times New Roman" w:hAnsi="Times New Roman"/>
          <w:lang w:val="es-MX"/>
        </w:rPr>
        <w:t>Subasta Pública</w:t>
      </w:r>
      <w:r w:rsidRPr="00D354AB">
        <w:rPr>
          <w:rFonts w:ascii="Times New Roman" w:hAnsi="Times New Roman"/>
          <w:lang w:val="es-MX"/>
        </w:rPr>
        <w:t>, el Emisor, conjuntamente con los Colocadores, determinará si decide emitir las Obligaciones Negociables y en su caso</w:t>
      </w:r>
      <w:r w:rsidR="00770791" w:rsidRPr="00D354AB">
        <w:rPr>
          <w:rFonts w:ascii="Times New Roman" w:hAnsi="Times New Roman"/>
          <w:lang w:val="es-MX"/>
        </w:rPr>
        <w:t>,</w:t>
      </w:r>
      <w:r w:rsidRPr="00D354AB">
        <w:rPr>
          <w:rFonts w:ascii="Times New Roman" w:hAnsi="Times New Roman"/>
          <w:lang w:val="es-MX"/>
        </w:rPr>
        <w:t xml:space="preserve"> el valor nominal a ser emitido y el Margen de Corte considerando en este último caso las Ofertas recibidas que conformen el Tramo Competitivo</w:t>
      </w:r>
      <w:r w:rsidR="00770791" w:rsidRPr="00D354AB">
        <w:rPr>
          <w:rFonts w:ascii="Times New Roman" w:hAnsi="Times New Roman"/>
          <w:lang w:val="es-MX"/>
        </w:rPr>
        <w:t>.</w:t>
      </w:r>
    </w:p>
    <w:p w14:paraId="44B0451A" w14:textId="77777777" w:rsidR="005D65BC" w:rsidRPr="00D354AB" w:rsidRDefault="005D65BC" w:rsidP="00FF0D9A">
      <w:pPr>
        <w:pStyle w:val="Sangradetextonormal"/>
        <w:widowControl w:val="0"/>
        <w:tabs>
          <w:tab w:val="clear" w:pos="397"/>
          <w:tab w:val="clear" w:pos="794"/>
          <w:tab w:val="clear" w:pos="1191"/>
          <w:tab w:val="clear" w:pos="1588"/>
          <w:tab w:val="clear" w:pos="1985"/>
          <w:tab w:val="clear" w:pos="2382"/>
          <w:tab w:val="clear" w:pos="2779"/>
          <w:tab w:val="clear" w:pos="3176"/>
          <w:tab w:val="clear" w:pos="3573"/>
          <w:tab w:val="clear" w:pos="3970"/>
          <w:tab w:val="clear" w:pos="4367"/>
          <w:tab w:val="clear" w:pos="4764"/>
          <w:tab w:val="clear" w:pos="5161"/>
          <w:tab w:val="clear" w:pos="5558"/>
          <w:tab w:val="clear" w:pos="5955"/>
          <w:tab w:val="clear" w:pos="6352"/>
          <w:tab w:val="clear" w:pos="6749"/>
          <w:tab w:val="clear" w:pos="7146"/>
          <w:tab w:val="clear" w:pos="7543"/>
          <w:tab w:val="clear" w:pos="7940"/>
          <w:tab w:val="clear" w:pos="8337"/>
          <w:tab w:val="clear" w:pos="8734"/>
          <w:tab w:val="clear" w:pos="9131"/>
          <w:tab w:val="clear" w:pos="9528"/>
        </w:tabs>
        <w:rPr>
          <w:rFonts w:ascii="Times New Roman" w:hAnsi="Times New Roman"/>
          <w:lang w:val="es-AR"/>
        </w:rPr>
      </w:pPr>
    </w:p>
    <w:p w14:paraId="6415782D" w14:textId="52BDAC9C" w:rsidR="00FF0D9A" w:rsidRPr="00D354AB" w:rsidRDefault="00FF0D9A" w:rsidP="00FF0D9A">
      <w:pPr>
        <w:pStyle w:val="Sangradetextonormal"/>
        <w:widowControl w:val="0"/>
        <w:tabs>
          <w:tab w:val="clear" w:pos="397"/>
          <w:tab w:val="clear" w:pos="794"/>
          <w:tab w:val="clear" w:pos="1191"/>
          <w:tab w:val="clear" w:pos="1588"/>
          <w:tab w:val="clear" w:pos="1985"/>
          <w:tab w:val="clear" w:pos="2382"/>
          <w:tab w:val="clear" w:pos="2779"/>
          <w:tab w:val="clear" w:pos="3176"/>
          <w:tab w:val="clear" w:pos="3573"/>
          <w:tab w:val="clear" w:pos="3970"/>
          <w:tab w:val="clear" w:pos="4367"/>
          <w:tab w:val="clear" w:pos="4764"/>
          <w:tab w:val="clear" w:pos="5161"/>
          <w:tab w:val="clear" w:pos="5558"/>
          <w:tab w:val="clear" w:pos="5955"/>
          <w:tab w:val="clear" w:pos="6352"/>
          <w:tab w:val="clear" w:pos="6749"/>
          <w:tab w:val="clear" w:pos="7146"/>
          <w:tab w:val="clear" w:pos="7543"/>
          <w:tab w:val="clear" w:pos="7940"/>
          <w:tab w:val="clear" w:pos="8337"/>
          <w:tab w:val="clear" w:pos="8734"/>
          <w:tab w:val="clear" w:pos="9131"/>
          <w:tab w:val="clear" w:pos="9528"/>
        </w:tabs>
        <w:rPr>
          <w:rFonts w:ascii="Times New Roman" w:hAnsi="Times New Roman"/>
          <w:i/>
          <w:iCs/>
          <w:lang w:val="es-AR"/>
        </w:rPr>
      </w:pPr>
      <w:r w:rsidRPr="00D354AB">
        <w:rPr>
          <w:rFonts w:ascii="Times New Roman" w:hAnsi="Times New Roman"/>
          <w:i/>
          <w:iCs/>
          <w:lang w:val="es-AR"/>
        </w:rPr>
        <w:t>Aviso de Resultados</w:t>
      </w:r>
    </w:p>
    <w:p w14:paraId="26B0318A" w14:textId="77777777" w:rsidR="00FF0D9A" w:rsidRPr="00D354AB" w:rsidRDefault="00FF0D9A" w:rsidP="00FF0D9A">
      <w:pPr>
        <w:pStyle w:val="Sangradetextonormal"/>
        <w:widowControl w:val="0"/>
        <w:tabs>
          <w:tab w:val="clear" w:pos="397"/>
          <w:tab w:val="clear" w:pos="794"/>
          <w:tab w:val="clear" w:pos="1191"/>
          <w:tab w:val="clear" w:pos="1588"/>
          <w:tab w:val="clear" w:pos="1985"/>
          <w:tab w:val="clear" w:pos="2382"/>
          <w:tab w:val="clear" w:pos="2779"/>
          <w:tab w:val="clear" w:pos="3176"/>
          <w:tab w:val="clear" w:pos="3573"/>
          <w:tab w:val="clear" w:pos="3970"/>
          <w:tab w:val="clear" w:pos="4367"/>
          <w:tab w:val="clear" w:pos="4764"/>
          <w:tab w:val="clear" w:pos="5161"/>
          <w:tab w:val="clear" w:pos="5558"/>
          <w:tab w:val="clear" w:pos="5955"/>
          <w:tab w:val="clear" w:pos="6352"/>
          <w:tab w:val="clear" w:pos="6749"/>
          <w:tab w:val="clear" w:pos="7146"/>
          <w:tab w:val="clear" w:pos="7543"/>
          <w:tab w:val="clear" w:pos="7940"/>
          <w:tab w:val="clear" w:pos="8337"/>
          <w:tab w:val="clear" w:pos="8734"/>
          <w:tab w:val="clear" w:pos="9131"/>
          <w:tab w:val="clear" w:pos="9528"/>
        </w:tabs>
        <w:rPr>
          <w:rFonts w:ascii="Times New Roman" w:hAnsi="Times New Roman"/>
          <w:lang w:val="es-AR"/>
        </w:rPr>
      </w:pPr>
    </w:p>
    <w:p w14:paraId="506930C8" w14:textId="73ECA3C7" w:rsidR="00FF0D9A" w:rsidRPr="00D354AB" w:rsidRDefault="00FF0D9A" w:rsidP="00B376EA">
      <w:pPr>
        <w:pStyle w:val="Sangradetextonormal"/>
        <w:widowControl w:val="0"/>
        <w:tabs>
          <w:tab w:val="clear" w:pos="397"/>
          <w:tab w:val="clear" w:pos="794"/>
          <w:tab w:val="clear" w:pos="1191"/>
          <w:tab w:val="clear" w:pos="1588"/>
          <w:tab w:val="clear" w:pos="1985"/>
          <w:tab w:val="clear" w:pos="2382"/>
          <w:tab w:val="clear" w:pos="2779"/>
          <w:tab w:val="clear" w:pos="3176"/>
          <w:tab w:val="clear" w:pos="3573"/>
          <w:tab w:val="clear" w:pos="3970"/>
          <w:tab w:val="clear" w:pos="4367"/>
          <w:tab w:val="clear" w:pos="4764"/>
          <w:tab w:val="clear" w:pos="5161"/>
          <w:tab w:val="clear" w:pos="5558"/>
          <w:tab w:val="clear" w:pos="5955"/>
          <w:tab w:val="clear" w:pos="6352"/>
          <w:tab w:val="clear" w:pos="6749"/>
          <w:tab w:val="clear" w:pos="7146"/>
          <w:tab w:val="clear" w:pos="7543"/>
          <w:tab w:val="clear" w:pos="7940"/>
          <w:tab w:val="clear" w:pos="8337"/>
          <w:tab w:val="clear" w:pos="8734"/>
          <w:tab w:val="clear" w:pos="9131"/>
          <w:tab w:val="clear" w:pos="9528"/>
        </w:tabs>
        <w:rPr>
          <w:rFonts w:ascii="Times New Roman" w:hAnsi="Times New Roman"/>
          <w:lang w:val="es-AR"/>
        </w:rPr>
      </w:pPr>
      <w:r w:rsidRPr="00D354AB">
        <w:rPr>
          <w:rFonts w:ascii="Times New Roman" w:hAnsi="Times New Roman"/>
          <w:lang w:val="es-AR"/>
        </w:rPr>
        <w:t xml:space="preserve">Tras la finalización del Período de </w:t>
      </w:r>
      <w:r w:rsidR="0002753C">
        <w:rPr>
          <w:rFonts w:ascii="Times New Roman" w:hAnsi="Times New Roman"/>
          <w:lang w:val="es-AR"/>
        </w:rPr>
        <w:t>Subasta Pública</w:t>
      </w:r>
      <w:r w:rsidRPr="00D354AB">
        <w:rPr>
          <w:rFonts w:ascii="Times New Roman" w:hAnsi="Times New Roman"/>
          <w:lang w:val="es-AR"/>
        </w:rPr>
        <w:t>, se informará a los Inversores</w:t>
      </w:r>
      <w:r w:rsidR="0041100C" w:rsidRPr="00D354AB">
        <w:rPr>
          <w:rFonts w:ascii="Times New Roman" w:hAnsi="Times New Roman"/>
          <w:lang w:val="es-AR"/>
        </w:rPr>
        <w:t xml:space="preserve"> </w:t>
      </w:r>
      <w:r w:rsidR="00B376EA" w:rsidRPr="00D354AB">
        <w:rPr>
          <w:rFonts w:ascii="Times New Roman" w:hAnsi="Times New Roman"/>
          <w:lang w:val="es-AR"/>
        </w:rPr>
        <w:t xml:space="preserve">el Margen de Corte, </w:t>
      </w:r>
      <w:r w:rsidRPr="00D354AB">
        <w:rPr>
          <w:rFonts w:ascii="Times New Roman" w:hAnsi="Times New Roman"/>
          <w:lang w:val="es-AR"/>
        </w:rPr>
        <w:t>el</w:t>
      </w:r>
      <w:r w:rsidRPr="00D354AB">
        <w:rPr>
          <w:rFonts w:ascii="Times New Roman" w:hAnsi="Times New Roman"/>
          <w:color w:val="000000"/>
          <w:lang w:val="es-AR"/>
        </w:rPr>
        <w:t xml:space="preserve"> valor nominal a emitir, la Fecha de Vencimiento, las Fechas de Pago de Intereses y la Fecha de Emisión y Liquidación, mediante un aviso a ser publicado (i) en el Boletín Diario de la BCBA, en virtud del ejercicio de la facultad delegada por BYMA a la BCBA conforme lo dispuesto por la Resolución N° 18.629 de la CNV; (ii) en la Página Web de la CNV, bajo el ítem “</w:t>
      </w:r>
      <w:r w:rsidRPr="00D354AB">
        <w:rPr>
          <w:rFonts w:ascii="Times New Roman" w:hAnsi="Times New Roman"/>
          <w:i/>
          <w:color w:val="000000"/>
          <w:lang w:val="es-AR"/>
        </w:rPr>
        <w:t>Emisiones &gt; Obligaciones Negociables &gt; Aviso de Resultados</w:t>
      </w:r>
      <w:r w:rsidRPr="00D354AB">
        <w:rPr>
          <w:rFonts w:ascii="Times New Roman" w:hAnsi="Times New Roman"/>
          <w:color w:val="000000"/>
          <w:lang w:val="es-AR"/>
        </w:rPr>
        <w:t xml:space="preserve">”; (iii) </w:t>
      </w:r>
      <w:r w:rsidRPr="00D354AB">
        <w:rPr>
          <w:rFonts w:ascii="Times New Roman" w:hAnsi="Times New Roman"/>
          <w:lang w:val="es-AR"/>
        </w:rPr>
        <w:t>en la Página Web del MAE</w:t>
      </w:r>
      <w:r w:rsidRPr="00D354AB">
        <w:rPr>
          <w:rFonts w:ascii="Times New Roman" w:hAnsi="Times New Roman"/>
          <w:color w:val="000000"/>
          <w:lang w:val="es-AR"/>
        </w:rPr>
        <w:t xml:space="preserve"> y en la </w:t>
      </w:r>
      <w:r w:rsidR="008B06B1" w:rsidRPr="00D354AB">
        <w:rPr>
          <w:rFonts w:ascii="Times New Roman" w:hAnsi="Times New Roman"/>
          <w:lang w:val="es-MX"/>
        </w:rPr>
        <w:t>Página Web Institucional</w:t>
      </w:r>
      <w:r w:rsidR="008B06B1" w:rsidRPr="00D354AB" w:rsidDel="008B06B1">
        <w:rPr>
          <w:rFonts w:ascii="Times New Roman" w:hAnsi="Times New Roman"/>
          <w:color w:val="000000"/>
          <w:lang w:val="es-AR"/>
        </w:rPr>
        <w:t xml:space="preserve"> </w:t>
      </w:r>
      <w:r w:rsidRPr="00D354AB">
        <w:rPr>
          <w:rFonts w:ascii="Times New Roman" w:hAnsi="Times New Roman"/>
          <w:color w:val="000000"/>
          <w:lang w:val="es-AR"/>
        </w:rPr>
        <w:t>(el “</w:t>
      </w:r>
      <w:r w:rsidRPr="00D354AB">
        <w:rPr>
          <w:rFonts w:ascii="Times New Roman" w:hAnsi="Times New Roman"/>
          <w:color w:val="000000"/>
          <w:u w:val="single"/>
          <w:lang w:val="es-AR"/>
        </w:rPr>
        <w:t>Aviso de Resultados</w:t>
      </w:r>
      <w:r w:rsidRPr="00D354AB">
        <w:rPr>
          <w:rFonts w:ascii="Times New Roman" w:hAnsi="Times New Roman"/>
          <w:color w:val="000000"/>
          <w:lang w:val="es-AR"/>
        </w:rPr>
        <w:t>”).</w:t>
      </w:r>
    </w:p>
    <w:p w14:paraId="6E814497" w14:textId="77777777" w:rsidR="00FF0D9A" w:rsidRPr="00D354AB" w:rsidRDefault="00FF0D9A" w:rsidP="00FF0D9A">
      <w:pPr>
        <w:widowControl w:val="0"/>
        <w:jc w:val="both"/>
        <w:rPr>
          <w:color w:val="000000"/>
          <w:sz w:val="20"/>
          <w:szCs w:val="20"/>
          <w:lang w:val="es-AR"/>
        </w:rPr>
      </w:pPr>
    </w:p>
    <w:p w14:paraId="7031502F" w14:textId="77777777" w:rsidR="00FF0D9A" w:rsidRPr="00D354AB" w:rsidRDefault="00FF0D9A" w:rsidP="00FF0D9A">
      <w:pPr>
        <w:pStyle w:val="Ttulo3"/>
        <w:keepNext w:val="0"/>
        <w:widowControl w:val="0"/>
        <w:jc w:val="left"/>
        <w:rPr>
          <w:b w:val="0"/>
          <w:bCs w:val="0"/>
          <w:i/>
          <w:iCs/>
          <w:sz w:val="20"/>
          <w:lang w:val="es-AR"/>
        </w:rPr>
      </w:pPr>
      <w:r w:rsidRPr="00D354AB">
        <w:rPr>
          <w:b w:val="0"/>
          <w:bCs w:val="0"/>
          <w:i/>
          <w:iCs/>
          <w:sz w:val="20"/>
          <w:lang w:val="es-AR"/>
        </w:rPr>
        <w:t>Adjudicación y Prorrateo</w:t>
      </w:r>
    </w:p>
    <w:p w14:paraId="2EDE1AAE" w14:textId="77777777" w:rsidR="00FF0D9A" w:rsidRPr="00D354AB" w:rsidRDefault="00FF0D9A" w:rsidP="00FF0D9A">
      <w:pPr>
        <w:widowControl w:val="0"/>
        <w:jc w:val="both"/>
        <w:rPr>
          <w:color w:val="000000"/>
          <w:sz w:val="20"/>
          <w:szCs w:val="20"/>
          <w:lang w:val="es-AR"/>
        </w:rPr>
      </w:pPr>
    </w:p>
    <w:p w14:paraId="19B24594" w14:textId="468FBF34" w:rsidR="00FF0D9A" w:rsidRPr="00D354AB" w:rsidRDefault="00FF0D9A" w:rsidP="00FF0D9A">
      <w:pPr>
        <w:widowControl w:val="0"/>
        <w:jc w:val="both"/>
        <w:rPr>
          <w:sz w:val="20"/>
          <w:szCs w:val="20"/>
          <w:lang w:val="es-AR"/>
        </w:rPr>
      </w:pPr>
      <w:r w:rsidRPr="00D354AB">
        <w:rPr>
          <w:sz w:val="20"/>
          <w:szCs w:val="20"/>
          <w:lang w:val="es-AR"/>
        </w:rPr>
        <w:t>Las Ofertas serán adjudicadas de la siguiente forma:</w:t>
      </w:r>
    </w:p>
    <w:p w14:paraId="6723F35D" w14:textId="77777777" w:rsidR="00FF0D9A" w:rsidRPr="00D354AB" w:rsidRDefault="00FF0D9A" w:rsidP="00FF0D9A">
      <w:pPr>
        <w:widowControl w:val="0"/>
        <w:jc w:val="both"/>
        <w:rPr>
          <w:sz w:val="20"/>
          <w:szCs w:val="20"/>
          <w:lang w:val="es-AR"/>
        </w:rPr>
      </w:pPr>
    </w:p>
    <w:p w14:paraId="693C2441" w14:textId="77777777" w:rsidR="00FF0D9A" w:rsidRPr="00D354AB" w:rsidRDefault="00FF0D9A" w:rsidP="00FF0D9A">
      <w:pPr>
        <w:widowControl w:val="0"/>
        <w:numPr>
          <w:ilvl w:val="0"/>
          <w:numId w:val="12"/>
        </w:numPr>
        <w:ind w:left="284" w:hanging="284"/>
        <w:jc w:val="both"/>
        <w:rPr>
          <w:sz w:val="20"/>
          <w:szCs w:val="20"/>
          <w:lang w:val="es-AR"/>
        </w:rPr>
      </w:pPr>
      <w:r w:rsidRPr="00D354AB">
        <w:rPr>
          <w:sz w:val="20"/>
          <w:szCs w:val="20"/>
          <w:lang w:val="es-AR"/>
        </w:rPr>
        <w:t>La adjudicación de las Ofertas comenzará por el Tramo No Competitivo:</w:t>
      </w:r>
    </w:p>
    <w:p w14:paraId="4347B9EA" w14:textId="77777777" w:rsidR="00FF0D9A" w:rsidRPr="00D354AB" w:rsidRDefault="00FF0D9A" w:rsidP="00FF0D9A">
      <w:pPr>
        <w:widowControl w:val="0"/>
        <w:jc w:val="both"/>
        <w:rPr>
          <w:sz w:val="20"/>
          <w:szCs w:val="20"/>
          <w:lang w:val="es-AR"/>
        </w:rPr>
      </w:pPr>
    </w:p>
    <w:p w14:paraId="31B419DB" w14:textId="0BDD2BB8" w:rsidR="00FF0D9A" w:rsidRPr="00D354AB" w:rsidRDefault="00FF0D9A" w:rsidP="00FF0D9A">
      <w:pPr>
        <w:widowControl w:val="0"/>
        <w:numPr>
          <w:ilvl w:val="0"/>
          <w:numId w:val="10"/>
        </w:numPr>
        <w:ind w:left="567" w:hanging="283"/>
        <w:jc w:val="both"/>
        <w:rPr>
          <w:sz w:val="20"/>
          <w:szCs w:val="20"/>
          <w:lang w:val="es-AR"/>
        </w:rPr>
      </w:pPr>
      <w:r w:rsidRPr="00D354AB">
        <w:rPr>
          <w:sz w:val="20"/>
          <w:szCs w:val="20"/>
          <w:lang w:val="es-AR"/>
        </w:rPr>
        <w:t>Todas las Ofertas que conformen el Tramo No Competitivo de las Obligaciones Negociables serán adjudicadas, no pudiendo superar el 50% del monto a ser emitido. En todo momento las adjudicaciones se realizarán de conformidad con el límite establecido en el artículo 58, inciso c), del Capítulo VI de las Normas de la CNV.</w:t>
      </w:r>
    </w:p>
    <w:p w14:paraId="6550A3D9" w14:textId="77777777" w:rsidR="00FF0D9A" w:rsidRPr="00D354AB" w:rsidRDefault="00FF0D9A" w:rsidP="00FF0D9A">
      <w:pPr>
        <w:widowControl w:val="0"/>
        <w:ind w:left="567" w:hanging="283"/>
        <w:jc w:val="both"/>
        <w:rPr>
          <w:sz w:val="20"/>
          <w:szCs w:val="20"/>
          <w:lang w:val="es-AR"/>
        </w:rPr>
      </w:pPr>
    </w:p>
    <w:p w14:paraId="6B95529D" w14:textId="02886302" w:rsidR="00FF0D9A" w:rsidRPr="00D354AB" w:rsidRDefault="00FF0D9A" w:rsidP="001A0046">
      <w:pPr>
        <w:widowControl w:val="0"/>
        <w:numPr>
          <w:ilvl w:val="0"/>
          <w:numId w:val="10"/>
        </w:numPr>
        <w:ind w:left="567" w:hanging="283"/>
        <w:jc w:val="both"/>
        <w:rPr>
          <w:sz w:val="20"/>
          <w:szCs w:val="20"/>
          <w:lang w:val="es-AR"/>
        </w:rPr>
      </w:pPr>
      <w:r w:rsidRPr="00D354AB">
        <w:rPr>
          <w:sz w:val="20"/>
          <w:szCs w:val="20"/>
          <w:lang w:val="es-AR"/>
        </w:rPr>
        <w:t>En caso de que dichas Ofertas superen el 50% mencionado, la totalidad de las Ofertas que conformen el Tramo No Competitivo, serán prorrateadas de acuerdo al método de adjudicación que brinda al efecto el Sistema SIOPEL, desestimándose cualquier Oferta que como resultado de dicho prorrateo su monto sea inferior a la suma de $1.000.000</w:t>
      </w:r>
      <w:r w:rsidR="00614A56" w:rsidRPr="00D354AB">
        <w:rPr>
          <w:sz w:val="20"/>
          <w:szCs w:val="20"/>
          <w:lang w:val="es-AR"/>
        </w:rPr>
        <w:t xml:space="preserve"> (o el monto mínimo que establezca oportunamente la normativa del BCRA)</w:t>
      </w:r>
      <w:r w:rsidRPr="00D354AB">
        <w:rPr>
          <w:sz w:val="20"/>
          <w:szCs w:val="20"/>
          <w:lang w:val="es-AR"/>
        </w:rPr>
        <w:t xml:space="preserve"> </w:t>
      </w:r>
    </w:p>
    <w:p w14:paraId="5A8F5056" w14:textId="454AEB83" w:rsidR="00FF0D9A" w:rsidRPr="00D354AB" w:rsidRDefault="00FF0D9A" w:rsidP="00FF0D9A">
      <w:pPr>
        <w:widowControl w:val="0"/>
        <w:numPr>
          <w:ilvl w:val="0"/>
          <w:numId w:val="10"/>
        </w:numPr>
        <w:ind w:left="567" w:hanging="283"/>
        <w:jc w:val="both"/>
        <w:rPr>
          <w:sz w:val="20"/>
          <w:szCs w:val="20"/>
          <w:lang w:val="es-AR"/>
        </w:rPr>
      </w:pPr>
      <w:r w:rsidRPr="00D354AB">
        <w:rPr>
          <w:sz w:val="20"/>
          <w:szCs w:val="20"/>
          <w:lang w:val="es-AR"/>
        </w:rPr>
        <w:t>En el supuesto que se adjudiquen Ofertas para el Tramo No Competitivo por un monto inferior al 50% del monto a ser emitido, el monto restante será adjudicado a las Ofertas que conforman el Tramo Competitivo.</w:t>
      </w:r>
    </w:p>
    <w:p w14:paraId="4709E475" w14:textId="77777777" w:rsidR="00FF0D9A" w:rsidRPr="00D354AB" w:rsidRDefault="00FF0D9A" w:rsidP="00FF0D9A">
      <w:pPr>
        <w:widowControl w:val="0"/>
        <w:jc w:val="both"/>
        <w:rPr>
          <w:sz w:val="20"/>
          <w:szCs w:val="20"/>
          <w:lang w:val="es-AR"/>
        </w:rPr>
      </w:pPr>
    </w:p>
    <w:p w14:paraId="618E47F3" w14:textId="77777777" w:rsidR="00FF0D9A" w:rsidRPr="00D354AB" w:rsidRDefault="00FF0D9A" w:rsidP="00FF0D9A">
      <w:pPr>
        <w:widowControl w:val="0"/>
        <w:numPr>
          <w:ilvl w:val="0"/>
          <w:numId w:val="12"/>
        </w:numPr>
        <w:ind w:left="284" w:hanging="284"/>
        <w:jc w:val="both"/>
        <w:rPr>
          <w:sz w:val="20"/>
          <w:szCs w:val="20"/>
          <w:lang w:val="es-AR"/>
        </w:rPr>
      </w:pPr>
      <w:r w:rsidRPr="00D354AB">
        <w:rPr>
          <w:sz w:val="20"/>
          <w:szCs w:val="20"/>
          <w:lang w:val="es-AR"/>
        </w:rPr>
        <w:t>El monto restante será adjudicado a las Ofertas que conforman el Tramo Competitivo de la siguiente forma:</w:t>
      </w:r>
    </w:p>
    <w:p w14:paraId="2A6B2140" w14:textId="77777777" w:rsidR="00FF0D9A" w:rsidRPr="00D354AB" w:rsidRDefault="00FF0D9A" w:rsidP="00FF0D9A">
      <w:pPr>
        <w:pStyle w:val="Prrafodelista"/>
        <w:ind w:left="0"/>
        <w:jc w:val="both"/>
        <w:rPr>
          <w:sz w:val="20"/>
          <w:szCs w:val="20"/>
          <w:lang w:val="es-AR"/>
        </w:rPr>
      </w:pPr>
    </w:p>
    <w:p w14:paraId="6AE76445" w14:textId="303A49D0" w:rsidR="00FF0D9A" w:rsidRPr="00D354AB" w:rsidRDefault="00FF0D9A" w:rsidP="00FF0D9A">
      <w:pPr>
        <w:widowControl w:val="0"/>
        <w:numPr>
          <w:ilvl w:val="0"/>
          <w:numId w:val="10"/>
        </w:numPr>
        <w:ind w:left="567" w:hanging="294"/>
        <w:jc w:val="both"/>
        <w:rPr>
          <w:sz w:val="20"/>
          <w:szCs w:val="20"/>
          <w:lang w:val="es-AR"/>
        </w:rPr>
      </w:pPr>
      <w:r w:rsidRPr="00D354AB">
        <w:rPr>
          <w:sz w:val="20"/>
          <w:szCs w:val="20"/>
          <w:lang w:val="es-AR"/>
        </w:rPr>
        <w:t xml:space="preserve">Todas las Ofertas que conformen el Tramo Competitivo de las Obligaciones Negociables con Márgenes </w:t>
      </w:r>
      <w:r w:rsidR="00B376EA" w:rsidRPr="00D354AB">
        <w:rPr>
          <w:sz w:val="20"/>
          <w:szCs w:val="20"/>
          <w:lang w:val="es-AR"/>
        </w:rPr>
        <w:t xml:space="preserve">Solicitados </w:t>
      </w:r>
      <w:r w:rsidRPr="00D354AB">
        <w:rPr>
          <w:sz w:val="20"/>
          <w:szCs w:val="20"/>
          <w:lang w:val="es-AR"/>
        </w:rPr>
        <w:t>inferiores al Margen de Corte</w:t>
      </w:r>
      <w:r w:rsidR="00B77749" w:rsidRPr="00D354AB">
        <w:rPr>
          <w:sz w:val="20"/>
          <w:szCs w:val="20"/>
          <w:lang w:val="es-AR"/>
        </w:rPr>
        <w:t xml:space="preserve"> </w:t>
      </w:r>
      <w:r w:rsidRPr="00D354AB">
        <w:rPr>
          <w:sz w:val="20"/>
          <w:szCs w:val="20"/>
          <w:lang w:val="es-AR"/>
        </w:rPr>
        <w:t>serán adjudicadas.</w:t>
      </w:r>
    </w:p>
    <w:p w14:paraId="49FEAAF8" w14:textId="77777777" w:rsidR="00FF0D9A" w:rsidRPr="00D354AB" w:rsidRDefault="00FF0D9A" w:rsidP="00FF0D9A">
      <w:pPr>
        <w:widowControl w:val="0"/>
        <w:ind w:left="567" w:hanging="294"/>
        <w:jc w:val="both"/>
        <w:rPr>
          <w:sz w:val="20"/>
          <w:szCs w:val="20"/>
          <w:lang w:val="es-AR"/>
        </w:rPr>
      </w:pPr>
    </w:p>
    <w:p w14:paraId="49F1C855" w14:textId="3A00B7FE" w:rsidR="00FF0D9A" w:rsidRPr="00D354AB" w:rsidRDefault="00FF0D9A" w:rsidP="00FF0D9A">
      <w:pPr>
        <w:widowControl w:val="0"/>
        <w:numPr>
          <w:ilvl w:val="0"/>
          <w:numId w:val="10"/>
        </w:numPr>
        <w:ind w:left="567" w:hanging="294"/>
        <w:jc w:val="both"/>
        <w:rPr>
          <w:sz w:val="20"/>
          <w:szCs w:val="20"/>
          <w:lang w:val="es-AR"/>
        </w:rPr>
      </w:pPr>
      <w:r w:rsidRPr="00D354AB">
        <w:rPr>
          <w:sz w:val="20"/>
          <w:szCs w:val="20"/>
          <w:lang w:val="es-AR"/>
        </w:rPr>
        <w:t xml:space="preserve">Todas las Ofertas que conformen el Tramo Competitivo de las Obligaciones Negociables con </w:t>
      </w:r>
      <w:r w:rsidR="00A969DB" w:rsidRPr="00D354AB">
        <w:rPr>
          <w:sz w:val="20"/>
          <w:szCs w:val="20"/>
          <w:lang w:val="es-AR"/>
        </w:rPr>
        <w:t>Márgenes</w:t>
      </w:r>
      <w:r w:rsidRPr="00D354AB">
        <w:rPr>
          <w:sz w:val="20"/>
          <w:szCs w:val="20"/>
          <w:lang w:val="es-AR"/>
        </w:rPr>
        <w:t xml:space="preserve"> </w:t>
      </w:r>
      <w:r w:rsidR="00302541" w:rsidRPr="00D354AB">
        <w:rPr>
          <w:sz w:val="20"/>
          <w:szCs w:val="20"/>
          <w:lang w:val="es-AR"/>
        </w:rPr>
        <w:t>Solicitados</w:t>
      </w:r>
      <w:r w:rsidRPr="00D354AB">
        <w:rPr>
          <w:sz w:val="20"/>
          <w:szCs w:val="20"/>
          <w:lang w:val="es-AR"/>
        </w:rPr>
        <w:t xml:space="preserve"> iguales al Margen de Corte</w:t>
      </w:r>
      <w:r w:rsidR="00FE1660" w:rsidRPr="00D354AB">
        <w:rPr>
          <w:sz w:val="20"/>
          <w:szCs w:val="20"/>
          <w:lang w:val="es-AR"/>
        </w:rPr>
        <w:t>,</w:t>
      </w:r>
      <w:r w:rsidRPr="00D354AB">
        <w:rPr>
          <w:sz w:val="20"/>
          <w:szCs w:val="20"/>
          <w:lang w:val="es-AR"/>
        </w:rPr>
        <w:t xml:space="preserve"> serán adjudicadas de acuerdo al método que brinda al efecto el Sistema SIOPEL, desestimándose cualquier Oferta que como resultado de dicho prorrateo su monto sea inferior a la suma de $1.000.000</w:t>
      </w:r>
      <w:r w:rsidR="00614A56" w:rsidRPr="00D354AB">
        <w:rPr>
          <w:sz w:val="20"/>
          <w:szCs w:val="20"/>
          <w:lang w:val="es-AR"/>
        </w:rPr>
        <w:t xml:space="preserve"> (o el monto mínimo que establezca oportunamente la normativa del BCRA)</w:t>
      </w:r>
      <w:r w:rsidRPr="00D354AB">
        <w:rPr>
          <w:sz w:val="20"/>
          <w:szCs w:val="20"/>
          <w:lang w:val="es-AR"/>
        </w:rPr>
        <w:t>.</w:t>
      </w:r>
    </w:p>
    <w:p w14:paraId="5B9F2F5B" w14:textId="77777777" w:rsidR="00FF0D9A" w:rsidRPr="00D354AB" w:rsidRDefault="00FF0D9A" w:rsidP="00FF0D9A">
      <w:pPr>
        <w:widowControl w:val="0"/>
        <w:ind w:left="567" w:hanging="294"/>
        <w:jc w:val="both"/>
        <w:rPr>
          <w:sz w:val="20"/>
          <w:szCs w:val="20"/>
          <w:lang w:val="es-AR"/>
        </w:rPr>
      </w:pPr>
    </w:p>
    <w:p w14:paraId="04E8A508" w14:textId="049630CC" w:rsidR="00FF0D9A" w:rsidRPr="00D354AB" w:rsidRDefault="00FF0D9A" w:rsidP="00FF0D9A">
      <w:pPr>
        <w:widowControl w:val="0"/>
        <w:numPr>
          <w:ilvl w:val="0"/>
          <w:numId w:val="10"/>
        </w:numPr>
        <w:ind w:left="567" w:hanging="294"/>
        <w:jc w:val="both"/>
        <w:rPr>
          <w:sz w:val="20"/>
          <w:szCs w:val="20"/>
          <w:lang w:val="es-AR"/>
        </w:rPr>
      </w:pPr>
      <w:r w:rsidRPr="00D354AB">
        <w:rPr>
          <w:sz w:val="20"/>
          <w:szCs w:val="20"/>
          <w:lang w:val="es-AR"/>
        </w:rPr>
        <w:t>Todas las Ofertas que conformen el Tramo Competitivo de las Obligaciones Negociables superiores al Margen de Corte, no serán adjudicadas.</w:t>
      </w:r>
    </w:p>
    <w:p w14:paraId="6C0FD7C1" w14:textId="77777777" w:rsidR="00FF0D9A" w:rsidRPr="00D354AB" w:rsidRDefault="00FF0D9A" w:rsidP="00FF0D9A">
      <w:pPr>
        <w:widowControl w:val="0"/>
        <w:jc w:val="both"/>
        <w:rPr>
          <w:sz w:val="20"/>
          <w:szCs w:val="20"/>
          <w:lang w:val="es-AR"/>
        </w:rPr>
      </w:pPr>
    </w:p>
    <w:p w14:paraId="36D4FBA1" w14:textId="77777777" w:rsidR="00FF0D9A" w:rsidRPr="00D354AB" w:rsidRDefault="00FF0D9A" w:rsidP="00FF0D9A">
      <w:pPr>
        <w:widowControl w:val="0"/>
        <w:jc w:val="both"/>
        <w:rPr>
          <w:sz w:val="20"/>
          <w:szCs w:val="20"/>
          <w:lang w:val="es-AR"/>
        </w:rPr>
      </w:pPr>
      <w:r w:rsidRPr="00D354AB">
        <w:rPr>
          <w:sz w:val="20"/>
          <w:szCs w:val="20"/>
          <w:lang w:val="es-AR"/>
        </w:rPr>
        <w:t>Ni el Emisor ni los Colocadores tendrán obligación alguna de informar en forma individual a cada uno de los Inversores cuyas Ofertas fueron total o parcialmente excluidas, que las mismas fueron total o parcialmente excluidas.</w:t>
      </w:r>
    </w:p>
    <w:p w14:paraId="23C61459" w14:textId="77777777" w:rsidR="00FF0D9A" w:rsidRPr="00D354AB" w:rsidRDefault="00FF0D9A" w:rsidP="00FF0D9A">
      <w:pPr>
        <w:widowControl w:val="0"/>
        <w:jc w:val="both"/>
        <w:rPr>
          <w:sz w:val="20"/>
          <w:szCs w:val="20"/>
          <w:lang w:val="es-AR"/>
        </w:rPr>
      </w:pPr>
    </w:p>
    <w:p w14:paraId="01077167" w14:textId="77777777" w:rsidR="00FF0D9A" w:rsidRPr="00D354AB" w:rsidRDefault="00FF0D9A" w:rsidP="00FF0D9A">
      <w:pPr>
        <w:widowControl w:val="0"/>
        <w:jc w:val="both"/>
        <w:rPr>
          <w:sz w:val="20"/>
          <w:szCs w:val="20"/>
          <w:lang w:val="es-AR"/>
        </w:rPr>
      </w:pPr>
      <w:r w:rsidRPr="00D354AB">
        <w:rPr>
          <w:sz w:val="20"/>
          <w:szCs w:val="20"/>
          <w:lang w:val="es-AR"/>
        </w:rPr>
        <w:t>El resultado final de la adjudicación será el que surja del Sistema SIOPEL. Ni el Emisor ni los Colocadores serán responsables por los problemas, fallas, pérdidas de enlace, errores o caídas del software del Sistema SIOPEL. Para mayor información respecto del Sistema SIOPEL, se recomienda a los Inversores la lectura del “</w:t>
      </w:r>
      <w:r w:rsidRPr="00D354AB">
        <w:rPr>
          <w:i/>
          <w:sz w:val="20"/>
          <w:szCs w:val="20"/>
          <w:lang w:val="es-AR"/>
        </w:rPr>
        <w:t>Manual del usuario - Colocadores</w:t>
      </w:r>
      <w:r w:rsidRPr="00D354AB">
        <w:rPr>
          <w:sz w:val="20"/>
          <w:szCs w:val="20"/>
          <w:lang w:val="es-AR"/>
        </w:rPr>
        <w:t>” y documentación relacionada publicada en la Página Web del MAE.</w:t>
      </w:r>
    </w:p>
    <w:p w14:paraId="15963272" w14:textId="77777777" w:rsidR="00FF0D9A" w:rsidRPr="00D354AB" w:rsidRDefault="00FF0D9A" w:rsidP="00FF0D9A">
      <w:pPr>
        <w:widowControl w:val="0"/>
        <w:jc w:val="both"/>
        <w:rPr>
          <w:sz w:val="20"/>
          <w:szCs w:val="20"/>
          <w:lang w:val="es-AR"/>
        </w:rPr>
      </w:pPr>
    </w:p>
    <w:p w14:paraId="3E19F178" w14:textId="704E6D63" w:rsidR="00FF0D9A" w:rsidRPr="00D354AB" w:rsidRDefault="00FF0D9A" w:rsidP="00FF0D9A">
      <w:pPr>
        <w:widowControl w:val="0"/>
        <w:jc w:val="both"/>
        <w:rPr>
          <w:sz w:val="20"/>
          <w:szCs w:val="20"/>
          <w:lang w:val="es-AR"/>
        </w:rPr>
      </w:pPr>
      <w:r w:rsidRPr="00D354AB">
        <w:rPr>
          <w:sz w:val="20"/>
          <w:szCs w:val="20"/>
          <w:lang w:val="es-AR"/>
        </w:rPr>
        <w:t>Si como resultado del prorrateo bajo el mecanismo de adjudicación arriba descripto, el valor nominal a adjudicar a una Oferta contiene decimales por debajo de los $0,50</w:t>
      </w:r>
      <w:r w:rsidR="00653C76" w:rsidRPr="00D354AB">
        <w:rPr>
          <w:sz w:val="20"/>
          <w:szCs w:val="20"/>
          <w:lang w:val="es-AR"/>
        </w:rPr>
        <w:t xml:space="preserve">, </w:t>
      </w:r>
      <w:r w:rsidRPr="00D354AB">
        <w:rPr>
          <w:sz w:val="20"/>
          <w:szCs w:val="20"/>
          <w:lang w:val="es-AR"/>
        </w:rPr>
        <w:t xml:space="preserve">los mismos serán suprimidos a efectos de redondear el valor nominal de las Obligaciones Negociables a adjudicar. </w:t>
      </w:r>
      <w:bookmarkStart w:id="50" w:name="_Hlk5698259"/>
      <w:r w:rsidRPr="00D354AB">
        <w:rPr>
          <w:sz w:val="20"/>
          <w:szCs w:val="20"/>
          <w:lang w:val="es-AR"/>
        </w:rPr>
        <w:t>Contrariamente, si contiene decimales iguales o por encima de $0,50</w:t>
      </w:r>
      <w:r w:rsidR="00653C76" w:rsidRPr="00D354AB">
        <w:rPr>
          <w:sz w:val="20"/>
          <w:szCs w:val="20"/>
          <w:lang w:val="es-AR"/>
        </w:rPr>
        <w:t xml:space="preserve">, </w:t>
      </w:r>
      <w:r w:rsidRPr="00D354AB">
        <w:rPr>
          <w:sz w:val="20"/>
          <w:szCs w:val="20"/>
          <w:lang w:val="es-AR"/>
        </w:rPr>
        <w:t>los mismos serán ponderados hacia arriba, otorgando</w:t>
      </w:r>
      <w:r w:rsidR="002F727F" w:rsidRPr="00D354AB">
        <w:rPr>
          <w:sz w:val="20"/>
          <w:szCs w:val="20"/>
          <w:lang w:val="es-AR"/>
        </w:rPr>
        <w:t xml:space="preserve"> $1 al valor nominal </w:t>
      </w:r>
      <w:r w:rsidR="00043E1C" w:rsidRPr="00D354AB">
        <w:rPr>
          <w:sz w:val="20"/>
          <w:szCs w:val="20"/>
          <w:lang w:val="es-AR"/>
        </w:rPr>
        <w:t xml:space="preserve">de las Obligaciones Negociables </w:t>
      </w:r>
      <w:r w:rsidRPr="00D354AB">
        <w:rPr>
          <w:sz w:val="20"/>
          <w:szCs w:val="20"/>
          <w:lang w:val="es-AR"/>
        </w:rPr>
        <w:t>a adjudicar</w:t>
      </w:r>
      <w:bookmarkEnd w:id="50"/>
      <w:r w:rsidRPr="00D354AB">
        <w:rPr>
          <w:sz w:val="20"/>
          <w:szCs w:val="20"/>
          <w:lang w:val="es-AR"/>
        </w:rPr>
        <w:t xml:space="preserve">. </w:t>
      </w:r>
    </w:p>
    <w:p w14:paraId="3925CA46" w14:textId="77777777" w:rsidR="00043E1C" w:rsidRPr="00D354AB" w:rsidRDefault="00043E1C" w:rsidP="00FF0D9A">
      <w:pPr>
        <w:widowControl w:val="0"/>
        <w:jc w:val="both"/>
        <w:rPr>
          <w:sz w:val="20"/>
          <w:szCs w:val="20"/>
          <w:lang w:val="es-AR"/>
        </w:rPr>
      </w:pPr>
    </w:p>
    <w:p w14:paraId="3F21F627" w14:textId="3B591BE3" w:rsidR="00FF0D9A" w:rsidRPr="00D354AB" w:rsidRDefault="00043E1C" w:rsidP="00FF0D9A">
      <w:pPr>
        <w:widowControl w:val="0"/>
        <w:jc w:val="both"/>
        <w:rPr>
          <w:b/>
          <w:smallCaps/>
          <w:sz w:val="20"/>
          <w:szCs w:val="20"/>
          <w:lang w:val="es-AR"/>
        </w:rPr>
      </w:pPr>
      <w:r w:rsidRPr="00D354AB">
        <w:rPr>
          <w:b/>
          <w:smallCaps/>
          <w:sz w:val="20"/>
          <w:szCs w:val="20"/>
          <w:lang w:val="es-AR"/>
        </w:rPr>
        <w:t>Los Colocadores, conforme las instrucciones que reciban del Emisor</w:t>
      </w:r>
      <w:r w:rsidR="00FF0D9A" w:rsidRPr="00D354AB">
        <w:rPr>
          <w:b/>
          <w:smallCaps/>
          <w:sz w:val="20"/>
          <w:szCs w:val="20"/>
          <w:lang w:val="es-AR"/>
        </w:rPr>
        <w:t>,</w:t>
      </w:r>
      <w:r w:rsidRPr="00D354AB">
        <w:rPr>
          <w:b/>
          <w:smallCaps/>
          <w:sz w:val="20"/>
          <w:szCs w:val="20"/>
          <w:lang w:val="es-AR"/>
        </w:rPr>
        <w:t xml:space="preserve"> podrán</w:t>
      </w:r>
      <w:r w:rsidR="00FF0D9A" w:rsidRPr="00D354AB">
        <w:rPr>
          <w:b/>
          <w:smallCaps/>
          <w:sz w:val="20"/>
          <w:szCs w:val="20"/>
          <w:lang w:val="es-AR"/>
        </w:rPr>
        <w:t xml:space="preserve"> hasta la Fecha de Emisión</w:t>
      </w:r>
      <w:r w:rsidR="00722F8E" w:rsidRPr="00D354AB">
        <w:rPr>
          <w:b/>
          <w:smallCaps/>
          <w:sz w:val="20"/>
          <w:szCs w:val="20"/>
          <w:lang w:val="es-AR"/>
        </w:rPr>
        <w:t xml:space="preserve"> y Liquidación</w:t>
      </w:r>
      <w:r w:rsidR="00FF0D9A" w:rsidRPr="00D354AB">
        <w:rPr>
          <w:b/>
          <w:smallCaps/>
          <w:sz w:val="20"/>
          <w:szCs w:val="20"/>
          <w:lang w:val="es-AR"/>
        </w:rPr>
        <w:t>, dejar sin efecto la colocación y adjudicación de las Obligaciones Negociables, en caso de que hayan sucedido cambios en la normativa cambiaria, impositiva y/o de cualquier otra índole que tornen más gravosa la emisión para la Compañía, según lo determinen los Colocadores y el Emisor, quedando pues sin efecto alguno la totalidad de las Ofertas. Esta circunstancia no otorgará a los Inversores derecho a compensación ni indemnización alguna.</w:t>
      </w:r>
    </w:p>
    <w:p w14:paraId="14ED145B" w14:textId="77777777" w:rsidR="00FF0D9A" w:rsidRPr="00D354AB" w:rsidRDefault="00FF0D9A" w:rsidP="00FF0D9A">
      <w:pPr>
        <w:widowControl w:val="0"/>
        <w:jc w:val="both"/>
        <w:rPr>
          <w:color w:val="000000"/>
          <w:sz w:val="20"/>
          <w:szCs w:val="20"/>
          <w:lang w:val="es-AR"/>
        </w:rPr>
      </w:pPr>
    </w:p>
    <w:p w14:paraId="4039961A" w14:textId="77777777" w:rsidR="00FF0D9A" w:rsidRPr="00D354AB" w:rsidRDefault="00FF0D9A" w:rsidP="00FF0D9A">
      <w:pPr>
        <w:widowControl w:val="0"/>
        <w:jc w:val="both"/>
        <w:rPr>
          <w:color w:val="000000"/>
          <w:sz w:val="20"/>
          <w:szCs w:val="20"/>
          <w:lang w:val="es-AR"/>
        </w:rPr>
      </w:pPr>
    </w:p>
    <w:p w14:paraId="7C404765" w14:textId="77777777" w:rsidR="00FF0D9A" w:rsidRPr="00D354AB" w:rsidRDefault="00FF0D9A" w:rsidP="00FF0D9A">
      <w:pPr>
        <w:widowControl w:val="0"/>
        <w:jc w:val="both"/>
        <w:rPr>
          <w:b/>
          <w:smallCaps/>
          <w:sz w:val="20"/>
          <w:szCs w:val="20"/>
          <w:lang w:val="es-AR"/>
        </w:rPr>
      </w:pPr>
      <w:r w:rsidRPr="00D354AB">
        <w:rPr>
          <w:b/>
          <w:smallCaps/>
          <w:sz w:val="20"/>
          <w:szCs w:val="20"/>
          <w:lang w:val="es-AR"/>
        </w:rPr>
        <w:t>Ni el Emisor ni los Colocadores garantizan a los Inversores, que se les adjudicará el mismo valor nominal de Obligaciones Negociables detallado en la respectiva Oferta, debido a que puede existir sobresuscripción de dichos títulos respecto del monto de Obligaciones Negociables que el Emisor, conjuntamente con los Colocadores, decidan emitir y colocar.</w:t>
      </w:r>
    </w:p>
    <w:p w14:paraId="48FFF9BB" w14:textId="77777777" w:rsidR="00FF0D9A" w:rsidRPr="00D354AB" w:rsidRDefault="00FF0D9A" w:rsidP="00FF0D9A">
      <w:pPr>
        <w:pStyle w:val="Textoindependiente3"/>
        <w:widowControl w:val="0"/>
        <w:rPr>
          <w:color w:val="auto"/>
          <w:szCs w:val="20"/>
          <w:lang w:val="es-AR"/>
        </w:rPr>
      </w:pPr>
    </w:p>
    <w:p w14:paraId="1F1C6782" w14:textId="77777777" w:rsidR="00FF0D9A" w:rsidRPr="00D354AB" w:rsidRDefault="00FF0D9A" w:rsidP="00FF0D9A">
      <w:pPr>
        <w:pStyle w:val="Textoindependiente3"/>
        <w:widowControl w:val="0"/>
        <w:rPr>
          <w:i/>
          <w:iCs/>
          <w:color w:val="000000"/>
          <w:szCs w:val="20"/>
          <w:lang w:val="es-AR"/>
        </w:rPr>
      </w:pPr>
      <w:r w:rsidRPr="00D354AB">
        <w:rPr>
          <w:i/>
          <w:iCs/>
          <w:color w:val="000000"/>
          <w:szCs w:val="20"/>
          <w:lang w:val="es-AR"/>
        </w:rPr>
        <w:t>Suscripción e Integración</w:t>
      </w:r>
    </w:p>
    <w:p w14:paraId="1FBBA146" w14:textId="77777777" w:rsidR="00FF0D9A" w:rsidRPr="00D354AB" w:rsidRDefault="00FF0D9A" w:rsidP="00FF0D9A">
      <w:pPr>
        <w:pStyle w:val="Textoindependiente3"/>
        <w:widowControl w:val="0"/>
        <w:rPr>
          <w:bCs w:val="0"/>
          <w:iCs/>
          <w:color w:val="000000"/>
          <w:szCs w:val="20"/>
          <w:lang w:val="es-AR"/>
        </w:rPr>
      </w:pPr>
    </w:p>
    <w:p w14:paraId="1B5896EB" w14:textId="7577BE85" w:rsidR="007F0D8D" w:rsidRPr="00D354AB" w:rsidRDefault="007F0D8D" w:rsidP="0041100C">
      <w:pPr>
        <w:jc w:val="both"/>
        <w:rPr>
          <w:bCs/>
          <w:sz w:val="20"/>
          <w:szCs w:val="20"/>
          <w:lang w:val="es-AR"/>
        </w:rPr>
      </w:pPr>
      <w:r w:rsidRPr="00D354AB">
        <w:rPr>
          <w:sz w:val="20"/>
          <w:szCs w:val="20"/>
          <w:lang w:val="es-AR"/>
        </w:rPr>
        <w:t xml:space="preserve">Cada Inversor (en el caso de Órdenes de Compra presentadas a través de los Colocadores) y cada uno de los </w:t>
      </w:r>
      <w:r w:rsidR="00FF0D9A" w:rsidRPr="00D354AB">
        <w:rPr>
          <w:sz w:val="20"/>
          <w:szCs w:val="20"/>
          <w:lang w:val="es-AR"/>
        </w:rPr>
        <w:t xml:space="preserve">Inversores que hubieren presentado sus Órdenes a través de Agentes del MAE </w:t>
      </w:r>
      <w:r w:rsidRPr="00D354AB">
        <w:rPr>
          <w:sz w:val="20"/>
          <w:szCs w:val="20"/>
          <w:lang w:val="es-AR"/>
        </w:rPr>
        <w:t>(en el caso de Ofertas</w:t>
      </w:r>
      <w:r w:rsidRPr="00D354AB">
        <w:rPr>
          <w:bCs/>
          <w:sz w:val="20"/>
          <w:szCs w:val="20"/>
          <w:lang w:val="es-AR"/>
        </w:rPr>
        <w:t xml:space="preserve"> </w:t>
      </w:r>
      <w:r w:rsidRPr="00D354AB">
        <w:rPr>
          <w:sz w:val="20"/>
          <w:szCs w:val="20"/>
          <w:lang w:val="es-AR"/>
        </w:rPr>
        <w:t>ingresadas por éstos a través del Sistema SIOPEL</w:t>
      </w:r>
      <w:r w:rsidR="00FF0D9A" w:rsidRPr="00D354AB">
        <w:rPr>
          <w:sz w:val="20"/>
          <w:szCs w:val="20"/>
          <w:lang w:val="es-AR"/>
        </w:rPr>
        <w:t xml:space="preserve">, deberán indicar, en sus correspondientes Órdenes (en el caso de </w:t>
      </w:r>
      <w:r w:rsidRPr="00D354AB">
        <w:rPr>
          <w:sz w:val="20"/>
          <w:szCs w:val="20"/>
          <w:lang w:val="es-AR"/>
        </w:rPr>
        <w:t xml:space="preserve">los </w:t>
      </w:r>
      <w:r w:rsidR="00FF0D9A" w:rsidRPr="00D354AB">
        <w:rPr>
          <w:sz w:val="20"/>
          <w:szCs w:val="20"/>
          <w:lang w:val="es-AR"/>
        </w:rPr>
        <w:t>mencionados Inversores) o mediante nota escrita y firmada dirigida al Agente de Liquidación a más tardar el Día Hábil anterior</w:t>
      </w:r>
      <w:r w:rsidRPr="00D354AB">
        <w:rPr>
          <w:sz w:val="20"/>
          <w:szCs w:val="20"/>
          <w:lang w:val="es-AR"/>
        </w:rPr>
        <w:t xml:space="preserve"> a </w:t>
      </w:r>
      <w:r w:rsidR="00FF0D9A" w:rsidRPr="00D354AB">
        <w:rPr>
          <w:sz w:val="20"/>
          <w:szCs w:val="20"/>
          <w:lang w:val="es-AR"/>
        </w:rPr>
        <w:t>la Fecha de Emisión</w:t>
      </w:r>
      <w:r w:rsidR="0041100C" w:rsidRPr="00D354AB">
        <w:rPr>
          <w:sz w:val="20"/>
          <w:szCs w:val="20"/>
          <w:lang w:val="es-AR"/>
        </w:rPr>
        <w:t xml:space="preserve"> y Liquidación</w:t>
      </w:r>
      <w:r w:rsidR="00FF0D9A" w:rsidRPr="00D354AB">
        <w:rPr>
          <w:sz w:val="20"/>
          <w:szCs w:val="20"/>
          <w:lang w:val="es-AR"/>
        </w:rPr>
        <w:t xml:space="preserve"> (en el caso de dichos Agentes del MAE) (cada una de ellas, una “</w:t>
      </w:r>
      <w:r w:rsidR="00FF0D9A" w:rsidRPr="00D354AB">
        <w:rPr>
          <w:bCs/>
          <w:sz w:val="20"/>
          <w:szCs w:val="20"/>
          <w:u w:val="single"/>
          <w:lang w:val="es-AR"/>
        </w:rPr>
        <w:t>Notificación de Elección</w:t>
      </w:r>
      <w:r w:rsidR="00FF0D9A" w:rsidRPr="00D354AB">
        <w:rPr>
          <w:sz w:val="20"/>
          <w:szCs w:val="20"/>
          <w:lang w:val="es-AR"/>
        </w:rPr>
        <w:t>”), si optan por la suscripción e</w:t>
      </w:r>
      <w:r w:rsidRPr="00D354AB">
        <w:rPr>
          <w:sz w:val="20"/>
          <w:szCs w:val="20"/>
          <w:lang w:val="es-AR"/>
        </w:rPr>
        <w:t xml:space="preserve"> integración de las Obligaciones Negociables </w:t>
      </w:r>
      <w:r w:rsidR="00FF0D9A" w:rsidRPr="00D354AB">
        <w:rPr>
          <w:sz w:val="20"/>
          <w:szCs w:val="20"/>
          <w:lang w:val="es-AR"/>
        </w:rPr>
        <w:t>que pudieren serle adjudicadas a través del sistema de compensación MAE-Clear (o aquel que en un futuro lo reemplace) o a través de los Colocadores, conforme</w:t>
      </w:r>
      <w:r w:rsidRPr="00D354AB">
        <w:rPr>
          <w:sz w:val="20"/>
          <w:szCs w:val="20"/>
          <w:lang w:val="es-AR"/>
        </w:rPr>
        <w:t xml:space="preserve"> los </w:t>
      </w:r>
      <w:r w:rsidR="00FF0D9A" w:rsidRPr="00D354AB">
        <w:rPr>
          <w:sz w:val="20"/>
          <w:szCs w:val="20"/>
          <w:lang w:val="es-AR"/>
        </w:rPr>
        <w:t xml:space="preserve">procedimientos que se detallan a continuación. </w:t>
      </w:r>
    </w:p>
    <w:p w14:paraId="73ADE628" w14:textId="77777777" w:rsidR="00FF0D9A" w:rsidRPr="00D354AB" w:rsidRDefault="00FF0D9A" w:rsidP="00FF0D9A">
      <w:pPr>
        <w:jc w:val="both"/>
        <w:rPr>
          <w:sz w:val="20"/>
          <w:szCs w:val="20"/>
          <w:lang w:val="es-AR"/>
        </w:rPr>
      </w:pPr>
    </w:p>
    <w:p w14:paraId="716380BE" w14:textId="77777777" w:rsidR="00FF0D9A" w:rsidRPr="00D354AB" w:rsidRDefault="00FF0D9A" w:rsidP="00FF0D9A">
      <w:pPr>
        <w:jc w:val="both"/>
        <w:rPr>
          <w:i/>
          <w:iCs/>
          <w:sz w:val="20"/>
          <w:szCs w:val="20"/>
          <w:lang w:val="es-AR"/>
        </w:rPr>
      </w:pPr>
      <w:r w:rsidRPr="00D354AB">
        <w:rPr>
          <w:i/>
          <w:iCs/>
          <w:sz w:val="20"/>
          <w:szCs w:val="20"/>
          <w:lang w:val="es-AR"/>
        </w:rPr>
        <w:t xml:space="preserve">MAE-Clear </w:t>
      </w:r>
    </w:p>
    <w:p w14:paraId="114EEEBD" w14:textId="77777777" w:rsidR="00FF0D9A" w:rsidRPr="00D354AB" w:rsidRDefault="00FF0D9A" w:rsidP="00FF0D9A">
      <w:pPr>
        <w:jc w:val="both"/>
        <w:rPr>
          <w:sz w:val="20"/>
          <w:szCs w:val="20"/>
          <w:lang w:val="es-AR"/>
        </w:rPr>
      </w:pPr>
    </w:p>
    <w:p w14:paraId="1C2989ED" w14:textId="77777777" w:rsidR="00FF0D9A" w:rsidRPr="00D354AB" w:rsidRDefault="00FF0D9A" w:rsidP="00FF0D9A">
      <w:pPr>
        <w:jc w:val="both"/>
        <w:rPr>
          <w:sz w:val="20"/>
          <w:szCs w:val="20"/>
          <w:lang w:val="es-AR"/>
        </w:rPr>
      </w:pPr>
      <w:r w:rsidRPr="00D354AB">
        <w:rPr>
          <w:sz w:val="20"/>
          <w:szCs w:val="20"/>
          <w:lang w:val="es-AR"/>
        </w:rPr>
        <w:t>Si se optare por el sistema de compensación MAE-Clear, cada Orden presentada por cualquier Inversor a través de cualquier Colocador y cada Notificación de Elección presentada por cualquier Agente del MAE, deberá indicar las cuentas de los custodios participantes en el sistema de compensación administrado por MAE-Clear a ser utilizadas para la liquidación e integración de las Obligaciones Negociables adjudicadas; estableciéndose que cada Agente del MAE sólo podrá indicar una única e idéntica cuenta custodio de su titularidad en el sistema de compensación administrado por MAE-Clear en todas las Notificaciones de Elección presentadas por dicho Agente del MAE para la liquidación e integración de Obligaciones Negociables a través del sistema de compensación MAE-Clear.</w:t>
      </w:r>
    </w:p>
    <w:p w14:paraId="009D0498" w14:textId="77777777" w:rsidR="00FF0D9A" w:rsidRPr="00D354AB" w:rsidRDefault="00FF0D9A" w:rsidP="00FF0D9A">
      <w:pPr>
        <w:jc w:val="both"/>
        <w:rPr>
          <w:sz w:val="20"/>
          <w:szCs w:val="20"/>
          <w:lang w:val="es-AR"/>
        </w:rPr>
      </w:pPr>
    </w:p>
    <w:p w14:paraId="22C5F73D" w14:textId="7A4549E5" w:rsidR="00FF0D9A" w:rsidRPr="00D354AB" w:rsidRDefault="00FF0D9A" w:rsidP="00FF0D9A">
      <w:pPr>
        <w:jc w:val="both"/>
        <w:rPr>
          <w:sz w:val="20"/>
          <w:szCs w:val="20"/>
          <w:lang w:val="es-AR"/>
        </w:rPr>
      </w:pPr>
      <w:r w:rsidRPr="00D354AB">
        <w:rPr>
          <w:sz w:val="20"/>
          <w:szCs w:val="20"/>
          <w:lang w:val="es-AR"/>
        </w:rPr>
        <w:t xml:space="preserve">Cada Inversor (en el caso de Órdenes presentadas a través de cualquier Colocador) y cada Agente del MAE (en el caso de Ofertas ingresadas por éstos a través del Sistema SIOPEL) que hubiere optado por la suscripción e integración de las Obligaciones Negociables a través del sistema MAE-Clear se compromete a tomar todos los recaudos necesarios a tal efecto en relación al pago del precio de suscripción de las Obligaciones Negociables que le fueren adjudicadas. En tal </w:t>
      </w:r>
      <w:r w:rsidRPr="00D354AB">
        <w:rPr>
          <w:sz w:val="20"/>
          <w:szCs w:val="20"/>
          <w:lang w:val="es-AR"/>
        </w:rPr>
        <w:lastRenderedPageBreak/>
        <w:t>sentido, en la Fecha de Emisión y Liquidación, cada uno de dichos Inversores y Agentes del MAE deberá causar</w:t>
      </w:r>
      <w:r w:rsidR="007F0D8D" w:rsidRPr="00D354AB">
        <w:rPr>
          <w:sz w:val="20"/>
          <w:szCs w:val="20"/>
          <w:lang w:val="es-AR"/>
        </w:rPr>
        <w:t xml:space="preserve"> </w:t>
      </w:r>
      <w:r w:rsidRPr="00D354AB">
        <w:rPr>
          <w:sz w:val="20"/>
          <w:szCs w:val="20"/>
          <w:lang w:val="es-AR"/>
        </w:rPr>
        <w:t>una cantidad de Pesos suficiente para cubrir el valor nominal que le fuera adjudicado de Obligaciones Negociables (el “</w:t>
      </w:r>
      <w:r w:rsidRPr="00D354AB">
        <w:rPr>
          <w:bCs/>
          <w:sz w:val="20"/>
          <w:szCs w:val="20"/>
          <w:u w:val="single"/>
          <w:lang w:val="es-AR"/>
        </w:rPr>
        <w:t>Monto a Integrar</w:t>
      </w:r>
      <w:r w:rsidRPr="00D354AB">
        <w:rPr>
          <w:sz w:val="20"/>
          <w:szCs w:val="20"/>
          <w:lang w:val="es-AR"/>
        </w:rPr>
        <w:t>”) se encuentre disponible (i) en las cuentas de los custodios participantes en el sistema de compensación administrado por MAE-Clear indicadas por el Inversor adjudicado en sus respectivas Órdenes (en el caso de aquellas entregadas a los Colocadores), o (ii) en la cuenta custodio del Agente del MAE abierta en el sistema de compensación administrado por MAE-Clear e indicada por dicho Agente del MAE adjudicado en su correspondiente Notificación de Elección (en el caso de Ofertas ingresadas por éste a través del Sistema SIOPEL, en cada caso (i) y (ii) anteriores).</w:t>
      </w:r>
    </w:p>
    <w:p w14:paraId="1FAAA599" w14:textId="77777777" w:rsidR="00FF0D9A" w:rsidRPr="00D354AB" w:rsidRDefault="00FF0D9A" w:rsidP="00FF0D9A">
      <w:pPr>
        <w:jc w:val="both"/>
        <w:rPr>
          <w:sz w:val="20"/>
          <w:szCs w:val="20"/>
          <w:lang w:val="es-AR"/>
        </w:rPr>
      </w:pPr>
    </w:p>
    <w:p w14:paraId="709F93AB" w14:textId="77777777" w:rsidR="00FF0D9A" w:rsidRPr="00D354AB" w:rsidRDefault="00FF0D9A" w:rsidP="00FF0D9A">
      <w:pPr>
        <w:jc w:val="both"/>
        <w:rPr>
          <w:sz w:val="20"/>
          <w:szCs w:val="20"/>
          <w:lang w:val="es-AR"/>
        </w:rPr>
      </w:pPr>
      <w:r w:rsidRPr="00D354AB">
        <w:rPr>
          <w:sz w:val="20"/>
          <w:szCs w:val="20"/>
          <w:lang w:val="es-AR"/>
        </w:rPr>
        <w:t>En la Fecha de Emisión y Liquidación, una vez efectuada la integración de las Obligaciones Negociables, las mismas serán acreditadas en las cuentas de los custodios participantes en el sistema de compensación administrado por MAE-Clear que hubiese indicado el Inversor en su respectiva Orden y/o el Agente del MAE en su Notificación de Elección, según fuera aplicable. Asimismo, cada Agente del MAE deberá de forma inmediata transferir dichas Obligaciones Negociables a la cuenta indicada por cada Inversor adjudicado en las respectivas Órdenes presentadas a través suyo.</w:t>
      </w:r>
    </w:p>
    <w:p w14:paraId="34F0E857" w14:textId="77777777" w:rsidR="00FF0D9A" w:rsidRPr="00D354AB" w:rsidRDefault="00FF0D9A" w:rsidP="00FF0D9A">
      <w:pPr>
        <w:jc w:val="both"/>
        <w:rPr>
          <w:i/>
          <w:iCs/>
          <w:sz w:val="20"/>
          <w:szCs w:val="20"/>
          <w:lang w:val="es-AR"/>
        </w:rPr>
      </w:pPr>
    </w:p>
    <w:p w14:paraId="190E3257" w14:textId="77777777" w:rsidR="00FF0D9A" w:rsidRPr="00D354AB" w:rsidRDefault="00FF0D9A" w:rsidP="00FF0D9A">
      <w:pPr>
        <w:pStyle w:val="Default"/>
        <w:jc w:val="both"/>
        <w:rPr>
          <w:i/>
          <w:color w:val="auto"/>
          <w:sz w:val="20"/>
          <w:szCs w:val="20"/>
        </w:rPr>
      </w:pPr>
      <w:r w:rsidRPr="00D354AB">
        <w:rPr>
          <w:i/>
          <w:color w:val="auto"/>
          <w:sz w:val="20"/>
          <w:szCs w:val="20"/>
        </w:rPr>
        <w:t>Colocadores:</w:t>
      </w:r>
    </w:p>
    <w:p w14:paraId="50ADFA30" w14:textId="77777777" w:rsidR="00FF0D9A" w:rsidRPr="00C436CD" w:rsidRDefault="00FF0D9A" w:rsidP="00FF0D9A">
      <w:pPr>
        <w:pStyle w:val="Default"/>
        <w:jc w:val="both"/>
        <w:rPr>
          <w:color w:val="auto"/>
          <w:sz w:val="20"/>
        </w:rPr>
      </w:pPr>
    </w:p>
    <w:p w14:paraId="3D63E153" w14:textId="6E5F3BB2" w:rsidR="00FF0D9A" w:rsidRPr="00D354AB" w:rsidRDefault="00FF0D9A" w:rsidP="00FF0D9A">
      <w:pPr>
        <w:pStyle w:val="Textoindependiente3"/>
        <w:widowControl w:val="0"/>
        <w:rPr>
          <w:color w:val="auto"/>
          <w:szCs w:val="20"/>
          <w:lang w:val="es-AR"/>
        </w:rPr>
      </w:pPr>
      <w:r w:rsidRPr="00D354AB">
        <w:rPr>
          <w:bCs w:val="0"/>
          <w:color w:val="auto"/>
          <w:szCs w:val="20"/>
          <w:lang w:val="es-AR"/>
        </w:rPr>
        <w:t>Cada inversor</w:t>
      </w:r>
      <w:r w:rsidR="00450513" w:rsidRPr="00D354AB">
        <w:rPr>
          <w:bCs w:val="0"/>
          <w:color w:val="auto"/>
          <w:szCs w:val="20"/>
          <w:lang w:val="es-AR"/>
        </w:rPr>
        <w:t xml:space="preserve"> </w:t>
      </w:r>
      <w:r w:rsidR="00450513" w:rsidRPr="00D354AB">
        <w:rPr>
          <w:color w:val="auto"/>
          <w:szCs w:val="20"/>
          <w:lang w:val="es-MX"/>
        </w:rPr>
        <w:t xml:space="preserve">(en el caso de Órdenes presentadas a través de cualquier Colocador) </w:t>
      </w:r>
      <w:r w:rsidRPr="00D354AB">
        <w:rPr>
          <w:bCs w:val="0"/>
          <w:color w:val="auto"/>
          <w:szCs w:val="20"/>
          <w:lang w:val="es-AR"/>
        </w:rPr>
        <w:t>y cada Agente del MAE</w:t>
      </w:r>
      <w:r w:rsidR="00450513" w:rsidRPr="00D354AB">
        <w:rPr>
          <w:bCs w:val="0"/>
          <w:color w:val="auto"/>
          <w:szCs w:val="20"/>
          <w:lang w:val="es-AR"/>
        </w:rPr>
        <w:t xml:space="preserve"> </w:t>
      </w:r>
      <w:r w:rsidR="00450513" w:rsidRPr="00D354AB">
        <w:rPr>
          <w:color w:val="auto"/>
          <w:szCs w:val="20"/>
          <w:lang w:val="es-MX"/>
        </w:rPr>
        <w:t>(en el caso de Ofertas ingresadas por éstos a través del Sistema SIOPEL)</w:t>
      </w:r>
      <w:r w:rsidRPr="00D354AB">
        <w:rPr>
          <w:bCs w:val="0"/>
          <w:color w:val="auto"/>
          <w:szCs w:val="20"/>
          <w:lang w:val="es-AR"/>
        </w:rPr>
        <w:t xml:space="preserve"> que hubiere optado por la suscripción e integración de las Obligaciones Negociables a través de los Colocadores y a quien se le hubiere adjudicado cualquier valor nominal de tales títulos, deberá, en la Fecha de Emisión y Liquidación, integrar en efectivo, los pesos suficientes para cubrir el correspondiente Monto a Integrar, de la siguiente forma: (i) cada uno de tales inversores deberá pagar el Monto a Integrar respectivo mediante (a) transferencia electrónica a una cuenta abierta a nombre del Colocador correspondiente, la cual será informada en la Orden, o (b) autorización al Colocador en cuestión para que debite de una o más cuentas de titularidad del inversor las sumas correspondientes; todo ello de acuerdo a las instrucciones consignadas en la Orden respectiva; y (ii) cada uno de tales Agentes del MAE deberá pagar el correspondiente Monto a Integrar respectivo mediante transferencia electrónica a la cuenta que el Agente de Liquidación indique hasta las 14 horas de la Fecha de Emisión</w:t>
      </w:r>
      <w:r w:rsidR="0041100C" w:rsidRPr="00D354AB">
        <w:rPr>
          <w:bCs w:val="0"/>
          <w:color w:val="auto"/>
          <w:szCs w:val="20"/>
          <w:lang w:val="es-AR"/>
        </w:rPr>
        <w:t xml:space="preserve"> y Liquidación</w:t>
      </w:r>
      <w:r w:rsidRPr="00D354AB">
        <w:rPr>
          <w:bCs w:val="0"/>
          <w:color w:val="auto"/>
          <w:szCs w:val="20"/>
          <w:lang w:val="es-AR"/>
        </w:rPr>
        <w:t xml:space="preserve">. El incumplimiento por parte de cualquier inversor de su obligación de pagar el Monto a Integrar aplicable a los Agentes del MAE que correspondieran no liberará a dichos Agentes </w:t>
      </w:r>
      <w:r w:rsidRPr="00D354AB">
        <w:rPr>
          <w:color w:val="auto"/>
          <w:szCs w:val="20"/>
          <w:lang w:val="es-AR"/>
        </w:rPr>
        <w:t>del MAE</w:t>
      </w:r>
      <w:r w:rsidRPr="00D354AB">
        <w:rPr>
          <w:bCs w:val="0"/>
          <w:color w:val="auto"/>
          <w:szCs w:val="20"/>
          <w:lang w:val="es-AR"/>
        </w:rPr>
        <w:t xml:space="preserve"> de su obligación de integrar el valor nominal de las Obligaciones Negociables solicitado en las correspondientes Ofertas que le hubiere sido adjudicado.</w:t>
      </w:r>
    </w:p>
    <w:p w14:paraId="3BC7F77B" w14:textId="77777777" w:rsidR="00FF0D9A" w:rsidRPr="00D354AB" w:rsidRDefault="00FF0D9A" w:rsidP="00FF0D9A">
      <w:pPr>
        <w:pStyle w:val="Textoindependiente3"/>
        <w:widowControl w:val="0"/>
        <w:rPr>
          <w:color w:val="auto"/>
          <w:szCs w:val="20"/>
          <w:lang w:val="es-AR"/>
        </w:rPr>
      </w:pPr>
    </w:p>
    <w:p w14:paraId="016E0AB8" w14:textId="51D83052" w:rsidR="00FF0D9A" w:rsidRPr="00D354AB" w:rsidRDefault="00FF0D9A" w:rsidP="00FF0D9A">
      <w:pPr>
        <w:pStyle w:val="Textoindependiente3"/>
        <w:widowControl w:val="0"/>
        <w:rPr>
          <w:color w:val="auto"/>
          <w:szCs w:val="20"/>
          <w:lang w:val="es-AR"/>
        </w:rPr>
      </w:pPr>
      <w:r w:rsidRPr="00D354AB">
        <w:rPr>
          <w:bCs w:val="0"/>
          <w:color w:val="auto"/>
          <w:szCs w:val="20"/>
          <w:lang w:val="es-AR"/>
        </w:rPr>
        <w:t>En la Fecha de Emisión</w:t>
      </w:r>
      <w:r w:rsidR="0041100C" w:rsidRPr="00D354AB">
        <w:rPr>
          <w:bCs w:val="0"/>
          <w:color w:val="auto"/>
          <w:szCs w:val="20"/>
          <w:lang w:val="es-AR"/>
        </w:rPr>
        <w:t xml:space="preserve"> y Liquidación</w:t>
      </w:r>
      <w:r w:rsidRPr="00D354AB">
        <w:rPr>
          <w:bCs w:val="0"/>
          <w:color w:val="auto"/>
          <w:szCs w:val="20"/>
          <w:lang w:val="es-AR"/>
        </w:rPr>
        <w:t xml:space="preserve">, una vez efectuada la integración de las Obligaciones Negociables, las mismas serán acreditadas en la cuentas depositante y comitente en Caja de Valores indicadas en las correspondientes Órdenes presentadas por Inversores que las hubieren cursado a través de los Colocadores, o en las correspondientes Notificaciones de Elección presentadas por Agentes </w:t>
      </w:r>
      <w:r w:rsidRPr="00D354AB">
        <w:rPr>
          <w:color w:val="auto"/>
          <w:szCs w:val="20"/>
          <w:lang w:val="es-AR"/>
        </w:rPr>
        <w:t xml:space="preserve">del MAE </w:t>
      </w:r>
      <w:r w:rsidRPr="00D354AB">
        <w:rPr>
          <w:bCs w:val="0"/>
          <w:color w:val="auto"/>
          <w:szCs w:val="20"/>
          <w:lang w:val="es-AR"/>
        </w:rPr>
        <w:t>que hubieren ingresado sus Ofertas a través del SIOPEL. Los Agentes del MAE que hayan recibido Obligaciones Negociables en virtud de Ofertas presentadas como consecuencia de la recepción de Órdenes de parte de Inversores deberán transferir los títulos aplicables en forma inmediata a los mismos.</w:t>
      </w:r>
    </w:p>
    <w:p w14:paraId="759DF0EF" w14:textId="77777777" w:rsidR="00FF0D9A" w:rsidRPr="00D354AB" w:rsidRDefault="00FF0D9A" w:rsidP="00FF0D9A">
      <w:pPr>
        <w:pStyle w:val="Textoindependiente3"/>
        <w:widowControl w:val="0"/>
        <w:rPr>
          <w:color w:val="auto"/>
          <w:szCs w:val="20"/>
          <w:lang w:val="es-AR"/>
        </w:rPr>
      </w:pPr>
    </w:p>
    <w:p w14:paraId="4730F497" w14:textId="646EC099" w:rsidR="00FF0D9A" w:rsidRPr="00D354AB" w:rsidRDefault="00FF0D9A" w:rsidP="00FF0D9A">
      <w:pPr>
        <w:pStyle w:val="Textoindependiente3"/>
        <w:widowControl w:val="0"/>
        <w:rPr>
          <w:color w:val="auto"/>
          <w:szCs w:val="20"/>
          <w:lang w:val="es-AR"/>
        </w:rPr>
      </w:pPr>
      <w:r w:rsidRPr="00D354AB">
        <w:rPr>
          <w:bCs w:val="0"/>
          <w:color w:val="auto"/>
          <w:szCs w:val="20"/>
          <w:lang w:val="es-AR"/>
        </w:rPr>
        <w:t xml:space="preserve">Los Colocadores se reservan el derecho de rechazar y tener por no integradas todas las Ofertas adjudicadas que los inversores hubiesen cursado a través de un Agente del MAE si no hubiesen sido integradas conforme con el procedimiento descripto. En dicho caso, los rechazos no darán derecho a reclamo alguno contra </w:t>
      </w:r>
      <w:r w:rsidR="004B7EB4" w:rsidRPr="00D354AB">
        <w:rPr>
          <w:bCs w:val="0"/>
          <w:color w:val="auto"/>
          <w:szCs w:val="20"/>
          <w:lang w:val="es-AR"/>
        </w:rPr>
        <w:t xml:space="preserve">el </w:t>
      </w:r>
      <w:r w:rsidRPr="00D354AB">
        <w:rPr>
          <w:bCs w:val="0"/>
          <w:color w:val="auto"/>
          <w:szCs w:val="20"/>
          <w:lang w:val="es-AR"/>
        </w:rPr>
        <w:t>Emisor ni contra los Colocadores.</w:t>
      </w:r>
    </w:p>
    <w:p w14:paraId="3C241C4C" w14:textId="77777777" w:rsidR="00FF0D9A" w:rsidRPr="00D354AB" w:rsidRDefault="00FF0D9A" w:rsidP="00FF0D9A">
      <w:pPr>
        <w:pStyle w:val="Textoindependiente3"/>
        <w:widowControl w:val="0"/>
        <w:rPr>
          <w:color w:val="auto"/>
          <w:szCs w:val="20"/>
          <w:lang w:val="es-AR"/>
        </w:rPr>
      </w:pPr>
    </w:p>
    <w:p w14:paraId="505E6879" w14:textId="77777777" w:rsidR="00FF0D9A" w:rsidRPr="00D354AB" w:rsidRDefault="00FF0D9A" w:rsidP="00FF0D9A">
      <w:pPr>
        <w:widowControl w:val="0"/>
        <w:jc w:val="both"/>
        <w:rPr>
          <w:b/>
          <w:smallCaps/>
          <w:color w:val="000000"/>
          <w:sz w:val="20"/>
          <w:szCs w:val="20"/>
          <w:lang w:val="es-AR"/>
        </w:rPr>
      </w:pPr>
      <w:r w:rsidRPr="00D354AB">
        <w:rPr>
          <w:b/>
          <w:smallCaps/>
          <w:color w:val="000000"/>
          <w:sz w:val="20"/>
          <w:szCs w:val="20"/>
          <w:lang w:val="es-AR"/>
        </w:rPr>
        <w:t>El Agente de Liquidación se reserva el derecho de rechazar y tener por no integradas todas las Ofertas adjudicadas que los Inversores hubiesen cursado a través de un Agente del MAE si no hubiesen sido integradas conforme con el procedimiento descripto. En dicho caso, los rechazos no darán derecho a reclamo alguno contra el Emisor ni contra el Agente de Liquidación.</w:t>
      </w:r>
    </w:p>
    <w:p w14:paraId="50DAD421" w14:textId="77777777" w:rsidR="00FF0D9A" w:rsidRPr="00D354AB" w:rsidRDefault="00FF0D9A" w:rsidP="00FF0D9A">
      <w:pPr>
        <w:widowControl w:val="0"/>
        <w:jc w:val="both"/>
        <w:rPr>
          <w:sz w:val="20"/>
          <w:szCs w:val="20"/>
          <w:lang w:val="es-AR"/>
        </w:rPr>
      </w:pPr>
    </w:p>
    <w:p w14:paraId="7608DE96" w14:textId="0F7ADD34" w:rsidR="00FF0D9A" w:rsidRPr="00D354AB" w:rsidRDefault="00FF0D9A" w:rsidP="00FF0D9A">
      <w:pPr>
        <w:keepNext/>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 w:val="left" w:pos="5161"/>
          <w:tab w:val="left" w:pos="5558"/>
          <w:tab w:val="left" w:pos="5955"/>
          <w:tab w:val="left" w:pos="6352"/>
          <w:tab w:val="left" w:pos="6749"/>
          <w:tab w:val="left" w:pos="7146"/>
          <w:tab w:val="left" w:pos="7543"/>
          <w:tab w:val="left" w:pos="7940"/>
          <w:tab w:val="left" w:pos="8337"/>
          <w:tab w:val="left" w:pos="8734"/>
          <w:tab w:val="left" w:pos="9131"/>
          <w:tab w:val="left" w:pos="9528"/>
        </w:tabs>
        <w:jc w:val="both"/>
        <w:outlineLvl w:val="1"/>
        <w:rPr>
          <w:sz w:val="20"/>
          <w:szCs w:val="20"/>
          <w:lang w:val="es-AR"/>
        </w:rPr>
      </w:pPr>
      <w:r w:rsidRPr="00D354AB">
        <w:rPr>
          <w:rStyle w:val="DeltaViewInsertion"/>
          <w:color w:val="000000"/>
          <w:sz w:val="20"/>
          <w:szCs w:val="20"/>
          <w:u w:val="none"/>
          <w:lang w:val="es-MX"/>
        </w:rPr>
        <w:t xml:space="preserve">Efectuada la integración, por el 100% del Monto a Integrar conforme fuera detallado, </w:t>
      </w:r>
      <w:r w:rsidRPr="00D354AB">
        <w:rPr>
          <w:sz w:val="20"/>
          <w:szCs w:val="20"/>
          <w:lang w:val="es-AR"/>
        </w:rPr>
        <w:t>en la Fecha de Emisión</w:t>
      </w:r>
      <w:r w:rsidR="004B7EB4" w:rsidRPr="00D354AB">
        <w:rPr>
          <w:sz w:val="20"/>
          <w:szCs w:val="20"/>
          <w:lang w:val="es-AR"/>
        </w:rPr>
        <w:t xml:space="preserve"> y</w:t>
      </w:r>
      <w:r w:rsidRPr="00D354AB">
        <w:rPr>
          <w:sz w:val="20"/>
          <w:szCs w:val="20"/>
          <w:lang w:val="es-AR"/>
        </w:rPr>
        <w:t xml:space="preserve"> Liquidación, </w:t>
      </w:r>
      <w:r w:rsidRPr="00D354AB">
        <w:rPr>
          <w:rStyle w:val="DeltaViewInsertion"/>
          <w:color w:val="000000"/>
          <w:sz w:val="20"/>
          <w:szCs w:val="20"/>
          <w:u w:val="none"/>
          <w:lang w:val="es-MX"/>
        </w:rPr>
        <w:t xml:space="preserve">el Agente de Liquidación </w:t>
      </w:r>
      <w:r w:rsidRPr="00D354AB">
        <w:rPr>
          <w:sz w:val="20"/>
          <w:szCs w:val="20"/>
          <w:lang w:val="es-AR"/>
        </w:rPr>
        <w:t xml:space="preserve">(i) transferirá las Obligaciones Negociables objeto de las Ofertas adjudicadas que los Inversores hubiesen cursado a través de él, a las cuentas en Caja de Valores de dichos Inversores; y (ii) transferirá a la cuenta en Caja de Valores de y de cada Agente del MAE, las Obligaciones Negociables objeto de las Ofertas adjudicadas que los Inversores hubiesen cursado a través de </w:t>
      </w:r>
      <w:r w:rsidR="007F6C56">
        <w:rPr>
          <w:sz w:val="20"/>
          <w:szCs w:val="20"/>
          <w:lang w:val="es-AR"/>
        </w:rPr>
        <w:t>Banco BBVA Argentina</w:t>
      </w:r>
      <w:r w:rsidRPr="00D354AB">
        <w:rPr>
          <w:sz w:val="20"/>
          <w:szCs w:val="20"/>
          <w:lang w:val="es-AR"/>
        </w:rPr>
        <w:t xml:space="preserve"> S.A. y de los Agentes del MAE, según sea el caso. Una vez recibidas por </w:t>
      </w:r>
      <w:r w:rsidR="007F6C56">
        <w:rPr>
          <w:sz w:val="20"/>
          <w:szCs w:val="20"/>
          <w:lang w:val="es-AR"/>
        </w:rPr>
        <w:t>Banco BBVA Argentina</w:t>
      </w:r>
      <w:r w:rsidRPr="00D354AB">
        <w:rPr>
          <w:sz w:val="20"/>
          <w:szCs w:val="20"/>
          <w:lang w:val="es-AR"/>
        </w:rPr>
        <w:t xml:space="preserve"> S.A. y los Agentes del MAE, según sea el caso, las correspondientes Obligaciones Negociables, en la Fecha de Emisión y Liquidación </w:t>
      </w:r>
      <w:r w:rsidR="007F6C56">
        <w:rPr>
          <w:sz w:val="20"/>
          <w:szCs w:val="20"/>
          <w:lang w:val="es-AR"/>
        </w:rPr>
        <w:t>Banco BBVA Argentina</w:t>
      </w:r>
      <w:r w:rsidRPr="00D354AB">
        <w:rPr>
          <w:sz w:val="20"/>
          <w:szCs w:val="20"/>
          <w:lang w:val="es-AR"/>
        </w:rPr>
        <w:t xml:space="preserve"> S.A y los Agentes del MAE, según sea el caso y bajo su exclusiva responsabilidad, deberán transferir dichas Obligaciones Negociables a las cuentas en Caja de Valores de tales Inversores.</w:t>
      </w:r>
    </w:p>
    <w:p w14:paraId="4D501036" w14:textId="77777777" w:rsidR="00FF0D9A" w:rsidRPr="00D354AB" w:rsidRDefault="00FF0D9A" w:rsidP="00FF0D9A">
      <w:pPr>
        <w:widowControl w:val="0"/>
        <w:jc w:val="both"/>
        <w:rPr>
          <w:rStyle w:val="DeltaViewInsertion"/>
          <w:color w:val="000000"/>
          <w:sz w:val="20"/>
          <w:szCs w:val="20"/>
          <w:u w:val="none"/>
          <w:lang w:val="es-MX"/>
        </w:rPr>
      </w:pPr>
    </w:p>
    <w:p w14:paraId="138ABADE" w14:textId="77777777" w:rsidR="00FF0D9A" w:rsidRPr="00D354AB" w:rsidRDefault="00FF0D9A" w:rsidP="00FF0D9A">
      <w:pPr>
        <w:widowControl w:val="0"/>
        <w:jc w:val="both"/>
        <w:rPr>
          <w:bCs/>
          <w:sz w:val="20"/>
          <w:szCs w:val="20"/>
          <w:lang w:val="es-AR"/>
        </w:rPr>
      </w:pPr>
      <w:r w:rsidRPr="00D354AB">
        <w:rPr>
          <w:bCs/>
          <w:sz w:val="20"/>
          <w:szCs w:val="20"/>
          <w:lang w:val="es-AR"/>
        </w:rPr>
        <w:t>Los Colocadores y los Agente del MAE tendrán la facultad, pero no la obligación, de solicitar garantías u otros recaudos que aseguren la integración de las Órdenes realizadas por los Inversores, cuando así lo consideren necesario. Por lo tanto, si los Colocadores y/o los Agentes del MAE resolvieran solicitar garantías que aseguren la integración de las Órdenes realizadas por los Inversores y estos últimos no dieran cumplimiento con lo requerido, los Colocadores o dicho Agente del MAE, según corresponda, podrán, a su exclusivo criterio, tener la Orden por no presentada y rechazarla. Los Agentes del MAE serán responsables de que existan las garantías suficientes que aseguren la integración de las Ofertas que hubieran sido cursados a través suyo. Los Agentes del MAE serán responsables frente al Emisor y los Colocadores por los daños y perjuicios que la falta de integración de una Oferta cursada por dicho Agente de MAE ocasione al Emisor y/o a los Colocadores.</w:t>
      </w:r>
    </w:p>
    <w:p w14:paraId="4C2F828E" w14:textId="77777777" w:rsidR="00FF0D9A" w:rsidRPr="00D354AB" w:rsidRDefault="00FF0D9A" w:rsidP="00FF0D9A">
      <w:pPr>
        <w:widowControl w:val="0"/>
        <w:jc w:val="both"/>
        <w:rPr>
          <w:bCs/>
          <w:sz w:val="20"/>
          <w:szCs w:val="20"/>
          <w:lang w:val="es-AR"/>
        </w:rPr>
      </w:pPr>
    </w:p>
    <w:p w14:paraId="55B06C5C" w14:textId="77777777" w:rsidR="00FF0D9A" w:rsidRPr="00D354AB" w:rsidRDefault="00FF0D9A" w:rsidP="00FF0D9A">
      <w:pPr>
        <w:pStyle w:val="Sangradetextonormal"/>
        <w:widowControl w:val="0"/>
        <w:tabs>
          <w:tab w:val="clear" w:pos="397"/>
          <w:tab w:val="clear" w:pos="794"/>
          <w:tab w:val="clear" w:pos="1191"/>
          <w:tab w:val="clear" w:pos="1588"/>
          <w:tab w:val="clear" w:pos="1985"/>
          <w:tab w:val="clear" w:pos="2382"/>
          <w:tab w:val="clear" w:pos="2779"/>
          <w:tab w:val="clear" w:pos="3176"/>
          <w:tab w:val="clear" w:pos="3573"/>
          <w:tab w:val="clear" w:pos="3970"/>
          <w:tab w:val="clear" w:pos="4367"/>
          <w:tab w:val="clear" w:pos="4764"/>
          <w:tab w:val="clear" w:pos="5161"/>
          <w:tab w:val="clear" w:pos="5558"/>
          <w:tab w:val="clear" w:pos="5955"/>
          <w:tab w:val="clear" w:pos="6352"/>
          <w:tab w:val="clear" w:pos="6749"/>
          <w:tab w:val="clear" w:pos="7146"/>
          <w:tab w:val="clear" w:pos="7543"/>
          <w:tab w:val="clear" w:pos="7940"/>
          <w:tab w:val="clear" w:pos="8337"/>
          <w:tab w:val="clear" w:pos="8734"/>
          <w:tab w:val="clear" w:pos="9131"/>
          <w:tab w:val="clear" w:pos="9528"/>
        </w:tabs>
        <w:rPr>
          <w:rFonts w:ascii="Times New Roman" w:hAnsi="Times New Roman"/>
          <w:i/>
          <w:iCs/>
          <w:lang w:val="es-AR"/>
        </w:rPr>
      </w:pPr>
      <w:r w:rsidRPr="00D354AB">
        <w:rPr>
          <w:rFonts w:ascii="Times New Roman" w:hAnsi="Times New Roman"/>
          <w:i/>
          <w:iCs/>
          <w:lang w:val="es-AR"/>
        </w:rPr>
        <w:t>Comisiones</w:t>
      </w:r>
    </w:p>
    <w:p w14:paraId="6C39D90A" w14:textId="77777777" w:rsidR="00FF0D9A" w:rsidRPr="00D354AB" w:rsidRDefault="00FF0D9A" w:rsidP="00FF0D9A">
      <w:pPr>
        <w:widowControl w:val="0"/>
        <w:jc w:val="both"/>
        <w:rPr>
          <w:bCs/>
          <w:sz w:val="20"/>
          <w:szCs w:val="20"/>
          <w:lang w:val="es-AR"/>
        </w:rPr>
      </w:pPr>
    </w:p>
    <w:p w14:paraId="024849C0" w14:textId="77777777" w:rsidR="00FF0D9A" w:rsidRPr="00D354AB" w:rsidRDefault="00FF0D9A" w:rsidP="00FF0D9A">
      <w:pPr>
        <w:widowControl w:val="0"/>
        <w:jc w:val="both"/>
        <w:rPr>
          <w:bCs/>
          <w:sz w:val="20"/>
          <w:szCs w:val="20"/>
          <w:lang w:val="es-AR"/>
        </w:rPr>
      </w:pPr>
      <w:r w:rsidRPr="00D354AB">
        <w:rPr>
          <w:bCs/>
          <w:sz w:val="20"/>
          <w:szCs w:val="20"/>
          <w:lang w:val="es-AR"/>
        </w:rPr>
        <w:t xml:space="preserve">La comisión a ser pagada a los colocadores no excederá aproximadamente el </w:t>
      </w:r>
      <w:r w:rsidRPr="00D354AB">
        <w:rPr>
          <w:sz w:val="20"/>
          <w:szCs w:val="20"/>
          <w:lang w:val="es-AR"/>
        </w:rPr>
        <w:t>1</w:t>
      </w:r>
      <w:r w:rsidRPr="00D354AB">
        <w:rPr>
          <w:bCs/>
          <w:sz w:val="20"/>
          <w:szCs w:val="20"/>
          <w:lang w:val="es-AR"/>
        </w:rPr>
        <w:t>% del valor nominal total de las Obligaciones Negociables efectivamente colocadas e integradas.</w:t>
      </w:r>
    </w:p>
    <w:p w14:paraId="2A41FAA1" w14:textId="77777777" w:rsidR="00FF0D9A" w:rsidRPr="00D354AB" w:rsidRDefault="00FF0D9A" w:rsidP="00FF0D9A">
      <w:pPr>
        <w:widowControl w:val="0"/>
        <w:jc w:val="both"/>
        <w:rPr>
          <w:sz w:val="20"/>
          <w:szCs w:val="20"/>
          <w:lang w:val="es-ES"/>
        </w:rPr>
      </w:pPr>
    </w:p>
    <w:p w14:paraId="4038CEF4" w14:textId="77777777" w:rsidR="00FF0D9A" w:rsidRPr="00D354AB" w:rsidRDefault="00FF0D9A" w:rsidP="00FF0D9A">
      <w:pPr>
        <w:widowControl w:val="0"/>
        <w:jc w:val="both"/>
        <w:rPr>
          <w:bCs/>
          <w:sz w:val="20"/>
          <w:szCs w:val="20"/>
          <w:lang w:val="es-AR"/>
        </w:rPr>
      </w:pPr>
      <w:r w:rsidRPr="00D354AB">
        <w:rPr>
          <w:bCs/>
          <w:sz w:val="20"/>
          <w:szCs w:val="20"/>
          <w:lang w:val="es-AR"/>
        </w:rPr>
        <w:t>A dicho monto se deberá sumar lo devengado por honorarios de asesores contables y legales, aranceles de CNV y de otros organismos reguladores, gastos de publicaciones y gastos de la calificadora de riesgo, entre otros gastos. Ninguno de los gastos mencionados será soportado por los suscriptores de las Obligaciones Negociables.</w:t>
      </w:r>
    </w:p>
    <w:p w14:paraId="5E6836AA" w14:textId="77777777" w:rsidR="00FF0D9A" w:rsidRPr="00D354AB" w:rsidRDefault="00FF0D9A" w:rsidP="00FF0D9A">
      <w:pPr>
        <w:widowControl w:val="0"/>
        <w:jc w:val="both"/>
        <w:rPr>
          <w:bCs/>
          <w:sz w:val="20"/>
          <w:szCs w:val="20"/>
          <w:lang w:val="es-AR"/>
        </w:rPr>
      </w:pPr>
    </w:p>
    <w:p w14:paraId="5F05F14C" w14:textId="77777777" w:rsidR="00FF0D9A" w:rsidRPr="00D354AB" w:rsidRDefault="00FF0D9A" w:rsidP="00FF0D9A">
      <w:pPr>
        <w:widowControl w:val="0"/>
        <w:jc w:val="both"/>
        <w:rPr>
          <w:bCs/>
          <w:sz w:val="20"/>
          <w:szCs w:val="20"/>
          <w:lang w:val="es-AR"/>
        </w:rPr>
      </w:pPr>
      <w:r w:rsidRPr="00D354AB">
        <w:rPr>
          <w:bCs/>
          <w:sz w:val="20"/>
          <w:szCs w:val="20"/>
          <w:lang w:val="es-AR"/>
        </w:rPr>
        <w:t>Ni el Emisor ni los Colocadores pagarán comisión y/o reembolsarán gasto alguno a los Agentes del MAE, sin perjuicio de lo cual, dichos Agentes del MAE podrán cobrar comisiones y/o gastos directamente a los Inversores que hubieran cursado Ofertas a través suyo.</w:t>
      </w:r>
    </w:p>
    <w:bookmarkEnd w:id="24"/>
    <w:p w14:paraId="0206CCC6" w14:textId="77777777" w:rsidR="00FF0D9A" w:rsidRPr="00D354AB" w:rsidRDefault="00FF0D9A" w:rsidP="00FF0D9A">
      <w:pPr>
        <w:widowControl w:val="0"/>
        <w:jc w:val="both"/>
        <w:rPr>
          <w:bCs/>
          <w:sz w:val="20"/>
          <w:szCs w:val="20"/>
          <w:lang w:val="es-AR"/>
        </w:rPr>
      </w:pPr>
    </w:p>
    <w:p w14:paraId="59EA8B70" w14:textId="77777777" w:rsidR="00FF0D9A" w:rsidRPr="00D354AB" w:rsidRDefault="00FF0D9A" w:rsidP="00FF0D9A">
      <w:pPr>
        <w:pStyle w:val="Sangradetextonormal"/>
        <w:widowControl w:val="0"/>
        <w:tabs>
          <w:tab w:val="clear" w:pos="397"/>
          <w:tab w:val="clear" w:pos="794"/>
          <w:tab w:val="clear" w:pos="1191"/>
          <w:tab w:val="clear" w:pos="1588"/>
          <w:tab w:val="clear" w:pos="1985"/>
          <w:tab w:val="clear" w:pos="2382"/>
          <w:tab w:val="clear" w:pos="2779"/>
          <w:tab w:val="clear" w:pos="3176"/>
          <w:tab w:val="clear" w:pos="3573"/>
          <w:tab w:val="clear" w:pos="3970"/>
          <w:tab w:val="clear" w:pos="4367"/>
          <w:tab w:val="clear" w:pos="4764"/>
          <w:tab w:val="clear" w:pos="5161"/>
          <w:tab w:val="clear" w:pos="5558"/>
          <w:tab w:val="clear" w:pos="5955"/>
          <w:tab w:val="clear" w:pos="6352"/>
          <w:tab w:val="clear" w:pos="6749"/>
          <w:tab w:val="clear" w:pos="7146"/>
          <w:tab w:val="clear" w:pos="7543"/>
          <w:tab w:val="clear" w:pos="7940"/>
          <w:tab w:val="clear" w:pos="8337"/>
          <w:tab w:val="clear" w:pos="8734"/>
          <w:tab w:val="clear" w:pos="9131"/>
          <w:tab w:val="clear" w:pos="9528"/>
        </w:tabs>
        <w:rPr>
          <w:rFonts w:ascii="Times New Roman" w:hAnsi="Times New Roman"/>
          <w:i/>
          <w:iCs/>
          <w:lang w:val="es-AR"/>
        </w:rPr>
      </w:pPr>
      <w:r w:rsidRPr="00D354AB">
        <w:rPr>
          <w:rFonts w:ascii="Times New Roman" w:hAnsi="Times New Roman"/>
          <w:i/>
          <w:iCs/>
          <w:lang w:val="es-AR"/>
        </w:rPr>
        <w:t>Esfuerzos de Colocación</w:t>
      </w:r>
    </w:p>
    <w:p w14:paraId="15F43AC8" w14:textId="77777777" w:rsidR="00FF0D9A" w:rsidRPr="00D354AB" w:rsidRDefault="00FF0D9A" w:rsidP="00FF0D9A">
      <w:pPr>
        <w:widowControl w:val="0"/>
        <w:jc w:val="both"/>
        <w:rPr>
          <w:sz w:val="20"/>
          <w:szCs w:val="20"/>
          <w:lang w:val="es-AR"/>
        </w:rPr>
      </w:pPr>
    </w:p>
    <w:p w14:paraId="557FD522" w14:textId="323C065B" w:rsidR="00FF0D9A" w:rsidRPr="00D354AB" w:rsidRDefault="00FF0D9A" w:rsidP="00FF0D9A">
      <w:pPr>
        <w:pStyle w:val="Textoindependiente"/>
        <w:widowControl w:val="0"/>
        <w:tabs>
          <w:tab w:val="clear" w:pos="397"/>
          <w:tab w:val="clear" w:pos="794"/>
          <w:tab w:val="clear" w:pos="1191"/>
          <w:tab w:val="clear" w:pos="1588"/>
          <w:tab w:val="clear" w:pos="1985"/>
          <w:tab w:val="clear" w:pos="2382"/>
          <w:tab w:val="clear" w:pos="2779"/>
          <w:tab w:val="clear" w:pos="3176"/>
          <w:tab w:val="clear" w:pos="3573"/>
          <w:tab w:val="clear" w:pos="3970"/>
          <w:tab w:val="clear" w:pos="4367"/>
          <w:tab w:val="clear" w:pos="4764"/>
          <w:tab w:val="clear" w:pos="5161"/>
          <w:tab w:val="clear" w:pos="5558"/>
          <w:tab w:val="clear" w:pos="5955"/>
          <w:tab w:val="clear" w:pos="6352"/>
          <w:tab w:val="clear" w:pos="6749"/>
          <w:tab w:val="clear" w:pos="7146"/>
          <w:tab w:val="clear" w:pos="7543"/>
          <w:tab w:val="clear" w:pos="7940"/>
          <w:tab w:val="clear" w:pos="8337"/>
          <w:tab w:val="clear" w:pos="8734"/>
          <w:tab w:val="clear" w:pos="9131"/>
          <w:tab w:val="clear" w:pos="9528"/>
        </w:tabs>
      </w:pPr>
      <w:r w:rsidRPr="00D354AB">
        <w:t>El Emisor y los Colocadores se proponen realizar sus actividades de colocación de las Obligaciones Negociables en Argentina en el marco de la Ley de Mercado de Capitales, las Normas de la CNV y las normas aplicables del BCRA. Los Colocadores realizarán sus mejores esfuerzos para colocar las Obligaciones Negociables, los cuales podrán incluir, entre otros, algunos de los siguientes actos: (i) contactos personales con potenciales inversores; (ii) envío de correos electrónicos a potenciales inversores con material de difusión, de ser el caso; (iii) publicaciones y avisos en medios de difusión de reconocido prestigio; (iv) conferencias telefónicas con potenciales inversores; (v) distribución física y/o electrónica de material de difusión, incluyendo el presente Suplemento de Pr</w:t>
      </w:r>
      <w:r w:rsidR="00670AF6" w:rsidRPr="00D354AB">
        <w:t>ospecto</w:t>
      </w:r>
      <w:r w:rsidRPr="00D354AB">
        <w:t xml:space="preserve"> y Prospecto (a aquellos inversores que lo soliciten) e información contenida en dichos documentos; y (vi) reuniones informativas colectivas (“</w:t>
      </w:r>
      <w:r w:rsidRPr="00D354AB">
        <w:rPr>
          <w:i/>
          <w:iCs/>
        </w:rPr>
        <w:t>road shows</w:t>
      </w:r>
      <w:r w:rsidRPr="00D354AB">
        <w:t>”) y/o individuales (“</w:t>
      </w:r>
      <w:r w:rsidRPr="00D354AB">
        <w:rPr>
          <w:i/>
          <w:iCs/>
        </w:rPr>
        <w:t>one on one</w:t>
      </w:r>
      <w:r w:rsidRPr="00D354AB">
        <w:t xml:space="preserve">”) con potenciales inversores, todo lo cual se realizará de conformidad con la normativa vigente y conforme con lo dispuesto en el presente. </w:t>
      </w:r>
    </w:p>
    <w:p w14:paraId="24206853" w14:textId="77777777" w:rsidR="00FF0D9A" w:rsidRPr="00D354AB" w:rsidRDefault="00FF0D9A" w:rsidP="00FF0D9A">
      <w:pPr>
        <w:pStyle w:val="Sangradetextonormal"/>
        <w:widowControl w:val="0"/>
        <w:tabs>
          <w:tab w:val="clear" w:pos="397"/>
          <w:tab w:val="clear" w:pos="794"/>
          <w:tab w:val="clear" w:pos="1191"/>
          <w:tab w:val="clear" w:pos="1588"/>
          <w:tab w:val="clear" w:pos="1985"/>
          <w:tab w:val="clear" w:pos="2382"/>
          <w:tab w:val="clear" w:pos="2779"/>
          <w:tab w:val="clear" w:pos="3176"/>
          <w:tab w:val="clear" w:pos="3573"/>
          <w:tab w:val="clear" w:pos="3970"/>
          <w:tab w:val="clear" w:pos="4367"/>
          <w:tab w:val="clear" w:pos="4764"/>
          <w:tab w:val="clear" w:pos="5161"/>
          <w:tab w:val="clear" w:pos="5558"/>
          <w:tab w:val="clear" w:pos="5955"/>
          <w:tab w:val="clear" w:pos="6352"/>
          <w:tab w:val="clear" w:pos="6749"/>
          <w:tab w:val="clear" w:pos="7146"/>
          <w:tab w:val="clear" w:pos="7543"/>
          <w:tab w:val="clear" w:pos="7940"/>
          <w:tab w:val="clear" w:pos="8337"/>
          <w:tab w:val="clear" w:pos="8734"/>
          <w:tab w:val="clear" w:pos="9131"/>
          <w:tab w:val="clear" w:pos="9528"/>
        </w:tabs>
        <w:jc w:val="left"/>
        <w:rPr>
          <w:rFonts w:ascii="Times New Roman" w:hAnsi="Times New Roman"/>
          <w:lang w:val="es-AR"/>
        </w:rPr>
      </w:pPr>
    </w:p>
    <w:p w14:paraId="0A4EEC02" w14:textId="3B4319EF" w:rsidR="00FF0D9A" w:rsidRPr="00D354AB" w:rsidRDefault="00FF0D9A" w:rsidP="00FF0D9A">
      <w:pPr>
        <w:widowControl w:val="0"/>
        <w:jc w:val="both"/>
        <w:rPr>
          <w:smallCaps/>
          <w:sz w:val="20"/>
          <w:szCs w:val="20"/>
          <w:lang w:val="es-AR"/>
        </w:rPr>
      </w:pPr>
      <w:r w:rsidRPr="00D354AB">
        <w:rPr>
          <w:b/>
          <w:smallCaps/>
          <w:sz w:val="20"/>
          <w:szCs w:val="20"/>
          <w:lang w:val="es-AR"/>
        </w:rPr>
        <w:t>Los inversores interesados en obtener una copia del Prospecto, del presente Suplemento de Pr</w:t>
      </w:r>
      <w:r w:rsidR="00670AF6" w:rsidRPr="00D354AB">
        <w:rPr>
          <w:b/>
          <w:smallCaps/>
          <w:sz w:val="20"/>
          <w:szCs w:val="20"/>
          <w:lang w:val="es-AR"/>
        </w:rPr>
        <w:t>ospecto</w:t>
      </w:r>
      <w:r w:rsidRPr="00D354AB">
        <w:rPr>
          <w:b/>
          <w:smallCaps/>
          <w:sz w:val="20"/>
          <w:szCs w:val="20"/>
          <w:lang w:val="es-AR"/>
        </w:rPr>
        <w:t xml:space="preserve">, y de los estados contables de la Compañía, podrán retirarla en las oficinas de Banco Galicia, sitas en la calle Tte. Gral. Juan D. Perón 407/430 Piso 21 (C1038AAI), de la Ciudad Autónoma de Buenos Aires, y en las oficinas de </w:t>
      </w:r>
      <w:r w:rsidR="007F6C56">
        <w:rPr>
          <w:b/>
          <w:smallCaps/>
          <w:sz w:val="20"/>
          <w:szCs w:val="20"/>
          <w:lang w:val="es-AR"/>
        </w:rPr>
        <w:t>BBVA</w:t>
      </w:r>
      <w:r w:rsidRPr="00D354AB">
        <w:rPr>
          <w:b/>
          <w:smallCaps/>
          <w:sz w:val="20"/>
          <w:szCs w:val="20"/>
          <w:lang w:val="es-AR"/>
        </w:rPr>
        <w:t xml:space="preserve">, sitas en </w:t>
      </w:r>
      <w:r w:rsidRPr="00D354AB">
        <w:rPr>
          <w:b/>
          <w:smallCaps/>
          <w:sz w:val="20"/>
          <w:szCs w:val="20"/>
          <w:lang w:val="es-ES"/>
        </w:rPr>
        <w:t>Av. Córdoba 111, Piso 26° (C1054AAA)</w:t>
      </w:r>
      <w:r w:rsidRPr="00D354AB">
        <w:rPr>
          <w:b/>
          <w:smallCaps/>
          <w:sz w:val="20"/>
          <w:szCs w:val="20"/>
          <w:lang w:val="es-AR"/>
        </w:rPr>
        <w:t>, Ciudad autónoma de buenos Aires, así como también en la sede social del Emisor sita en Carlos María Della Paolera 297, Piso 25º (C1001ADA), De la ciudad autónoma de buenos aires o en su sede administrativa, sita en la Avenida Francisco Eduardo Madero 942 9° Piso (C1106ACW), de la Ciudad Autónoma de Buenos Aires. Asimismo, el Prospecto, el Suplemento de P</w:t>
      </w:r>
      <w:r w:rsidR="00670AF6" w:rsidRPr="00D354AB">
        <w:rPr>
          <w:b/>
          <w:smallCaps/>
          <w:sz w:val="20"/>
          <w:szCs w:val="20"/>
          <w:lang w:val="es-AR"/>
        </w:rPr>
        <w:t>rospecto</w:t>
      </w:r>
      <w:r w:rsidRPr="00D354AB">
        <w:rPr>
          <w:b/>
          <w:smallCaps/>
          <w:sz w:val="20"/>
          <w:szCs w:val="20"/>
          <w:lang w:val="es-AR"/>
        </w:rPr>
        <w:t>, y los estados contables de la Compañía se encuentran publicados en la Página Web de la CNV, bajo el ítem “</w:t>
      </w:r>
      <w:r w:rsidRPr="00D354AB">
        <w:rPr>
          <w:b/>
          <w:i/>
          <w:smallCaps/>
          <w:sz w:val="20"/>
          <w:szCs w:val="20"/>
          <w:lang w:val="es-AR"/>
        </w:rPr>
        <w:t>Información Financiera</w:t>
      </w:r>
      <w:r w:rsidRPr="00D354AB">
        <w:rPr>
          <w:b/>
          <w:smallCaps/>
          <w:sz w:val="20"/>
          <w:szCs w:val="20"/>
          <w:lang w:val="es-AR"/>
        </w:rPr>
        <w:t>”.</w:t>
      </w:r>
    </w:p>
    <w:p w14:paraId="10C0B084" w14:textId="77777777" w:rsidR="00FF0D9A" w:rsidRPr="00D354AB" w:rsidRDefault="00FF0D9A" w:rsidP="00FF0D9A">
      <w:pPr>
        <w:pStyle w:val="Sangradetextonormal"/>
        <w:widowControl w:val="0"/>
        <w:tabs>
          <w:tab w:val="clear" w:pos="397"/>
          <w:tab w:val="clear" w:pos="794"/>
          <w:tab w:val="clear" w:pos="1191"/>
          <w:tab w:val="clear" w:pos="1588"/>
          <w:tab w:val="clear" w:pos="1985"/>
          <w:tab w:val="clear" w:pos="2382"/>
          <w:tab w:val="clear" w:pos="2779"/>
          <w:tab w:val="clear" w:pos="3176"/>
          <w:tab w:val="clear" w:pos="3573"/>
          <w:tab w:val="clear" w:pos="3970"/>
          <w:tab w:val="clear" w:pos="4367"/>
          <w:tab w:val="clear" w:pos="4764"/>
          <w:tab w:val="clear" w:pos="5161"/>
          <w:tab w:val="clear" w:pos="5558"/>
          <w:tab w:val="clear" w:pos="5955"/>
          <w:tab w:val="clear" w:pos="6352"/>
          <w:tab w:val="clear" w:pos="6749"/>
          <w:tab w:val="clear" w:pos="7146"/>
          <w:tab w:val="clear" w:pos="7543"/>
          <w:tab w:val="clear" w:pos="7940"/>
          <w:tab w:val="clear" w:pos="8337"/>
          <w:tab w:val="clear" w:pos="8734"/>
          <w:tab w:val="clear" w:pos="9131"/>
          <w:tab w:val="clear" w:pos="9528"/>
        </w:tabs>
        <w:jc w:val="left"/>
        <w:rPr>
          <w:rFonts w:ascii="Times New Roman" w:hAnsi="Times New Roman"/>
          <w:lang w:val="es-AR"/>
        </w:rPr>
      </w:pPr>
    </w:p>
    <w:p w14:paraId="4B407CBD" w14:textId="77777777" w:rsidR="00FF0D9A" w:rsidRPr="00D354AB" w:rsidRDefault="00FF0D9A" w:rsidP="00FF0D9A">
      <w:pPr>
        <w:pStyle w:val="Sangradetextonormal"/>
        <w:widowControl w:val="0"/>
        <w:tabs>
          <w:tab w:val="clear" w:pos="397"/>
          <w:tab w:val="clear" w:pos="794"/>
          <w:tab w:val="clear" w:pos="1191"/>
          <w:tab w:val="clear" w:pos="1588"/>
          <w:tab w:val="clear" w:pos="1985"/>
          <w:tab w:val="clear" w:pos="2382"/>
          <w:tab w:val="clear" w:pos="2779"/>
          <w:tab w:val="clear" w:pos="3176"/>
          <w:tab w:val="clear" w:pos="3573"/>
          <w:tab w:val="clear" w:pos="3970"/>
          <w:tab w:val="clear" w:pos="4367"/>
          <w:tab w:val="clear" w:pos="4764"/>
          <w:tab w:val="clear" w:pos="5161"/>
          <w:tab w:val="clear" w:pos="5558"/>
          <w:tab w:val="clear" w:pos="5955"/>
          <w:tab w:val="clear" w:pos="6352"/>
          <w:tab w:val="clear" w:pos="6749"/>
          <w:tab w:val="clear" w:pos="7146"/>
          <w:tab w:val="clear" w:pos="7543"/>
          <w:tab w:val="clear" w:pos="7940"/>
          <w:tab w:val="clear" w:pos="8337"/>
          <w:tab w:val="clear" w:pos="8734"/>
          <w:tab w:val="clear" w:pos="9131"/>
          <w:tab w:val="clear" w:pos="9528"/>
        </w:tabs>
        <w:jc w:val="left"/>
        <w:rPr>
          <w:rFonts w:ascii="Times New Roman" w:hAnsi="Times New Roman"/>
          <w:i/>
          <w:iCs/>
          <w:lang w:val="es-AR"/>
        </w:rPr>
      </w:pPr>
      <w:r w:rsidRPr="00D354AB">
        <w:rPr>
          <w:rFonts w:ascii="Times New Roman" w:hAnsi="Times New Roman"/>
          <w:i/>
          <w:iCs/>
          <w:lang w:val="es-AR"/>
        </w:rPr>
        <w:t>Restricciones a la Venta</w:t>
      </w:r>
    </w:p>
    <w:p w14:paraId="03FE2EC3" w14:textId="77777777" w:rsidR="00FF0D9A" w:rsidRPr="00D354AB" w:rsidRDefault="00FF0D9A" w:rsidP="00FF0D9A">
      <w:pPr>
        <w:pStyle w:val="Sangradetextonormal"/>
        <w:widowControl w:val="0"/>
        <w:tabs>
          <w:tab w:val="clear" w:pos="397"/>
          <w:tab w:val="clear" w:pos="794"/>
          <w:tab w:val="clear" w:pos="1191"/>
          <w:tab w:val="clear" w:pos="1588"/>
          <w:tab w:val="clear" w:pos="1985"/>
          <w:tab w:val="clear" w:pos="2382"/>
          <w:tab w:val="clear" w:pos="2779"/>
          <w:tab w:val="clear" w:pos="3176"/>
          <w:tab w:val="clear" w:pos="3573"/>
          <w:tab w:val="clear" w:pos="3970"/>
          <w:tab w:val="clear" w:pos="4367"/>
          <w:tab w:val="clear" w:pos="4764"/>
          <w:tab w:val="clear" w:pos="5161"/>
          <w:tab w:val="clear" w:pos="5558"/>
          <w:tab w:val="clear" w:pos="5955"/>
          <w:tab w:val="clear" w:pos="6352"/>
          <w:tab w:val="clear" w:pos="6749"/>
          <w:tab w:val="clear" w:pos="7146"/>
          <w:tab w:val="clear" w:pos="7543"/>
          <w:tab w:val="clear" w:pos="7940"/>
          <w:tab w:val="clear" w:pos="8337"/>
          <w:tab w:val="clear" w:pos="8734"/>
          <w:tab w:val="clear" w:pos="9131"/>
          <w:tab w:val="clear" w:pos="9528"/>
        </w:tabs>
        <w:jc w:val="left"/>
        <w:rPr>
          <w:rFonts w:ascii="Times New Roman" w:hAnsi="Times New Roman"/>
          <w:i/>
          <w:iCs/>
          <w:lang w:val="es-AR"/>
        </w:rPr>
      </w:pPr>
    </w:p>
    <w:p w14:paraId="4954A8FC" w14:textId="0C2399CD" w:rsidR="00FF0D9A" w:rsidRPr="00D354AB" w:rsidRDefault="00FF0D9A" w:rsidP="00FF0D9A">
      <w:pPr>
        <w:widowControl w:val="0"/>
        <w:jc w:val="both"/>
        <w:rPr>
          <w:sz w:val="20"/>
          <w:szCs w:val="20"/>
          <w:lang w:val="es-AR" w:eastAsia="es-ES"/>
        </w:rPr>
      </w:pPr>
      <w:r w:rsidRPr="00D354AB">
        <w:rPr>
          <w:sz w:val="20"/>
          <w:szCs w:val="20"/>
          <w:lang w:val="es-AR" w:eastAsia="es-ES"/>
        </w:rPr>
        <w:t>Las Obligaciones Negociables serán ofrecidas y colocadas por los Colocadores y Agentes de MAE a inversores en Argentina de acuerdo con lo establecido en la Ley de Mercado de Capitales, en las Normas de la CNV y demás normativa aplicable, mediante el Prospecto y el Suplemento de Pro</w:t>
      </w:r>
      <w:r w:rsidR="00670AF6" w:rsidRPr="00D354AB">
        <w:rPr>
          <w:sz w:val="20"/>
          <w:szCs w:val="20"/>
          <w:lang w:val="es-AR" w:eastAsia="es-ES"/>
        </w:rPr>
        <w:t>specto</w:t>
      </w:r>
      <w:r w:rsidRPr="00D354AB">
        <w:rPr>
          <w:sz w:val="20"/>
          <w:szCs w:val="20"/>
          <w:lang w:val="es-AR" w:eastAsia="es-ES"/>
        </w:rPr>
        <w:t>. Las Obligaciones Negociables no han sido registradas bajo la Ley de Títulos Valores de los Estados Unidos de América, ni según las leyes de títulos valores vigentes en los estados de dicho país, ni podrán ser ofrecidas, vendidas, entregadas, garantizadas o de otra forma transferidas en los Estados Unidos de América o a personas estadounidenses, a menos que las Obligaciones Negociables sean registradas bajo la Ley de Títulos Valores de Estados Unidos de América o pueda efectuarse la oferta o venta bajo una excepción de registración de la Ley de Títulos Valores de los Estados Unidos de América. Para mayor información, véase “</w:t>
      </w:r>
      <w:r w:rsidR="001D1A5E" w:rsidRPr="00D354AB">
        <w:rPr>
          <w:i/>
          <w:sz w:val="20"/>
          <w:szCs w:val="20"/>
          <w:lang w:val="es-AR" w:eastAsia="es-ES"/>
        </w:rPr>
        <w:t>Información Adicional-c) Controles de cambio</w:t>
      </w:r>
      <w:r w:rsidRPr="00D354AB">
        <w:rPr>
          <w:sz w:val="20"/>
          <w:szCs w:val="20"/>
          <w:lang w:val="es-AR" w:eastAsia="es-ES"/>
        </w:rPr>
        <w:t>” del Prospecto.</w:t>
      </w:r>
    </w:p>
    <w:p w14:paraId="4FE3A396" w14:textId="77777777" w:rsidR="00FF0D9A" w:rsidRPr="00D354AB" w:rsidRDefault="00FF0D9A" w:rsidP="00FF0D9A">
      <w:pPr>
        <w:widowControl w:val="0"/>
        <w:jc w:val="both"/>
        <w:rPr>
          <w:sz w:val="20"/>
          <w:szCs w:val="20"/>
          <w:lang w:val="es-AR" w:eastAsia="es-ES"/>
        </w:rPr>
      </w:pPr>
    </w:p>
    <w:p w14:paraId="6B079BBD" w14:textId="77777777" w:rsidR="00FF0D9A" w:rsidRPr="00D354AB" w:rsidRDefault="00FF0D9A" w:rsidP="00FF0D9A">
      <w:pPr>
        <w:jc w:val="both"/>
        <w:rPr>
          <w:i/>
          <w:iCs/>
          <w:sz w:val="20"/>
          <w:szCs w:val="20"/>
          <w:lang w:val="es-AR"/>
        </w:rPr>
      </w:pPr>
      <w:r w:rsidRPr="00D354AB">
        <w:rPr>
          <w:rStyle w:val="DeltaViewDeletion"/>
          <w:i/>
          <w:iCs/>
          <w:strike w:val="0"/>
          <w:color w:val="auto"/>
          <w:sz w:val="20"/>
          <w:szCs w:val="20"/>
          <w:lang w:val="es-AR"/>
        </w:rPr>
        <w:t xml:space="preserve">Declaraciones y garantías de los adquirentes de las Obligaciones Negociables </w:t>
      </w:r>
    </w:p>
    <w:p w14:paraId="1DEE913B" w14:textId="77777777" w:rsidR="00FF0D9A" w:rsidRPr="00D354AB" w:rsidRDefault="00FF0D9A" w:rsidP="00FF0D9A">
      <w:pPr>
        <w:jc w:val="both"/>
        <w:rPr>
          <w:sz w:val="20"/>
          <w:szCs w:val="20"/>
          <w:lang w:val="es-AR"/>
        </w:rPr>
      </w:pPr>
    </w:p>
    <w:p w14:paraId="644649BE" w14:textId="77777777" w:rsidR="00FF0D9A" w:rsidRPr="00D354AB" w:rsidRDefault="00FF0D9A" w:rsidP="00FF0D9A">
      <w:pPr>
        <w:jc w:val="both"/>
        <w:rPr>
          <w:sz w:val="20"/>
          <w:szCs w:val="20"/>
          <w:lang w:val="es-AR"/>
        </w:rPr>
      </w:pPr>
      <w:r w:rsidRPr="00D354AB">
        <w:rPr>
          <w:rStyle w:val="DeltaViewDeletion"/>
          <w:strike w:val="0"/>
          <w:color w:val="auto"/>
          <w:sz w:val="20"/>
          <w:szCs w:val="20"/>
          <w:lang w:val="es-AR"/>
        </w:rPr>
        <w:t>La presentación de cualquier Orden o la adquisición posterior de las Obligaciones Negociables implicará, según fuera aplicable, las declaraciones y garantías al Emisor y a los Colocadores, por parte de cada Inversor, sus cesionarios por cualquier causa o título, y de los Agentes del MAE que presenten Órdenes, de que:</w:t>
      </w:r>
    </w:p>
    <w:p w14:paraId="7787D889" w14:textId="77777777" w:rsidR="00FF0D9A" w:rsidRPr="00D354AB" w:rsidRDefault="00FF0D9A" w:rsidP="00FF0D9A">
      <w:pPr>
        <w:jc w:val="both"/>
        <w:rPr>
          <w:sz w:val="20"/>
          <w:szCs w:val="20"/>
          <w:lang w:val="es-AR"/>
        </w:rPr>
      </w:pPr>
    </w:p>
    <w:p w14:paraId="318AE9CB" w14:textId="77777777" w:rsidR="00FF0D9A" w:rsidRPr="00D354AB" w:rsidRDefault="00FF0D9A" w:rsidP="00FF0D9A">
      <w:pPr>
        <w:ind w:left="720" w:hanging="360"/>
        <w:jc w:val="both"/>
        <w:rPr>
          <w:sz w:val="20"/>
          <w:szCs w:val="20"/>
          <w:lang w:val="es-AR"/>
        </w:rPr>
      </w:pPr>
      <w:r w:rsidRPr="00D354AB">
        <w:rPr>
          <w:rStyle w:val="DeltaViewDeletion"/>
          <w:strike w:val="0"/>
          <w:color w:val="auto"/>
          <w:sz w:val="20"/>
          <w:szCs w:val="20"/>
          <w:lang w:val="es-ES"/>
        </w:rPr>
        <w:t>(a)</w:t>
      </w:r>
      <w:r w:rsidRPr="00D354AB">
        <w:rPr>
          <w:rStyle w:val="DeltaViewDeletion"/>
          <w:strike w:val="0"/>
          <w:color w:val="auto"/>
          <w:sz w:val="20"/>
          <w:szCs w:val="20"/>
          <w:lang w:val="es-ES"/>
        </w:rPr>
        <w:tab/>
      </w:r>
      <w:r w:rsidRPr="00D354AB">
        <w:rPr>
          <w:rStyle w:val="DeltaViewDeletion"/>
          <w:strike w:val="0"/>
          <w:color w:val="auto"/>
          <w:sz w:val="20"/>
          <w:szCs w:val="20"/>
          <w:lang w:val="es-AR"/>
        </w:rPr>
        <w:t>está en posición de soportar los riesgos económicos de la inversión en las Obligaciones Negociables;</w:t>
      </w:r>
    </w:p>
    <w:p w14:paraId="3937EB7C" w14:textId="77777777" w:rsidR="00FF0D9A" w:rsidRPr="00D354AB" w:rsidRDefault="00FF0D9A" w:rsidP="00FF0D9A">
      <w:pPr>
        <w:jc w:val="both"/>
        <w:rPr>
          <w:sz w:val="20"/>
          <w:szCs w:val="20"/>
          <w:lang w:val="es-AR"/>
        </w:rPr>
      </w:pPr>
    </w:p>
    <w:p w14:paraId="3151CC9D" w14:textId="6610CC4A" w:rsidR="00FF0D9A" w:rsidRPr="00D354AB" w:rsidRDefault="00FF0D9A" w:rsidP="00FF0D9A">
      <w:pPr>
        <w:ind w:left="720" w:hanging="360"/>
        <w:jc w:val="both"/>
        <w:rPr>
          <w:sz w:val="20"/>
          <w:szCs w:val="20"/>
          <w:lang w:val="es-AR"/>
        </w:rPr>
      </w:pPr>
      <w:r w:rsidRPr="00D354AB">
        <w:rPr>
          <w:rStyle w:val="DeltaViewDeletion"/>
          <w:strike w:val="0"/>
          <w:color w:val="auto"/>
          <w:sz w:val="20"/>
          <w:szCs w:val="20"/>
          <w:lang w:val="es-ES"/>
        </w:rPr>
        <w:t>(b)</w:t>
      </w:r>
      <w:r w:rsidRPr="00D354AB">
        <w:rPr>
          <w:rStyle w:val="DeltaViewDeletion"/>
          <w:strike w:val="0"/>
          <w:color w:val="auto"/>
          <w:sz w:val="20"/>
          <w:szCs w:val="20"/>
          <w:lang w:val="es-ES"/>
        </w:rPr>
        <w:tab/>
      </w:r>
      <w:r w:rsidRPr="00D354AB">
        <w:rPr>
          <w:rStyle w:val="DeltaViewDeletion"/>
          <w:strike w:val="0"/>
          <w:color w:val="auto"/>
          <w:sz w:val="20"/>
          <w:szCs w:val="20"/>
          <w:lang w:val="es-AR"/>
        </w:rPr>
        <w:t xml:space="preserve">ha recibido copia de, y ha revisado y analizado la totalidad de la información contenida en, el Prospecto (incluyendo los estados financieros adjuntos al mismo), </w:t>
      </w:r>
      <w:r w:rsidR="00C75ACC" w:rsidRPr="00D354AB">
        <w:rPr>
          <w:rStyle w:val="DeltaViewDeletion"/>
          <w:strike w:val="0"/>
          <w:color w:val="auto"/>
          <w:sz w:val="20"/>
          <w:szCs w:val="20"/>
          <w:lang w:val="es-AR"/>
        </w:rPr>
        <w:t xml:space="preserve">en </w:t>
      </w:r>
      <w:r w:rsidRPr="00D354AB">
        <w:rPr>
          <w:rStyle w:val="DeltaViewDeletion"/>
          <w:strike w:val="0"/>
          <w:color w:val="auto"/>
          <w:sz w:val="20"/>
          <w:szCs w:val="20"/>
          <w:lang w:val="es-AR"/>
        </w:rPr>
        <w:t>este Suplemento de Pr</w:t>
      </w:r>
      <w:r w:rsidR="00670AF6" w:rsidRPr="00D354AB">
        <w:rPr>
          <w:rStyle w:val="DeltaViewDeletion"/>
          <w:strike w:val="0"/>
          <w:color w:val="auto"/>
          <w:sz w:val="20"/>
          <w:szCs w:val="20"/>
          <w:lang w:val="es-AR"/>
        </w:rPr>
        <w:t>ospecto</w:t>
      </w:r>
      <w:r w:rsidRPr="00D354AB">
        <w:rPr>
          <w:rStyle w:val="DeltaViewDeletion"/>
          <w:strike w:val="0"/>
          <w:color w:val="auto"/>
          <w:sz w:val="20"/>
          <w:szCs w:val="20"/>
          <w:lang w:val="es-AR"/>
        </w:rPr>
        <w:t xml:space="preserve"> y </w:t>
      </w:r>
      <w:r w:rsidR="00C75ACC" w:rsidRPr="00D354AB">
        <w:rPr>
          <w:rStyle w:val="DeltaViewDeletion"/>
          <w:strike w:val="0"/>
          <w:color w:val="auto"/>
          <w:sz w:val="20"/>
          <w:szCs w:val="20"/>
          <w:lang w:val="es-AR"/>
        </w:rPr>
        <w:t xml:space="preserve">en </w:t>
      </w:r>
      <w:r w:rsidRPr="00D354AB">
        <w:rPr>
          <w:rStyle w:val="DeltaViewDeletion"/>
          <w:strike w:val="0"/>
          <w:color w:val="auto"/>
          <w:sz w:val="20"/>
          <w:szCs w:val="20"/>
          <w:lang w:val="es-AR"/>
        </w:rPr>
        <w:t>todo otro documento relacionado con la emisión de las Obligaciones Negociables, incluyendo, sin limitación, el aviso de suscripción y la calificación de riesgo, y ha analizado las operaciones, la situación y las perspectivas del Emisor, todo ello en la medida necesaria para tomar por sí mismo y de manera independiente su decisión de comprar las Obligaciones Negociables, y compra las Obligaciones Negociables basándose solamente en su propia revisión y análisis;</w:t>
      </w:r>
    </w:p>
    <w:p w14:paraId="2A237156" w14:textId="77777777" w:rsidR="00FF0D9A" w:rsidRPr="00D354AB" w:rsidRDefault="00FF0D9A" w:rsidP="00FF0D9A">
      <w:pPr>
        <w:jc w:val="both"/>
        <w:rPr>
          <w:sz w:val="20"/>
          <w:szCs w:val="20"/>
          <w:lang w:val="es-AR"/>
        </w:rPr>
      </w:pPr>
    </w:p>
    <w:p w14:paraId="2CBFC2F7" w14:textId="77777777" w:rsidR="00FF0D9A" w:rsidRPr="00D354AB" w:rsidRDefault="00FF0D9A" w:rsidP="00FF0D9A">
      <w:pPr>
        <w:ind w:left="720" w:hanging="360"/>
        <w:jc w:val="both"/>
        <w:rPr>
          <w:sz w:val="20"/>
          <w:szCs w:val="20"/>
          <w:lang w:val="es-AR"/>
        </w:rPr>
      </w:pPr>
      <w:r w:rsidRPr="00D354AB">
        <w:rPr>
          <w:rStyle w:val="DeltaViewDeletion"/>
          <w:strike w:val="0"/>
          <w:color w:val="auto"/>
          <w:sz w:val="20"/>
          <w:szCs w:val="20"/>
          <w:lang w:val="es-ES"/>
        </w:rPr>
        <w:t>(c)</w:t>
      </w:r>
      <w:r w:rsidRPr="00D354AB">
        <w:rPr>
          <w:rStyle w:val="DeltaViewDeletion"/>
          <w:strike w:val="0"/>
          <w:color w:val="auto"/>
          <w:sz w:val="20"/>
          <w:szCs w:val="20"/>
          <w:lang w:val="es-ES"/>
        </w:rPr>
        <w:tab/>
      </w:r>
      <w:r w:rsidRPr="00D354AB">
        <w:rPr>
          <w:rStyle w:val="DeltaViewDeletion"/>
          <w:strike w:val="0"/>
          <w:color w:val="auto"/>
          <w:sz w:val="20"/>
          <w:szCs w:val="20"/>
          <w:lang w:val="es-AR"/>
        </w:rPr>
        <w:t>no ha recibido ningún tipo de asesoramiento legal, comercial, financiero, cambiario, impositivo y/o de otro tipo por parte del Emisor ni de los Colocadores y/o de cualquiera de sus empleados, agentes, directores y/o gerentes, y/o de cualquiera de sus sociedades controlantes, controladas, vinculadas o sujetas al control común (o de sus empleados, agentes, directores y/o gerentes);</w:t>
      </w:r>
    </w:p>
    <w:p w14:paraId="53A74596" w14:textId="77777777" w:rsidR="00FF0D9A" w:rsidRPr="00D354AB" w:rsidRDefault="00FF0D9A" w:rsidP="00FF0D9A">
      <w:pPr>
        <w:jc w:val="both"/>
        <w:rPr>
          <w:sz w:val="20"/>
          <w:szCs w:val="20"/>
          <w:lang w:val="es-AR"/>
        </w:rPr>
      </w:pPr>
    </w:p>
    <w:p w14:paraId="53256CC0" w14:textId="6211E3D6" w:rsidR="00FF0D9A" w:rsidRPr="00D354AB" w:rsidRDefault="00FF0D9A" w:rsidP="00FF0D9A">
      <w:pPr>
        <w:ind w:left="720" w:hanging="360"/>
        <w:jc w:val="both"/>
        <w:rPr>
          <w:sz w:val="20"/>
          <w:szCs w:val="20"/>
          <w:lang w:val="es-AR"/>
        </w:rPr>
      </w:pPr>
      <w:r w:rsidRPr="00D354AB">
        <w:rPr>
          <w:rStyle w:val="DeltaViewDeletion"/>
          <w:strike w:val="0"/>
          <w:color w:val="auto"/>
          <w:sz w:val="20"/>
          <w:szCs w:val="20"/>
          <w:lang w:val="es-ES"/>
        </w:rPr>
        <w:t>(d)</w:t>
      </w:r>
      <w:r w:rsidRPr="00D354AB">
        <w:rPr>
          <w:rStyle w:val="DeltaViewDeletion"/>
          <w:strike w:val="0"/>
          <w:color w:val="auto"/>
          <w:sz w:val="20"/>
          <w:szCs w:val="20"/>
          <w:lang w:val="es-ES"/>
        </w:rPr>
        <w:tab/>
      </w:r>
      <w:r w:rsidRPr="00D354AB">
        <w:rPr>
          <w:rStyle w:val="DeltaViewDeletion"/>
          <w:strike w:val="0"/>
          <w:color w:val="auto"/>
          <w:sz w:val="20"/>
          <w:szCs w:val="20"/>
          <w:lang w:val="es-AR"/>
        </w:rPr>
        <w:t>no ha recibido del Emisor ni de los Colocadores, información o declaraciones que sean inconsistentes, o difieran, de la información o de las declaraciones contenidas en el Prospecto (incluyendo los estados financieros adjuntos al mismo), este Suplemento de P</w:t>
      </w:r>
      <w:r w:rsidR="00670AF6" w:rsidRPr="00D354AB">
        <w:rPr>
          <w:rStyle w:val="DeltaViewDeletion"/>
          <w:strike w:val="0"/>
          <w:color w:val="auto"/>
          <w:sz w:val="20"/>
          <w:szCs w:val="20"/>
          <w:lang w:val="es-AR"/>
        </w:rPr>
        <w:t>r</w:t>
      </w:r>
      <w:r w:rsidRPr="00D354AB">
        <w:rPr>
          <w:rStyle w:val="DeltaViewDeletion"/>
          <w:strike w:val="0"/>
          <w:color w:val="auto"/>
          <w:sz w:val="20"/>
          <w:szCs w:val="20"/>
          <w:lang w:val="es-AR"/>
        </w:rPr>
        <w:t>o</w:t>
      </w:r>
      <w:r w:rsidR="00670AF6" w:rsidRPr="00D354AB">
        <w:rPr>
          <w:rStyle w:val="DeltaViewDeletion"/>
          <w:strike w:val="0"/>
          <w:color w:val="auto"/>
          <w:sz w:val="20"/>
          <w:szCs w:val="20"/>
          <w:lang w:val="es-AR"/>
        </w:rPr>
        <w:t>specto</w:t>
      </w:r>
      <w:r w:rsidRPr="00D354AB">
        <w:rPr>
          <w:rStyle w:val="DeltaViewDeletion"/>
          <w:strike w:val="0"/>
          <w:color w:val="auto"/>
          <w:sz w:val="20"/>
          <w:szCs w:val="20"/>
          <w:lang w:val="es-AR"/>
        </w:rPr>
        <w:t xml:space="preserve"> y todo otro documento relacionado con la emisión de las Obligaciones Negociables;</w:t>
      </w:r>
    </w:p>
    <w:p w14:paraId="5DC9D2BF" w14:textId="77777777" w:rsidR="00FF0D9A" w:rsidRPr="00D354AB" w:rsidRDefault="00FF0D9A" w:rsidP="00FF0D9A">
      <w:pPr>
        <w:jc w:val="both"/>
        <w:rPr>
          <w:sz w:val="20"/>
          <w:szCs w:val="20"/>
          <w:lang w:val="es-AR"/>
        </w:rPr>
      </w:pPr>
    </w:p>
    <w:p w14:paraId="22A6D0CA" w14:textId="635E7756" w:rsidR="00FF0D9A" w:rsidRPr="00D354AB" w:rsidRDefault="00FF0D9A" w:rsidP="00FF0D9A">
      <w:pPr>
        <w:ind w:left="720" w:hanging="360"/>
        <w:jc w:val="both"/>
        <w:rPr>
          <w:sz w:val="20"/>
          <w:szCs w:val="20"/>
          <w:lang w:val="es-AR"/>
        </w:rPr>
      </w:pPr>
      <w:r w:rsidRPr="00D354AB">
        <w:rPr>
          <w:rStyle w:val="DeltaViewDeletion"/>
          <w:strike w:val="0"/>
          <w:color w:val="auto"/>
          <w:sz w:val="20"/>
          <w:szCs w:val="20"/>
          <w:lang w:val="es-ES"/>
        </w:rPr>
        <w:t>(e)</w:t>
      </w:r>
      <w:r w:rsidRPr="00D354AB">
        <w:rPr>
          <w:rStyle w:val="DeltaViewDeletion"/>
          <w:strike w:val="0"/>
          <w:color w:val="auto"/>
          <w:sz w:val="20"/>
          <w:szCs w:val="20"/>
          <w:lang w:val="es-ES"/>
        </w:rPr>
        <w:tab/>
      </w:r>
      <w:r w:rsidRPr="00D354AB">
        <w:rPr>
          <w:rStyle w:val="DeltaViewDeletion"/>
          <w:strike w:val="0"/>
          <w:color w:val="auto"/>
          <w:sz w:val="20"/>
          <w:szCs w:val="20"/>
          <w:lang w:val="es-AR"/>
        </w:rPr>
        <w:t xml:space="preserve">conoce y acepta los términos descriptos en </w:t>
      </w:r>
      <w:r w:rsidRPr="00D354AB">
        <w:rPr>
          <w:rStyle w:val="DeltaViewDeletion"/>
          <w:i/>
          <w:iCs/>
          <w:strike w:val="0"/>
          <w:color w:val="auto"/>
          <w:sz w:val="20"/>
          <w:szCs w:val="20"/>
          <w:lang w:val="es-AR"/>
        </w:rPr>
        <w:t xml:space="preserve">“plan de distribución” </w:t>
      </w:r>
      <w:r w:rsidRPr="00D354AB">
        <w:rPr>
          <w:rStyle w:val="DeltaViewDeletion"/>
          <w:strike w:val="0"/>
          <w:color w:val="auto"/>
          <w:sz w:val="20"/>
          <w:szCs w:val="20"/>
          <w:lang w:val="es-AR"/>
        </w:rPr>
        <w:t xml:space="preserve">en este Suplemento de </w:t>
      </w:r>
      <w:r w:rsidR="00670AF6" w:rsidRPr="00D354AB">
        <w:rPr>
          <w:rStyle w:val="DeltaViewDeletion"/>
          <w:strike w:val="0"/>
          <w:color w:val="auto"/>
          <w:sz w:val="20"/>
          <w:szCs w:val="20"/>
          <w:lang w:val="es-AR"/>
        </w:rPr>
        <w:t>Pr</w:t>
      </w:r>
      <w:r w:rsidRPr="00D354AB">
        <w:rPr>
          <w:rStyle w:val="DeltaViewDeletion"/>
          <w:strike w:val="0"/>
          <w:color w:val="auto"/>
          <w:sz w:val="20"/>
          <w:szCs w:val="20"/>
          <w:lang w:val="es-AR"/>
        </w:rPr>
        <w:t>o</w:t>
      </w:r>
      <w:r w:rsidR="00670AF6" w:rsidRPr="00D354AB">
        <w:rPr>
          <w:rStyle w:val="DeltaViewDeletion"/>
          <w:strike w:val="0"/>
          <w:color w:val="auto"/>
          <w:sz w:val="20"/>
          <w:szCs w:val="20"/>
          <w:lang w:val="es-AR"/>
        </w:rPr>
        <w:t>specto</w:t>
      </w:r>
      <w:r w:rsidRPr="00D354AB">
        <w:rPr>
          <w:rStyle w:val="DeltaViewDeletion"/>
          <w:strike w:val="0"/>
          <w:color w:val="auto"/>
          <w:sz w:val="20"/>
          <w:szCs w:val="20"/>
          <w:lang w:val="es-AR"/>
        </w:rPr>
        <w:t>. Sin limitar lo expuesto precedentemente, el Inversor conoce y acepta que en los términos indicados en “</w:t>
      </w:r>
      <w:r w:rsidRPr="00D354AB">
        <w:rPr>
          <w:rStyle w:val="DeltaViewDeletion"/>
          <w:i/>
          <w:iCs/>
          <w:strike w:val="0"/>
          <w:color w:val="auto"/>
          <w:sz w:val="20"/>
          <w:szCs w:val="20"/>
          <w:lang w:val="es-AR"/>
        </w:rPr>
        <w:t>plan de distribución</w:t>
      </w:r>
      <w:r w:rsidRPr="00D354AB">
        <w:rPr>
          <w:rStyle w:val="DeltaViewDeletion"/>
          <w:strike w:val="0"/>
          <w:color w:val="auto"/>
          <w:sz w:val="20"/>
          <w:szCs w:val="20"/>
          <w:lang w:val="es-AR"/>
        </w:rPr>
        <w:t>”, sus Órdenes (y las Órdenes que, en virtud de la misma, presente cualquier Colocador y/o Agente del MAE) serán firmes y vinculantes y sin posibilidad de retirarlas y/o revocarlas;</w:t>
      </w:r>
    </w:p>
    <w:p w14:paraId="74A4A255" w14:textId="77777777" w:rsidR="00FF0D9A" w:rsidRPr="00D354AB" w:rsidRDefault="00FF0D9A" w:rsidP="00FF0D9A">
      <w:pPr>
        <w:jc w:val="both"/>
        <w:rPr>
          <w:sz w:val="20"/>
          <w:szCs w:val="20"/>
          <w:lang w:val="es-AR"/>
        </w:rPr>
      </w:pPr>
    </w:p>
    <w:p w14:paraId="6AF4859F" w14:textId="5BDC3515" w:rsidR="00FF0D9A" w:rsidRPr="00D354AB" w:rsidRDefault="00FF0D9A" w:rsidP="00FF0D9A">
      <w:pPr>
        <w:ind w:left="720" w:hanging="360"/>
        <w:jc w:val="both"/>
        <w:rPr>
          <w:sz w:val="20"/>
          <w:szCs w:val="20"/>
          <w:lang w:val="es-AR"/>
        </w:rPr>
      </w:pPr>
      <w:r w:rsidRPr="00D354AB">
        <w:rPr>
          <w:rStyle w:val="DeltaViewDeletion"/>
          <w:strike w:val="0"/>
          <w:color w:val="auto"/>
          <w:sz w:val="20"/>
          <w:szCs w:val="20"/>
          <w:lang w:val="es-ES"/>
        </w:rPr>
        <w:t>(f)</w:t>
      </w:r>
      <w:r w:rsidRPr="00D354AB">
        <w:rPr>
          <w:rStyle w:val="DeltaViewDeletion"/>
          <w:strike w:val="0"/>
          <w:color w:val="auto"/>
          <w:sz w:val="20"/>
          <w:szCs w:val="20"/>
          <w:lang w:val="es-ES"/>
        </w:rPr>
        <w:tab/>
      </w:r>
      <w:r w:rsidRPr="00D354AB">
        <w:rPr>
          <w:rStyle w:val="DeltaViewDeletion"/>
          <w:strike w:val="0"/>
          <w:color w:val="auto"/>
          <w:sz w:val="20"/>
          <w:szCs w:val="20"/>
          <w:lang w:val="es-AR"/>
        </w:rPr>
        <w:t xml:space="preserve">conoce y acepta que ni el Emisor ni los Colocadores garantizan a los Inversores y/o a los Agentes del MAE que presenten las Órdenes, que mediante el mecanismo de adjudicación descripto en </w:t>
      </w:r>
      <w:r w:rsidRPr="00D354AB">
        <w:rPr>
          <w:rStyle w:val="DeltaViewDeletion"/>
          <w:i/>
          <w:iCs/>
          <w:strike w:val="0"/>
          <w:color w:val="auto"/>
          <w:sz w:val="20"/>
          <w:szCs w:val="20"/>
          <w:lang w:val="es-AR"/>
        </w:rPr>
        <w:t>“Adjudicación y Prorrateo”</w:t>
      </w:r>
      <w:r w:rsidRPr="00D354AB">
        <w:rPr>
          <w:rStyle w:val="DeltaViewDeletion"/>
          <w:strike w:val="0"/>
          <w:color w:val="auto"/>
          <w:sz w:val="20"/>
          <w:szCs w:val="20"/>
          <w:lang w:val="es-AR"/>
        </w:rPr>
        <w:t xml:space="preserve"> (i) se les adjudicarán Obligaciones Negociables; ni que (ii) se les adjudicará el mismo valor nominal de Obligaciones Negociables solicitado en la Orden; ni que (iii) se les adjudicarán las Obligaciones Negociables a</w:t>
      </w:r>
      <w:r w:rsidR="006644C7" w:rsidRPr="00D354AB">
        <w:rPr>
          <w:rStyle w:val="DeltaViewDeletion"/>
          <w:strike w:val="0"/>
          <w:color w:val="auto"/>
          <w:sz w:val="20"/>
          <w:szCs w:val="20"/>
          <w:lang w:val="es-AR"/>
        </w:rPr>
        <w:t>l Margen Solicitado</w:t>
      </w:r>
      <w:r w:rsidRPr="00D354AB">
        <w:rPr>
          <w:rStyle w:val="DeltaViewDeletion"/>
          <w:strike w:val="0"/>
          <w:color w:val="auto"/>
          <w:sz w:val="20"/>
          <w:szCs w:val="20"/>
          <w:lang w:val="es-AR"/>
        </w:rPr>
        <w:t xml:space="preserve">; </w:t>
      </w:r>
    </w:p>
    <w:p w14:paraId="41B71095" w14:textId="77777777" w:rsidR="00FF0D9A" w:rsidRPr="00D354AB" w:rsidRDefault="00FF0D9A" w:rsidP="00FF0D9A">
      <w:pPr>
        <w:jc w:val="both"/>
        <w:rPr>
          <w:sz w:val="20"/>
          <w:szCs w:val="20"/>
          <w:lang w:val="es-AR"/>
        </w:rPr>
      </w:pPr>
    </w:p>
    <w:p w14:paraId="27040CA8" w14:textId="3A14FBFA" w:rsidR="00FF0D9A" w:rsidRPr="00D354AB" w:rsidRDefault="00FF0D9A" w:rsidP="00FF0D9A">
      <w:pPr>
        <w:ind w:left="720" w:hanging="360"/>
        <w:jc w:val="both"/>
        <w:rPr>
          <w:sz w:val="20"/>
          <w:szCs w:val="20"/>
          <w:lang w:val="es-AR"/>
        </w:rPr>
      </w:pPr>
      <w:r w:rsidRPr="00D354AB">
        <w:rPr>
          <w:rStyle w:val="DeltaViewDeletion"/>
          <w:strike w:val="0"/>
          <w:color w:val="auto"/>
          <w:sz w:val="20"/>
          <w:szCs w:val="20"/>
          <w:lang w:val="es-ES"/>
        </w:rPr>
        <w:t>(g)</w:t>
      </w:r>
      <w:r w:rsidRPr="00D354AB">
        <w:rPr>
          <w:rStyle w:val="DeltaViewDeletion"/>
          <w:strike w:val="0"/>
          <w:color w:val="auto"/>
          <w:sz w:val="20"/>
          <w:szCs w:val="20"/>
          <w:lang w:val="es-ES"/>
        </w:rPr>
        <w:tab/>
      </w:r>
      <w:r w:rsidRPr="00D354AB">
        <w:rPr>
          <w:rStyle w:val="DeltaViewDeletion"/>
          <w:strike w:val="0"/>
          <w:color w:val="auto"/>
          <w:sz w:val="20"/>
          <w:szCs w:val="20"/>
          <w:lang w:val="es-AR"/>
        </w:rPr>
        <w:t>conoce y acepta que el Emisor y los Colocadores tendrán derecho de rechazar cualquier Orden en los casos y con el alcance detallado en “</w:t>
      </w:r>
      <w:r w:rsidRPr="00D354AB">
        <w:rPr>
          <w:rStyle w:val="DeltaViewDeletion"/>
          <w:i/>
          <w:iCs/>
          <w:strike w:val="0"/>
          <w:color w:val="auto"/>
          <w:sz w:val="20"/>
          <w:szCs w:val="20"/>
          <w:lang w:val="es-AR"/>
        </w:rPr>
        <w:t>plan de distribución</w:t>
      </w:r>
      <w:r w:rsidRPr="00D354AB">
        <w:rPr>
          <w:rStyle w:val="DeltaViewDeletion"/>
          <w:strike w:val="0"/>
          <w:color w:val="auto"/>
          <w:sz w:val="20"/>
          <w:szCs w:val="20"/>
          <w:lang w:val="es-AR"/>
        </w:rPr>
        <w:t xml:space="preserve">” en este Suplemento de </w:t>
      </w:r>
      <w:r w:rsidR="00670AF6" w:rsidRPr="00D354AB">
        <w:rPr>
          <w:rStyle w:val="DeltaViewDeletion"/>
          <w:strike w:val="0"/>
          <w:color w:val="auto"/>
          <w:sz w:val="20"/>
          <w:szCs w:val="20"/>
          <w:lang w:val="es-AR"/>
        </w:rPr>
        <w:t>Prospecto</w:t>
      </w:r>
      <w:r w:rsidRPr="00D354AB">
        <w:rPr>
          <w:rStyle w:val="DeltaViewDeletion"/>
          <w:strike w:val="0"/>
          <w:color w:val="auto"/>
          <w:sz w:val="20"/>
          <w:szCs w:val="20"/>
          <w:lang w:val="es-AR"/>
        </w:rPr>
        <w:t>;</w:t>
      </w:r>
    </w:p>
    <w:p w14:paraId="61664B6A" w14:textId="77777777" w:rsidR="00FF0D9A" w:rsidRPr="00D354AB" w:rsidRDefault="00FF0D9A" w:rsidP="00FF0D9A">
      <w:pPr>
        <w:jc w:val="both"/>
        <w:rPr>
          <w:sz w:val="20"/>
          <w:szCs w:val="20"/>
          <w:lang w:val="es-AR"/>
        </w:rPr>
      </w:pPr>
    </w:p>
    <w:p w14:paraId="2C681F2A" w14:textId="52138893" w:rsidR="00FF0D9A" w:rsidRPr="00D354AB" w:rsidRDefault="00FF0D9A" w:rsidP="00FF0D9A">
      <w:pPr>
        <w:ind w:left="720" w:hanging="360"/>
        <w:jc w:val="both"/>
        <w:rPr>
          <w:sz w:val="20"/>
          <w:szCs w:val="20"/>
          <w:lang w:val="es-AR"/>
        </w:rPr>
      </w:pPr>
      <w:r w:rsidRPr="00D354AB">
        <w:rPr>
          <w:rStyle w:val="DeltaViewDeletion"/>
          <w:strike w:val="0"/>
          <w:color w:val="auto"/>
          <w:sz w:val="20"/>
          <w:szCs w:val="20"/>
          <w:lang w:val="es-ES"/>
        </w:rPr>
        <w:t>(h)</w:t>
      </w:r>
      <w:r w:rsidRPr="00D354AB">
        <w:rPr>
          <w:rStyle w:val="DeltaViewDeletion"/>
          <w:strike w:val="0"/>
          <w:color w:val="auto"/>
          <w:sz w:val="20"/>
          <w:szCs w:val="20"/>
          <w:lang w:val="es-ES"/>
        </w:rPr>
        <w:tab/>
      </w:r>
      <w:r w:rsidRPr="00D354AB">
        <w:rPr>
          <w:rStyle w:val="DeltaViewDeletion"/>
          <w:strike w:val="0"/>
          <w:color w:val="auto"/>
          <w:sz w:val="20"/>
          <w:szCs w:val="20"/>
          <w:lang w:val="es-AR"/>
        </w:rPr>
        <w:t>acepta que el Emisor, conjuntamente con los Colocadores, podrán declarar desierta la colocación de las Obligaciones Negociables, en todos los casos detallados en este Suplemento de Pr</w:t>
      </w:r>
      <w:r w:rsidR="00670AF6" w:rsidRPr="00D354AB">
        <w:rPr>
          <w:rStyle w:val="DeltaViewDeletion"/>
          <w:strike w:val="0"/>
          <w:color w:val="auto"/>
          <w:sz w:val="20"/>
          <w:szCs w:val="20"/>
          <w:lang w:val="es-AR"/>
        </w:rPr>
        <w:t>ospecto</w:t>
      </w:r>
      <w:r w:rsidRPr="00D354AB">
        <w:rPr>
          <w:rStyle w:val="DeltaViewDeletion"/>
          <w:strike w:val="0"/>
          <w:color w:val="auto"/>
          <w:sz w:val="20"/>
          <w:szCs w:val="20"/>
          <w:lang w:val="es-AR"/>
        </w:rPr>
        <w:t>;</w:t>
      </w:r>
    </w:p>
    <w:p w14:paraId="31805930" w14:textId="77777777" w:rsidR="00FF0D9A" w:rsidRPr="00D354AB" w:rsidRDefault="00FF0D9A" w:rsidP="00FF0D9A">
      <w:pPr>
        <w:jc w:val="both"/>
        <w:rPr>
          <w:sz w:val="20"/>
          <w:szCs w:val="20"/>
          <w:lang w:val="es-AR"/>
        </w:rPr>
      </w:pPr>
    </w:p>
    <w:p w14:paraId="23EA527E" w14:textId="77777777" w:rsidR="00FF0D9A" w:rsidRPr="00D354AB" w:rsidRDefault="00FF0D9A" w:rsidP="00FF0D9A">
      <w:pPr>
        <w:ind w:left="720" w:hanging="360"/>
        <w:jc w:val="both"/>
        <w:rPr>
          <w:sz w:val="20"/>
          <w:szCs w:val="20"/>
          <w:lang w:val="es-AR"/>
        </w:rPr>
      </w:pPr>
      <w:r w:rsidRPr="00D354AB">
        <w:rPr>
          <w:rStyle w:val="DeltaViewDeletion"/>
          <w:strike w:val="0"/>
          <w:color w:val="auto"/>
          <w:sz w:val="20"/>
          <w:szCs w:val="20"/>
          <w:lang w:val="es-ES"/>
        </w:rPr>
        <w:t>(i)</w:t>
      </w:r>
      <w:r w:rsidRPr="00D354AB">
        <w:rPr>
          <w:rStyle w:val="DeltaViewDeletion"/>
          <w:strike w:val="0"/>
          <w:color w:val="auto"/>
          <w:sz w:val="20"/>
          <w:szCs w:val="20"/>
          <w:lang w:val="es-ES"/>
        </w:rPr>
        <w:tab/>
      </w:r>
      <w:r w:rsidRPr="00D354AB">
        <w:rPr>
          <w:rStyle w:val="DeltaViewDeletion"/>
          <w:strike w:val="0"/>
          <w:color w:val="auto"/>
          <w:sz w:val="20"/>
          <w:szCs w:val="20"/>
          <w:lang w:val="es-AR"/>
        </w:rPr>
        <w:t>no se encuentra radicado en un país considerado “</w:t>
      </w:r>
      <w:r w:rsidRPr="00D354AB">
        <w:rPr>
          <w:rStyle w:val="DeltaViewDeletion"/>
          <w:i/>
          <w:strike w:val="0"/>
          <w:color w:val="auto"/>
          <w:sz w:val="20"/>
          <w:szCs w:val="20"/>
          <w:lang w:val="es-AR"/>
        </w:rPr>
        <w:t>no cooperador a los fines de la transparencia fiscal</w:t>
      </w:r>
      <w:r w:rsidRPr="00D354AB">
        <w:rPr>
          <w:rStyle w:val="DeltaViewDeletion"/>
          <w:strike w:val="0"/>
          <w:color w:val="auto"/>
          <w:sz w:val="20"/>
          <w:szCs w:val="20"/>
          <w:lang w:val="es-AR"/>
        </w:rPr>
        <w:t>” en los términos del artículo 15 de la Ley de Impuesto a las Ganancias, el Decreto N° 589/2013 y la Resolución General Nº 3576, ni utiliza cuentas pertenecientes a entidades financieras radicadas en dichos países a efectos de realizar la suscripción e integración de las Obligaciones Negociables;</w:t>
      </w:r>
    </w:p>
    <w:p w14:paraId="6F6B6D42" w14:textId="77777777" w:rsidR="00FF0D9A" w:rsidRPr="00D354AB" w:rsidRDefault="00FF0D9A" w:rsidP="00FF0D9A">
      <w:pPr>
        <w:jc w:val="both"/>
        <w:rPr>
          <w:sz w:val="20"/>
          <w:szCs w:val="20"/>
          <w:lang w:val="es-AR"/>
        </w:rPr>
      </w:pPr>
    </w:p>
    <w:p w14:paraId="074B73BE" w14:textId="77777777" w:rsidR="00FF0D9A" w:rsidRPr="00D354AB" w:rsidRDefault="00FF0D9A" w:rsidP="00FF0D9A">
      <w:pPr>
        <w:ind w:left="720" w:hanging="360"/>
        <w:jc w:val="both"/>
        <w:rPr>
          <w:sz w:val="20"/>
          <w:szCs w:val="20"/>
          <w:lang w:val="es-AR"/>
        </w:rPr>
      </w:pPr>
      <w:r w:rsidRPr="00D354AB">
        <w:rPr>
          <w:rStyle w:val="DeltaViewDeletion"/>
          <w:strike w:val="0"/>
          <w:color w:val="auto"/>
          <w:sz w:val="20"/>
          <w:szCs w:val="20"/>
          <w:lang w:val="es-ES"/>
        </w:rPr>
        <w:t>(j)</w:t>
      </w:r>
      <w:r w:rsidRPr="00D354AB">
        <w:rPr>
          <w:rStyle w:val="DeltaViewDeletion"/>
          <w:strike w:val="0"/>
          <w:color w:val="auto"/>
          <w:sz w:val="20"/>
          <w:szCs w:val="20"/>
          <w:lang w:val="es-ES"/>
        </w:rPr>
        <w:tab/>
      </w:r>
      <w:r w:rsidRPr="00D354AB">
        <w:rPr>
          <w:rStyle w:val="DeltaViewDeletion"/>
          <w:strike w:val="0"/>
          <w:color w:val="auto"/>
          <w:sz w:val="20"/>
          <w:szCs w:val="20"/>
          <w:lang w:val="es-AR"/>
        </w:rPr>
        <w:t>(a) los fondos y valores que corresponden a la suscripción de las Obligaciones Negociables son provenientes de actividades lícitas relacionadas con su actividad; (b) que las informaciones consignadas en las Órdenes y para los registros de cada Colocador y/o Agentes del MAE, son exactas y verdaderas, y (c) que tiene conocimiento de la normativa sobre encubrimiento y lavado de activos regulada por la Ley N° 25.246 y sus modificatorias (incluyendo, sin limitación, la Ley N° 26.683);</w:t>
      </w:r>
    </w:p>
    <w:p w14:paraId="74A3EFC0" w14:textId="77777777" w:rsidR="00FF0D9A" w:rsidRPr="00D354AB" w:rsidRDefault="00FF0D9A" w:rsidP="00FF0D9A">
      <w:pPr>
        <w:jc w:val="both"/>
        <w:rPr>
          <w:sz w:val="20"/>
          <w:szCs w:val="20"/>
          <w:lang w:val="es-AR"/>
        </w:rPr>
      </w:pPr>
    </w:p>
    <w:p w14:paraId="50318DA3" w14:textId="72C122FC" w:rsidR="00FF0D9A" w:rsidRPr="00D354AB" w:rsidRDefault="00FF0D9A" w:rsidP="00FF0D9A">
      <w:pPr>
        <w:ind w:left="720" w:hanging="360"/>
        <w:jc w:val="both"/>
        <w:rPr>
          <w:b/>
          <w:bCs/>
          <w:sz w:val="20"/>
          <w:szCs w:val="20"/>
          <w:lang w:val="es-AR"/>
        </w:rPr>
      </w:pPr>
      <w:r w:rsidRPr="00D354AB">
        <w:rPr>
          <w:rStyle w:val="DeltaViewDeletion"/>
          <w:strike w:val="0"/>
          <w:color w:val="auto"/>
          <w:sz w:val="20"/>
          <w:szCs w:val="20"/>
          <w:lang w:val="es-ES"/>
        </w:rPr>
        <w:t>(k)</w:t>
      </w:r>
      <w:r w:rsidRPr="00D354AB">
        <w:rPr>
          <w:rStyle w:val="DeltaViewDeletion"/>
          <w:strike w:val="0"/>
          <w:color w:val="auto"/>
          <w:sz w:val="20"/>
          <w:szCs w:val="20"/>
          <w:lang w:val="es-ES"/>
        </w:rPr>
        <w:tab/>
      </w:r>
      <w:r w:rsidRPr="00D354AB">
        <w:rPr>
          <w:rStyle w:val="DeltaViewDeletion"/>
          <w:strike w:val="0"/>
          <w:color w:val="auto"/>
          <w:sz w:val="20"/>
          <w:szCs w:val="20"/>
          <w:lang w:val="es-AR"/>
        </w:rPr>
        <w:t>conoce y acepta que, en caso de que las Obligaciones Negociables no sean integradas en la forma prevista en la sección “</w:t>
      </w:r>
      <w:r w:rsidRPr="00D354AB">
        <w:rPr>
          <w:rStyle w:val="DeltaViewDeletion"/>
          <w:i/>
          <w:iCs/>
          <w:strike w:val="0"/>
          <w:color w:val="auto"/>
          <w:sz w:val="20"/>
          <w:szCs w:val="20"/>
          <w:lang w:val="es-AR"/>
        </w:rPr>
        <w:t>plan de distribución</w:t>
      </w:r>
      <w:r w:rsidRPr="00D354AB">
        <w:rPr>
          <w:rStyle w:val="DeltaViewDeletion"/>
          <w:strike w:val="0"/>
          <w:color w:val="auto"/>
          <w:sz w:val="20"/>
          <w:szCs w:val="20"/>
          <w:lang w:val="es-AR"/>
        </w:rPr>
        <w:t>”, los Colocadores procederán según las instrucciones que les imparta el Emisor, que podrán incluir, entre otras, la pérdida por parte de los Inversores incumplidores del derecho de suscribir las Obligaciones Negociables en cuestión sin necesidad de otorgarle la posibilidad de remediar su incumplimiento; y</w:t>
      </w:r>
    </w:p>
    <w:p w14:paraId="18138DD8" w14:textId="77777777" w:rsidR="00FF0D9A" w:rsidRPr="00D354AB" w:rsidRDefault="00FF0D9A" w:rsidP="00FF0D9A">
      <w:pPr>
        <w:jc w:val="both"/>
        <w:rPr>
          <w:b/>
          <w:bCs/>
          <w:sz w:val="20"/>
          <w:szCs w:val="20"/>
          <w:lang w:val="es-AR"/>
        </w:rPr>
      </w:pPr>
    </w:p>
    <w:p w14:paraId="413552F6" w14:textId="6C8F0B10" w:rsidR="00FF0D9A" w:rsidRPr="00D354AB" w:rsidRDefault="00FF0D9A" w:rsidP="00FF0D9A">
      <w:pPr>
        <w:ind w:left="720" w:hanging="360"/>
        <w:jc w:val="both"/>
        <w:rPr>
          <w:sz w:val="20"/>
          <w:szCs w:val="20"/>
          <w:lang w:val="es-AR" w:eastAsia="es-ES"/>
        </w:rPr>
      </w:pPr>
      <w:r w:rsidRPr="00D354AB">
        <w:rPr>
          <w:rStyle w:val="DeltaViewDeletion"/>
          <w:strike w:val="0"/>
          <w:color w:val="auto"/>
          <w:sz w:val="20"/>
          <w:szCs w:val="20"/>
          <w:lang w:val="es-ES"/>
        </w:rPr>
        <w:t>(l)</w:t>
      </w:r>
      <w:r w:rsidRPr="00C436CD">
        <w:rPr>
          <w:rStyle w:val="DeltaViewDeletion"/>
          <w:strike w:val="0"/>
          <w:color w:val="auto"/>
          <w:sz w:val="20"/>
          <w:lang w:val="es-ES"/>
        </w:rPr>
        <w:tab/>
      </w:r>
      <w:r w:rsidRPr="00D354AB">
        <w:rPr>
          <w:sz w:val="20"/>
          <w:szCs w:val="20"/>
          <w:lang w:val="es-AR"/>
        </w:rPr>
        <w:t>la acreditación de las Obligaciones Negociables será efectuada (i) en caso que hayan indicado Caja de Valores, en las cuentas depositante y comitente de titularidad de los Inversores adjudicados indicadas en sus respectivas Órdenes, en el caso de aquellas entregadas a los Colocadores, o aquellas indicadas por los correspondientes Agentes del MAE, en caso que las Órdenes se hayan cursado por su intermedio, mediante nota escrita y firmada dirigida al Agente de Liquidación o (ii) en caso que hayan indicado MAE-Clear, en las cuentas de los custodios participantes en el sistema de compensación administrado por MAE-Clear indicadas por el Inversor adjudicado en sus respectivas Órdenes, a más tardar el Día Hábil anterior a la Fecha de Emisión</w:t>
      </w:r>
      <w:r w:rsidR="004B7EB4" w:rsidRPr="00D354AB">
        <w:rPr>
          <w:sz w:val="20"/>
          <w:szCs w:val="20"/>
          <w:lang w:val="es-AR"/>
        </w:rPr>
        <w:t xml:space="preserve"> y Liquidación</w:t>
      </w:r>
      <w:r w:rsidRPr="00D354AB">
        <w:rPr>
          <w:sz w:val="20"/>
          <w:szCs w:val="20"/>
          <w:lang w:val="es-AR"/>
        </w:rPr>
        <w:t>.</w:t>
      </w:r>
    </w:p>
    <w:p w14:paraId="6090E360" w14:textId="1CFD512F" w:rsidR="00FF0D9A" w:rsidRPr="00C436CD" w:rsidRDefault="00FF0D9A" w:rsidP="00E60489">
      <w:pPr>
        <w:widowControl w:val="0"/>
        <w:ind w:left="3402"/>
        <w:jc w:val="both"/>
        <w:outlineLvl w:val="0"/>
        <w:rPr>
          <w:sz w:val="20"/>
          <w:lang w:val="es-AR"/>
        </w:rPr>
      </w:pPr>
      <w:r w:rsidRPr="00C436CD">
        <w:rPr>
          <w:sz w:val="20"/>
          <w:lang w:val="es-AR"/>
        </w:rPr>
        <w:br w:type="page"/>
      </w:r>
    </w:p>
    <w:p w14:paraId="189A7E0C" w14:textId="71443422" w:rsidR="00975874" w:rsidRPr="00D354AB" w:rsidRDefault="0034035D" w:rsidP="00E60489">
      <w:pPr>
        <w:widowControl w:val="0"/>
        <w:ind w:left="3402"/>
        <w:jc w:val="both"/>
        <w:outlineLvl w:val="0"/>
        <w:rPr>
          <w:sz w:val="20"/>
          <w:szCs w:val="20"/>
          <w:lang w:val="es-ES"/>
        </w:rPr>
      </w:pPr>
      <w:r w:rsidRPr="00D354AB">
        <w:rPr>
          <w:b/>
          <w:smallCaps/>
          <w:sz w:val="20"/>
          <w:szCs w:val="20"/>
          <w:lang w:val="es-ES"/>
        </w:rPr>
        <w:lastRenderedPageBreak/>
        <w:t>Factores de Riesgo</w:t>
      </w:r>
      <w:bookmarkEnd w:id="25"/>
      <w:bookmarkEnd w:id="26"/>
      <w:r w:rsidRPr="00D354AB">
        <w:rPr>
          <w:sz w:val="20"/>
          <w:szCs w:val="20"/>
          <w:lang w:val="es-ES"/>
        </w:rPr>
        <w:t xml:space="preserve"> </w:t>
      </w:r>
    </w:p>
    <w:p w14:paraId="6F65929F" w14:textId="77777777" w:rsidR="007E1807" w:rsidRPr="00C436CD" w:rsidRDefault="007E1807" w:rsidP="00C436CD">
      <w:pPr>
        <w:widowControl w:val="0"/>
        <w:jc w:val="both"/>
        <w:rPr>
          <w:sz w:val="20"/>
          <w:lang w:val="es-AR"/>
        </w:rPr>
      </w:pPr>
      <w:bookmarkStart w:id="51" w:name="_Toc487022336"/>
      <w:bookmarkStart w:id="52" w:name="_Toc466465002"/>
    </w:p>
    <w:p w14:paraId="26B6C850" w14:textId="0C6A090A" w:rsidR="007E1807" w:rsidRPr="007E1807" w:rsidRDefault="007E1807" w:rsidP="007E1807">
      <w:pPr>
        <w:widowControl w:val="0"/>
        <w:jc w:val="both"/>
        <w:rPr>
          <w:i/>
          <w:iCs/>
          <w:sz w:val="20"/>
          <w:szCs w:val="20"/>
          <w:lang w:val="es-AR"/>
        </w:rPr>
      </w:pPr>
      <w:bookmarkStart w:id="53" w:name="_Hlk529797995"/>
      <w:r w:rsidRPr="007E1807">
        <w:rPr>
          <w:i/>
          <w:iCs/>
          <w:sz w:val="20"/>
          <w:szCs w:val="20"/>
          <w:lang w:val="es-AR"/>
        </w:rPr>
        <w:t xml:space="preserve">Antes de tomar la decisión de invertir en las </w:t>
      </w:r>
      <w:r w:rsidRPr="007E1807">
        <w:rPr>
          <w:i/>
          <w:sz w:val="20"/>
          <w:lang w:val="es-AR"/>
        </w:rPr>
        <w:t>Obligaciones Negociables</w:t>
      </w:r>
      <w:r w:rsidRPr="007E1807">
        <w:rPr>
          <w:i/>
          <w:sz w:val="20"/>
          <w:szCs w:val="20"/>
          <w:lang w:val="es-AR"/>
        </w:rPr>
        <w:t xml:space="preserve"> del Emisor</w:t>
      </w:r>
      <w:r w:rsidRPr="007E1807">
        <w:rPr>
          <w:i/>
          <w:iCs/>
          <w:sz w:val="20"/>
          <w:szCs w:val="20"/>
          <w:lang w:val="es-AR"/>
        </w:rPr>
        <w:t xml:space="preserve">, los eventuales inversores deben considerar cuidadosamente, a la luz de sus propias circunstancias financieras y objetivos </w:t>
      </w:r>
      <w:r w:rsidRPr="007E1807">
        <w:rPr>
          <w:i/>
          <w:sz w:val="20"/>
          <w:szCs w:val="20"/>
          <w:lang w:val="es-AR"/>
        </w:rPr>
        <w:t xml:space="preserve">inversión, toda </w:t>
      </w:r>
      <w:r w:rsidRPr="007E1807">
        <w:rPr>
          <w:i/>
          <w:sz w:val="20"/>
          <w:szCs w:val="20"/>
          <w:lang w:val="es-AR" w:eastAsia="es-ES"/>
        </w:rPr>
        <w:t xml:space="preserve">la información </w:t>
      </w:r>
      <w:r w:rsidRPr="007E1807">
        <w:rPr>
          <w:i/>
          <w:sz w:val="20"/>
          <w:szCs w:val="20"/>
          <w:lang w:val="es-AR"/>
        </w:rPr>
        <w:t>descripta en el presente apartado</w:t>
      </w:r>
      <w:r w:rsidRPr="007E1807">
        <w:rPr>
          <w:i/>
          <w:sz w:val="20"/>
          <w:szCs w:val="20"/>
          <w:lang w:val="es-AR" w:eastAsia="es-ES"/>
        </w:rPr>
        <w:t xml:space="preserve">. </w:t>
      </w:r>
      <w:r w:rsidRPr="007E1807">
        <w:rPr>
          <w:i/>
          <w:iCs/>
          <w:sz w:val="20"/>
          <w:szCs w:val="20"/>
          <w:lang w:val="es-AR"/>
        </w:rPr>
        <w:t>Cabe señalar que el Emisor podría enfrentar otros riesgos e incertidumbres además de los que se mencionan a continuación, que a la fecha del Suplemento de Prospecto</w:t>
      </w:r>
      <w:r w:rsidRPr="007E1807" w:rsidDel="00ED1399">
        <w:rPr>
          <w:i/>
          <w:iCs/>
          <w:sz w:val="20"/>
          <w:szCs w:val="20"/>
          <w:lang w:val="es-AR"/>
        </w:rPr>
        <w:t xml:space="preserve"> </w:t>
      </w:r>
      <w:r w:rsidRPr="007E1807">
        <w:rPr>
          <w:i/>
          <w:iCs/>
          <w:sz w:val="20"/>
          <w:szCs w:val="20"/>
          <w:lang w:val="es-AR"/>
        </w:rPr>
        <w:t>no conoce o los considera como no significativos, los que podrían afectar su negocio y sus operaciones en el futuro en forma significativa.</w:t>
      </w:r>
    </w:p>
    <w:p w14:paraId="4D2F63ED" w14:textId="77777777" w:rsidR="007E1807" w:rsidRPr="007E1807" w:rsidRDefault="007E1807" w:rsidP="007E1807">
      <w:pPr>
        <w:widowControl w:val="0"/>
        <w:jc w:val="both"/>
        <w:rPr>
          <w:i/>
          <w:sz w:val="20"/>
          <w:lang w:val="es-AR"/>
        </w:rPr>
      </w:pPr>
    </w:p>
    <w:p w14:paraId="2E196426" w14:textId="77777777" w:rsidR="007E1807" w:rsidRPr="007E1807" w:rsidRDefault="007E1807" w:rsidP="007E1807">
      <w:pPr>
        <w:widowControl w:val="0"/>
        <w:jc w:val="both"/>
        <w:rPr>
          <w:i/>
          <w:iCs/>
          <w:sz w:val="20"/>
          <w:szCs w:val="20"/>
          <w:lang w:val="es-AR"/>
        </w:rPr>
      </w:pPr>
      <w:r w:rsidRPr="007E1807">
        <w:rPr>
          <w:i/>
          <w:iCs/>
          <w:sz w:val="20"/>
          <w:szCs w:val="20"/>
          <w:lang w:val="es-AR"/>
        </w:rPr>
        <w:t xml:space="preserve">Se informa al público inversor que los factores de riesgo que se detallan a continuación han sido agrupados teniendo en especial consideración el impacto que los mismos pueden tener en la capacidad del Emisor para atender los pagos de sus Obligaciones Negociables. Es por ello que en una primera instancia se consideran los factores que inciden en el negocio de la Compañía, para luego analizar los efectos que pueden tener distintas situaciones macroeconómicas a nivel país y en la industria automotriz en la situación financiera de la Sociedad, para -en último lugar- realizar ciertas apreciaciones en relación con las “obligaciones negociables” como instrumento de renta fija. </w:t>
      </w:r>
    </w:p>
    <w:p w14:paraId="1F23D29C" w14:textId="77777777" w:rsidR="007E1807" w:rsidRPr="007E1807" w:rsidRDefault="007E1807" w:rsidP="007E1807">
      <w:pPr>
        <w:widowControl w:val="0"/>
        <w:jc w:val="both"/>
        <w:rPr>
          <w:sz w:val="20"/>
          <w:lang w:val="es-AR"/>
        </w:rPr>
      </w:pPr>
    </w:p>
    <w:p w14:paraId="3C53651E" w14:textId="77777777" w:rsidR="007E1807" w:rsidRPr="007E1807" w:rsidRDefault="007E1807" w:rsidP="007E1807">
      <w:pPr>
        <w:widowControl w:val="0"/>
        <w:jc w:val="both"/>
        <w:rPr>
          <w:sz w:val="20"/>
          <w:szCs w:val="20"/>
          <w:lang w:val="es-AR"/>
        </w:rPr>
      </w:pPr>
      <w:r w:rsidRPr="007E1807">
        <w:rPr>
          <w:b/>
          <w:sz w:val="20"/>
          <w:szCs w:val="20"/>
          <w:lang w:val="es-AR"/>
        </w:rPr>
        <w:t>Riesgos relacionados con el negocio del Emisor</w:t>
      </w:r>
    </w:p>
    <w:p w14:paraId="665AFD72" w14:textId="77777777" w:rsidR="007E1807" w:rsidRPr="007E1807" w:rsidRDefault="007E1807" w:rsidP="007E1807">
      <w:pPr>
        <w:widowControl w:val="0"/>
        <w:jc w:val="both"/>
        <w:rPr>
          <w:sz w:val="20"/>
          <w:szCs w:val="20"/>
          <w:u w:val="single"/>
          <w:lang w:val="es-AR"/>
        </w:rPr>
      </w:pPr>
    </w:p>
    <w:p w14:paraId="4BB9FE8B" w14:textId="77777777" w:rsidR="007E1807" w:rsidRPr="007E1807" w:rsidRDefault="007E1807" w:rsidP="007E1807">
      <w:pPr>
        <w:widowControl w:val="0"/>
        <w:jc w:val="both"/>
        <w:rPr>
          <w:i/>
          <w:sz w:val="20"/>
          <w:szCs w:val="20"/>
          <w:lang w:val="es-AR"/>
        </w:rPr>
      </w:pPr>
      <w:r w:rsidRPr="007E1807">
        <w:rPr>
          <w:i/>
          <w:sz w:val="20"/>
          <w:szCs w:val="20"/>
          <w:lang w:val="es-AR"/>
        </w:rPr>
        <w:t>Riesgo de Crédito.</w:t>
      </w:r>
    </w:p>
    <w:p w14:paraId="3966E533" w14:textId="77777777" w:rsidR="007E1807" w:rsidRPr="007E1807" w:rsidRDefault="007E1807" w:rsidP="007E1807">
      <w:pPr>
        <w:widowControl w:val="0"/>
        <w:jc w:val="both"/>
        <w:rPr>
          <w:sz w:val="20"/>
          <w:szCs w:val="20"/>
          <w:lang w:val="es-AR"/>
        </w:rPr>
      </w:pPr>
    </w:p>
    <w:p w14:paraId="3B73B30A" w14:textId="77777777" w:rsidR="007E1807" w:rsidRPr="007E1807" w:rsidRDefault="007E1807" w:rsidP="007E1807">
      <w:pPr>
        <w:widowControl w:val="0"/>
        <w:jc w:val="both"/>
        <w:rPr>
          <w:sz w:val="20"/>
          <w:szCs w:val="20"/>
          <w:lang w:val="es-AR"/>
        </w:rPr>
      </w:pPr>
      <w:r w:rsidRPr="007E1807">
        <w:rPr>
          <w:sz w:val="20"/>
          <w:szCs w:val="20"/>
          <w:lang w:val="es-AR"/>
        </w:rPr>
        <w:t xml:space="preserve">El riesgo de crédito se encuentra definido como la posibilidad de que la contraparte no pueda cumplir con los términos de sus obligaciones. Si bien la cartera actual de FCA presenta una buena calidad en términos de mora y aunque se pondera favorablemente la capacidad de recuperación de los bienes prendados, hacia delante, podría aumentar la irregularidad ligada a los eventuales cambios en el contexto macroeconómico. </w:t>
      </w:r>
    </w:p>
    <w:p w14:paraId="60A8547B" w14:textId="77777777" w:rsidR="007E1807" w:rsidRPr="007E1807" w:rsidRDefault="007E1807" w:rsidP="007E1807">
      <w:pPr>
        <w:widowControl w:val="0"/>
        <w:jc w:val="both"/>
        <w:rPr>
          <w:sz w:val="20"/>
          <w:szCs w:val="20"/>
          <w:lang w:val="es-AR"/>
        </w:rPr>
      </w:pPr>
    </w:p>
    <w:p w14:paraId="34BDE852" w14:textId="77777777" w:rsidR="007E1807" w:rsidRPr="007E1807" w:rsidRDefault="007E1807" w:rsidP="007E1807">
      <w:pPr>
        <w:widowControl w:val="0"/>
        <w:jc w:val="both"/>
        <w:rPr>
          <w:sz w:val="20"/>
          <w:szCs w:val="20"/>
          <w:lang w:val="es-AR"/>
        </w:rPr>
      </w:pPr>
      <w:r w:rsidRPr="007E1807">
        <w:rPr>
          <w:sz w:val="20"/>
          <w:szCs w:val="20"/>
          <w:lang w:val="es-AR"/>
        </w:rPr>
        <w:t>De ocurrir esta circunstancia, los resultados financieros y operativos de la Compañía podrían verse afectados y como consecuencia perjudicar la capacidad de repago de las Obligaciones Negociables.</w:t>
      </w:r>
    </w:p>
    <w:p w14:paraId="7486725E" w14:textId="77777777" w:rsidR="007E1807" w:rsidRPr="007E1807" w:rsidRDefault="007E1807" w:rsidP="007E1807">
      <w:pPr>
        <w:widowControl w:val="0"/>
        <w:jc w:val="both"/>
        <w:rPr>
          <w:sz w:val="20"/>
          <w:szCs w:val="20"/>
          <w:lang w:val="es-AR"/>
        </w:rPr>
      </w:pPr>
    </w:p>
    <w:p w14:paraId="64DE8585" w14:textId="77777777" w:rsidR="007E1807" w:rsidRPr="007E1807" w:rsidRDefault="007E1807" w:rsidP="007E1807">
      <w:pPr>
        <w:widowControl w:val="0"/>
        <w:jc w:val="both"/>
        <w:rPr>
          <w:i/>
          <w:sz w:val="20"/>
          <w:szCs w:val="20"/>
          <w:lang w:val="es-AR"/>
        </w:rPr>
      </w:pPr>
      <w:r w:rsidRPr="007E1807">
        <w:rPr>
          <w:i/>
          <w:sz w:val="20"/>
          <w:szCs w:val="20"/>
          <w:lang w:val="es-AR"/>
        </w:rPr>
        <w:t>La demanda de los bienes financiados por la Compañía podría verse influenciada por los cambios en el poder adquisitivo de los usuarios finales de los mismos y, en general, por las condiciones económicas del país.</w:t>
      </w:r>
    </w:p>
    <w:p w14:paraId="47B52572" w14:textId="77777777" w:rsidR="007E1807" w:rsidRPr="007E1807" w:rsidRDefault="007E1807" w:rsidP="007E1807">
      <w:pPr>
        <w:jc w:val="both"/>
        <w:rPr>
          <w:sz w:val="20"/>
          <w:szCs w:val="20"/>
          <w:lang w:val="es-AR"/>
        </w:rPr>
      </w:pPr>
    </w:p>
    <w:p w14:paraId="0B6A4FFF" w14:textId="77777777" w:rsidR="007E1807" w:rsidRPr="007E1807" w:rsidRDefault="007E1807" w:rsidP="007E1807">
      <w:pPr>
        <w:jc w:val="both"/>
        <w:rPr>
          <w:sz w:val="20"/>
          <w:szCs w:val="20"/>
          <w:lang w:val="es-AR"/>
        </w:rPr>
      </w:pPr>
      <w:r w:rsidRPr="007E1807">
        <w:rPr>
          <w:sz w:val="20"/>
          <w:szCs w:val="20"/>
          <w:lang w:val="es-AR"/>
        </w:rPr>
        <w:t>Los bienes sujetos a financiación por parte de la Compañía no se encuentran entre los productos de primera necesidad. Consecuentemente, durante períodos de retracción del mercado o de incertidumbre económica los niveles de consumo de este tipo de bienes podrían verse afectados, influyendo negativamente en los resultados de la Compañía y como consecuencia en el repago de las Obligaciones Negociables.</w:t>
      </w:r>
    </w:p>
    <w:p w14:paraId="088BAB5A" w14:textId="77777777" w:rsidR="007E1807" w:rsidRPr="007E1807" w:rsidRDefault="007E1807" w:rsidP="007E1807">
      <w:pPr>
        <w:widowControl w:val="0"/>
        <w:jc w:val="both"/>
        <w:rPr>
          <w:sz w:val="20"/>
          <w:szCs w:val="20"/>
          <w:lang w:val="es-AR"/>
        </w:rPr>
      </w:pPr>
    </w:p>
    <w:p w14:paraId="71395AA2" w14:textId="77777777" w:rsidR="007E1807" w:rsidRPr="007E1807" w:rsidRDefault="007E1807" w:rsidP="007E1807">
      <w:pPr>
        <w:widowControl w:val="0"/>
        <w:jc w:val="both"/>
        <w:rPr>
          <w:sz w:val="20"/>
          <w:szCs w:val="20"/>
          <w:lang w:val="es-AR"/>
        </w:rPr>
      </w:pPr>
      <w:r w:rsidRPr="007E1807">
        <w:rPr>
          <w:i/>
          <w:sz w:val="20"/>
          <w:szCs w:val="20"/>
          <w:lang w:val="es-AR"/>
        </w:rPr>
        <w:t>Riesgo de fraude por parte de los deudores de FCA.</w:t>
      </w:r>
    </w:p>
    <w:p w14:paraId="4056E8DF" w14:textId="77777777" w:rsidR="007E1807" w:rsidRPr="007E1807" w:rsidRDefault="007E1807" w:rsidP="007E1807">
      <w:pPr>
        <w:widowControl w:val="0"/>
        <w:jc w:val="both"/>
        <w:rPr>
          <w:sz w:val="20"/>
          <w:szCs w:val="20"/>
          <w:lang w:val="es-AR"/>
        </w:rPr>
      </w:pPr>
    </w:p>
    <w:p w14:paraId="61307BC4" w14:textId="77777777" w:rsidR="007E1807" w:rsidRPr="007E1807" w:rsidRDefault="007E1807" w:rsidP="007E1807">
      <w:pPr>
        <w:widowControl w:val="0"/>
        <w:jc w:val="both"/>
        <w:rPr>
          <w:sz w:val="20"/>
          <w:szCs w:val="20"/>
          <w:lang w:val="es-AR"/>
        </w:rPr>
      </w:pPr>
      <w:r w:rsidRPr="007E1807">
        <w:rPr>
          <w:sz w:val="20"/>
          <w:szCs w:val="20"/>
          <w:lang w:val="es-AR"/>
        </w:rPr>
        <w:t>El Emisor se encuentra expuesto a ciertas operaciones fraudulentas llevadas a cabo por sus deudores. A fin de reducir el riesgo de exposición a tales prácticas, los manuales y normas de FCA disponen procedimientos específicos previos al alta de los préstamos y de control sobre los mismos. La información declarada por cada solicitante se verifica por diversos medios, que incluyen documentación por escrito, llamadas telefónicas, utilización de bases de datos públicas, el control de las bases de datos internas del Emisor que contienen información sobre los pagos de préstamos anteriormente otorgados. El riesgo de fraude por parte del intermediario es mitigado manteniendo una relación comercial cercana y controlando el funcionamiento de la cartera de préstamos originados a través de cada intermediario.</w:t>
      </w:r>
    </w:p>
    <w:p w14:paraId="1C08F65B" w14:textId="77777777" w:rsidR="007E1807" w:rsidRPr="007E1807" w:rsidRDefault="007E1807" w:rsidP="007E1807">
      <w:pPr>
        <w:widowControl w:val="0"/>
        <w:jc w:val="both"/>
        <w:rPr>
          <w:sz w:val="20"/>
          <w:szCs w:val="20"/>
          <w:lang w:val="es-AR"/>
        </w:rPr>
      </w:pPr>
    </w:p>
    <w:p w14:paraId="1EDFC6F8" w14:textId="77777777" w:rsidR="007E1807" w:rsidRPr="007E1807" w:rsidRDefault="007E1807" w:rsidP="007E1807">
      <w:pPr>
        <w:widowControl w:val="0"/>
        <w:jc w:val="both"/>
        <w:rPr>
          <w:sz w:val="20"/>
          <w:szCs w:val="20"/>
          <w:lang w:val="es-AR"/>
        </w:rPr>
      </w:pPr>
      <w:r w:rsidRPr="007E1807">
        <w:rPr>
          <w:sz w:val="20"/>
          <w:szCs w:val="20"/>
          <w:lang w:val="es-AR"/>
        </w:rPr>
        <w:t>No obstante ello, FCA opera mayoritariamente con préstamos prendarios que implican la inscripción de la garantía en un registro público, lo cual reduce significativamente la posibilidad de fraudes en el otorgamiento de los créditos.</w:t>
      </w:r>
    </w:p>
    <w:p w14:paraId="09E0DDA1" w14:textId="77777777" w:rsidR="007E1807" w:rsidRPr="007E1807" w:rsidRDefault="007E1807" w:rsidP="007E1807">
      <w:pPr>
        <w:widowControl w:val="0"/>
        <w:jc w:val="both"/>
        <w:rPr>
          <w:sz w:val="20"/>
          <w:szCs w:val="20"/>
          <w:lang w:val="es-AR"/>
        </w:rPr>
      </w:pPr>
    </w:p>
    <w:p w14:paraId="12A3328C" w14:textId="77777777" w:rsidR="007E1807" w:rsidRPr="007E1807" w:rsidRDefault="007E1807" w:rsidP="007E1807">
      <w:pPr>
        <w:jc w:val="both"/>
        <w:rPr>
          <w:sz w:val="20"/>
          <w:szCs w:val="20"/>
          <w:lang w:val="es-AR"/>
        </w:rPr>
      </w:pPr>
      <w:r w:rsidRPr="007E1807">
        <w:rPr>
          <w:sz w:val="20"/>
          <w:szCs w:val="20"/>
          <w:lang w:val="es-AR"/>
        </w:rPr>
        <w:t>El Emisor no puede asegurar que la aplicación de las medidas y políticas crediticias anteriormente mencionadas sean totalmente efectivas, o que no existan fallas en dichos sistemas de control. La existencia de altos índices de operaciones fraudulentas podría afectar significativamente los resultados operativos del Emisor y, por lo tanto, afectar la capacidad para hacer frente a sus obligaciones incluyendo, sin limitación, las Obligaciones Negociables.</w:t>
      </w:r>
    </w:p>
    <w:p w14:paraId="62C8C651" w14:textId="77777777" w:rsidR="007E1807" w:rsidRPr="007E1807" w:rsidRDefault="007E1807" w:rsidP="007E1807">
      <w:pPr>
        <w:widowControl w:val="0"/>
        <w:jc w:val="both"/>
        <w:rPr>
          <w:lang w:val="es-AR"/>
        </w:rPr>
      </w:pPr>
    </w:p>
    <w:p w14:paraId="4B6CFED2" w14:textId="5AE97F73" w:rsidR="007E1807" w:rsidRPr="007E1807" w:rsidRDefault="007E1807" w:rsidP="007E1807">
      <w:pPr>
        <w:widowControl w:val="0"/>
        <w:jc w:val="both"/>
        <w:rPr>
          <w:sz w:val="20"/>
          <w:szCs w:val="20"/>
          <w:lang w:val="es-AR"/>
        </w:rPr>
      </w:pPr>
      <w:r w:rsidRPr="00C436CD">
        <w:rPr>
          <w:b/>
          <w:sz w:val="20"/>
          <w:lang w:val="es-AR"/>
        </w:rPr>
        <w:t xml:space="preserve">Factores de </w:t>
      </w:r>
      <w:r w:rsidRPr="007E1807">
        <w:rPr>
          <w:b/>
          <w:sz w:val="20"/>
          <w:szCs w:val="20"/>
          <w:lang w:val="es-AR"/>
        </w:rPr>
        <w:t xml:space="preserve">riesgo relacionados con Argentina </w:t>
      </w:r>
    </w:p>
    <w:p w14:paraId="2F789F9F" w14:textId="77777777" w:rsidR="007E1807" w:rsidRPr="007E1807" w:rsidRDefault="007E1807" w:rsidP="007E1807">
      <w:pPr>
        <w:widowControl w:val="0"/>
        <w:jc w:val="both"/>
        <w:rPr>
          <w:b/>
          <w:i/>
          <w:sz w:val="20"/>
          <w:lang w:val="es-AR"/>
        </w:rPr>
      </w:pPr>
    </w:p>
    <w:p w14:paraId="41906EBA" w14:textId="77777777" w:rsidR="007E1807" w:rsidRPr="007E1807" w:rsidRDefault="007E1807" w:rsidP="007E1807">
      <w:pPr>
        <w:widowControl w:val="0"/>
        <w:jc w:val="both"/>
        <w:rPr>
          <w:i/>
          <w:iCs/>
          <w:sz w:val="20"/>
          <w:szCs w:val="20"/>
          <w:lang w:val="es-AR"/>
        </w:rPr>
      </w:pPr>
      <w:r w:rsidRPr="007E1807">
        <w:rPr>
          <w:i/>
          <w:iCs/>
          <w:sz w:val="20"/>
          <w:szCs w:val="20"/>
          <w:lang w:val="es-AR"/>
        </w:rPr>
        <w:t>La magnitud de ciertos desequilibrios acumulados en la economía argentina durante los últimos años hace que cualquier plan de estabilización que implemente el gobierno no esté libre de riesgos que podrían impactar en el desenvolvimiento de la actividad de FCA.</w:t>
      </w:r>
    </w:p>
    <w:p w14:paraId="5CF4B8D9" w14:textId="77777777" w:rsidR="007E1807" w:rsidRPr="007E1807" w:rsidRDefault="007E1807" w:rsidP="007E1807">
      <w:pPr>
        <w:widowControl w:val="0"/>
        <w:jc w:val="both"/>
        <w:rPr>
          <w:sz w:val="20"/>
          <w:szCs w:val="20"/>
          <w:lang w:val="es-AR"/>
        </w:rPr>
      </w:pPr>
    </w:p>
    <w:p w14:paraId="33645086" w14:textId="77777777" w:rsidR="007E1807" w:rsidRPr="007E1807" w:rsidRDefault="007E1807" w:rsidP="007E1807">
      <w:pPr>
        <w:jc w:val="both"/>
        <w:rPr>
          <w:sz w:val="20"/>
          <w:szCs w:val="20"/>
          <w:lang w:val="es-AR"/>
        </w:rPr>
      </w:pPr>
      <w:r w:rsidRPr="007E1807">
        <w:rPr>
          <w:sz w:val="20"/>
          <w:szCs w:val="20"/>
          <w:lang w:val="es-AR"/>
        </w:rPr>
        <w:t xml:space="preserve">La economía argentina se ha caracterizado en las últimas décadas por un alto grado de inestabilidad y volatilidad, períodos de crecimiento bajo o negativo y niveles de inflación y devaluación altos y variables. Los resultados de las operaciones del Emisor, el valor de mercado de las Obligaciones Negociables y la habilidad del Emisor para hacer pagos con respecto a las mismas, pueden verse afectados por ciertos factores posibles, entre los cuales se encuentran la eventual dificultad de Argentina para generar un sendero de crecimiento sostenido, los efectos de la inflación, la capacidad de Argentina de obtener financiación, una baja en los precios internacionales de las principales exportaciones de productos primarios </w:t>
      </w:r>
      <w:r w:rsidRPr="007E1807">
        <w:rPr>
          <w:sz w:val="20"/>
          <w:szCs w:val="20"/>
          <w:lang w:val="es-AR"/>
        </w:rPr>
        <w:lastRenderedPageBreak/>
        <w:t>argentinos (“</w:t>
      </w:r>
      <w:r w:rsidRPr="007E1807">
        <w:rPr>
          <w:i/>
          <w:sz w:val="20"/>
          <w:szCs w:val="20"/>
          <w:lang w:val="es-AR"/>
        </w:rPr>
        <w:t>commodities</w:t>
      </w:r>
      <w:r w:rsidRPr="007E1807">
        <w:rPr>
          <w:sz w:val="20"/>
          <w:szCs w:val="20"/>
          <w:lang w:val="es-AR"/>
        </w:rPr>
        <w:t xml:space="preserve">”), las fluctuaciones en el tipo de cambio de los competidores de Argentina, y la vulnerabilidad de la economía argentina a </w:t>
      </w:r>
      <w:r w:rsidRPr="007E1807">
        <w:rPr>
          <w:i/>
          <w:sz w:val="20"/>
          <w:szCs w:val="20"/>
          <w:lang w:val="es-AR"/>
        </w:rPr>
        <w:t>shocks</w:t>
      </w:r>
      <w:r w:rsidRPr="007E1807">
        <w:rPr>
          <w:sz w:val="20"/>
          <w:szCs w:val="20"/>
          <w:lang w:val="es-AR"/>
        </w:rPr>
        <w:t xml:space="preserve"> externos.</w:t>
      </w:r>
    </w:p>
    <w:p w14:paraId="2A71E98A" w14:textId="77777777" w:rsidR="007E1807" w:rsidRPr="007E1807" w:rsidRDefault="007E1807" w:rsidP="007E1807">
      <w:pPr>
        <w:autoSpaceDE w:val="0"/>
        <w:autoSpaceDN w:val="0"/>
        <w:adjustRightInd w:val="0"/>
        <w:jc w:val="both"/>
        <w:rPr>
          <w:sz w:val="20"/>
          <w:szCs w:val="20"/>
          <w:lang w:val="es-ES"/>
        </w:rPr>
      </w:pPr>
    </w:p>
    <w:p w14:paraId="6F192A32" w14:textId="77777777" w:rsidR="007E1807" w:rsidRPr="007E1807" w:rsidRDefault="007E1807" w:rsidP="007E1807">
      <w:pPr>
        <w:autoSpaceDE w:val="0"/>
        <w:autoSpaceDN w:val="0"/>
        <w:adjustRightInd w:val="0"/>
        <w:jc w:val="both"/>
        <w:rPr>
          <w:sz w:val="20"/>
          <w:szCs w:val="20"/>
          <w:lang w:val="es-AR"/>
        </w:rPr>
      </w:pPr>
      <w:r w:rsidRPr="007E1807">
        <w:rPr>
          <w:sz w:val="20"/>
          <w:szCs w:val="20"/>
          <w:lang w:val="es-AR"/>
        </w:rPr>
        <w:t xml:space="preserve">Con el nuevo gobierno que asumirá el próximo 10 de diciembre, no puede asegurarse el efecto que las medidas que adoptará tendrán ni su impacto en la economía del país. Todo lo cual, podría afectar </w:t>
      </w:r>
      <w:r w:rsidRPr="007E1807">
        <w:rPr>
          <w:sz w:val="20"/>
          <w:szCs w:val="20"/>
          <w:lang w:val="es-ES"/>
        </w:rPr>
        <w:t xml:space="preserve">los resultados de las operaciones del Emisor y su habilidad para repagar las Obligaciones Negociables. </w:t>
      </w:r>
    </w:p>
    <w:p w14:paraId="3374C2EA" w14:textId="77777777" w:rsidR="007E1807" w:rsidRPr="007E1807" w:rsidRDefault="007E1807" w:rsidP="007E1807">
      <w:pPr>
        <w:widowControl w:val="0"/>
        <w:jc w:val="both"/>
        <w:rPr>
          <w:sz w:val="20"/>
          <w:szCs w:val="20"/>
          <w:lang w:val="es-AR"/>
        </w:rPr>
      </w:pPr>
    </w:p>
    <w:p w14:paraId="21666380" w14:textId="77777777" w:rsidR="007E1807" w:rsidRPr="007E1807" w:rsidRDefault="007E1807" w:rsidP="007E1807">
      <w:pPr>
        <w:jc w:val="both"/>
        <w:rPr>
          <w:i/>
          <w:iCs/>
          <w:sz w:val="20"/>
          <w:szCs w:val="20"/>
          <w:lang w:val="es-AR"/>
        </w:rPr>
      </w:pPr>
      <w:r w:rsidRPr="007E1807">
        <w:rPr>
          <w:i/>
          <w:iCs/>
          <w:sz w:val="20"/>
          <w:szCs w:val="20"/>
          <w:lang w:val="es-AR"/>
        </w:rPr>
        <w:t>La economía doméstica podría experimentar un deterioro en su desempeño a la luz de las condiciones económicas corrientes y cualquier declive significativo podría impactar en forma negativa sobre la condición financiera del Emisor.</w:t>
      </w:r>
    </w:p>
    <w:p w14:paraId="7003ECD4" w14:textId="77777777" w:rsidR="007E1807" w:rsidRPr="007E1807" w:rsidRDefault="007E1807" w:rsidP="007E1807">
      <w:pPr>
        <w:jc w:val="both"/>
        <w:rPr>
          <w:sz w:val="20"/>
          <w:szCs w:val="20"/>
          <w:lang w:val="es-AR"/>
        </w:rPr>
      </w:pPr>
    </w:p>
    <w:p w14:paraId="61A17E38" w14:textId="77777777" w:rsidR="007E1807" w:rsidRPr="007E1807" w:rsidRDefault="007E1807" w:rsidP="007E1807">
      <w:pPr>
        <w:widowControl w:val="0"/>
        <w:jc w:val="both"/>
        <w:rPr>
          <w:rFonts w:eastAsia="Calibri"/>
          <w:color w:val="000000"/>
          <w:sz w:val="20"/>
          <w:szCs w:val="20"/>
          <w:lang w:val="es-AR"/>
        </w:rPr>
      </w:pPr>
      <w:r w:rsidRPr="007E1807">
        <w:rPr>
          <w:sz w:val="20"/>
          <w:szCs w:val="20"/>
          <w:lang w:val="es-ES"/>
        </w:rPr>
        <w:t>De acuerdo con el Índice Nacional de Estadísticas y Censos (el “</w:t>
      </w:r>
      <w:r w:rsidRPr="007E1807">
        <w:rPr>
          <w:sz w:val="20"/>
          <w:szCs w:val="20"/>
          <w:u w:val="single"/>
          <w:lang w:val="es-ES"/>
        </w:rPr>
        <w:t>INDEC</w:t>
      </w:r>
      <w:r w:rsidRPr="007E1807">
        <w:rPr>
          <w:sz w:val="20"/>
          <w:szCs w:val="20"/>
          <w:lang w:val="es-ES"/>
        </w:rPr>
        <w:t>”), el Producto Bruto Interno (el “</w:t>
      </w:r>
      <w:r w:rsidRPr="007E1807">
        <w:rPr>
          <w:sz w:val="20"/>
          <w:szCs w:val="20"/>
          <w:u w:val="single"/>
          <w:lang w:val="es-ES"/>
        </w:rPr>
        <w:t>PBI</w:t>
      </w:r>
      <w:r w:rsidRPr="007E1807">
        <w:rPr>
          <w:sz w:val="20"/>
          <w:szCs w:val="20"/>
          <w:lang w:val="es-ES"/>
        </w:rPr>
        <w:t>”) en Argentina, en términos reales disminuyó un 1,8% en 2016, creció un 2,9% en 2017 y disminuyó un 2,5% en 2018.</w:t>
      </w:r>
      <w:r w:rsidRPr="007E1807">
        <w:rPr>
          <w:rFonts w:eastAsia="Calibri"/>
          <w:color w:val="000000"/>
          <w:sz w:val="20"/>
          <w:szCs w:val="20"/>
          <w:lang w:val="es-ES"/>
        </w:rPr>
        <w:t xml:space="preserve"> </w:t>
      </w:r>
    </w:p>
    <w:p w14:paraId="0B741844" w14:textId="77777777" w:rsidR="007E1807" w:rsidRPr="007E1807" w:rsidRDefault="007E1807" w:rsidP="007E1807">
      <w:pPr>
        <w:autoSpaceDE w:val="0"/>
        <w:autoSpaceDN w:val="0"/>
        <w:adjustRightInd w:val="0"/>
        <w:jc w:val="both"/>
        <w:rPr>
          <w:sz w:val="20"/>
          <w:szCs w:val="20"/>
          <w:lang w:val="es-ES"/>
        </w:rPr>
      </w:pPr>
    </w:p>
    <w:p w14:paraId="7FD3AE15" w14:textId="77777777" w:rsidR="007E1807" w:rsidRPr="007E1807" w:rsidRDefault="007E1807" w:rsidP="007E1807">
      <w:pPr>
        <w:autoSpaceDE w:val="0"/>
        <w:autoSpaceDN w:val="0"/>
        <w:adjustRightInd w:val="0"/>
        <w:jc w:val="both"/>
        <w:rPr>
          <w:sz w:val="20"/>
          <w:szCs w:val="20"/>
          <w:lang w:val="es-ES"/>
        </w:rPr>
      </w:pPr>
      <w:r w:rsidRPr="007E1807">
        <w:rPr>
          <w:sz w:val="20"/>
          <w:szCs w:val="20"/>
          <w:lang w:val="es-ES"/>
        </w:rPr>
        <w:t>Adicionalmente, el organismo informó que la estimación preliminar del PBI en el segundo trimestre de 2019 registró un crecimiento del 0,6% con relación al mismo período del año anterior, mientras que el PBI desestacionalizado del segundo trimestre de 2019, con respecto al segundo trimestre de 2018, arrojó una variación de -0,3%.</w:t>
      </w:r>
    </w:p>
    <w:p w14:paraId="76CA6379" w14:textId="77777777" w:rsidR="007E1807" w:rsidRPr="007E1807" w:rsidRDefault="007E1807" w:rsidP="007E1807">
      <w:pPr>
        <w:jc w:val="both"/>
        <w:rPr>
          <w:sz w:val="20"/>
          <w:szCs w:val="20"/>
          <w:lang w:val="es-AR"/>
        </w:rPr>
      </w:pPr>
    </w:p>
    <w:p w14:paraId="4D56FEEF" w14:textId="77777777" w:rsidR="007E1807" w:rsidRPr="007E1807" w:rsidRDefault="007E1807" w:rsidP="007E1807">
      <w:pPr>
        <w:jc w:val="both"/>
        <w:rPr>
          <w:sz w:val="20"/>
          <w:szCs w:val="20"/>
          <w:lang w:val="es-AR" w:eastAsia="es-ES"/>
        </w:rPr>
      </w:pPr>
      <w:r w:rsidRPr="007E1807">
        <w:rPr>
          <w:sz w:val="20"/>
          <w:szCs w:val="20"/>
          <w:lang w:val="es-AR"/>
        </w:rPr>
        <w:t>El Emisor</w:t>
      </w:r>
      <w:r w:rsidRPr="007E1807">
        <w:rPr>
          <w:sz w:val="20"/>
          <w:szCs w:val="20"/>
          <w:lang w:val="es-AR" w:eastAsia="es-ES"/>
        </w:rPr>
        <w:t xml:space="preserve"> no puede asegurar el impacto que podrá tener la desaceleración del crecimiento económico o cierta inestabilidad política y económica sobre sus negocios, situación patrimonial o resultados de sus operaciones, como también sobre su capacidad de repago de las Obligaciones Negociables.</w:t>
      </w:r>
    </w:p>
    <w:p w14:paraId="1D7EF8E8" w14:textId="77777777" w:rsidR="007E1807" w:rsidRPr="007E1807" w:rsidRDefault="007E1807" w:rsidP="007E1807">
      <w:pPr>
        <w:jc w:val="both"/>
        <w:rPr>
          <w:sz w:val="20"/>
          <w:szCs w:val="20"/>
          <w:lang w:val="es-AR"/>
        </w:rPr>
      </w:pPr>
    </w:p>
    <w:p w14:paraId="2B1FAD35" w14:textId="77777777" w:rsidR="007E1807" w:rsidRPr="007E1807" w:rsidRDefault="007E1807" w:rsidP="007E1807">
      <w:pPr>
        <w:widowControl w:val="0"/>
        <w:jc w:val="both"/>
        <w:rPr>
          <w:i/>
          <w:iCs/>
          <w:sz w:val="20"/>
          <w:szCs w:val="20"/>
          <w:lang w:val="es-AR"/>
        </w:rPr>
      </w:pPr>
      <w:r w:rsidRPr="007E1807">
        <w:rPr>
          <w:i/>
          <w:iCs/>
          <w:sz w:val="20"/>
          <w:szCs w:val="20"/>
          <w:lang w:val="es-AR"/>
        </w:rPr>
        <w:t>De mantenerse los elevados niveles de inflación podría verse afectada en forma adversa la evolución de la economía argentina y la posición financiera y negocios del Emisor.</w:t>
      </w:r>
    </w:p>
    <w:p w14:paraId="79448452" w14:textId="77777777" w:rsidR="007E1807" w:rsidRPr="007E1807" w:rsidRDefault="007E1807" w:rsidP="007E1807">
      <w:pPr>
        <w:autoSpaceDE w:val="0"/>
        <w:autoSpaceDN w:val="0"/>
        <w:adjustRightInd w:val="0"/>
        <w:jc w:val="both"/>
        <w:rPr>
          <w:sz w:val="20"/>
          <w:szCs w:val="20"/>
          <w:lang w:val="es-AR"/>
        </w:rPr>
      </w:pPr>
    </w:p>
    <w:p w14:paraId="54953539" w14:textId="77777777" w:rsidR="007E1807" w:rsidRPr="007E1807" w:rsidRDefault="007E1807" w:rsidP="007E1807">
      <w:pPr>
        <w:autoSpaceDE w:val="0"/>
        <w:autoSpaceDN w:val="0"/>
        <w:adjustRightInd w:val="0"/>
        <w:jc w:val="both"/>
        <w:rPr>
          <w:sz w:val="20"/>
          <w:lang w:val="es-ES"/>
        </w:rPr>
      </w:pPr>
      <w:r w:rsidRPr="007E1807">
        <w:rPr>
          <w:sz w:val="20"/>
          <w:szCs w:val="20"/>
          <w:lang w:val="es-ES"/>
        </w:rPr>
        <w:t xml:space="preserve">Durante el año 2016 se estableció un nuevo índice oficial de inflación. En mayo de 2016se informó una inflación acumulada de 16,9% entre abril y diciembre de 2015, mientras que estimaciones privadas estimaron 38% i.a. en todo el año. Durante el 2017 se dio a conocer el IPC Nacional, el cual resultó en una inflación de 24,8%, </w:t>
      </w:r>
      <w:r w:rsidRPr="007E1807">
        <w:rPr>
          <w:color w:val="000000"/>
          <w:sz w:val="20"/>
          <w:szCs w:val="20"/>
          <w:lang w:val="es-AR"/>
        </w:rPr>
        <w:t>mientras que el aumento del índice de precios internos al por mayor (“</w:t>
      </w:r>
      <w:r w:rsidRPr="007E1807">
        <w:rPr>
          <w:color w:val="000000"/>
          <w:sz w:val="20"/>
          <w:szCs w:val="20"/>
          <w:u w:val="single"/>
          <w:lang w:val="es-AR"/>
        </w:rPr>
        <w:t>IPM</w:t>
      </w:r>
      <w:r w:rsidRPr="007E1807">
        <w:rPr>
          <w:color w:val="000000"/>
          <w:sz w:val="20"/>
          <w:szCs w:val="20"/>
          <w:lang w:val="es-AR"/>
        </w:rPr>
        <w:t>”) fue del 18,8%. Asimismo, el IPC</w:t>
      </w:r>
      <w:r w:rsidRPr="007E1807">
        <w:rPr>
          <w:color w:val="000000"/>
          <w:sz w:val="20"/>
          <w:szCs w:val="20"/>
          <w:lang w:val="es-ES"/>
        </w:rPr>
        <w:t xml:space="preserve"> representativo del total de hogares del país registró en diciembre de 2018 una variación de 2,6% con relación al mes anterior, mientras que el </w:t>
      </w:r>
      <w:r w:rsidRPr="007E1807">
        <w:rPr>
          <w:color w:val="000000"/>
          <w:sz w:val="20"/>
          <w:szCs w:val="20"/>
          <w:lang w:val="es-AR"/>
        </w:rPr>
        <w:t>acumulado a diciembre de 2018 fue de 47,6%, de acuerdo con lo informado por el INDEC. Finalmente, de acuerdo con los últimos índices publicados por el INDEC, el IPC ascendió en octubre de 2019 un 42,2% en relación con diciembre de 2018</w:t>
      </w:r>
      <w:r w:rsidRPr="007E1807">
        <w:rPr>
          <w:color w:val="000000"/>
          <w:sz w:val="20"/>
          <w:szCs w:val="20"/>
          <w:lang w:val="es-ES"/>
        </w:rPr>
        <w:t>.</w:t>
      </w:r>
      <w:r w:rsidRPr="007E1807">
        <w:rPr>
          <w:color w:val="000000"/>
          <w:sz w:val="20"/>
          <w:lang w:val="es-AR"/>
        </w:rPr>
        <w:t xml:space="preserve"> </w:t>
      </w:r>
    </w:p>
    <w:p w14:paraId="3E2019D6" w14:textId="77777777" w:rsidR="007E1807" w:rsidRPr="007E1807" w:rsidRDefault="007E1807" w:rsidP="007E1807">
      <w:pPr>
        <w:autoSpaceDE w:val="0"/>
        <w:autoSpaceDN w:val="0"/>
        <w:adjustRightInd w:val="0"/>
        <w:jc w:val="both"/>
        <w:rPr>
          <w:sz w:val="20"/>
          <w:szCs w:val="20"/>
          <w:lang w:val="es-AR"/>
        </w:rPr>
      </w:pPr>
    </w:p>
    <w:p w14:paraId="708C0DC4" w14:textId="77777777" w:rsidR="007E1807" w:rsidRPr="007E1807" w:rsidRDefault="007E1807" w:rsidP="007E1807">
      <w:pPr>
        <w:autoSpaceDE w:val="0"/>
        <w:autoSpaceDN w:val="0"/>
        <w:adjustRightInd w:val="0"/>
        <w:jc w:val="both"/>
        <w:rPr>
          <w:bCs/>
          <w:sz w:val="20"/>
          <w:szCs w:val="20"/>
          <w:lang w:val="es-AR"/>
        </w:rPr>
      </w:pPr>
      <w:r w:rsidRPr="007E1807">
        <w:rPr>
          <w:sz w:val="20"/>
          <w:szCs w:val="20"/>
          <w:lang w:val="es-AR"/>
        </w:rPr>
        <w:t>De continuar registrándose altas tasas de inflación</w:t>
      </w:r>
      <w:r w:rsidRPr="007E1807">
        <w:rPr>
          <w:bCs/>
          <w:sz w:val="20"/>
          <w:szCs w:val="20"/>
          <w:lang w:val="es-AR"/>
        </w:rPr>
        <w:t>, las exportaciones argentinas podrían perder competitividad en los mercados internacionales y el consumo privado podría caer, causando un efecto negativo en la actividad económica y el empleo, afectando el sistema financiero argentino en general, y por lo tanto la situación económica y capacidad de repago del Emisor.</w:t>
      </w:r>
    </w:p>
    <w:p w14:paraId="47F90F0A" w14:textId="77777777" w:rsidR="007E1807" w:rsidRPr="007E1807" w:rsidRDefault="007E1807" w:rsidP="007E1807">
      <w:pPr>
        <w:autoSpaceDE w:val="0"/>
        <w:autoSpaceDN w:val="0"/>
        <w:adjustRightInd w:val="0"/>
        <w:jc w:val="both"/>
        <w:rPr>
          <w:sz w:val="20"/>
          <w:lang w:val="es-AR"/>
        </w:rPr>
      </w:pPr>
    </w:p>
    <w:p w14:paraId="38C2CFC5" w14:textId="77777777" w:rsidR="007E1807" w:rsidRPr="007E1807" w:rsidRDefault="007E1807" w:rsidP="007E1807">
      <w:pPr>
        <w:jc w:val="both"/>
        <w:rPr>
          <w:i/>
          <w:sz w:val="20"/>
          <w:szCs w:val="20"/>
          <w:lang w:val="es-AR"/>
        </w:rPr>
      </w:pPr>
      <w:r w:rsidRPr="007E1807">
        <w:rPr>
          <w:i/>
          <w:sz w:val="20"/>
          <w:szCs w:val="20"/>
          <w:lang w:val="es-AR"/>
        </w:rPr>
        <w:t>Las fluctuaciones en el valor del Peso podrían afectar en forma adversa la economía argentina y la situación financiera del Emisor.</w:t>
      </w:r>
    </w:p>
    <w:p w14:paraId="24A989F1" w14:textId="77777777" w:rsidR="007E1807" w:rsidRPr="007E1807" w:rsidRDefault="007E1807" w:rsidP="007E1807">
      <w:pPr>
        <w:jc w:val="both"/>
        <w:rPr>
          <w:sz w:val="20"/>
          <w:szCs w:val="20"/>
          <w:lang w:val="es-AR"/>
        </w:rPr>
      </w:pPr>
    </w:p>
    <w:p w14:paraId="171DA012" w14:textId="77777777" w:rsidR="007E1807" w:rsidRPr="007E1807" w:rsidRDefault="007E1807" w:rsidP="007E1807">
      <w:pPr>
        <w:jc w:val="both"/>
        <w:rPr>
          <w:sz w:val="20"/>
          <w:szCs w:val="20"/>
          <w:lang w:val="es-AR"/>
        </w:rPr>
      </w:pPr>
      <w:r w:rsidRPr="007E1807">
        <w:rPr>
          <w:sz w:val="20"/>
          <w:szCs w:val="20"/>
          <w:lang w:val="es-ES"/>
        </w:rPr>
        <w:t xml:space="preserve">La devaluación del Peso puede tener un impacto negativo sobre la capacidad de determinadas empresas argentinas de repagar sus deudas en moneda extranjera, generar inflación, reducir sustancialmente los salarios en términos reales y poner en peligro la estabilidad de las empresas, como el Emisor, cuyo éxito depende de la demanda del mercado interno y afecta adversamente la capacidad del Gobierno Nacional de pagar sus obligaciones de deuda externa. </w:t>
      </w:r>
    </w:p>
    <w:p w14:paraId="66928AE2" w14:textId="77777777" w:rsidR="007E1807" w:rsidRPr="007E1807" w:rsidRDefault="007E1807" w:rsidP="007E1807">
      <w:pPr>
        <w:jc w:val="both"/>
        <w:rPr>
          <w:sz w:val="20"/>
          <w:szCs w:val="20"/>
          <w:lang w:val="es-ES"/>
        </w:rPr>
      </w:pPr>
    </w:p>
    <w:p w14:paraId="1EE6F0B9" w14:textId="77777777" w:rsidR="007E1807" w:rsidRPr="007E1807" w:rsidRDefault="007E1807" w:rsidP="007E1807">
      <w:pPr>
        <w:jc w:val="both"/>
        <w:rPr>
          <w:sz w:val="20"/>
          <w:szCs w:val="20"/>
          <w:lang w:val="es-ES"/>
        </w:rPr>
      </w:pPr>
      <w:r w:rsidRPr="007E1807">
        <w:rPr>
          <w:sz w:val="20"/>
          <w:szCs w:val="20"/>
          <w:lang w:val="es-ES"/>
        </w:rPr>
        <w:t>Durante 2016, el Peso perdió aproximadamente un 21%. En el 2017, el tipo de cambio entre el Dólar Estadounidense y el Peso Argentino aumentó un 18% con respecto a 2016. Esta tendencia se intensificó durante el 2018. De</w:t>
      </w:r>
      <w:r w:rsidRPr="007E1807">
        <w:rPr>
          <w:sz w:val="20"/>
          <w:lang w:val="es-ES"/>
        </w:rPr>
        <w:t xml:space="preserve"> acuerdo con el tipo de cambio </w:t>
      </w:r>
      <w:r w:rsidRPr="007E1807">
        <w:rPr>
          <w:sz w:val="20"/>
          <w:szCs w:val="20"/>
          <w:lang w:val="es-ES"/>
        </w:rPr>
        <w:t>establecido por la Comunicación “A” 3500 del Banco Central de la República Argentina (el “</w:t>
      </w:r>
      <w:r w:rsidRPr="007E1807">
        <w:rPr>
          <w:sz w:val="20"/>
          <w:szCs w:val="20"/>
          <w:u w:val="single"/>
          <w:lang w:val="es-ES"/>
        </w:rPr>
        <w:t>BCRA</w:t>
      </w:r>
      <w:r w:rsidRPr="007E1807">
        <w:rPr>
          <w:sz w:val="20"/>
          <w:szCs w:val="20"/>
          <w:lang w:val="es-ES"/>
        </w:rPr>
        <w:t>” o el “</w:t>
      </w:r>
      <w:r w:rsidRPr="007E1807">
        <w:rPr>
          <w:sz w:val="20"/>
          <w:szCs w:val="20"/>
          <w:u w:val="single"/>
          <w:lang w:val="es-ES"/>
        </w:rPr>
        <w:t>Banco Central</w:t>
      </w:r>
      <w:r w:rsidRPr="007E1807">
        <w:rPr>
          <w:sz w:val="20"/>
          <w:szCs w:val="20"/>
          <w:lang w:val="es-ES"/>
        </w:rPr>
        <w:t xml:space="preserve">”), el precio de </w:t>
      </w:r>
      <w:r w:rsidRPr="007E1807">
        <w:rPr>
          <w:sz w:val="20"/>
          <w:lang w:val="es-ES"/>
        </w:rPr>
        <w:t xml:space="preserve">cotización </w:t>
      </w:r>
      <w:r w:rsidRPr="007E1807">
        <w:rPr>
          <w:sz w:val="20"/>
          <w:szCs w:val="20"/>
          <w:lang w:val="es-ES"/>
        </w:rPr>
        <w:t xml:space="preserve">del Dólar con respecto al Peso a fin de enero era de $19,6525, mientras que a fin de diciembre era </w:t>
      </w:r>
      <w:r w:rsidRPr="007E1807">
        <w:rPr>
          <w:sz w:val="20"/>
          <w:lang w:val="es-ES"/>
        </w:rPr>
        <w:t xml:space="preserve">de </w:t>
      </w:r>
      <w:r w:rsidRPr="007E1807">
        <w:rPr>
          <w:sz w:val="20"/>
          <w:szCs w:val="20"/>
          <w:lang w:val="es-ES"/>
        </w:rPr>
        <w:t>$37,8083, lo que arroja un incremento total anual del 103.9%. En cuanto al año 2019, el valor promedio de la cotización del dólar fue de $60 en el mes de noviembre.</w:t>
      </w:r>
    </w:p>
    <w:p w14:paraId="1CAD9CE9" w14:textId="77777777" w:rsidR="007E1807" w:rsidRPr="007E1807" w:rsidRDefault="007E1807" w:rsidP="007E1807">
      <w:pPr>
        <w:jc w:val="both"/>
        <w:rPr>
          <w:i/>
          <w:iCs/>
          <w:sz w:val="20"/>
          <w:szCs w:val="20"/>
          <w:lang w:val="es-AR"/>
        </w:rPr>
      </w:pPr>
    </w:p>
    <w:p w14:paraId="4B6956DC" w14:textId="77777777" w:rsidR="007E1807" w:rsidRPr="007E1807" w:rsidRDefault="007E1807" w:rsidP="007E1807">
      <w:pPr>
        <w:jc w:val="both"/>
        <w:rPr>
          <w:sz w:val="20"/>
          <w:szCs w:val="20"/>
          <w:lang w:val="es-AR"/>
        </w:rPr>
      </w:pPr>
      <w:r w:rsidRPr="007E1807">
        <w:rPr>
          <w:sz w:val="20"/>
          <w:szCs w:val="20"/>
          <w:lang w:val="es-AR"/>
        </w:rPr>
        <w:t>Una devaluación significativa del Peso frente al Dólar podría producir un impacto negativo sobre la capacidad de las empresas argentinas para honrar sus deudas denominadas en o vinculadas a la moneda extranjera, generar altas tasas de inflación, reducir los salarios reales en forma significativa y tener un impacto negativo sobre empresas orientadas al mercado interno, tales como las empresas de servicios públicos y la industria financiera. Asimismo, podría verse afectada l</w:t>
      </w:r>
      <w:r w:rsidRPr="007E1807">
        <w:rPr>
          <w:sz w:val="20"/>
          <w:szCs w:val="20"/>
          <w:lang w:val="es-ES"/>
        </w:rPr>
        <w:t>a posición financiera del Emisor, su negocio y su capacidad de hacer frente a sus obligaciones, incluyendo el repago de las Obligaciones Negociables.</w:t>
      </w:r>
    </w:p>
    <w:p w14:paraId="233602F3" w14:textId="77777777" w:rsidR="007E1807" w:rsidRPr="007E1807" w:rsidRDefault="007E1807" w:rsidP="007E1807">
      <w:pPr>
        <w:jc w:val="both"/>
        <w:rPr>
          <w:sz w:val="20"/>
          <w:szCs w:val="20"/>
          <w:lang w:val="es-AR"/>
        </w:rPr>
      </w:pPr>
    </w:p>
    <w:p w14:paraId="6A1BF3A0" w14:textId="77777777" w:rsidR="007E1807" w:rsidRPr="007E1807" w:rsidRDefault="007E1807" w:rsidP="007E1807">
      <w:pPr>
        <w:jc w:val="both"/>
        <w:rPr>
          <w:sz w:val="20"/>
          <w:szCs w:val="20"/>
          <w:lang w:val="es-AR"/>
        </w:rPr>
      </w:pPr>
      <w:r w:rsidRPr="007E1807">
        <w:rPr>
          <w:sz w:val="20"/>
          <w:szCs w:val="20"/>
          <w:lang w:val="es-AR"/>
        </w:rPr>
        <w:t>Adicionalmente, una devaluación significativa podría también afectar adversamente la capacidad del Gobierno Nacional para honrar su deuda externa, con consecuencias adversas para los negocios del Emisor que podrían afectar su capacidad para cumplir con futuras obligaciones en moneda extranjera.</w:t>
      </w:r>
    </w:p>
    <w:p w14:paraId="4D5E28AD" w14:textId="77777777" w:rsidR="007E1807" w:rsidRPr="007E1807" w:rsidRDefault="007E1807" w:rsidP="007E1807">
      <w:pPr>
        <w:widowControl w:val="0"/>
        <w:jc w:val="both"/>
        <w:rPr>
          <w:sz w:val="20"/>
          <w:szCs w:val="20"/>
          <w:highlight w:val="green"/>
          <w:lang w:val="es-AR"/>
        </w:rPr>
      </w:pPr>
    </w:p>
    <w:p w14:paraId="304B4FBD" w14:textId="77777777" w:rsidR="007E1807" w:rsidRPr="007E1807" w:rsidRDefault="007E1807" w:rsidP="007E1807">
      <w:pPr>
        <w:widowControl w:val="0"/>
        <w:jc w:val="both"/>
        <w:rPr>
          <w:i/>
          <w:color w:val="000000"/>
          <w:sz w:val="20"/>
          <w:szCs w:val="20"/>
          <w:lang w:val="es-AR"/>
        </w:rPr>
      </w:pPr>
      <w:r w:rsidRPr="007E1807">
        <w:rPr>
          <w:i/>
          <w:color w:val="000000"/>
          <w:sz w:val="20"/>
          <w:szCs w:val="20"/>
          <w:lang w:val="es-AR"/>
        </w:rPr>
        <w:t xml:space="preserve">La capacidad de Argentina de obtener financiamiento y de atraer inversiones extranjeras directas mejoró en los últimos años; si en el futuro hubiese limitaciones para obtener financiamiento y atraer inversiones extranjeras directas esto </w:t>
      </w:r>
      <w:r w:rsidRPr="007E1807">
        <w:rPr>
          <w:i/>
          <w:color w:val="000000"/>
          <w:sz w:val="20"/>
          <w:szCs w:val="20"/>
          <w:lang w:val="es-AR"/>
        </w:rPr>
        <w:lastRenderedPageBreak/>
        <w:t>podría tener un efecto adverso sobre la economía y el desarrollo financiero del Emisor.</w:t>
      </w:r>
    </w:p>
    <w:p w14:paraId="543EC5CC" w14:textId="77777777" w:rsidR="007E1807" w:rsidRPr="007E1807" w:rsidRDefault="007E1807" w:rsidP="007E1807">
      <w:pPr>
        <w:widowControl w:val="0"/>
        <w:jc w:val="both"/>
        <w:rPr>
          <w:color w:val="000000"/>
          <w:sz w:val="20"/>
          <w:szCs w:val="20"/>
          <w:lang w:val="es-AR"/>
        </w:rPr>
      </w:pPr>
    </w:p>
    <w:p w14:paraId="07370F89" w14:textId="77777777" w:rsidR="007E1807" w:rsidRPr="007E1807" w:rsidRDefault="007E1807" w:rsidP="007E1807">
      <w:pPr>
        <w:autoSpaceDE w:val="0"/>
        <w:autoSpaceDN w:val="0"/>
        <w:adjustRightInd w:val="0"/>
        <w:jc w:val="both"/>
        <w:rPr>
          <w:sz w:val="20"/>
          <w:szCs w:val="20"/>
          <w:lang w:val="es-AR"/>
        </w:rPr>
      </w:pPr>
      <w:r w:rsidRPr="007E1807">
        <w:rPr>
          <w:sz w:val="20"/>
          <w:szCs w:val="20"/>
          <w:lang w:val="es-AR"/>
        </w:rPr>
        <w:t xml:space="preserve">La capacidad de Argentina de obtener financiamiento y de atraer inversiones extranjeras directas ha sido limitada. No obstante, el renovado acceso argentino a los mercados de capitales internacionales, si la economía argentina se deteriora en el futuro y si el Gobierno Nacional no pudiera cumplir en término con sus obligaciones soberanas, esto podría resultar nuevamente en un aislamiento financiero del </w:t>
      </w:r>
      <w:r w:rsidRPr="007E1807">
        <w:rPr>
          <w:sz w:val="20"/>
          <w:szCs w:val="20"/>
          <w:lang w:val="es-AR" w:eastAsia="es-ES"/>
        </w:rPr>
        <w:t xml:space="preserve">país y de las </w:t>
      </w:r>
      <w:r w:rsidRPr="007E1807">
        <w:rPr>
          <w:sz w:val="20"/>
          <w:szCs w:val="20"/>
          <w:lang w:val="es-AR"/>
        </w:rPr>
        <w:t>empresas privadas, afectando adversamente la situación financiera del Emisor.</w:t>
      </w:r>
    </w:p>
    <w:p w14:paraId="665BA7E0" w14:textId="77777777" w:rsidR="007E1807" w:rsidRPr="007E1807" w:rsidRDefault="007E1807" w:rsidP="007E1807">
      <w:pPr>
        <w:widowControl w:val="0"/>
        <w:jc w:val="both"/>
        <w:rPr>
          <w:sz w:val="20"/>
          <w:szCs w:val="20"/>
          <w:highlight w:val="green"/>
          <w:lang w:val="es-AR"/>
        </w:rPr>
      </w:pPr>
    </w:p>
    <w:p w14:paraId="6544238D" w14:textId="77777777" w:rsidR="007E1807" w:rsidRPr="007E1807" w:rsidRDefault="007E1807" w:rsidP="007E1807">
      <w:pPr>
        <w:autoSpaceDE w:val="0"/>
        <w:autoSpaceDN w:val="0"/>
        <w:adjustRightInd w:val="0"/>
        <w:jc w:val="both"/>
        <w:rPr>
          <w:sz w:val="20"/>
          <w:szCs w:val="20"/>
          <w:lang w:val="es-AR"/>
        </w:rPr>
      </w:pPr>
      <w:r w:rsidRPr="007E1807">
        <w:rPr>
          <w:sz w:val="20"/>
          <w:szCs w:val="20"/>
          <w:lang w:val="es-AR"/>
        </w:rPr>
        <w:t xml:space="preserve">La condición fiscal del país se ha visto y podría continuar viéndose adversamente afectada, lo que podría generar más inflación y dificultar la capacidad del Gobierno Nacional de implementar políticas económicas diseñadas para promover el crecimiento. Los interrogantes existentes acerca de las posibles consecuencias en la economía que podrían tener las medidas que pudiera adoptar el nuevo Gobierno Nacional con el objetivo de remediar la crisis económica, podría afectar significativamente en la capacidad de la Sociedad de repagar las Obligaciones Negociables. </w:t>
      </w:r>
    </w:p>
    <w:p w14:paraId="0214B6A3" w14:textId="77777777" w:rsidR="007E1807" w:rsidRPr="007E1807" w:rsidRDefault="007E1807" w:rsidP="007E1807">
      <w:pPr>
        <w:autoSpaceDE w:val="0"/>
        <w:autoSpaceDN w:val="0"/>
        <w:adjustRightInd w:val="0"/>
        <w:jc w:val="both"/>
        <w:rPr>
          <w:sz w:val="20"/>
          <w:szCs w:val="20"/>
          <w:lang w:val="es-AR"/>
        </w:rPr>
      </w:pPr>
    </w:p>
    <w:p w14:paraId="6FAF3998" w14:textId="77777777" w:rsidR="007E1807" w:rsidRPr="007E1807" w:rsidRDefault="007E1807" w:rsidP="007E1807">
      <w:pPr>
        <w:autoSpaceDE w:val="0"/>
        <w:autoSpaceDN w:val="0"/>
        <w:adjustRightInd w:val="0"/>
        <w:jc w:val="both"/>
        <w:rPr>
          <w:i/>
          <w:sz w:val="20"/>
          <w:szCs w:val="20"/>
          <w:lang w:val="es-AR"/>
        </w:rPr>
      </w:pPr>
      <w:r w:rsidRPr="007E1807">
        <w:rPr>
          <w:i/>
          <w:sz w:val="20"/>
          <w:szCs w:val="20"/>
          <w:lang w:val="es-AR"/>
        </w:rPr>
        <w:t xml:space="preserve">Acuerdo con el Fondo Monetario Internacional </w:t>
      </w:r>
    </w:p>
    <w:p w14:paraId="304166C5" w14:textId="77777777" w:rsidR="007E1807" w:rsidRPr="007E1807" w:rsidRDefault="007E1807" w:rsidP="007E1807">
      <w:pPr>
        <w:autoSpaceDE w:val="0"/>
        <w:autoSpaceDN w:val="0"/>
        <w:adjustRightInd w:val="0"/>
        <w:jc w:val="both"/>
        <w:rPr>
          <w:sz w:val="20"/>
          <w:szCs w:val="20"/>
          <w:lang w:val="es-AR"/>
        </w:rPr>
      </w:pPr>
    </w:p>
    <w:p w14:paraId="5810695C" w14:textId="77777777" w:rsidR="007E1807" w:rsidRPr="007E1807" w:rsidRDefault="007E1807" w:rsidP="007E1807">
      <w:pPr>
        <w:autoSpaceDE w:val="0"/>
        <w:autoSpaceDN w:val="0"/>
        <w:adjustRightInd w:val="0"/>
        <w:jc w:val="both"/>
        <w:rPr>
          <w:sz w:val="20"/>
          <w:lang w:val="es-ES"/>
        </w:rPr>
      </w:pPr>
      <w:r w:rsidRPr="007E1807">
        <w:rPr>
          <w:rFonts w:eastAsia="MS Mincho"/>
          <w:sz w:val="20"/>
          <w:lang w:val="es-AR" w:eastAsia="zh-CN"/>
        </w:rPr>
        <w:t>En mayo de 2018, el gobierno de Macri</w:t>
      </w:r>
      <w:r w:rsidRPr="007E1807">
        <w:rPr>
          <w:sz w:val="20"/>
          <w:szCs w:val="20"/>
          <w:lang w:val="es-ES"/>
        </w:rPr>
        <w:t xml:space="preserve"> anunció el inicio de negociaciones con el FMI con la intención de solicitar a ese Fondo un “Acuerdo </w:t>
      </w:r>
      <w:r w:rsidRPr="007E1807">
        <w:rPr>
          <w:i/>
          <w:sz w:val="20"/>
          <w:szCs w:val="20"/>
          <w:lang w:val="es-ES"/>
        </w:rPr>
        <w:t>Stand-by</w:t>
      </w:r>
      <w:r w:rsidRPr="007E1807">
        <w:rPr>
          <w:sz w:val="20"/>
          <w:szCs w:val="20"/>
          <w:lang w:val="es-ES"/>
        </w:rPr>
        <w:t>”</w:t>
      </w:r>
      <w:r w:rsidRPr="007E1807">
        <w:rPr>
          <w:color w:val="4B4B4B"/>
          <w:sz w:val="20"/>
          <w:szCs w:val="20"/>
          <w:shd w:val="clear" w:color="auto" w:fill="FFFFFF"/>
          <w:lang w:val="es-AR"/>
        </w:rPr>
        <w:t xml:space="preserve"> </w:t>
      </w:r>
      <w:r w:rsidRPr="007E1807">
        <w:rPr>
          <w:sz w:val="20"/>
          <w:szCs w:val="20"/>
          <w:lang w:val="es-AR"/>
        </w:rPr>
        <w:t>por un monto de</w:t>
      </w:r>
      <w:r w:rsidRPr="007E1807">
        <w:rPr>
          <w:bCs/>
          <w:sz w:val="20"/>
          <w:szCs w:val="20"/>
          <w:lang w:val="es-AR"/>
        </w:rPr>
        <w:t xml:space="preserve"> US$50.000 millones a lo largo de 36 meses, cuyas bases generales se dieron a conocer mediante el Memorándum de Políticas Económicas y Financieras (MPEF)</w:t>
      </w:r>
      <w:r w:rsidRPr="007E1807">
        <w:rPr>
          <w:sz w:val="20"/>
          <w:szCs w:val="20"/>
          <w:lang w:val="es-AR"/>
        </w:rPr>
        <w:t>. Tras diversas revisiones y renegociaciones hubo en su totalidad cinco desembolsos hasta julio de 2019 por U$S 44.867 millones.</w:t>
      </w:r>
      <w:bookmarkStart w:id="54" w:name="_DV_M222"/>
      <w:bookmarkEnd w:id="54"/>
    </w:p>
    <w:p w14:paraId="08A6C771" w14:textId="77777777" w:rsidR="007E1807" w:rsidRPr="007E1807" w:rsidRDefault="007E1807" w:rsidP="007E1807">
      <w:pPr>
        <w:autoSpaceDE w:val="0"/>
        <w:autoSpaceDN w:val="0"/>
        <w:adjustRightInd w:val="0"/>
        <w:jc w:val="both"/>
        <w:rPr>
          <w:sz w:val="20"/>
          <w:szCs w:val="20"/>
          <w:lang w:val="es-AR"/>
        </w:rPr>
      </w:pPr>
    </w:p>
    <w:p w14:paraId="013DE570" w14:textId="4ACB4F2B" w:rsidR="007E1807" w:rsidRPr="007E1807" w:rsidRDefault="007E1807" w:rsidP="007E1807">
      <w:pPr>
        <w:jc w:val="both"/>
        <w:rPr>
          <w:sz w:val="20"/>
          <w:lang w:val="es-AR"/>
        </w:rPr>
      </w:pPr>
      <w:r w:rsidRPr="007E1807">
        <w:rPr>
          <w:sz w:val="20"/>
          <w:lang w:val="es-AR"/>
        </w:rPr>
        <w:t>A la fecha de este Suplemento de</w:t>
      </w:r>
      <w:r w:rsidRPr="00C436CD">
        <w:rPr>
          <w:sz w:val="20"/>
          <w:lang w:val="es-AR"/>
        </w:rPr>
        <w:t xml:space="preserve"> Prospecto</w:t>
      </w:r>
      <w:r w:rsidRPr="007E1807">
        <w:rPr>
          <w:sz w:val="20"/>
          <w:lang w:val="es-AR"/>
        </w:rPr>
        <w:t>, y no habiendo asumido aún el nuevo Gobierno Nacional no puede predecirse el rumbo ni el cariz de las medidas que se tomarán en cuanto al Acuerdo.</w:t>
      </w:r>
    </w:p>
    <w:p w14:paraId="3E97B3AF" w14:textId="77777777" w:rsidR="007E1807" w:rsidRPr="007E1807" w:rsidRDefault="007E1807" w:rsidP="007E1807">
      <w:pPr>
        <w:autoSpaceDE w:val="0"/>
        <w:autoSpaceDN w:val="0"/>
        <w:adjustRightInd w:val="0"/>
        <w:jc w:val="both"/>
        <w:rPr>
          <w:sz w:val="20"/>
          <w:szCs w:val="20"/>
          <w:lang w:val="es-AR"/>
        </w:rPr>
      </w:pPr>
    </w:p>
    <w:p w14:paraId="5CD50AAE" w14:textId="77777777" w:rsidR="007E1807" w:rsidRPr="007E1807" w:rsidRDefault="007E1807" w:rsidP="007E1807">
      <w:pPr>
        <w:widowControl w:val="0"/>
        <w:jc w:val="both"/>
        <w:rPr>
          <w:sz w:val="20"/>
          <w:highlight w:val="green"/>
          <w:lang w:val="es-AR"/>
        </w:rPr>
      </w:pPr>
    </w:p>
    <w:p w14:paraId="74078CCD" w14:textId="77777777" w:rsidR="007E1807" w:rsidRPr="007E1807" w:rsidRDefault="007E1807" w:rsidP="007E1807">
      <w:pPr>
        <w:autoSpaceDE w:val="0"/>
        <w:autoSpaceDN w:val="0"/>
        <w:adjustRightInd w:val="0"/>
        <w:jc w:val="both"/>
        <w:rPr>
          <w:i/>
          <w:iCs/>
          <w:sz w:val="20"/>
          <w:szCs w:val="20"/>
          <w:lang w:val="es-AR"/>
        </w:rPr>
      </w:pPr>
      <w:r w:rsidRPr="007E1807">
        <w:rPr>
          <w:i/>
          <w:iCs/>
          <w:sz w:val="20"/>
          <w:szCs w:val="20"/>
          <w:lang w:val="es-AR"/>
        </w:rPr>
        <w:t xml:space="preserve">Un descenso en los precios internacionales de los commodities exportados por Argentina y una apreciación real adicional del Peso respecto del Dólar podría perjudicar la situación económica, crear nuevas presiones sobre el mercado cambiario y tener un efecto sustancialmente adverso sobre las perspectivas del Emisor. </w:t>
      </w:r>
    </w:p>
    <w:p w14:paraId="60B17B46" w14:textId="77777777" w:rsidR="007E1807" w:rsidRPr="007E1807" w:rsidRDefault="007E1807" w:rsidP="007E1807">
      <w:pPr>
        <w:autoSpaceDE w:val="0"/>
        <w:autoSpaceDN w:val="0"/>
        <w:adjustRightInd w:val="0"/>
        <w:jc w:val="both"/>
        <w:rPr>
          <w:sz w:val="20"/>
          <w:szCs w:val="20"/>
          <w:lang w:val="es-AR"/>
        </w:rPr>
      </w:pPr>
    </w:p>
    <w:p w14:paraId="13D30E5D" w14:textId="77777777" w:rsidR="007E1807" w:rsidRPr="007E1807" w:rsidRDefault="007E1807" w:rsidP="007E1807">
      <w:pPr>
        <w:autoSpaceDE w:val="0"/>
        <w:autoSpaceDN w:val="0"/>
        <w:adjustRightInd w:val="0"/>
        <w:jc w:val="both"/>
        <w:rPr>
          <w:sz w:val="20"/>
          <w:szCs w:val="20"/>
          <w:lang w:val="es-AR"/>
        </w:rPr>
      </w:pPr>
      <w:r w:rsidRPr="007E1807">
        <w:rPr>
          <w:sz w:val="20"/>
          <w:szCs w:val="20"/>
          <w:lang w:val="es-AR"/>
        </w:rPr>
        <w:t xml:space="preserve">La dependencia generada por la Argentina con respecto a la exportación de determinados </w:t>
      </w:r>
      <w:r w:rsidRPr="007E1807">
        <w:rPr>
          <w:i/>
          <w:sz w:val="20"/>
          <w:szCs w:val="20"/>
          <w:lang w:val="es-AR"/>
        </w:rPr>
        <w:t>commodities</w:t>
      </w:r>
      <w:r w:rsidRPr="007E1807">
        <w:rPr>
          <w:sz w:val="20"/>
          <w:szCs w:val="20"/>
          <w:lang w:val="es-AR"/>
        </w:rPr>
        <w:t xml:space="preserve"> tales como la soja, hacen al país más vulnerable a las variaciones de precios de los mismos. Si los precios internacionales de los </w:t>
      </w:r>
      <w:r w:rsidRPr="007E1807">
        <w:rPr>
          <w:i/>
          <w:sz w:val="20"/>
          <w:szCs w:val="20"/>
          <w:lang w:val="es-AR"/>
        </w:rPr>
        <w:t>commodities</w:t>
      </w:r>
      <w:r w:rsidRPr="007E1807">
        <w:rPr>
          <w:sz w:val="20"/>
          <w:szCs w:val="20"/>
          <w:lang w:val="es-AR"/>
        </w:rPr>
        <w:t xml:space="preserve"> continuaran cayendo, se podría ocasionar un efecto significativamente adverso en la economía argentina, aumentando el déficit por cuenta corriente de Argentina. Además, la producción de </w:t>
      </w:r>
      <w:r w:rsidRPr="007E1807">
        <w:rPr>
          <w:i/>
          <w:sz w:val="20"/>
          <w:szCs w:val="20"/>
          <w:lang w:val="es-AR"/>
        </w:rPr>
        <w:t xml:space="preserve">commodities </w:t>
      </w:r>
      <w:r w:rsidRPr="007E1807">
        <w:rPr>
          <w:sz w:val="20"/>
          <w:szCs w:val="20"/>
          <w:lang w:val="es-AR"/>
        </w:rPr>
        <w:t>de sectores tales como el agrícola, que representan una porción significativa de los ingresos por exportaciones de Argentina, se encuentran condicionados a factores externos inmanejables tales como las condiciones climáticas adversas.</w:t>
      </w:r>
    </w:p>
    <w:p w14:paraId="22DAC8C6" w14:textId="77777777" w:rsidR="007E1807" w:rsidRPr="007E1807" w:rsidRDefault="007E1807" w:rsidP="007E1807">
      <w:pPr>
        <w:autoSpaceDE w:val="0"/>
        <w:autoSpaceDN w:val="0"/>
        <w:adjustRightInd w:val="0"/>
        <w:jc w:val="both"/>
        <w:rPr>
          <w:sz w:val="20"/>
          <w:szCs w:val="20"/>
          <w:lang w:val="es-AR"/>
        </w:rPr>
      </w:pPr>
    </w:p>
    <w:p w14:paraId="3E55163E" w14:textId="77777777" w:rsidR="007E1807" w:rsidRPr="007E1807" w:rsidRDefault="007E1807" w:rsidP="007E1807">
      <w:pPr>
        <w:autoSpaceDE w:val="0"/>
        <w:autoSpaceDN w:val="0"/>
        <w:adjustRightInd w:val="0"/>
        <w:jc w:val="both"/>
        <w:rPr>
          <w:sz w:val="20"/>
          <w:szCs w:val="20"/>
          <w:lang w:val="es-AR"/>
        </w:rPr>
      </w:pPr>
      <w:r w:rsidRPr="007E1807">
        <w:rPr>
          <w:sz w:val="20"/>
          <w:szCs w:val="20"/>
          <w:lang w:val="es-AR"/>
        </w:rPr>
        <w:t>Una significativa apreciación real del Peso podría reducir la competitividad de Argentina, afectando de forma significativa las exportaciones del país lo que a su vez podría crear nuevas presiones recesivas en su economía y por consiguiente una nueva situación de desequilibrio en el mercado cambiario que podría derivar en una elevada volatilidad del tipo de cambio. Más importante, en el corto plazo, una significativa apreciación del tipo de cambio real podría reducir significativamente los ingresos tributarios del sector público argentino en términos reales, dada la fuerte dependencia de los ingresos tributarios de los impuestos a las exportaciones (retenciones).</w:t>
      </w:r>
    </w:p>
    <w:p w14:paraId="614318D8" w14:textId="77777777" w:rsidR="007E1807" w:rsidRPr="007E1807" w:rsidRDefault="007E1807" w:rsidP="007E1807">
      <w:pPr>
        <w:autoSpaceDE w:val="0"/>
        <w:autoSpaceDN w:val="0"/>
        <w:adjustRightInd w:val="0"/>
        <w:jc w:val="both"/>
        <w:rPr>
          <w:sz w:val="20"/>
          <w:szCs w:val="20"/>
          <w:lang w:val="es-AR"/>
        </w:rPr>
      </w:pPr>
    </w:p>
    <w:p w14:paraId="661D0BE1" w14:textId="77777777" w:rsidR="007E1807" w:rsidRPr="007E1807" w:rsidRDefault="007E1807" w:rsidP="007E1807">
      <w:pPr>
        <w:autoSpaceDE w:val="0"/>
        <w:autoSpaceDN w:val="0"/>
        <w:adjustRightInd w:val="0"/>
        <w:jc w:val="both"/>
        <w:rPr>
          <w:sz w:val="20"/>
          <w:szCs w:val="20"/>
          <w:lang w:val="es-ES"/>
        </w:rPr>
      </w:pPr>
      <w:r w:rsidRPr="007E1807">
        <w:rPr>
          <w:sz w:val="20"/>
          <w:szCs w:val="20"/>
          <w:lang w:val="es-AR"/>
        </w:rPr>
        <w:t xml:space="preserve">La ocurrencia de cualesquiera de los eventos citados precedentemente podría tener un efecto material adverso en la situación económico y financiera del país </w:t>
      </w:r>
      <w:r w:rsidRPr="007E1807">
        <w:rPr>
          <w:sz w:val="20"/>
          <w:szCs w:val="20"/>
          <w:lang w:val="es-ES"/>
        </w:rPr>
        <w:t>y, por ende, la situación patrimonial y los resultados de las operaciones del Emisor y su capacidad de pago de las Obligaciones Negociables.</w:t>
      </w:r>
    </w:p>
    <w:p w14:paraId="035DA8C8" w14:textId="77777777" w:rsidR="007E1807" w:rsidRPr="007E1807" w:rsidRDefault="007E1807" w:rsidP="007E1807">
      <w:pPr>
        <w:autoSpaceDE w:val="0"/>
        <w:autoSpaceDN w:val="0"/>
        <w:adjustRightInd w:val="0"/>
        <w:jc w:val="both"/>
        <w:rPr>
          <w:sz w:val="20"/>
          <w:lang w:val="es-ES"/>
        </w:rPr>
      </w:pPr>
    </w:p>
    <w:p w14:paraId="3B20C5AA" w14:textId="77777777" w:rsidR="007E1807" w:rsidRPr="007E1807" w:rsidRDefault="007E1807" w:rsidP="007E1807">
      <w:pPr>
        <w:autoSpaceDE w:val="0"/>
        <w:autoSpaceDN w:val="0"/>
        <w:adjustRightInd w:val="0"/>
        <w:jc w:val="both"/>
        <w:rPr>
          <w:rFonts w:eastAsia="Calibri"/>
          <w:i/>
          <w:sz w:val="20"/>
          <w:szCs w:val="20"/>
          <w:lang w:val="es-ES"/>
        </w:rPr>
      </w:pPr>
      <w:r w:rsidRPr="007E1807">
        <w:rPr>
          <w:rFonts w:eastAsia="Calibri"/>
          <w:i/>
          <w:sz w:val="20"/>
          <w:szCs w:val="20"/>
          <w:lang w:val="es-ES"/>
        </w:rPr>
        <w:t>Elecciones presidenciales</w:t>
      </w:r>
    </w:p>
    <w:p w14:paraId="734BEFC2" w14:textId="77777777" w:rsidR="007E1807" w:rsidRPr="007E1807" w:rsidRDefault="007E1807" w:rsidP="007E1807">
      <w:pPr>
        <w:autoSpaceDE w:val="0"/>
        <w:autoSpaceDN w:val="0"/>
        <w:adjustRightInd w:val="0"/>
        <w:jc w:val="both"/>
        <w:rPr>
          <w:rFonts w:eastAsia="Calibri"/>
          <w:sz w:val="20"/>
          <w:szCs w:val="20"/>
          <w:lang w:val="es-ES"/>
        </w:rPr>
      </w:pPr>
    </w:p>
    <w:p w14:paraId="4339DFFC" w14:textId="74A91024" w:rsidR="007E1807" w:rsidRPr="00C436CD" w:rsidRDefault="007E1807" w:rsidP="007E1807">
      <w:pPr>
        <w:jc w:val="both"/>
        <w:rPr>
          <w:rFonts w:eastAsia="MS Mincho"/>
          <w:sz w:val="20"/>
          <w:lang w:val="es-AR"/>
        </w:rPr>
      </w:pPr>
      <w:r w:rsidRPr="007E1807">
        <w:rPr>
          <w:rFonts w:eastAsia="MS Mincho"/>
          <w:sz w:val="20"/>
          <w:lang w:val="es-AR" w:eastAsia="zh-CN"/>
        </w:rPr>
        <w:t xml:space="preserve">En octubre de 2019 se llevaron a cabo en la Argentina elecciones presidenciales y parlamentarias, habiendo ganado las presidenciales Alberto Fernández del partido Frente de Todos. A la fecha de </w:t>
      </w:r>
      <w:r w:rsidRPr="00C436CD">
        <w:rPr>
          <w:rFonts w:eastAsia="MS Mincho"/>
          <w:sz w:val="20"/>
          <w:lang w:val="es-AR"/>
        </w:rPr>
        <w:t>este Suplemento de Prospecto</w:t>
      </w:r>
      <w:r w:rsidRPr="007E1807">
        <w:rPr>
          <w:rFonts w:eastAsia="MS Mincho"/>
          <w:sz w:val="20"/>
          <w:lang w:val="es-AR" w:eastAsia="zh-CN"/>
        </w:rPr>
        <w:t xml:space="preserve">, se desconocen las medias que tomará el nuevo gobierno en las distintas cuestiones que se han mencionado en esta Sección y el impacto que ello tendrá en la economía argentina en su conjunto. </w:t>
      </w:r>
    </w:p>
    <w:p w14:paraId="1E529FCA" w14:textId="77777777" w:rsidR="007E1807" w:rsidRPr="00C436CD" w:rsidRDefault="007E1807" w:rsidP="00C436CD">
      <w:pPr>
        <w:autoSpaceDE w:val="0"/>
        <w:autoSpaceDN w:val="0"/>
        <w:adjustRightInd w:val="0"/>
        <w:jc w:val="both"/>
        <w:rPr>
          <w:sz w:val="20"/>
          <w:lang w:val="es-ES"/>
        </w:rPr>
      </w:pPr>
    </w:p>
    <w:p w14:paraId="62C8C8AB" w14:textId="3507430E" w:rsidR="007E1807" w:rsidRPr="007E1807" w:rsidRDefault="007E1807" w:rsidP="007E1807">
      <w:pPr>
        <w:autoSpaceDE w:val="0"/>
        <w:autoSpaceDN w:val="0"/>
        <w:adjustRightInd w:val="0"/>
        <w:jc w:val="both"/>
        <w:rPr>
          <w:rFonts w:eastAsia="Calibri"/>
          <w:i/>
          <w:iCs/>
          <w:color w:val="000000"/>
          <w:sz w:val="20"/>
          <w:szCs w:val="20"/>
          <w:lang w:val="es-MX"/>
        </w:rPr>
      </w:pPr>
      <w:r w:rsidRPr="007E1807">
        <w:rPr>
          <w:rFonts w:eastAsia="Calibri" w:cs="Cambria"/>
          <w:i/>
          <w:sz w:val="20"/>
          <w:lang w:val="es-ES"/>
        </w:rPr>
        <w:t xml:space="preserve">La </w:t>
      </w:r>
      <w:r w:rsidRPr="007E1807">
        <w:rPr>
          <w:rFonts w:eastAsia="Calibri"/>
          <w:i/>
          <w:sz w:val="20"/>
          <w:szCs w:val="20"/>
          <w:lang w:val="es-ES"/>
        </w:rPr>
        <w:t>economía argentina podría verse afectada por acontecimientos económicos y políticos regionales</w:t>
      </w:r>
      <w:r w:rsidRPr="007E1807">
        <w:rPr>
          <w:rFonts w:eastAsia="Calibri"/>
          <w:i/>
          <w:iCs/>
          <w:color w:val="000000"/>
          <w:sz w:val="20"/>
          <w:szCs w:val="20"/>
          <w:lang w:val="es-MX"/>
        </w:rPr>
        <w:t xml:space="preserve">. </w:t>
      </w:r>
    </w:p>
    <w:p w14:paraId="4BC7427B" w14:textId="77777777" w:rsidR="007E1807" w:rsidRPr="007E1807" w:rsidRDefault="007E1807" w:rsidP="007E1807">
      <w:pPr>
        <w:autoSpaceDE w:val="0"/>
        <w:autoSpaceDN w:val="0"/>
        <w:adjustRightInd w:val="0"/>
        <w:jc w:val="both"/>
        <w:rPr>
          <w:rFonts w:eastAsia="Calibri"/>
          <w:color w:val="000000"/>
          <w:sz w:val="20"/>
          <w:szCs w:val="20"/>
          <w:lang w:val="es-MX"/>
        </w:rPr>
      </w:pPr>
    </w:p>
    <w:p w14:paraId="364E33EA" w14:textId="77777777" w:rsidR="007E1807" w:rsidRPr="007E1807" w:rsidRDefault="007E1807" w:rsidP="007E1807">
      <w:pPr>
        <w:autoSpaceDE w:val="0"/>
        <w:autoSpaceDN w:val="0"/>
        <w:adjustRightInd w:val="0"/>
        <w:jc w:val="both"/>
        <w:rPr>
          <w:rFonts w:eastAsia="Calibri"/>
          <w:sz w:val="20"/>
          <w:szCs w:val="20"/>
          <w:lang w:val="es-ES"/>
        </w:rPr>
      </w:pPr>
      <w:r w:rsidRPr="007E1807">
        <w:rPr>
          <w:rFonts w:eastAsia="Calibri"/>
          <w:sz w:val="20"/>
          <w:szCs w:val="20"/>
          <w:lang w:val="es-ES"/>
        </w:rPr>
        <w:t>El mercado financiero argentino se ve influenciado por las condiciones económicas de los mercados regionales. Si bien las condiciones económicas varían de país a país, la percepción de los inversores respecto a los eventos que se producen en un país puede afectar sustancialmente los flujos de capital con destino a otros países, incluyendo la Argentina, así como la disponibilidad de fondos para emisores en dichos países. La contracción de los flujos de ingresos de capital y la tendencia a la baja de los precios de los títulos valores afectan en forma adversa la economía real de un país a través de incrementos de la tasa de interés o volatilidad en el tipo de cambio.</w:t>
      </w:r>
    </w:p>
    <w:p w14:paraId="712A5991" w14:textId="77777777" w:rsidR="007E1807" w:rsidRPr="007E1807" w:rsidRDefault="007E1807" w:rsidP="007E1807">
      <w:pPr>
        <w:autoSpaceDE w:val="0"/>
        <w:autoSpaceDN w:val="0"/>
        <w:adjustRightInd w:val="0"/>
        <w:jc w:val="both"/>
        <w:rPr>
          <w:rFonts w:eastAsia="Calibri"/>
          <w:sz w:val="20"/>
          <w:szCs w:val="20"/>
          <w:lang w:val="es-ES"/>
        </w:rPr>
      </w:pPr>
    </w:p>
    <w:p w14:paraId="00BB0D69" w14:textId="77777777" w:rsidR="007E1807" w:rsidRPr="007E1807" w:rsidRDefault="007E1807" w:rsidP="007E1807">
      <w:pPr>
        <w:autoSpaceDE w:val="0"/>
        <w:autoSpaceDN w:val="0"/>
        <w:spacing w:before="120"/>
        <w:jc w:val="both"/>
        <w:rPr>
          <w:i/>
          <w:iCs/>
          <w:sz w:val="20"/>
          <w:szCs w:val="20"/>
          <w:lang w:val="es-AR" w:eastAsia="es-ES"/>
        </w:rPr>
      </w:pPr>
      <w:r w:rsidRPr="007E1807">
        <w:rPr>
          <w:i/>
          <w:iCs/>
          <w:sz w:val="20"/>
          <w:szCs w:val="20"/>
          <w:lang w:val="es-AR" w:eastAsia="es-ES"/>
        </w:rPr>
        <w:t xml:space="preserve">Cambios o nuevas regulaciones en el mercado cambiario podrían afectar en forma negativa la capacidad y el modo en que el Emisor repague sus obligaciones en moneda extranjera o vinculadas a ésta. </w:t>
      </w:r>
    </w:p>
    <w:p w14:paraId="22FE20D4" w14:textId="77777777" w:rsidR="007E1807" w:rsidRPr="007E1807" w:rsidRDefault="007E1807" w:rsidP="007E1807">
      <w:pPr>
        <w:autoSpaceDE w:val="0"/>
        <w:autoSpaceDN w:val="0"/>
        <w:spacing w:before="120"/>
        <w:jc w:val="both"/>
        <w:rPr>
          <w:sz w:val="20"/>
          <w:szCs w:val="20"/>
          <w:lang w:val="es-AR" w:eastAsia="es-ES"/>
        </w:rPr>
      </w:pPr>
      <w:r w:rsidRPr="007E1807">
        <w:rPr>
          <w:sz w:val="20"/>
          <w:szCs w:val="20"/>
          <w:lang w:val="es-AR" w:eastAsia="es-ES"/>
        </w:rPr>
        <w:lastRenderedPageBreak/>
        <w:t>A la fecha del presente se han establecido nuevamente restricciones cambiarias. Véase “</w:t>
      </w:r>
      <w:r w:rsidRPr="007E1807">
        <w:rPr>
          <w:i/>
          <w:sz w:val="20"/>
          <w:szCs w:val="20"/>
          <w:lang w:val="es-AR" w:eastAsia="es-ES"/>
        </w:rPr>
        <w:t>Información Adicional – a) Controles de Cambio</w:t>
      </w:r>
      <w:r w:rsidRPr="007E1807">
        <w:rPr>
          <w:sz w:val="20"/>
          <w:szCs w:val="20"/>
          <w:lang w:val="es-AR" w:eastAsia="es-ES"/>
        </w:rPr>
        <w:t xml:space="preserve">”, todo lo cual podría afectar en forma adversa la capacidad del Emisor para acceder a los mercados de capitales internacionales e incluso menoscabar la capacidad del Emisor de efectuar los pagos de capital y/o intereses de sus obligaciones denominadas en moneda extranjera o transferir al exterior (total o parcialmente) fondos para realizar pagos de las mismas, afectando su situación financiera y consecuentemente la capacidad de repago de sus obligaciones. </w:t>
      </w:r>
    </w:p>
    <w:p w14:paraId="0A3E3AE3" w14:textId="77777777" w:rsidR="007E1807" w:rsidRPr="007E1807" w:rsidRDefault="007E1807" w:rsidP="007E1807">
      <w:pPr>
        <w:autoSpaceDE w:val="0"/>
        <w:autoSpaceDN w:val="0"/>
        <w:adjustRightInd w:val="0"/>
        <w:jc w:val="both"/>
        <w:rPr>
          <w:rFonts w:eastAsia="Calibri"/>
          <w:sz w:val="20"/>
          <w:szCs w:val="20"/>
          <w:lang w:val="es-AR"/>
        </w:rPr>
      </w:pPr>
    </w:p>
    <w:p w14:paraId="1065DB97" w14:textId="77777777" w:rsidR="007E1807" w:rsidRPr="007E1807" w:rsidRDefault="007E1807" w:rsidP="007E1807">
      <w:pPr>
        <w:jc w:val="both"/>
        <w:rPr>
          <w:sz w:val="20"/>
          <w:szCs w:val="20"/>
          <w:lang w:val="es-AR"/>
        </w:rPr>
      </w:pPr>
    </w:p>
    <w:p w14:paraId="2EA5E5C5" w14:textId="77777777" w:rsidR="007E1807" w:rsidRPr="007E1807" w:rsidRDefault="007E1807" w:rsidP="007E1807">
      <w:pPr>
        <w:widowControl w:val="0"/>
        <w:jc w:val="both"/>
        <w:rPr>
          <w:b/>
          <w:iCs/>
          <w:sz w:val="20"/>
          <w:szCs w:val="20"/>
          <w:lang w:val="es-AR"/>
        </w:rPr>
      </w:pPr>
      <w:r w:rsidRPr="007E1807">
        <w:rPr>
          <w:b/>
          <w:iCs/>
          <w:sz w:val="20"/>
          <w:szCs w:val="20"/>
          <w:lang w:val="es-AR"/>
        </w:rPr>
        <w:t>Factores de Riesgo Relacionados con el Sistema Financiero Argentino</w:t>
      </w:r>
    </w:p>
    <w:p w14:paraId="2D6C7159" w14:textId="77777777" w:rsidR="007E1807" w:rsidRPr="007E1807" w:rsidRDefault="007E1807" w:rsidP="007E1807">
      <w:pPr>
        <w:widowControl w:val="0"/>
        <w:jc w:val="both"/>
        <w:rPr>
          <w:sz w:val="20"/>
          <w:szCs w:val="20"/>
          <w:lang w:val="es-AR"/>
        </w:rPr>
      </w:pPr>
    </w:p>
    <w:p w14:paraId="34453D0F" w14:textId="77777777" w:rsidR="007E1807" w:rsidRPr="007E1807" w:rsidRDefault="007E1807" w:rsidP="007E1807">
      <w:pPr>
        <w:widowControl w:val="0"/>
        <w:jc w:val="both"/>
        <w:rPr>
          <w:i/>
          <w:iCs/>
          <w:sz w:val="20"/>
          <w:szCs w:val="20"/>
          <w:lang w:val="es-AR"/>
        </w:rPr>
      </w:pPr>
      <w:r w:rsidRPr="007E1807">
        <w:rPr>
          <w:i/>
          <w:iCs/>
          <w:sz w:val="20"/>
          <w:szCs w:val="20"/>
          <w:lang w:val="es-AR"/>
        </w:rPr>
        <w:t xml:space="preserve">La estabilidad del sistema financiero depende de la capacidad de las entidades financieras, de mantener e incrementar la confianza de los depositantes. </w:t>
      </w:r>
    </w:p>
    <w:p w14:paraId="5F4442D9" w14:textId="77777777" w:rsidR="007E1807" w:rsidRPr="007E1807" w:rsidRDefault="007E1807" w:rsidP="007E1807">
      <w:pPr>
        <w:widowControl w:val="0"/>
        <w:jc w:val="both"/>
        <w:rPr>
          <w:i/>
          <w:sz w:val="20"/>
          <w:lang w:val="es-AR"/>
        </w:rPr>
      </w:pPr>
    </w:p>
    <w:p w14:paraId="58C57195" w14:textId="77777777" w:rsidR="007E1807" w:rsidRPr="007E1807" w:rsidRDefault="007E1807" w:rsidP="007E1807">
      <w:pPr>
        <w:widowControl w:val="0"/>
        <w:jc w:val="both"/>
        <w:rPr>
          <w:sz w:val="20"/>
          <w:lang w:val="es-ES"/>
        </w:rPr>
      </w:pPr>
      <w:r w:rsidRPr="007E1807">
        <w:rPr>
          <w:sz w:val="20"/>
          <w:szCs w:val="20"/>
          <w:lang w:val="es-AR"/>
        </w:rPr>
        <w:t xml:space="preserve">Una situación económica y financiera adversa, aun si no se encontrara relacionada con el sistema financiero, podría resultar en el retiro masivo de capitales de los bancos locales por parte de los depositantes, como una alternativa para proteger sus bienes de eventuales crisis. Cualquier retiro masivo de depósitos podría causar una falta de liquidez en el sector financiero, y como resultado, una contracción del acceso a la financiación. </w:t>
      </w:r>
      <w:r w:rsidRPr="007E1807">
        <w:rPr>
          <w:sz w:val="20"/>
          <w:szCs w:val="20"/>
          <w:lang w:val="es-ES"/>
        </w:rPr>
        <w:t>La ocurrencia de cualesquiera de los eventos citados precedentemente podría tener un efecto material adverso en la posición financiera y el negocio del Emisor y en su capacidad de hacer pagos con respecto a las Obligaciones Negociables.</w:t>
      </w:r>
    </w:p>
    <w:p w14:paraId="29A3551F" w14:textId="77777777" w:rsidR="007E1807" w:rsidRPr="007E1807" w:rsidRDefault="007E1807" w:rsidP="007E1807">
      <w:pPr>
        <w:widowControl w:val="0"/>
        <w:jc w:val="both"/>
        <w:rPr>
          <w:sz w:val="20"/>
          <w:szCs w:val="20"/>
          <w:lang w:val="es-AR"/>
        </w:rPr>
      </w:pPr>
    </w:p>
    <w:p w14:paraId="7A0540A1" w14:textId="77777777" w:rsidR="007E1807" w:rsidRPr="007E1807" w:rsidRDefault="007E1807" w:rsidP="007E1807">
      <w:pPr>
        <w:widowControl w:val="0"/>
        <w:jc w:val="both"/>
        <w:rPr>
          <w:i/>
          <w:iCs/>
          <w:sz w:val="20"/>
          <w:szCs w:val="20"/>
          <w:lang w:val="es-AR"/>
        </w:rPr>
      </w:pPr>
      <w:r w:rsidRPr="007E1807">
        <w:rPr>
          <w:i/>
          <w:iCs/>
          <w:sz w:val="20"/>
          <w:szCs w:val="20"/>
          <w:lang w:val="es-AR"/>
        </w:rPr>
        <w:t xml:space="preserve">La capacidad de las entidades financieras, incluido FCA, para generar ganancias podría verse limitada. </w:t>
      </w:r>
    </w:p>
    <w:p w14:paraId="368D4D6F" w14:textId="77777777" w:rsidR="007E1807" w:rsidRPr="007E1807" w:rsidRDefault="007E1807" w:rsidP="007E1807">
      <w:pPr>
        <w:widowControl w:val="0"/>
        <w:jc w:val="both"/>
        <w:rPr>
          <w:i/>
          <w:sz w:val="20"/>
          <w:lang w:val="es-AR"/>
        </w:rPr>
      </w:pPr>
    </w:p>
    <w:p w14:paraId="65E0795B" w14:textId="77777777" w:rsidR="007E1807" w:rsidRPr="007E1807" w:rsidRDefault="007E1807" w:rsidP="007E1807">
      <w:pPr>
        <w:widowControl w:val="0"/>
        <w:jc w:val="both"/>
        <w:rPr>
          <w:sz w:val="20"/>
          <w:szCs w:val="20"/>
          <w:lang w:val="es-AR"/>
        </w:rPr>
      </w:pPr>
      <w:r w:rsidRPr="007E1807">
        <w:rPr>
          <w:sz w:val="20"/>
          <w:szCs w:val="20"/>
          <w:lang w:val="es-AR"/>
        </w:rPr>
        <w:t xml:space="preserve">No puede asegurarse que la actividad de intermediación financiera se desarrollará lo suficiente para alcanzar los volúmenes necesarios para permitir una adecuada capacidad de las entidades financieras de generar resultados, incluido FCA, o que dichas acciones serán suficientemente adecuadas para evitar que las entidades financieras argentinas, como el Emisor, asuman riesgos excesivos por descalce de plazos. Bajo estas circunstancias, por un período de tiempo indeterminado, la escala de las operaciones de las entidades financieras que operan en Argentina, incluyendo a FCA, el volumen de sus negocios, el tamaño de sus activos y pasivos o su capacidad de generar resultados, podrían verse limitadas. </w:t>
      </w:r>
    </w:p>
    <w:p w14:paraId="6F9C96AF" w14:textId="77777777" w:rsidR="007E1807" w:rsidRPr="007E1807" w:rsidRDefault="007E1807" w:rsidP="007E1807">
      <w:pPr>
        <w:widowControl w:val="0"/>
        <w:jc w:val="both"/>
        <w:rPr>
          <w:sz w:val="20"/>
          <w:szCs w:val="20"/>
          <w:lang w:val="es-AR"/>
        </w:rPr>
      </w:pPr>
    </w:p>
    <w:p w14:paraId="654DB6BA" w14:textId="77777777" w:rsidR="007E1807" w:rsidRPr="007E1807" w:rsidRDefault="007E1807" w:rsidP="007E1807">
      <w:pPr>
        <w:widowControl w:val="0"/>
        <w:jc w:val="both"/>
        <w:rPr>
          <w:i/>
          <w:iCs/>
          <w:sz w:val="20"/>
          <w:szCs w:val="20"/>
          <w:lang w:val="es-AR"/>
        </w:rPr>
      </w:pPr>
      <w:r w:rsidRPr="007E1807">
        <w:rPr>
          <w:i/>
          <w:iCs/>
          <w:sz w:val="20"/>
          <w:szCs w:val="20"/>
          <w:lang w:val="es-AR"/>
        </w:rPr>
        <w:t xml:space="preserve">El crecimiento y las ganancias del sistema financiero argentino, incluido FCA, dependen parcialmente de la evolución del fondeo a mediano y largo plazo. </w:t>
      </w:r>
    </w:p>
    <w:p w14:paraId="7167E0D9" w14:textId="77777777" w:rsidR="007E1807" w:rsidRPr="007E1807" w:rsidRDefault="007E1807" w:rsidP="007E1807">
      <w:pPr>
        <w:widowControl w:val="0"/>
        <w:jc w:val="both"/>
        <w:rPr>
          <w:i/>
          <w:iCs/>
          <w:sz w:val="20"/>
          <w:szCs w:val="20"/>
          <w:lang w:val="es-AR"/>
        </w:rPr>
      </w:pPr>
    </w:p>
    <w:p w14:paraId="3929D886" w14:textId="77777777" w:rsidR="007E1807" w:rsidRPr="007E1807" w:rsidRDefault="007E1807" w:rsidP="007E1807">
      <w:pPr>
        <w:widowControl w:val="0"/>
        <w:jc w:val="both"/>
        <w:rPr>
          <w:sz w:val="20"/>
          <w:szCs w:val="20"/>
          <w:lang w:val="es-AR"/>
        </w:rPr>
      </w:pPr>
      <w:r w:rsidRPr="007E1807">
        <w:rPr>
          <w:sz w:val="20"/>
          <w:szCs w:val="20"/>
          <w:lang w:val="es-AR"/>
        </w:rPr>
        <w:t xml:space="preserve">A pesar de que los depósitos del sistema financiero continúan creciendo, son mayormente a la vista o a corto plazo y las fuentes de fondos de mediano y largo plazo de las entidades financieras son actualmente limitadas. En el caso que las instituciones financieras argentinas, como ser FCA, tuvieran dificultades en generar resultados y/o mantener el volumen y/o escala de sus negocios, podría afectar adversamente la capacidad del Emisor de honrar sus deudas, incluidas las Obligaciones Negociables. </w:t>
      </w:r>
    </w:p>
    <w:p w14:paraId="1564518B" w14:textId="77777777" w:rsidR="007E1807" w:rsidRPr="007E1807" w:rsidRDefault="007E1807" w:rsidP="007E1807">
      <w:pPr>
        <w:widowControl w:val="0"/>
        <w:jc w:val="both"/>
        <w:rPr>
          <w:sz w:val="20"/>
          <w:szCs w:val="20"/>
          <w:lang w:val="es-AR"/>
        </w:rPr>
      </w:pPr>
    </w:p>
    <w:p w14:paraId="4498F233" w14:textId="77777777" w:rsidR="007E1807" w:rsidRPr="007E1807" w:rsidRDefault="007E1807" w:rsidP="007E1807">
      <w:pPr>
        <w:widowControl w:val="0"/>
        <w:jc w:val="both"/>
        <w:rPr>
          <w:i/>
          <w:iCs/>
          <w:sz w:val="20"/>
          <w:szCs w:val="20"/>
          <w:lang w:val="es-AR"/>
        </w:rPr>
      </w:pPr>
      <w:r w:rsidRPr="007E1807">
        <w:rPr>
          <w:i/>
          <w:iCs/>
          <w:sz w:val="20"/>
          <w:szCs w:val="20"/>
          <w:lang w:val="es-AR"/>
        </w:rPr>
        <w:t xml:space="preserve">La calidad de los activos de las instituciones financieras, incluido FCA, está expuesta a la deuda del sector público (incluidos los títulos emitidos por el BCRA) y su capacidad de repago, que en períodos de recesión económica podría afectar negativamente los resultados de las operaciones. </w:t>
      </w:r>
    </w:p>
    <w:p w14:paraId="3A906AEA" w14:textId="77777777" w:rsidR="007E1807" w:rsidRPr="007E1807" w:rsidRDefault="007E1807" w:rsidP="007E1807">
      <w:pPr>
        <w:widowControl w:val="0"/>
        <w:jc w:val="both"/>
        <w:rPr>
          <w:i/>
          <w:iCs/>
          <w:sz w:val="20"/>
          <w:szCs w:val="20"/>
          <w:lang w:val="es-AR"/>
        </w:rPr>
      </w:pPr>
    </w:p>
    <w:p w14:paraId="51626B6C" w14:textId="77777777" w:rsidR="007E1807" w:rsidRPr="007E1807" w:rsidRDefault="007E1807" w:rsidP="007E1807">
      <w:pPr>
        <w:widowControl w:val="0"/>
        <w:jc w:val="both"/>
        <w:rPr>
          <w:sz w:val="20"/>
          <w:szCs w:val="20"/>
          <w:lang w:val="es-AR"/>
        </w:rPr>
      </w:pPr>
      <w:r w:rsidRPr="007E1807">
        <w:rPr>
          <w:sz w:val="20"/>
          <w:szCs w:val="20"/>
          <w:lang w:val="es-AR"/>
        </w:rPr>
        <w:t xml:space="preserve">Las entidades financieras argentinas continúan teniendo cierta exposición a la deuda del sector público y a su capacidad de repago. La capacidad del Gobierno Nacional para honrar sus obligaciones financieras depende, entre otras cosas, de su habilidad para establecer políticas económicas exitosas que fomenten el crecimiento y el desarrollo en el largo plazo, generen ingresos fiscales y controlen el gasto público, que podría parcial o totalmente no producirse. </w:t>
      </w:r>
    </w:p>
    <w:p w14:paraId="47BFF4F6" w14:textId="77777777" w:rsidR="007E1807" w:rsidRPr="007E1807" w:rsidRDefault="007E1807" w:rsidP="007E1807">
      <w:pPr>
        <w:widowControl w:val="0"/>
        <w:jc w:val="both"/>
        <w:rPr>
          <w:sz w:val="20"/>
          <w:szCs w:val="20"/>
          <w:lang w:val="es-AR"/>
        </w:rPr>
      </w:pPr>
    </w:p>
    <w:p w14:paraId="2A255C55" w14:textId="77777777" w:rsidR="007E1807" w:rsidRPr="007E1807" w:rsidRDefault="007E1807" w:rsidP="007E1807">
      <w:pPr>
        <w:widowControl w:val="0"/>
        <w:jc w:val="both"/>
        <w:rPr>
          <w:sz w:val="20"/>
          <w:szCs w:val="20"/>
          <w:lang w:val="es-AR"/>
        </w:rPr>
      </w:pPr>
      <w:r w:rsidRPr="007E1807">
        <w:rPr>
          <w:sz w:val="20"/>
          <w:szCs w:val="20"/>
          <w:lang w:val="es-AR"/>
        </w:rPr>
        <w:t xml:space="preserve">Como resultado, la capacidad de FCA para generar ganancias podría verse afectada, o podría verse particularmente afectada por la capacidad de repago del sector público y el rendimiento de los bonos públicos que, a su vez, dependen de los factores referidos anteriormente. La capacidad de FCA para honrar sus obligaciones financieras podría verse adversamente afectada por la capacidad de repago del Gobierno Nacional o por el incumplimiento de obligaciones debidas a FCA por parte del Gobierno Nacional. </w:t>
      </w:r>
    </w:p>
    <w:p w14:paraId="7653EFFC" w14:textId="77777777" w:rsidR="007E1807" w:rsidRPr="007E1807" w:rsidRDefault="007E1807" w:rsidP="007E1807">
      <w:pPr>
        <w:widowControl w:val="0"/>
        <w:jc w:val="both"/>
        <w:rPr>
          <w:sz w:val="20"/>
          <w:szCs w:val="20"/>
          <w:lang w:val="es-AR"/>
        </w:rPr>
      </w:pPr>
    </w:p>
    <w:p w14:paraId="0D2A7EDA" w14:textId="77777777" w:rsidR="007E1807" w:rsidRPr="007E1807" w:rsidRDefault="007E1807" w:rsidP="007E1807">
      <w:pPr>
        <w:widowControl w:val="0"/>
        <w:jc w:val="both"/>
        <w:rPr>
          <w:i/>
          <w:sz w:val="20"/>
          <w:szCs w:val="20"/>
          <w:lang w:val="es-AR"/>
        </w:rPr>
      </w:pPr>
      <w:r w:rsidRPr="007E1807">
        <w:rPr>
          <w:i/>
          <w:sz w:val="20"/>
          <w:szCs w:val="20"/>
          <w:lang w:val="es-AR"/>
        </w:rPr>
        <w:t>La Ley de Defensa del Consumidor puede limitar algunos de los derechos de FCA.</w:t>
      </w:r>
    </w:p>
    <w:p w14:paraId="32511EAE" w14:textId="77777777" w:rsidR="007E1807" w:rsidRPr="007E1807" w:rsidRDefault="007E1807" w:rsidP="007E1807">
      <w:pPr>
        <w:widowControl w:val="0"/>
        <w:jc w:val="both"/>
        <w:rPr>
          <w:sz w:val="20"/>
          <w:szCs w:val="20"/>
          <w:lang w:val="es-AR"/>
        </w:rPr>
      </w:pPr>
    </w:p>
    <w:p w14:paraId="6D12B680" w14:textId="77777777" w:rsidR="007E1807" w:rsidRPr="007E1807" w:rsidRDefault="007E1807" w:rsidP="007E1807">
      <w:pPr>
        <w:widowControl w:val="0"/>
        <w:jc w:val="both"/>
        <w:rPr>
          <w:sz w:val="20"/>
          <w:szCs w:val="20"/>
          <w:lang w:val="es-AR"/>
        </w:rPr>
      </w:pPr>
      <w:r w:rsidRPr="007E1807">
        <w:rPr>
          <w:sz w:val="20"/>
          <w:szCs w:val="20"/>
          <w:lang w:val="es-AR" w:eastAsia="es-ES"/>
        </w:rPr>
        <w:t>La aplicación por parte de autoridades administrativas y judiciales en el ámbito federal, provincial y municipal de la Ley de Defensa del Consumidor y la Ley de Tarjeta de Crédito ha aumentado. Esta tendencia ha incrementado el nivel general de protección de los consumidores. En caso de que FCA sea responsable por violaciones a las disposiciones enunciadas en la Ley de Defensa del Consumidor o en la Ley de Tarjeta de Crédito, las eventuales sanciones podrían limitar algunos de los derechos de FCA y afectar de manera adversa los resultados financieros de sus operaciones. FCA no puede asegurar que fallos judiciales y administrativos en base a la nueva normativa sancionada, o</w:t>
      </w:r>
      <w:r w:rsidRPr="007E1807">
        <w:rPr>
          <w:sz w:val="20"/>
          <w:szCs w:val="20"/>
          <w:lang w:val="es-AR"/>
        </w:rPr>
        <w:t xml:space="preserve"> de medidas </w:t>
      </w:r>
      <w:r w:rsidRPr="007E1807">
        <w:rPr>
          <w:sz w:val="20"/>
          <w:szCs w:val="20"/>
          <w:lang w:val="es-AR" w:eastAsia="es-ES"/>
        </w:rPr>
        <w:t xml:space="preserve">que adopten las autoridades de aplicación no aumentarán en el futuro el grado de protección asignado a sus deudores y otros clientes, o que no favorecerán los reclamos iniciados por grupos o asociaciones de consumidores. Esto podría impedir o </w:t>
      </w:r>
      <w:r w:rsidRPr="007E1807">
        <w:rPr>
          <w:sz w:val="20"/>
          <w:szCs w:val="20"/>
          <w:lang w:val="es-AR"/>
        </w:rPr>
        <w:t xml:space="preserve">dificultar el cobro </w:t>
      </w:r>
      <w:r w:rsidRPr="007E1807">
        <w:rPr>
          <w:sz w:val="20"/>
          <w:szCs w:val="20"/>
          <w:lang w:val="es-AR" w:eastAsia="es-ES"/>
        </w:rPr>
        <w:t xml:space="preserve">de pagos derivados de </w:t>
      </w:r>
      <w:r w:rsidRPr="007E1807">
        <w:rPr>
          <w:sz w:val="20"/>
          <w:szCs w:val="20"/>
          <w:lang w:val="es-AR"/>
        </w:rPr>
        <w:t xml:space="preserve">los servicios prestados y </w:t>
      </w:r>
      <w:r w:rsidRPr="007E1807">
        <w:rPr>
          <w:sz w:val="20"/>
          <w:szCs w:val="20"/>
          <w:lang w:val="es-AR" w:eastAsia="es-ES"/>
        </w:rPr>
        <w:t xml:space="preserve">del </w:t>
      </w:r>
      <w:r w:rsidRPr="007E1807">
        <w:rPr>
          <w:sz w:val="20"/>
          <w:szCs w:val="20"/>
          <w:lang w:val="es-AR"/>
        </w:rPr>
        <w:t>financiamiento extendido por FCA</w:t>
      </w:r>
      <w:r w:rsidRPr="007E1807">
        <w:rPr>
          <w:sz w:val="20"/>
          <w:szCs w:val="20"/>
          <w:lang w:val="es-AR" w:eastAsia="es-ES"/>
        </w:rPr>
        <w:t xml:space="preserve">, lo que podría </w:t>
      </w:r>
      <w:r w:rsidRPr="007E1807">
        <w:rPr>
          <w:sz w:val="20"/>
          <w:szCs w:val="20"/>
          <w:lang w:val="es-AR"/>
        </w:rPr>
        <w:t xml:space="preserve">tener un efecto adverso sobre sus resultados y operaciones, </w:t>
      </w:r>
      <w:r w:rsidRPr="007E1807">
        <w:rPr>
          <w:sz w:val="20"/>
          <w:szCs w:val="20"/>
          <w:lang w:val="es-AR" w:eastAsia="es-ES"/>
        </w:rPr>
        <w:t>lo cual podría</w:t>
      </w:r>
      <w:r w:rsidRPr="007E1807">
        <w:rPr>
          <w:sz w:val="20"/>
          <w:szCs w:val="20"/>
          <w:lang w:val="es-AR"/>
        </w:rPr>
        <w:t xml:space="preserve"> afectar </w:t>
      </w:r>
      <w:r w:rsidRPr="007E1807">
        <w:rPr>
          <w:sz w:val="20"/>
          <w:szCs w:val="20"/>
          <w:lang w:val="es-AR" w:eastAsia="es-ES"/>
        </w:rPr>
        <w:t>su</w:t>
      </w:r>
      <w:r w:rsidRPr="007E1807">
        <w:rPr>
          <w:sz w:val="20"/>
          <w:szCs w:val="20"/>
          <w:lang w:val="es-AR"/>
        </w:rPr>
        <w:t xml:space="preserve"> capacidad de repago de sus obligaciones, incluidas las Obligaciones Negociables.</w:t>
      </w:r>
    </w:p>
    <w:p w14:paraId="01F03CAC" w14:textId="77777777" w:rsidR="007E1807" w:rsidRPr="007E1807" w:rsidRDefault="007E1807" w:rsidP="007E1807">
      <w:pPr>
        <w:widowControl w:val="0"/>
        <w:jc w:val="both"/>
        <w:rPr>
          <w:sz w:val="20"/>
          <w:szCs w:val="20"/>
          <w:lang w:val="es-AR"/>
        </w:rPr>
      </w:pPr>
    </w:p>
    <w:p w14:paraId="785442CF" w14:textId="77777777" w:rsidR="007E1807" w:rsidRPr="007E1807" w:rsidRDefault="007E1807" w:rsidP="007E1807">
      <w:pPr>
        <w:widowControl w:val="0"/>
        <w:jc w:val="both"/>
        <w:rPr>
          <w:i/>
          <w:iCs/>
          <w:sz w:val="20"/>
          <w:szCs w:val="20"/>
          <w:lang w:val="es-AR"/>
        </w:rPr>
      </w:pPr>
      <w:r w:rsidRPr="007E1807">
        <w:rPr>
          <w:i/>
          <w:iCs/>
          <w:sz w:val="20"/>
          <w:szCs w:val="20"/>
          <w:lang w:val="es-AR"/>
        </w:rPr>
        <w:t xml:space="preserve">Las acciones de clase contra entidades financieras por monto indeterminado pueden afectar la rentabilidad del sistema financiero y del Emisor en particular. </w:t>
      </w:r>
    </w:p>
    <w:p w14:paraId="53940579" w14:textId="77777777" w:rsidR="007E1807" w:rsidRPr="007E1807" w:rsidRDefault="007E1807" w:rsidP="007E1807">
      <w:pPr>
        <w:widowControl w:val="0"/>
        <w:jc w:val="both"/>
        <w:rPr>
          <w:i/>
          <w:iCs/>
          <w:sz w:val="20"/>
          <w:szCs w:val="20"/>
          <w:lang w:val="es-AR"/>
        </w:rPr>
      </w:pPr>
    </w:p>
    <w:p w14:paraId="70A2D0B1" w14:textId="77777777" w:rsidR="007E1807" w:rsidRPr="007E1807" w:rsidRDefault="007E1807" w:rsidP="007E1807">
      <w:pPr>
        <w:autoSpaceDE w:val="0"/>
        <w:autoSpaceDN w:val="0"/>
        <w:adjustRightInd w:val="0"/>
        <w:jc w:val="both"/>
        <w:rPr>
          <w:sz w:val="20"/>
          <w:szCs w:val="20"/>
          <w:lang w:val="es-AR" w:eastAsia="es-ES"/>
        </w:rPr>
      </w:pPr>
      <w:r w:rsidRPr="007E1807">
        <w:rPr>
          <w:sz w:val="20"/>
          <w:szCs w:val="20"/>
          <w:lang w:val="es-AR" w:eastAsia="es-ES"/>
        </w:rPr>
        <w:t>Ciertas organizaciones públicas y privadas han intentado acciones colectivas contra entidades financieras en la Argentina. Las acciones de clase se encuentran establecidas en la Constitución Nacional y en la Ley de Defensa del Consumidor, pero su uso no está reglamentado. Sin embargo, los tribunales han admitido acciones de clase en ausencia de regulaciones específicas, cubriendo el vacío legal. Estos tribunales han admitido diversas demandas contra entidades financieras iniciadas en defensa de intereses colectivos, sobre la base de argumentos que objetan los cargos excesivos sobre productos, las tasas de interés aplicadas, el asesoramiento en la venta de títulos públicos, etc.</w:t>
      </w:r>
    </w:p>
    <w:p w14:paraId="312CF90F" w14:textId="77777777" w:rsidR="007E1807" w:rsidRPr="007E1807" w:rsidRDefault="007E1807" w:rsidP="007E1807">
      <w:pPr>
        <w:autoSpaceDE w:val="0"/>
        <w:autoSpaceDN w:val="0"/>
        <w:adjustRightInd w:val="0"/>
        <w:jc w:val="both"/>
        <w:rPr>
          <w:sz w:val="20"/>
          <w:szCs w:val="20"/>
          <w:lang w:val="es-AR" w:eastAsia="es-ES"/>
        </w:rPr>
      </w:pPr>
    </w:p>
    <w:p w14:paraId="255B7783" w14:textId="77777777" w:rsidR="007E1807" w:rsidRPr="007E1807" w:rsidRDefault="007E1807" w:rsidP="007E1807">
      <w:pPr>
        <w:widowControl w:val="0"/>
        <w:jc w:val="both"/>
        <w:rPr>
          <w:sz w:val="20"/>
          <w:szCs w:val="20"/>
          <w:lang w:val="es-AR"/>
        </w:rPr>
      </w:pPr>
      <w:r w:rsidRPr="007E1807">
        <w:rPr>
          <w:sz w:val="20"/>
          <w:szCs w:val="20"/>
          <w:lang w:val="es-AR"/>
        </w:rPr>
        <w:t>En caso de que existiera una sentencia adversa al Emisor a raíz de una de las acciones previstas en el párrafo precedente, podría afectarse su rentabilidad y, por ende, la capacidad de repago de sus obligaciones.</w:t>
      </w:r>
    </w:p>
    <w:p w14:paraId="4104A5DF" w14:textId="77777777" w:rsidR="007E1807" w:rsidRPr="007E1807" w:rsidRDefault="007E1807" w:rsidP="007E1807">
      <w:pPr>
        <w:widowControl w:val="0"/>
        <w:jc w:val="both"/>
        <w:rPr>
          <w:sz w:val="20"/>
          <w:szCs w:val="20"/>
          <w:lang w:val="es-AR"/>
        </w:rPr>
      </w:pPr>
    </w:p>
    <w:p w14:paraId="6A5C2836" w14:textId="77777777" w:rsidR="007E1807" w:rsidRPr="007E1807" w:rsidRDefault="007E1807" w:rsidP="007E1807">
      <w:pPr>
        <w:widowControl w:val="0"/>
        <w:jc w:val="both"/>
        <w:rPr>
          <w:sz w:val="20"/>
          <w:szCs w:val="20"/>
          <w:lang w:val="es-AR"/>
        </w:rPr>
      </w:pPr>
      <w:r w:rsidRPr="007E1807">
        <w:rPr>
          <w:b/>
          <w:sz w:val="20"/>
          <w:szCs w:val="20"/>
          <w:lang w:val="es-AR"/>
        </w:rPr>
        <w:t>Factores de riesgo relacionados con la industria automotriz</w:t>
      </w:r>
    </w:p>
    <w:p w14:paraId="6C7F9567" w14:textId="77777777" w:rsidR="007E1807" w:rsidRPr="007E1807" w:rsidRDefault="007E1807" w:rsidP="007E1807">
      <w:pPr>
        <w:widowControl w:val="0"/>
        <w:jc w:val="both"/>
        <w:rPr>
          <w:sz w:val="20"/>
          <w:szCs w:val="20"/>
          <w:lang w:val="es-AR"/>
        </w:rPr>
      </w:pPr>
    </w:p>
    <w:p w14:paraId="75937EEF" w14:textId="77777777" w:rsidR="007E1807" w:rsidRPr="007E1807" w:rsidRDefault="007E1807" w:rsidP="007E1807">
      <w:pPr>
        <w:widowControl w:val="0"/>
        <w:jc w:val="both"/>
        <w:rPr>
          <w:i/>
          <w:sz w:val="20"/>
          <w:szCs w:val="20"/>
          <w:lang w:val="es-AR"/>
        </w:rPr>
      </w:pPr>
      <w:r w:rsidRPr="007E1807">
        <w:rPr>
          <w:i/>
          <w:sz w:val="20"/>
          <w:szCs w:val="20"/>
          <w:lang w:val="es-AR"/>
        </w:rPr>
        <w:t>La caída en los niveles de comercialización de la industria automotriz en la Argentina en general podría afectar la demanda de los productos de la Compañía.</w:t>
      </w:r>
    </w:p>
    <w:p w14:paraId="36799408" w14:textId="77777777" w:rsidR="007E1807" w:rsidRPr="007E1807" w:rsidRDefault="007E1807" w:rsidP="007E1807">
      <w:pPr>
        <w:widowControl w:val="0"/>
        <w:jc w:val="both"/>
        <w:rPr>
          <w:sz w:val="20"/>
          <w:szCs w:val="20"/>
          <w:lang w:val="es-AR"/>
        </w:rPr>
      </w:pPr>
    </w:p>
    <w:p w14:paraId="7130BE76" w14:textId="77777777" w:rsidR="007E1807" w:rsidRPr="007E1807" w:rsidRDefault="007E1807" w:rsidP="007E1807">
      <w:pPr>
        <w:widowControl w:val="0"/>
        <w:jc w:val="both"/>
        <w:rPr>
          <w:i/>
          <w:sz w:val="20"/>
          <w:lang w:val="es-AR"/>
        </w:rPr>
      </w:pPr>
      <w:r w:rsidRPr="007E1807">
        <w:rPr>
          <w:sz w:val="20"/>
          <w:szCs w:val="20"/>
          <w:lang w:val="es-AR"/>
        </w:rPr>
        <w:t xml:space="preserve">La concentración exclusiva de las actividades de la Compañía en la industria automotriz podría representar un inconveniente, ya que todos los créditos que la Compañía otorga tienen como objetivo financiar la adquisición de vehículos de las marcas </w:t>
      </w:r>
      <w:r w:rsidRPr="007E1807">
        <w:rPr>
          <w:sz w:val="20"/>
          <w:lang w:val="es-AR"/>
        </w:rPr>
        <w:t xml:space="preserve">del </w:t>
      </w:r>
      <w:r w:rsidRPr="007E1807">
        <w:rPr>
          <w:sz w:val="20"/>
          <w:szCs w:val="20"/>
          <w:lang w:val="es-AR"/>
        </w:rPr>
        <w:t>Grupo FCA en Argentina.</w:t>
      </w:r>
    </w:p>
    <w:p w14:paraId="7607A09C" w14:textId="77777777" w:rsidR="007E1807" w:rsidRPr="007E1807" w:rsidRDefault="007E1807" w:rsidP="007E1807">
      <w:pPr>
        <w:jc w:val="both"/>
        <w:rPr>
          <w:sz w:val="20"/>
          <w:lang w:val="es-MX"/>
        </w:rPr>
      </w:pPr>
    </w:p>
    <w:p w14:paraId="1DA988AB" w14:textId="77777777" w:rsidR="007E1807" w:rsidRPr="007E1807" w:rsidRDefault="007E1807" w:rsidP="007E1807">
      <w:pPr>
        <w:widowControl w:val="0"/>
        <w:jc w:val="both"/>
        <w:rPr>
          <w:sz w:val="20"/>
          <w:szCs w:val="20"/>
          <w:lang w:val="es-AR"/>
        </w:rPr>
      </w:pPr>
      <w:r w:rsidRPr="007E1807">
        <w:rPr>
          <w:sz w:val="20"/>
          <w:szCs w:val="20"/>
          <w:lang w:val="es-AR"/>
        </w:rPr>
        <w:t>Cualquier evento que afecte de manera adversa a la comercialización de los vehículos de las marcas que opera el Grupo FCA en Argentina, podría impactar adversamente y de manera directa en las operaciones de la Compañía. La financiación de la adquisición de automotores está estrechamente vinculada con los niveles de ventas de la industria automotriz y, en el caso de FCA, con los niveles de ventas del Grupo FCA en Argentina. Por lo tanto, cualquier reducción de los mismos podría resultar en una reducción de las operaciones y/o de la rentabilidad de FCA. Asimismo, la industria automotriz no ha sido ajena a las fluctuaciones a nivel macroeconómico y, en caso de que los costos propios de la actividad del Emisor se mantengan altos o se incrementen, los mismos no podrían ser trasladados enteramente a sus productos, afectándose por tanto la rentabilidad de la Compañía.</w:t>
      </w:r>
    </w:p>
    <w:p w14:paraId="0BECD5AD" w14:textId="77777777" w:rsidR="007E1807" w:rsidRPr="007E1807" w:rsidRDefault="007E1807" w:rsidP="007E1807">
      <w:pPr>
        <w:widowControl w:val="0"/>
        <w:jc w:val="both"/>
        <w:rPr>
          <w:sz w:val="20"/>
          <w:szCs w:val="20"/>
          <w:lang w:val="es-AR"/>
        </w:rPr>
      </w:pPr>
    </w:p>
    <w:p w14:paraId="17CE0140" w14:textId="77777777" w:rsidR="007E1807" w:rsidRPr="007E1807" w:rsidRDefault="007E1807" w:rsidP="007E1807">
      <w:pPr>
        <w:widowControl w:val="0"/>
        <w:jc w:val="both"/>
        <w:rPr>
          <w:sz w:val="20"/>
          <w:szCs w:val="20"/>
          <w:lang w:val="es-AR"/>
        </w:rPr>
      </w:pPr>
      <w:r w:rsidRPr="007E1807">
        <w:rPr>
          <w:sz w:val="20"/>
          <w:szCs w:val="20"/>
          <w:lang w:val="es-AR"/>
        </w:rPr>
        <w:t>En enero de 2016, a través del Decreto Nº 11/2016 (el “</w:t>
      </w:r>
      <w:r w:rsidRPr="007E1807">
        <w:rPr>
          <w:sz w:val="20"/>
          <w:szCs w:val="20"/>
          <w:u w:val="single"/>
          <w:lang w:val="es-AR"/>
        </w:rPr>
        <w:t>Decreto</w:t>
      </w:r>
      <w:r w:rsidRPr="007E1807">
        <w:rPr>
          <w:sz w:val="20"/>
          <w:szCs w:val="20"/>
          <w:lang w:val="es-AR"/>
        </w:rPr>
        <w:t xml:space="preserve">”) se modificó el régimen impositivo sobre automotores y motocicletas, elevando el valor mínimo de los vehículos que tributaban y, asimismo, se modificaron las alícuotas correspondientes a las distintas categorías. La vigencia de dicho Decreto fue prorrogada, a través del Decreto N° 825 de fecha 30 de junio de 2016 hasta el 31 de diciembre de 2016, inclusive. Posteriormente, a través del Decreto N° 1347 de fecha 30 de diciembre de 2016 se establecieron nuevas modificaciones con respecto a los montos en base a los cuales se determinan las alícuotas previstas para los bienes comprendidos en el artículo 38 de la Ley de Impuestos Internos, dejando a su vez transitoriamente sin efecto el gravamen previsto en el Capítulo V del Título II de la citada ley. </w:t>
      </w:r>
    </w:p>
    <w:p w14:paraId="5512BEF4" w14:textId="77777777" w:rsidR="007E1807" w:rsidRPr="007E1807" w:rsidRDefault="007E1807" w:rsidP="007E1807">
      <w:pPr>
        <w:widowControl w:val="0"/>
        <w:jc w:val="both"/>
        <w:rPr>
          <w:sz w:val="20"/>
          <w:szCs w:val="20"/>
          <w:lang w:val="es-AR"/>
        </w:rPr>
      </w:pPr>
    </w:p>
    <w:p w14:paraId="4B347427" w14:textId="77777777" w:rsidR="007E1807" w:rsidRPr="007E1807" w:rsidRDefault="007E1807" w:rsidP="007E1807">
      <w:pPr>
        <w:widowControl w:val="0"/>
        <w:jc w:val="both"/>
        <w:rPr>
          <w:color w:val="538135"/>
          <w:sz w:val="20"/>
          <w:szCs w:val="20"/>
          <w:lang w:val="es-AR"/>
        </w:rPr>
      </w:pPr>
      <w:r w:rsidRPr="007E1807">
        <w:rPr>
          <w:sz w:val="20"/>
          <w:szCs w:val="20"/>
          <w:lang w:val="es-AR"/>
        </w:rPr>
        <w:t>Mediante el Decreto 1111/2017 de fecha 28 de diciembre de 2017 se dejó sin efecto transitoriamente la obligación de tributar sobre las operaciones de venta de vehículos automotores terrestres concebidos para el transporte de personas, excluidos los autobuses, colectivos, trolebuses, autocares, coches ambulancia y coches celulares cuyo precio de venta, sin considerar impuestos, incluidos los opcionales, sea igual o inferior a $900.000. Aquellas operaciones cuyo precio de venta, sin considerar impuestos, incluidos los opcionales, sea superior a $900.000 estarán gravadas con una tasa del 20%.</w:t>
      </w:r>
    </w:p>
    <w:p w14:paraId="3658CA05" w14:textId="77777777" w:rsidR="007E1807" w:rsidRPr="007E1807" w:rsidRDefault="007E1807" w:rsidP="007E1807">
      <w:pPr>
        <w:widowControl w:val="0"/>
        <w:jc w:val="both"/>
        <w:rPr>
          <w:color w:val="538135"/>
          <w:sz w:val="20"/>
          <w:szCs w:val="20"/>
          <w:lang w:val="es-AR"/>
        </w:rPr>
      </w:pPr>
    </w:p>
    <w:p w14:paraId="074AF118" w14:textId="77777777" w:rsidR="007E1807" w:rsidRPr="007E1807" w:rsidRDefault="007E1807" w:rsidP="007E1807">
      <w:pPr>
        <w:widowControl w:val="0"/>
        <w:jc w:val="both"/>
        <w:rPr>
          <w:sz w:val="20"/>
          <w:szCs w:val="20"/>
          <w:lang w:val="es-AR"/>
        </w:rPr>
      </w:pPr>
      <w:r w:rsidRPr="007E1807">
        <w:rPr>
          <w:sz w:val="20"/>
          <w:szCs w:val="20"/>
          <w:lang w:val="es-AR"/>
        </w:rPr>
        <w:t xml:space="preserve">Finalmente, mediante el Decreto 1/2019 de fecha 03 de enero de 2019 se dejó sin efecto la obligación de tributar sobre las operaciones de venta de vehículos automotores terrestres concebidos para el transporte de personas, excluidos los autobuses, colectivos, trolebuses, autocares, coches ambulancia y coches celulares cuyo precio de venta, sin considerar impuestos, incluidos los opcionales, sea igual o inferior a $ 1.400.000. Aquellas operaciones cuyo precio de venta, sin considerar impuestos, incluidos los opcionales, sea superior a $ 1.400.000 estarán gravadas con una tasa del 20%. </w:t>
      </w:r>
    </w:p>
    <w:p w14:paraId="610FDFF0" w14:textId="77777777" w:rsidR="007E1807" w:rsidRPr="007E1807" w:rsidRDefault="007E1807" w:rsidP="007E1807">
      <w:pPr>
        <w:widowControl w:val="0"/>
        <w:jc w:val="both"/>
        <w:rPr>
          <w:sz w:val="20"/>
          <w:szCs w:val="20"/>
          <w:lang w:val="es-AR"/>
        </w:rPr>
      </w:pPr>
    </w:p>
    <w:p w14:paraId="390ED933" w14:textId="77777777" w:rsidR="007E1807" w:rsidRPr="007E1807" w:rsidRDefault="007E1807" w:rsidP="007E1807">
      <w:pPr>
        <w:widowControl w:val="0"/>
        <w:jc w:val="both"/>
        <w:rPr>
          <w:sz w:val="20"/>
          <w:szCs w:val="20"/>
          <w:lang w:val="es-AR"/>
        </w:rPr>
      </w:pPr>
      <w:r w:rsidRPr="007E1807">
        <w:rPr>
          <w:sz w:val="20"/>
          <w:szCs w:val="20"/>
          <w:lang w:val="es-AR"/>
        </w:rPr>
        <w:t xml:space="preserve">Mediante la Ley 27.467 de fecha 04/12/2018, se indica que la Administración Federal de Ingresos Públicos, actualizará los importes en los meses de enero, abril, julio y octubre de cada año, considerando, la variación del Índice de precios al Consumidor (IPC) que suministre el Instituto Nacional de Estadística y Censos correspondiente al trimestre calendario que finalice el mes inmediato anterior a la actualización que se realice. Los montos actualizados surtirán efectos para los hechos imponibles que se perfeccionen desde el primer día del segundo mes inmediato siguiente a aquél en que se efectúe la actualización, inclusive. </w:t>
      </w:r>
    </w:p>
    <w:p w14:paraId="09AF394C" w14:textId="77777777" w:rsidR="007E1807" w:rsidRPr="007E1807" w:rsidRDefault="007E1807" w:rsidP="007E1807">
      <w:pPr>
        <w:widowControl w:val="0"/>
        <w:jc w:val="both"/>
        <w:rPr>
          <w:sz w:val="20"/>
          <w:szCs w:val="20"/>
          <w:lang w:val="es-AR"/>
        </w:rPr>
      </w:pPr>
    </w:p>
    <w:p w14:paraId="2235BBD4" w14:textId="77777777" w:rsidR="007E1807" w:rsidRPr="007E1807" w:rsidRDefault="007E1807" w:rsidP="007E1807">
      <w:pPr>
        <w:widowControl w:val="0"/>
        <w:jc w:val="both"/>
        <w:rPr>
          <w:sz w:val="20"/>
          <w:szCs w:val="20"/>
          <w:lang w:val="es-AR"/>
        </w:rPr>
      </w:pPr>
      <w:r w:rsidRPr="007E1807">
        <w:rPr>
          <w:sz w:val="20"/>
          <w:szCs w:val="20"/>
          <w:lang w:val="es-AR"/>
        </w:rPr>
        <w:t>Actualmente, por el período diciembre 2019-febrero 2020, el monto a partir del cual se tributa el impuesto es para valores superiores a $ 1.831.084,43.</w:t>
      </w:r>
    </w:p>
    <w:p w14:paraId="027375BB" w14:textId="77777777" w:rsidR="007E1807" w:rsidRPr="007E1807" w:rsidRDefault="007E1807" w:rsidP="007E1807">
      <w:pPr>
        <w:widowControl w:val="0"/>
        <w:jc w:val="both"/>
        <w:rPr>
          <w:sz w:val="20"/>
          <w:szCs w:val="20"/>
          <w:lang w:val="es-AR"/>
        </w:rPr>
      </w:pPr>
    </w:p>
    <w:p w14:paraId="227845E0" w14:textId="77777777" w:rsidR="007E1807" w:rsidRPr="007E1807" w:rsidRDefault="007E1807" w:rsidP="007E1807">
      <w:pPr>
        <w:widowControl w:val="0"/>
        <w:jc w:val="both"/>
        <w:rPr>
          <w:sz w:val="20"/>
          <w:szCs w:val="20"/>
          <w:lang w:val="es-AR"/>
        </w:rPr>
      </w:pPr>
      <w:r w:rsidRPr="007E1807">
        <w:rPr>
          <w:sz w:val="20"/>
          <w:szCs w:val="20"/>
          <w:lang w:val="es-AR"/>
        </w:rPr>
        <w:t xml:space="preserve">En el caso en que en el futuro el Gobierno impulse medidas tales como las detalladas en los párrafos anteriores, y se impongan cargas tributarias a los consumidores, podría ocasionar una reducción en los niveles de venta en los segmentos automotrices alcanzados por tales medidas impositivas </w:t>
      </w:r>
    </w:p>
    <w:p w14:paraId="7B1D6C07" w14:textId="77777777" w:rsidR="007E1807" w:rsidRPr="007E1807" w:rsidRDefault="007E1807" w:rsidP="007E1807">
      <w:pPr>
        <w:widowControl w:val="0"/>
        <w:jc w:val="both"/>
        <w:rPr>
          <w:sz w:val="20"/>
          <w:szCs w:val="20"/>
          <w:lang w:val="es-AR"/>
        </w:rPr>
      </w:pPr>
    </w:p>
    <w:p w14:paraId="32C64E97" w14:textId="77777777" w:rsidR="007E1807" w:rsidRPr="007E1807" w:rsidRDefault="007E1807" w:rsidP="007E1807">
      <w:pPr>
        <w:widowControl w:val="0"/>
        <w:jc w:val="both"/>
        <w:rPr>
          <w:sz w:val="20"/>
          <w:szCs w:val="20"/>
          <w:lang w:val="es-AR"/>
        </w:rPr>
      </w:pPr>
    </w:p>
    <w:p w14:paraId="7CC1CF0B" w14:textId="77777777" w:rsidR="007E1807" w:rsidRPr="007E1807" w:rsidRDefault="007E1807" w:rsidP="007E1807">
      <w:pPr>
        <w:jc w:val="both"/>
        <w:rPr>
          <w:sz w:val="20"/>
          <w:szCs w:val="20"/>
          <w:lang w:val="es-AR"/>
        </w:rPr>
      </w:pPr>
      <w:r w:rsidRPr="007E1807">
        <w:rPr>
          <w:sz w:val="20"/>
          <w:szCs w:val="20"/>
          <w:lang w:val="es-AR"/>
        </w:rPr>
        <w:t>A partir del segundo semestre del año 2018 se evidenció una marcada caída en los niveles de comercialización, así como también de producción, de la industria automotriz en la Argentina.</w:t>
      </w:r>
    </w:p>
    <w:p w14:paraId="3230D12F" w14:textId="77777777" w:rsidR="007E1807" w:rsidRPr="007E1807" w:rsidRDefault="007E1807" w:rsidP="007E1807">
      <w:pPr>
        <w:jc w:val="both"/>
        <w:rPr>
          <w:sz w:val="20"/>
          <w:szCs w:val="20"/>
          <w:lang w:val="es-AR"/>
        </w:rPr>
      </w:pPr>
    </w:p>
    <w:p w14:paraId="15D5B90A" w14:textId="77777777" w:rsidR="007E1807" w:rsidRPr="007E1807" w:rsidRDefault="007E1807" w:rsidP="007E1807">
      <w:pPr>
        <w:widowControl w:val="0"/>
        <w:jc w:val="both"/>
        <w:rPr>
          <w:sz w:val="20"/>
          <w:szCs w:val="20"/>
          <w:lang w:val="es-ES"/>
        </w:rPr>
      </w:pPr>
      <w:r w:rsidRPr="007E1807">
        <w:rPr>
          <w:sz w:val="20"/>
          <w:szCs w:val="20"/>
          <w:lang w:val="es-AR"/>
        </w:rPr>
        <w:t>Según los informes que facilita la Asociación de Fábricas de Automotores (“ADEFA”), durante el año 2018 y en comparación con el año 2017, la producción nacional registró un descenso 1,4%, las ventas a concesionarios tuvieron una disminución del 22,9% y las exportaciones se incrementaron en un 28,5%.</w:t>
      </w:r>
    </w:p>
    <w:p w14:paraId="43287A9E" w14:textId="77777777" w:rsidR="007E1807" w:rsidRPr="007E1807" w:rsidRDefault="007E1807" w:rsidP="007E1807">
      <w:pPr>
        <w:widowControl w:val="0"/>
        <w:jc w:val="both"/>
        <w:rPr>
          <w:sz w:val="20"/>
          <w:szCs w:val="20"/>
          <w:lang w:val="es-ES"/>
        </w:rPr>
      </w:pPr>
    </w:p>
    <w:p w14:paraId="0502863D" w14:textId="1F2D98C5" w:rsidR="007E1807" w:rsidRPr="00655E50" w:rsidRDefault="007E1807" w:rsidP="007E1807">
      <w:pPr>
        <w:widowControl w:val="0"/>
        <w:jc w:val="both"/>
        <w:rPr>
          <w:sz w:val="20"/>
          <w:szCs w:val="20"/>
          <w:lang w:val="es-ES"/>
        </w:rPr>
      </w:pPr>
      <w:r w:rsidRPr="007E1807">
        <w:rPr>
          <w:sz w:val="20"/>
          <w:szCs w:val="20"/>
          <w:lang w:val="es-ES"/>
        </w:rPr>
        <w:t>De acuerdo con los últimos índices publicados por ADEFA, en octubre de 2019 la producción nacional registró una suba del 15,0% en relación con septiembre del mismo año, pero un descenso del 17,7% en relación con igual mes del año anterior. Por su parte, las ventas a concesionarios tuvieron una suba del 1,2% respecto de septiembre 2019, y un descenso del 26,9% en relación con igual mes del año anterior. Y las exportaciones tuvieron una baja del 10,3% en relación con septiembre, y un descenso del 12,2% en relación con igual mes del año anterior. Comparando los diez primeros meses de 2019 con el mismo período de 2018, se observa una caída del 33,3% en la producción nacional, una baja del 47% en la venta a concesionarios y una disminución del 15% en las exportaciones.</w:t>
      </w:r>
    </w:p>
    <w:p w14:paraId="4CE474B1" w14:textId="77777777" w:rsidR="007E1807" w:rsidRPr="007E1807" w:rsidRDefault="007E1807" w:rsidP="007E1807">
      <w:pPr>
        <w:widowControl w:val="0"/>
        <w:jc w:val="both"/>
        <w:rPr>
          <w:sz w:val="20"/>
          <w:szCs w:val="20"/>
          <w:lang w:val="es-AR"/>
        </w:rPr>
      </w:pPr>
    </w:p>
    <w:p w14:paraId="735D9121" w14:textId="77777777" w:rsidR="007E1807" w:rsidRPr="007E1807" w:rsidRDefault="007E1807" w:rsidP="007E1807">
      <w:pPr>
        <w:widowControl w:val="0"/>
        <w:jc w:val="both"/>
        <w:rPr>
          <w:sz w:val="20"/>
          <w:szCs w:val="20"/>
          <w:lang w:val="es-AR"/>
        </w:rPr>
      </w:pPr>
      <w:r w:rsidRPr="007E1807">
        <w:rPr>
          <w:sz w:val="20"/>
          <w:szCs w:val="20"/>
          <w:lang w:val="es-AR"/>
        </w:rPr>
        <w:t>Finalmente, cabe mencionar que una restricción al comercio exterior, puntualmente a las importaciones de vehículos y maquinarias podría repercutir en una menor oferta en el mercado local de productos financiables por FCA.</w:t>
      </w:r>
    </w:p>
    <w:p w14:paraId="67958856" w14:textId="77777777" w:rsidR="007E1807" w:rsidRPr="007E1807" w:rsidRDefault="007E1807" w:rsidP="007E1807">
      <w:pPr>
        <w:widowControl w:val="0"/>
        <w:jc w:val="both"/>
        <w:rPr>
          <w:sz w:val="20"/>
          <w:szCs w:val="20"/>
          <w:lang w:val="es-AR"/>
        </w:rPr>
      </w:pPr>
      <w:r w:rsidRPr="007E1807">
        <w:rPr>
          <w:sz w:val="20"/>
          <w:szCs w:val="20"/>
          <w:lang w:val="es-AR"/>
        </w:rPr>
        <w:t>En este sentido, el Emisor no puede garantizar que no se producirá una caída en los niveles de comercialización de la industria automotriz en la Argentina en general y del Grupo FCA en particular, o un deterioro en las operaciones y rentabilidad de este último.</w:t>
      </w:r>
    </w:p>
    <w:p w14:paraId="6E9C3410" w14:textId="77777777" w:rsidR="007E1807" w:rsidRPr="007E1807" w:rsidRDefault="007E1807" w:rsidP="007E1807">
      <w:pPr>
        <w:widowControl w:val="0"/>
        <w:jc w:val="both"/>
        <w:rPr>
          <w:sz w:val="20"/>
          <w:highlight w:val="green"/>
          <w:lang w:val="es-AR"/>
        </w:rPr>
      </w:pPr>
    </w:p>
    <w:p w14:paraId="79864E6F" w14:textId="77777777" w:rsidR="007E1807" w:rsidRPr="007E1807" w:rsidRDefault="007E1807" w:rsidP="007E1807">
      <w:pPr>
        <w:widowControl w:val="0"/>
        <w:jc w:val="both"/>
        <w:rPr>
          <w:lang w:val="es-AR"/>
        </w:rPr>
      </w:pPr>
      <w:r w:rsidRPr="007E1807">
        <w:rPr>
          <w:b/>
          <w:sz w:val="20"/>
          <w:szCs w:val="20"/>
          <w:lang w:val="es-AR"/>
        </w:rPr>
        <w:t>Posible ausencia</w:t>
      </w:r>
      <w:r w:rsidRPr="007E1807">
        <w:rPr>
          <w:b/>
          <w:sz w:val="20"/>
          <w:lang w:val="es-AR"/>
        </w:rPr>
        <w:t xml:space="preserve"> de </w:t>
      </w:r>
      <w:r w:rsidRPr="007E1807">
        <w:rPr>
          <w:b/>
          <w:sz w:val="20"/>
          <w:szCs w:val="20"/>
          <w:lang w:val="es-AR"/>
        </w:rPr>
        <w:t>liquidez en el mercado secundario de</w:t>
      </w:r>
      <w:r w:rsidRPr="007E1807">
        <w:rPr>
          <w:b/>
          <w:sz w:val="20"/>
          <w:lang w:val="es-AR"/>
        </w:rPr>
        <w:t xml:space="preserve"> las Obligaciones Negociables</w:t>
      </w:r>
      <w:r w:rsidRPr="007E1807">
        <w:rPr>
          <w:b/>
          <w:sz w:val="20"/>
          <w:szCs w:val="20"/>
          <w:lang w:val="es-AR"/>
        </w:rPr>
        <w:t xml:space="preserve"> </w:t>
      </w:r>
    </w:p>
    <w:p w14:paraId="307BE5A5" w14:textId="77777777" w:rsidR="007E1807" w:rsidRPr="007E1807" w:rsidRDefault="007E1807" w:rsidP="007E1807">
      <w:pPr>
        <w:widowControl w:val="0"/>
        <w:jc w:val="both"/>
        <w:rPr>
          <w:iCs/>
          <w:sz w:val="20"/>
          <w:szCs w:val="20"/>
          <w:lang w:val="es-AR"/>
        </w:rPr>
      </w:pPr>
    </w:p>
    <w:p w14:paraId="1C25C562" w14:textId="77777777" w:rsidR="007E1807" w:rsidRPr="007E1807" w:rsidRDefault="007E1807" w:rsidP="007E1807">
      <w:pPr>
        <w:widowControl w:val="0"/>
        <w:jc w:val="both"/>
        <w:rPr>
          <w:i/>
          <w:iCs/>
          <w:sz w:val="20"/>
          <w:szCs w:val="20"/>
          <w:lang w:val="es-AR"/>
        </w:rPr>
      </w:pPr>
      <w:r w:rsidRPr="007E1807">
        <w:rPr>
          <w:i/>
          <w:iCs/>
          <w:sz w:val="20"/>
          <w:szCs w:val="20"/>
          <w:lang w:val="es-AR"/>
        </w:rPr>
        <w:t>Posible inexistencia de un mercado secundario para las Obligaciones Negociables.</w:t>
      </w:r>
    </w:p>
    <w:p w14:paraId="7011FD4A" w14:textId="77777777" w:rsidR="007E1807" w:rsidRPr="007E1807" w:rsidRDefault="007E1807" w:rsidP="007E1807">
      <w:pPr>
        <w:widowControl w:val="0"/>
        <w:jc w:val="both"/>
        <w:rPr>
          <w:sz w:val="20"/>
          <w:szCs w:val="20"/>
          <w:lang w:val="es-AR"/>
        </w:rPr>
      </w:pPr>
    </w:p>
    <w:p w14:paraId="7D2F0507" w14:textId="77777777" w:rsidR="007E1807" w:rsidRPr="007E1807" w:rsidRDefault="007E1807" w:rsidP="007E1807">
      <w:pPr>
        <w:widowControl w:val="0"/>
        <w:jc w:val="both"/>
        <w:rPr>
          <w:sz w:val="20"/>
          <w:szCs w:val="20"/>
          <w:lang w:val="es-AR"/>
        </w:rPr>
      </w:pPr>
      <w:r w:rsidRPr="007E1807">
        <w:rPr>
          <w:sz w:val="20"/>
          <w:szCs w:val="20"/>
          <w:lang w:val="es-AR"/>
        </w:rPr>
        <w:t xml:space="preserve">Las Obligaciones Negociables que se emitan en el marco del Programa constituirán una emisión de títulos valores, no puede asegurarse la existencia futura de un mercado secundario para las Obligaciones Negociables, así como tampoco puede asegurarse que los tenedores de las Obligaciones Negociables podrán negociarlas ni, en su caso, el precio al cual podrían negociarlas. Si el mercado se desarrollara, las Obligaciones Negociables se negociarían a precios que podrían resultar mayores o menores al precio de suscripción inicial, dependiendo de diversos factores que exceden al control del Emisor. </w:t>
      </w:r>
    </w:p>
    <w:p w14:paraId="0FE0D535" w14:textId="77777777" w:rsidR="007E1807" w:rsidRPr="007E1807" w:rsidRDefault="007E1807" w:rsidP="007E1807">
      <w:pPr>
        <w:widowControl w:val="0"/>
        <w:jc w:val="both"/>
        <w:rPr>
          <w:sz w:val="20"/>
          <w:szCs w:val="20"/>
          <w:lang w:val="es-AR"/>
        </w:rPr>
      </w:pPr>
    </w:p>
    <w:p w14:paraId="3F6008E1" w14:textId="77777777" w:rsidR="007E1807" w:rsidRPr="007E1807" w:rsidRDefault="007E1807" w:rsidP="007E1807">
      <w:pPr>
        <w:widowControl w:val="0"/>
        <w:jc w:val="both"/>
        <w:rPr>
          <w:sz w:val="20"/>
          <w:szCs w:val="20"/>
          <w:lang w:val="es-AR"/>
        </w:rPr>
      </w:pPr>
      <w:r w:rsidRPr="007E1807">
        <w:rPr>
          <w:sz w:val="20"/>
          <w:szCs w:val="20"/>
          <w:lang w:val="es-AR"/>
        </w:rPr>
        <w:t>Asimismo, la liquidez y el mercado de las Obligaciones Negociables pueden verse afectados por las variaciones en la tasa de interés, por las regulaciones que el gobierno pudiera dictar, y por la volatilidad de los mercados, sean nacionales o internacionales, para títulos valores similares, así como también por cualquier modificación en la liquidez, la posición patrimonial, la solvencia, los resultados y la rentabilidad de FCA.</w:t>
      </w:r>
    </w:p>
    <w:bookmarkEnd w:id="53"/>
    <w:p w14:paraId="0CCDA344" w14:textId="77777777" w:rsidR="00D354AB" w:rsidRPr="00C436CD" w:rsidRDefault="00D354AB" w:rsidP="00655E50">
      <w:pPr>
        <w:jc w:val="both"/>
        <w:rPr>
          <w:sz w:val="20"/>
          <w:lang w:val="es-AR"/>
        </w:rPr>
      </w:pPr>
    </w:p>
    <w:bookmarkEnd w:id="51"/>
    <w:bookmarkEnd w:id="52"/>
    <w:p w14:paraId="7575F2FE" w14:textId="77777777" w:rsidR="00BC280E" w:rsidRPr="00D354AB" w:rsidRDefault="00BC280E" w:rsidP="00900D2A">
      <w:pPr>
        <w:widowControl w:val="0"/>
        <w:jc w:val="both"/>
        <w:outlineLvl w:val="0"/>
        <w:rPr>
          <w:b/>
          <w:i/>
          <w:smallCaps/>
          <w:sz w:val="20"/>
          <w:szCs w:val="20"/>
          <w:lang w:val="es-AR"/>
        </w:rPr>
      </w:pPr>
    </w:p>
    <w:p w14:paraId="0B21DEF3" w14:textId="485A03C7" w:rsidR="00BA5D62" w:rsidRPr="00D354AB" w:rsidRDefault="00BA5D62" w:rsidP="00BA5D62">
      <w:pPr>
        <w:jc w:val="both"/>
        <w:rPr>
          <w:sz w:val="20"/>
          <w:szCs w:val="20"/>
          <w:lang w:val="es-MX"/>
        </w:rPr>
      </w:pPr>
      <w:bookmarkStart w:id="55" w:name="_DV_M380"/>
      <w:bookmarkStart w:id="56" w:name="_DV_M381"/>
      <w:bookmarkEnd w:id="55"/>
      <w:bookmarkEnd w:id="56"/>
      <w:r w:rsidRPr="00D354AB">
        <w:rPr>
          <w:sz w:val="20"/>
          <w:szCs w:val="20"/>
          <w:lang w:val="es-MX"/>
        </w:rPr>
        <w:br w:type="page"/>
      </w:r>
    </w:p>
    <w:p w14:paraId="0A8EDAA1" w14:textId="53FD05DD" w:rsidR="00563630" w:rsidRPr="00D354AB" w:rsidRDefault="00563630" w:rsidP="00563630">
      <w:pPr>
        <w:widowControl w:val="0"/>
        <w:ind w:left="3402"/>
        <w:jc w:val="both"/>
        <w:outlineLvl w:val="0"/>
        <w:rPr>
          <w:b/>
          <w:smallCaps/>
          <w:sz w:val="20"/>
          <w:szCs w:val="20"/>
          <w:lang w:val="es-ES"/>
        </w:rPr>
      </w:pPr>
      <w:r w:rsidRPr="00D354AB">
        <w:rPr>
          <w:b/>
          <w:smallCaps/>
          <w:sz w:val="20"/>
          <w:szCs w:val="20"/>
          <w:lang w:val="es-ES"/>
        </w:rPr>
        <w:lastRenderedPageBreak/>
        <w:t>Información Financiera</w:t>
      </w:r>
    </w:p>
    <w:p w14:paraId="5982AAC4" w14:textId="04DE04C9" w:rsidR="00563630" w:rsidRPr="00C436CD" w:rsidRDefault="00563630" w:rsidP="0015206D">
      <w:pPr>
        <w:widowControl w:val="0"/>
        <w:jc w:val="both"/>
        <w:outlineLvl w:val="0"/>
        <w:rPr>
          <w:sz w:val="20"/>
          <w:lang w:val="es-ES"/>
        </w:rPr>
      </w:pPr>
    </w:p>
    <w:p w14:paraId="546A55DB" w14:textId="3100A3A8" w:rsidR="00563630" w:rsidRPr="00D354AB" w:rsidRDefault="00563630" w:rsidP="0015206D">
      <w:pPr>
        <w:widowControl w:val="0"/>
        <w:jc w:val="both"/>
        <w:outlineLvl w:val="0"/>
        <w:rPr>
          <w:sz w:val="20"/>
          <w:szCs w:val="20"/>
          <w:lang w:val="es-ES"/>
        </w:rPr>
      </w:pPr>
      <w:r w:rsidRPr="00D354AB">
        <w:rPr>
          <w:sz w:val="20"/>
          <w:szCs w:val="20"/>
          <w:lang w:val="es-ES"/>
        </w:rPr>
        <w:t xml:space="preserve">Los estados financieros anuales del Emisor correspondientes al 31 de diciembre de 2018, 2017 y 2016, se incorporan por referencia al presente Suplemento de </w:t>
      </w:r>
      <w:r w:rsidR="00670AF6" w:rsidRPr="00D354AB">
        <w:rPr>
          <w:sz w:val="20"/>
          <w:szCs w:val="20"/>
          <w:lang w:val="es-ES"/>
        </w:rPr>
        <w:t>Prospecto,</w:t>
      </w:r>
      <w:r w:rsidRPr="00D354AB">
        <w:rPr>
          <w:sz w:val="20"/>
          <w:szCs w:val="20"/>
          <w:lang w:val="es-ES"/>
        </w:rPr>
        <w:t xml:space="preserve"> de conformidad con lo establecido en el artículo 79 de la Sección VIII del Capítulo V del Título II de las Normas (N.T. 2013 y mod.).</w:t>
      </w:r>
    </w:p>
    <w:p w14:paraId="0C86EB55" w14:textId="2EFECFE1" w:rsidR="00563630" w:rsidRPr="00D354AB" w:rsidRDefault="00563630" w:rsidP="0015206D">
      <w:pPr>
        <w:widowControl w:val="0"/>
        <w:jc w:val="both"/>
        <w:outlineLvl w:val="0"/>
        <w:rPr>
          <w:sz w:val="20"/>
          <w:szCs w:val="20"/>
          <w:lang w:val="es-ES"/>
        </w:rPr>
      </w:pPr>
    </w:p>
    <w:p w14:paraId="329A3D96" w14:textId="47EF2DC5" w:rsidR="00563630" w:rsidRPr="00D354AB" w:rsidRDefault="00563630" w:rsidP="006C1EFA">
      <w:pPr>
        <w:widowControl w:val="0"/>
        <w:jc w:val="both"/>
        <w:outlineLvl w:val="0"/>
        <w:rPr>
          <w:sz w:val="20"/>
          <w:szCs w:val="20"/>
          <w:lang w:val="es-ES"/>
        </w:rPr>
      </w:pPr>
      <w:r w:rsidRPr="00D354AB">
        <w:rPr>
          <w:sz w:val="20"/>
          <w:szCs w:val="20"/>
          <w:lang w:val="es-ES"/>
        </w:rPr>
        <w:t xml:space="preserve">La información contable anual del Emisor </w:t>
      </w:r>
      <w:r w:rsidRPr="00D354AB">
        <w:rPr>
          <w:sz w:val="20"/>
          <w:szCs w:val="20"/>
          <w:lang w:val="es-AR"/>
        </w:rPr>
        <w:t xml:space="preserve">al 31 de diciembre de 2018, 2017 y 2016 deriva de los estados financieros anuales del Emisor, los cuales se encuentran publicados en la Autopista de Información Financiera disponible en la página </w:t>
      </w:r>
      <w:r w:rsidRPr="00D354AB">
        <w:rPr>
          <w:i/>
          <w:sz w:val="20"/>
          <w:szCs w:val="20"/>
          <w:lang w:val="es-AR"/>
        </w:rPr>
        <w:t>web</w:t>
      </w:r>
      <w:r w:rsidRPr="00D354AB">
        <w:rPr>
          <w:sz w:val="20"/>
          <w:szCs w:val="20"/>
          <w:lang w:val="es-AR"/>
        </w:rPr>
        <w:t xml:space="preserve"> de la CNV (</w:t>
      </w:r>
      <w:hyperlink r:id="rId48" w:history="1">
        <w:r w:rsidRPr="00D354AB">
          <w:rPr>
            <w:rStyle w:val="Hipervnculo"/>
            <w:sz w:val="20"/>
            <w:szCs w:val="20"/>
            <w:lang w:val="es-AR"/>
          </w:rPr>
          <w:t>www.cnv.gov.ar</w:t>
        </w:r>
      </w:hyperlink>
      <w:r w:rsidRPr="00D354AB">
        <w:rPr>
          <w:rStyle w:val="Hipervnculo"/>
          <w:sz w:val="20"/>
          <w:szCs w:val="20"/>
          <w:lang w:val="es-AR"/>
        </w:rPr>
        <w:t>)</w:t>
      </w:r>
      <w:r w:rsidRPr="00D354AB">
        <w:rPr>
          <w:sz w:val="20"/>
          <w:szCs w:val="20"/>
          <w:lang w:val="es-AR"/>
        </w:rPr>
        <w:t xml:space="preserve"> (la “</w:t>
      </w:r>
      <w:r w:rsidRPr="00D354AB">
        <w:rPr>
          <w:sz w:val="20"/>
          <w:szCs w:val="20"/>
          <w:u w:val="single"/>
          <w:lang w:val="es-AR"/>
        </w:rPr>
        <w:t>Página Web de la CNV</w:t>
      </w:r>
      <w:r w:rsidRPr="00D354AB">
        <w:rPr>
          <w:sz w:val="20"/>
          <w:szCs w:val="20"/>
          <w:lang w:val="es-AR"/>
        </w:rPr>
        <w:t xml:space="preserve">”) bajo los siguientes números de presentación: </w:t>
      </w:r>
    </w:p>
    <w:p w14:paraId="623960EE" w14:textId="77777777" w:rsidR="00563630" w:rsidRPr="00D354AB" w:rsidRDefault="00563630" w:rsidP="00563630">
      <w:pPr>
        <w:pStyle w:val="Textoindependiente"/>
        <w:widowControl w:val="0"/>
        <w:tabs>
          <w:tab w:val="clear" w:pos="397"/>
        </w:tabs>
        <w:rPr>
          <w:b/>
        </w:rPr>
      </w:pPr>
    </w:p>
    <w:p w14:paraId="4E488891" w14:textId="77777777" w:rsidR="00563630" w:rsidRPr="00D354AB" w:rsidRDefault="00563630" w:rsidP="00563630">
      <w:pPr>
        <w:pStyle w:val="Textoindependiente"/>
        <w:widowControl w:val="0"/>
        <w:numPr>
          <w:ilvl w:val="0"/>
          <w:numId w:val="31"/>
        </w:numPr>
        <w:tabs>
          <w:tab w:val="clear" w:pos="397"/>
          <w:tab w:val="clear" w:pos="794"/>
          <w:tab w:val="clear" w:pos="1191"/>
          <w:tab w:val="clear" w:pos="1588"/>
          <w:tab w:val="clear" w:pos="1985"/>
          <w:tab w:val="clear" w:pos="2382"/>
          <w:tab w:val="clear" w:pos="2779"/>
          <w:tab w:val="clear" w:pos="3176"/>
          <w:tab w:val="clear" w:pos="3573"/>
          <w:tab w:val="clear" w:pos="3970"/>
          <w:tab w:val="clear" w:pos="4367"/>
          <w:tab w:val="clear" w:pos="4764"/>
          <w:tab w:val="clear" w:pos="5161"/>
          <w:tab w:val="clear" w:pos="5558"/>
          <w:tab w:val="clear" w:pos="5955"/>
          <w:tab w:val="clear" w:pos="6352"/>
          <w:tab w:val="clear" w:pos="6749"/>
          <w:tab w:val="clear" w:pos="7146"/>
          <w:tab w:val="clear" w:pos="7543"/>
          <w:tab w:val="clear" w:pos="7940"/>
          <w:tab w:val="clear" w:pos="8337"/>
          <w:tab w:val="clear" w:pos="8734"/>
          <w:tab w:val="clear" w:pos="9131"/>
          <w:tab w:val="clear" w:pos="9528"/>
        </w:tabs>
        <w:jc w:val="left"/>
        <w:rPr>
          <w:b/>
        </w:rPr>
      </w:pPr>
      <w:r w:rsidRPr="00D354AB">
        <w:t>Estados Financieros al 31 de diciembre de 2018: ID 4-2437145.</w:t>
      </w:r>
    </w:p>
    <w:p w14:paraId="4FABF10D" w14:textId="77777777" w:rsidR="00563630" w:rsidRPr="00D354AB" w:rsidRDefault="00563630" w:rsidP="00563630">
      <w:pPr>
        <w:pStyle w:val="Textoindependiente"/>
        <w:widowControl w:val="0"/>
        <w:numPr>
          <w:ilvl w:val="0"/>
          <w:numId w:val="31"/>
        </w:numPr>
        <w:tabs>
          <w:tab w:val="clear" w:pos="397"/>
          <w:tab w:val="clear" w:pos="794"/>
          <w:tab w:val="clear" w:pos="1191"/>
          <w:tab w:val="clear" w:pos="1588"/>
          <w:tab w:val="clear" w:pos="1985"/>
          <w:tab w:val="clear" w:pos="2382"/>
          <w:tab w:val="clear" w:pos="2779"/>
          <w:tab w:val="clear" w:pos="3176"/>
          <w:tab w:val="clear" w:pos="3573"/>
          <w:tab w:val="clear" w:pos="3970"/>
          <w:tab w:val="clear" w:pos="4367"/>
          <w:tab w:val="clear" w:pos="4764"/>
          <w:tab w:val="clear" w:pos="5161"/>
          <w:tab w:val="clear" w:pos="5558"/>
          <w:tab w:val="clear" w:pos="5955"/>
          <w:tab w:val="clear" w:pos="6352"/>
          <w:tab w:val="clear" w:pos="6749"/>
          <w:tab w:val="clear" w:pos="7146"/>
          <w:tab w:val="clear" w:pos="7543"/>
          <w:tab w:val="clear" w:pos="7940"/>
          <w:tab w:val="clear" w:pos="8337"/>
          <w:tab w:val="clear" w:pos="8734"/>
          <w:tab w:val="clear" w:pos="9131"/>
          <w:tab w:val="clear" w:pos="9528"/>
        </w:tabs>
        <w:jc w:val="left"/>
        <w:rPr>
          <w:b/>
        </w:rPr>
      </w:pPr>
      <w:r w:rsidRPr="00D354AB">
        <w:t>Estados Financieros al 31 de diciembre de 2017: ID 4-556476.</w:t>
      </w:r>
    </w:p>
    <w:p w14:paraId="124B596A" w14:textId="77777777" w:rsidR="00563630" w:rsidRPr="00D354AB" w:rsidRDefault="00563630" w:rsidP="00563630">
      <w:pPr>
        <w:pStyle w:val="Textoindependiente"/>
        <w:widowControl w:val="0"/>
        <w:numPr>
          <w:ilvl w:val="0"/>
          <w:numId w:val="31"/>
        </w:numPr>
        <w:tabs>
          <w:tab w:val="clear" w:pos="397"/>
          <w:tab w:val="clear" w:pos="794"/>
          <w:tab w:val="clear" w:pos="1191"/>
          <w:tab w:val="clear" w:pos="1588"/>
          <w:tab w:val="clear" w:pos="1985"/>
          <w:tab w:val="clear" w:pos="2382"/>
          <w:tab w:val="clear" w:pos="2779"/>
          <w:tab w:val="clear" w:pos="3176"/>
          <w:tab w:val="clear" w:pos="3573"/>
          <w:tab w:val="clear" w:pos="3970"/>
          <w:tab w:val="clear" w:pos="4367"/>
          <w:tab w:val="clear" w:pos="4764"/>
          <w:tab w:val="clear" w:pos="5161"/>
          <w:tab w:val="clear" w:pos="5558"/>
          <w:tab w:val="clear" w:pos="5955"/>
          <w:tab w:val="clear" w:pos="6352"/>
          <w:tab w:val="clear" w:pos="6749"/>
          <w:tab w:val="clear" w:pos="7146"/>
          <w:tab w:val="clear" w:pos="7543"/>
          <w:tab w:val="clear" w:pos="7940"/>
          <w:tab w:val="clear" w:pos="8337"/>
          <w:tab w:val="clear" w:pos="8734"/>
          <w:tab w:val="clear" w:pos="9131"/>
          <w:tab w:val="clear" w:pos="9528"/>
        </w:tabs>
        <w:jc w:val="left"/>
        <w:rPr>
          <w:b/>
        </w:rPr>
      </w:pPr>
      <w:r w:rsidRPr="00D354AB">
        <w:t>Estados Financieros al 31 de diciembre de 2016: ID 4-456154.</w:t>
      </w:r>
    </w:p>
    <w:p w14:paraId="1B0F3CBF" w14:textId="283040E5" w:rsidR="00563630" w:rsidRPr="00D354AB" w:rsidRDefault="00563630" w:rsidP="006C1EFA">
      <w:pPr>
        <w:widowControl w:val="0"/>
        <w:jc w:val="both"/>
        <w:outlineLvl w:val="0"/>
        <w:rPr>
          <w:sz w:val="20"/>
          <w:szCs w:val="20"/>
          <w:lang w:val="es-AR"/>
        </w:rPr>
      </w:pPr>
    </w:p>
    <w:p w14:paraId="2CCD4C71" w14:textId="081C99B1" w:rsidR="00E475BB" w:rsidRPr="00C436CD" w:rsidRDefault="00E8706D" w:rsidP="00C436CD">
      <w:pPr>
        <w:spacing w:after="300"/>
        <w:jc w:val="left"/>
        <w:rPr>
          <w:rFonts w:ascii="Helvetica" w:hAnsi="Helvetica"/>
          <w:color w:val="595959"/>
          <w:sz w:val="17"/>
          <w:lang w:val="es-MX"/>
        </w:rPr>
      </w:pPr>
      <w:r w:rsidRPr="00D354AB">
        <w:rPr>
          <w:sz w:val="20"/>
          <w:szCs w:val="20"/>
          <w:lang w:val="es-AR"/>
        </w:rPr>
        <w:t xml:space="preserve">Adicionalmente, </w:t>
      </w:r>
      <w:r w:rsidR="00EF0262" w:rsidRPr="00D354AB">
        <w:rPr>
          <w:sz w:val="20"/>
          <w:szCs w:val="20"/>
          <w:lang w:val="es-AR"/>
        </w:rPr>
        <w:t>se incorporan por referencia al presente Suplemento de Prospecto</w:t>
      </w:r>
      <w:r w:rsidRPr="00D354AB">
        <w:rPr>
          <w:sz w:val="20"/>
          <w:szCs w:val="20"/>
          <w:lang w:val="es-MX"/>
        </w:rPr>
        <w:t xml:space="preserve"> los estados financieros por el período intermedio de tres meses finalizado el 30 de septiembre de 2019 y aprobad</w:t>
      </w:r>
      <w:r w:rsidR="00EF0262" w:rsidRPr="00D354AB">
        <w:rPr>
          <w:sz w:val="20"/>
          <w:szCs w:val="20"/>
          <w:lang w:val="es-MX"/>
        </w:rPr>
        <w:t>os</w:t>
      </w:r>
      <w:r w:rsidRPr="00D354AB">
        <w:rPr>
          <w:sz w:val="20"/>
          <w:szCs w:val="20"/>
          <w:lang w:val="es-MX"/>
        </w:rPr>
        <w:t xml:space="preserve"> por el directorio de la Sociedad en su reunión de fecha</w:t>
      </w:r>
      <w:r w:rsidR="00DC5954">
        <w:rPr>
          <w:sz w:val="20"/>
          <w:szCs w:val="20"/>
          <w:lang w:val="es-MX"/>
        </w:rPr>
        <w:t xml:space="preserve"> </w:t>
      </w:r>
      <w:r w:rsidR="00E475BB">
        <w:rPr>
          <w:sz w:val="20"/>
          <w:szCs w:val="20"/>
          <w:lang w:val="es-MX"/>
        </w:rPr>
        <w:t>11</w:t>
      </w:r>
      <w:r w:rsidRPr="00D354AB">
        <w:rPr>
          <w:sz w:val="20"/>
          <w:szCs w:val="20"/>
          <w:lang w:val="es-MX"/>
        </w:rPr>
        <w:t xml:space="preserve"> de </w:t>
      </w:r>
      <w:r w:rsidR="00E475BB">
        <w:rPr>
          <w:sz w:val="20"/>
          <w:szCs w:val="20"/>
          <w:lang w:val="es-MX"/>
        </w:rPr>
        <w:t>noviembre</w:t>
      </w:r>
      <w:r w:rsidR="00E475BB" w:rsidRPr="00D354AB">
        <w:rPr>
          <w:sz w:val="20"/>
          <w:szCs w:val="20"/>
          <w:lang w:val="es-MX"/>
        </w:rPr>
        <w:t xml:space="preserve"> </w:t>
      </w:r>
      <w:r w:rsidRPr="00D354AB">
        <w:rPr>
          <w:sz w:val="20"/>
          <w:szCs w:val="20"/>
          <w:lang w:val="es-MX"/>
        </w:rPr>
        <w:t>de 2019</w:t>
      </w:r>
      <w:r w:rsidR="00EF0262" w:rsidRPr="00D354AB">
        <w:rPr>
          <w:sz w:val="20"/>
          <w:szCs w:val="20"/>
          <w:lang w:val="es-MX"/>
        </w:rPr>
        <w:t xml:space="preserve">, </w:t>
      </w:r>
      <w:r w:rsidRPr="00D354AB">
        <w:rPr>
          <w:sz w:val="20"/>
          <w:szCs w:val="20"/>
          <w:lang w:val="es-MX"/>
        </w:rPr>
        <w:t xml:space="preserve">que se encuentran a disposición del público en la Página Web de la CNV, bajo el ID </w:t>
      </w:r>
      <w:r w:rsidR="00E475BB" w:rsidRPr="00E475BB">
        <w:rPr>
          <w:sz w:val="20"/>
          <w:szCs w:val="20"/>
          <w:lang w:val="es-MX"/>
        </w:rPr>
        <w:t>2542193</w:t>
      </w:r>
      <w:r w:rsidR="00E475BB">
        <w:rPr>
          <w:sz w:val="20"/>
          <w:szCs w:val="20"/>
          <w:lang w:val="es-MX"/>
        </w:rPr>
        <w:t>.</w:t>
      </w:r>
    </w:p>
    <w:p w14:paraId="4AAE5BDC" w14:textId="55CDA402" w:rsidR="00E8706D" w:rsidRPr="00D354AB" w:rsidRDefault="00E8706D" w:rsidP="006C1EFA">
      <w:pPr>
        <w:widowControl w:val="0"/>
        <w:jc w:val="both"/>
        <w:outlineLvl w:val="0"/>
        <w:rPr>
          <w:sz w:val="20"/>
          <w:szCs w:val="20"/>
          <w:lang w:val="es-AR"/>
        </w:rPr>
      </w:pPr>
    </w:p>
    <w:p w14:paraId="371CB155" w14:textId="77777777" w:rsidR="0015206D" w:rsidRPr="00D354AB" w:rsidRDefault="0015206D" w:rsidP="006C1EFA">
      <w:pPr>
        <w:pStyle w:val="Textoindependiente"/>
        <w:widowControl w:val="0"/>
        <w:tabs>
          <w:tab w:val="clear" w:pos="397"/>
        </w:tabs>
        <w:rPr>
          <w:b/>
        </w:rPr>
      </w:pPr>
    </w:p>
    <w:p w14:paraId="4E5C0D3A" w14:textId="685D3176" w:rsidR="008E76CF" w:rsidRPr="00D354AB" w:rsidRDefault="0034035D" w:rsidP="008E76CF">
      <w:pPr>
        <w:ind w:left="2832" w:firstLine="708"/>
        <w:jc w:val="both"/>
        <w:rPr>
          <w:b/>
          <w:smallCaps/>
          <w:sz w:val="20"/>
          <w:szCs w:val="20"/>
          <w:lang w:val="es-AR"/>
        </w:rPr>
      </w:pPr>
      <w:r w:rsidRPr="00C436CD">
        <w:rPr>
          <w:sz w:val="20"/>
          <w:lang w:val="es-ES"/>
        </w:rPr>
        <w:br w:type="page"/>
      </w:r>
      <w:bookmarkStart w:id="57" w:name="_Toc258258778"/>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r w:rsidR="008E76CF" w:rsidRPr="00C436CD">
        <w:rPr>
          <w:b/>
          <w:smallCaps/>
          <w:sz w:val="20"/>
          <w:szCs w:val="20"/>
          <w:lang w:val="es-AR"/>
        </w:rPr>
        <w:lastRenderedPageBreak/>
        <w:t>Destino de los Fondos</w:t>
      </w:r>
    </w:p>
    <w:p w14:paraId="3C745B10" w14:textId="77777777" w:rsidR="008E76CF" w:rsidRPr="00D354AB" w:rsidRDefault="008E76CF" w:rsidP="008E76CF">
      <w:pPr>
        <w:pStyle w:val="Prrafodelista"/>
        <w:autoSpaceDE w:val="0"/>
        <w:autoSpaceDN w:val="0"/>
        <w:adjustRightInd w:val="0"/>
        <w:ind w:left="0"/>
        <w:jc w:val="both"/>
        <w:rPr>
          <w:rFonts w:eastAsia="Calibri"/>
          <w:color w:val="000000"/>
          <w:sz w:val="20"/>
          <w:szCs w:val="20"/>
          <w:lang w:val="es-ES"/>
        </w:rPr>
      </w:pPr>
    </w:p>
    <w:p w14:paraId="0AD41702" w14:textId="77777777" w:rsidR="00EF0262" w:rsidRPr="00D354AB" w:rsidRDefault="00EF0262" w:rsidP="00EF0262">
      <w:pPr>
        <w:widowControl w:val="0"/>
        <w:jc w:val="both"/>
        <w:rPr>
          <w:sz w:val="20"/>
          <w:szCs w:val="20"/>
          <w:lang w:val="es-AR"/>
        </w:rPr>
      </w:pPr>
      <w:r w:rsidRPr="00D354AB">
        <w:rPr>
          <w:sz w:val="20"/>
          <w:szCs w:val="20"/>
          <w:lang w:val="es-AR"/>
        </w:rPr>
        <w:t>Los fondos netos provenientes de la colocación de las Obligaciones Negociables (los “</w:t>
      </w:r>
      <w:r w:rsidRPr="00D354AB">
        <w:rPr>
          <w:sz w:val="20"/>
          <w:szCs w:val="20"/>
          <w:u w:val="single"/>
          <w:lang w:val="es-AR"/>
        </w:rPr>
        <w:t>Fondos Netos</w:t>
      </w:r>
      <w:r w:rsidRPr="00D354AB">
        <w:rPr>
          <w:sz w:val="20"/>
          <w:szCs w:val="20"/>
          <w:lang w:val="es-AR"/>
        </w:rPr>
        <w:t xml:space="preserve">”) serán utilizados, en cumplimiento con el artículo 36 de la Ley de Obligaciones Negociables, para capital de trabajo en Argentina y/o refinanciación de pasivos, priorizando una mejor administración de los fondos y a fin de maximizar los beneficios provenientes de la emisión. El concepto de capital de trabajo en la República Argentina incluye, entre otros: financiación de cartera de clientes (incluyendo otorgamiento de préstamos), y/o pago a comercios, y/o pago a proveedores, y/o pago de tributos (Anticipo de Ganancias, Ingresos Brutos, Impuestos Municipales, entre otros), y/o pago de haberes, registrados como activos y pasivos corrientes. </w:t>
      </w:r>
    </w:p>
    <w:p w14:paraId="05834C12" w14:textId="77777777" w:rsidR="00EF0262" w:rsidRPr="00D354AB" w:rsidRDefault="00EF0262" w:rsidP="00EF0262">
      <w:pPr>
        <w:widowControl w:val="0"/>
        <w:jc w:val="both"/>
        <w:rPr>
          <w:sz w:val="20"/>
          <w:szCs w:val="20"/>
          <w:highlight w:val="yellow"/>
          <w:lang w:val="es-AR"/>
        </w:rPr>
      </w:pPr>
    </w:p>
    <w:p w14:paraId="190A05B0" w14:textId="77777777" w:rsidR="00EF0262" w:rsidRPr="00D354AB" w:rsidRDefault="00EF0262" w:rsidP="00EF0262">
      <w:pPr>
        <w:jc w:val="both"/>
        <w:rPr>
          <w:rFonts w:eastAsia="Calibri"/>
          <w:strike/>
          <w:color w:val="000000"/>
          <w:sz w:val="20"/>
          <w:szCs w:val="20"/>
          <w:lang w:val="es-ES"/>
        </w:rPr>
      </w:pPr>
    </w:p>
    <w:p w14:paraId="3088FECA" w14:textId="77777777" w:rsidR="00EF0262" w:rsidRPr="00D354AB" w:rsidRDefault="00EF0262" w:rsidP="00EF0262">
      <w:pPr>
        <w:widowControl w:val="0"/>
        <w:jc w:val="both"/>
        <w:rPr>
          <w:sz w:val="20"/>
          <w:szCs w:val="20"/>
          <w:lang w:val="es-AR"/>
        </w:rPr>
      </w:pPr>
      <w:r w:rsidRPr="00D354AB">
        <w:rPr>
          <w:sz w:val="20"/>
          <w:szCs w:val="20"/>
          <w:lang w:val="es-ES"/>
        </w:rPr>
        <w:t>Se estima que los fondos netos serán de aproximadamente $ 695.151.535 asumiendo que la emisión de las Obligaciones Negociables será por $ 700.000.000.</w:t>
      </w:r>
    </w:p>
    <w:p w14:paraId="12A35AA9" w14:textId="77777777" w:rsidR="00EF0262" w:rsidRPr="00D354AB" w:rsidRDefault="00EF0262" w:rsidP="00EF0262">
      <w:pPr>
        <w:pStyle w:val="Default"/>
        <w:jc w:val="both"/>
        <w:rPr>
          <w:color w:val="auto"/>
          <w:sz w:val="20"/>
          <w:szCs w:val="20"/>
        </w:rPr>
      </w:pPr>
    </w:p>
    <w:p w14:paraId="1FD9BF9E" w14:textId="77777777" w:rsidR="00EF0262" w:rsidRPr="00D354AB" w:rsidRDefault="00EF0262" w:rsidP="00EF0262">
      <w:pPr>
        <w:pStyle w:val="Default"/>
        <w:jc w:val="both"/>
        <w:rPr>
          <w:color w:val="auto"/>
          <w:sz w:val="20"/>
          <w:szCs w:val="20"/>
        </w:rPr>
      </w:pPr>
    </w:p>
    <w:p w14:paraId="7CBA539D" w14:textId="77777777" w:rsidR="008E76CF" w:rsidRPr="00D354AB" w:rsidRDefault="008E76CF" w:rsidP="008E76CF">
      <w:pPr>
        <w:pStyle w:val="Default"/>
        <w:jc w:val="both"/>
        <w:rPr>
          <w:color w:val="auto"/>
          <w:sz w:val="20"/>
          <w:szCs w:val="20"/>
        </w:rPr>
      </w:pPr>
    </w:p>
    <w:p w14:paraId="1326B00A" w14:textId="77777777" w:rsidR="008E76CF" w:rsidRPr="00D354AB" w:rsidRDefault="008E76CF" w:rsidP="008E76CF">
      <w:pPr>
        <w:pStyle w:val="Default"/>
        <w:jc w:val="both"/>
        <w:rPr>
          <w:color w:val="auto"/>
          <w:sz w:val="20"/>
          <w:szCs w:val="20"/>
        </w:rPr>
      </w:pPr>
    </w:p>
    <w:p w14:paraId="4E3C28CD" w14:textId="77777777" w:rsidR="008E76CF" w:rsidRPr="00D354AB" w:rsidRDefault="008E76CF" w:rsidP="008E76CF">
      <w:pPr>
        <w:pStyle w:val="Default"/>
        <w:jc w:val="both"/>
        <w:rPr>
          <w:color w:val="auto"/>
          <w:sz w:val="20"/>
          <w:szCs w:val="20"/>
        </w:rPr>
      </w:pPr>
    </w:p>
    <w:p w14:paraId="74F63103" w14:textId="77777777" w:rsidR="008E76CF" w:rsidRPr="00D354AB" w:rsidRDefault="008E76CF" w:rsidP="008E76CF">
      <w:pPr>
        <w:pStyle w:val="Default"/>
        <w:jc w:val="both"/>
        <w:rPr>
          <w:color w:val="auto"/>
          <w:sz w:val="20"/>
          <w:szCs w:val="20"/>
        </w:rPr>
      </w:pPr>
    </w:p>
    <w:p w14:paraId="23C3398D" w14:textId="77777777" w:rsidR="008E76CF" w:rsidRPr="00D354AB" w:rsidRDefault="008E76CF" w:rsidP="008E76CF">
      <w:pPr>
        <w:pStyle w:val="Default"/>
        <w:jc w:val="both"/>
        <w:rPr>
          <w:color w:val="auto"/>
          <w:sz w:val="20"/>
          <w:szCs w:val="20"/>
        </w:rPr>
      </w:pPr>
    </w:p>
    <w:p w14:paraId="13839AA3" w14:textId="77777777" w:rsidR="008E76CF" w:rsidRPr="00D354AB" w:rsidRDefault="008E76CF" w:rsidP="008E76CF">
      <w:pPr>
        <w:jc w:val="left"/>
        <w:rPr>
          <w:sz w:val="20"/>
          <w:szCs w:val="20"/>
          <w:lang w:val="es-ES" w:eastAsia="es-ES"/>
        </w:rPr>
      </w:pPr>
      <w:r w:rsidRPr="00D354AB">
        <w:rPr>
          <w:sz w:val="20"/>
          <w:szCs w:val="20"/>
          <w:lang w:val="es-AR"/>
        </w:rPr>
        <w:br w:type="page"/>
      </w:r>
    </w:p>
    <w:p w14:paraId="5A7B4CB5" w14:textId="77777777" w:rsidR="008E76CF" w:rsidRPr="00D354AB" w:rsidRDefault="008E76CF" w:rsidP="008E76CF">
      <w:pPr>
        <w:widowControl w:val="0"/>
        <w:jc w:val="both"/>
        <w:rPr>
          <w:bCs/>
          <w:sz w:val="20"/>
          <w:szCs w:val="20"/>
          <w:highlight w:val="yellow"/>
          <w:lang w:val="es-AR"/>
        </w:rPr>
      </w:pPr>
      <w:bookmarkStart w:id="58" w:name="_Hlk4768408"/>
    </w:p>
    <w:p w14:paraId="6AB81279" w14:textId="69FD5DDB" w:rsidR="00EF0262" w:rsidRPr="00D354AB" w:rsidRDefault="00EF0262" w:rsidP="00EF0262">
      <w:pPr>
        <w:rPr>
          <w:b/>
          <w:smallCaps/>
          <w:sz w:val="20"/>
          <w:szCs w:val="20"/>
          <w:lang w:val="es-AR"/>
        </w:rPr>
      </w:pPr>
      <w:r w:rsidRPr="00D354AB">
        <w:rPr>
          <w:b/>
          <w:smallCaps/>
          <w:sz w:val="20"/>
          <w:szCs w:val="20"/>
          <w:lang w:val="es-AR"/>
        </w:rPr>
        <w:t>Gastos de Emisión</w:t>
      </w:r>
    </w:p>
    <w:p w14:paraId="32A9ABB6" w14:textId="77777777" w:rsidR="00EF0262" w:rsidRPr="00D354AB" w:rsidRDefault="00EF0262" w:rsidP="00EF0262">
      <w:pPr>
        <w:widowControl w:val="0"/>
        <w:jc w:val="both"/>
        <w:rPr>
          <w:bCs/>
          <w:sz w:val="20"/>
          <w:szCs w:val="20"/>
          <w:highlight w:val="yellow"/>
          <w:lang w:val="es-AR"/>
        </w:rPr>
      </w:pPr>
    </w:p>
    <w:p w14:paraId="322D3358" w14:textId="77777777" w:rsidR="00EF0262" w:rsidRPr="00D354AB" w:rsidRDefault="00EF0262" w:rsidP="00EF0262">
      <w:pPr>
        <w:pStyle w:val="Default"/>
        <w:jc w:val="both"/>
        <w:rPr>
          <w:sz w:val="20"/>
          <w:szCs w:val="20"/>
        </w:rPr>
      </w:pPr>
      <w:r w:rsidRPr="00D354AB">
        <w:rPr>
          <w:sz w:val="20"/>
          <w:szCs w:val="20"/>
        </w:rPr>
        <w:t xml:space="preserve">La comisión a ser pagada a los Colocadores será de aproximadamente </w:t>
      </w:r>
      <w:r w:rsidRPr="00D354AB">
        <w:rPr>
          <w:sz w:val="20"/>
          <w:szCs w:val="20"/>
          <w:lang w:val="es-AR"/>
        </w:rPr>
        <w:t xml:space="preserve">$ 3.500.000 </w:t>
      </w:r>
      <w:r w:rsidRPr="00D354AB">
        <w:rPr>
          <w:sz w:val="20"/>
          <w:szCs w:val="20"/>
        </w:rPr>
        <w:t>lo cual representa el 0,5% del Valor Nominal Máximo de emisión de $ 700.000.000.</w:t>
      </w:r>
    </w:p>
    <w:p w14:paraId="0B1782BA" w14:textId="77777777" w:rsidR="00EF0262" w:rsidRPr="00D354AB" w:rsidRDefault="00EF0262" w:rsidP="00EF0262">
      <w:pPr>
        <w:widowControl w:val="0"/>
        <w:jc w:val="both"/>
        <w:rPr>
          <w:bCs/>
          <w:sz w:val="20"/>
          <w:szCs w:val="20"/>
          <w:highlight w:val="yellow"/>
          <w:lang w:val="es-ES"/>
        </w:rPr>
      </w:pPr>
    </w:p>
    <w:p w14:paraId="1FFEBF30" w14:textId="77777777" w:rsidR="00EF0262" w:rsidRPr="00D354AB" w:rsidRDefault="00EF0262" w:rsidP="00EF0262">
      <w:pPr>
        <w:jc w:val="both"/>
        <w:rPr>
          <w:bCs/>
          <w:sz w:val="20"/>
          <w:szCs w:val="20"/>
          <w:lang w:val="es-AR"/>
        </w:rPr>
      </w:pPr>
      <w:r w:rsidRPr="00D354AB">
        <w:rPr>
          <w:bCs/>
          <w:sz w:val="20"/>
          <w:szCs w:val="20"/>
          <w:lang w:val="es-AR"/>
        </w:rPr>
        <w:t>A dicho monto se deberá sumar lo devengado por asesores contables y legales, arancel de CNV, gastos de publicaciones, gastos de los agentes de calificación de riesgo. Ninguno de los gastos mencionados será soportado por los suscriptores de las Obligaciones Negociables.</w:t>
      </w:r>
    </w:p>
    <w:p w14:paraId="0AF94EF6" w14:textId="77777777" w:rsidR="00EF0262" w:rsidRPr="00D354AB" w:rsidRDefault="00EF0262" w:rsidP="00EF0262">
      <w:pPr>
        <w:widowControl w:val="0"/>
        <w:jc w:val="both"/>
        <w:rPr>
          <w:bCs/>
          <w:sz w:val="20"/>
          <w:szCs w:val="20"/>
          <w:highlight w:val="yellow"/>
          <w:lang w:val="es-AR"/>
        </w:rPr>
      </w:pPr>
    </w:p>
    <w:p w14:paraId="1956E187" w14:textId="77777777" w:rsidR="00EF0262" w:rsidRPr="00D354AB" w:rsidRDefault="00EF0262" w:rsidP="00EF0262">
      <w:pPr>
        <w:widowControl w:val="0"/>
        <w:jc w:val="both"/>
        <w:rPr>
          <w:bCs/>
          <w:sz w:val="20"/>
          <w:szCs w:val="20"/>
          <w:lang w:val="es-AR"/>
        </w:rPr>
      </w:pPr>
      <w:r w:rsidRPr="00D354AB">
        <w:rPr>
          <w:bCs/>
          <w:sz w:val="20"/>
          <w:szCs w:val="20"/>
          <w:lang w:val="es-AR"/>
        </w:rPr>
        <w:t>Ni el Emisor ni los Colocadores pagarán comisión y/o reembolsarán gasto alguno a los Agentes del MAE, sin perjuicio de lo cual, dichos Agentes del MAE podrán cobrar comisiones y/o gastos directamente a los Inversores que hubieran cursado Ofertas a través suyo.</w:t>
      </w:r>
    </w:p>
    <w:p w14:paraId="3516A753" w14:textId="77777777" w:rsidR="00EF0262" w:rsidRPr="00D354AB" w:rsidRDefault="00EF0262" w:rsidP="00EF0262">
      <w:pPr>
        <w:pStyle w:val="Default"/>
        <w:jc w:val="both"/>
        <w:rPr>
          <w:sz w:val="20"/>
          <w:szCs w:val="20"/>
          <w:highlight w:val="yellow"/>
        </w:rPr>
      </w:pPr>
    </w:p>
    <w:p w14:paraId="411DE63B" w14:textId="77777777" w:rsidR="00EF0262" w:rsidRPr="00D354AB" w:rsidRDefault="00EF0262" w:rsidP="00EF0262">
      <w:pPr>
        <w:pStyle w:val="Default"/>
        <w:jc w:val="both"/>
        <w:rPr>
          <w:sz w:val="20"/>
          <w:szCs w:val="20"/>
        </w:rPr>
      </w:pPr>
      <w:r w:rsidRPr="00D354AB">
        <w:rPr>
          <w:sz w:val="20"/>
          <w:szCs w:val="20"/>
        </w:rPr>
        <w:t xml:space="preserve">Los gastos de emisión serán de aproximadamente $ 1.348.464 los cuales representan el 0,19% sobre la emisión de $ 700.000.000, de acuerdo con el siguiente detalle (los montos son aproximados y algunos porcentajes han sido redondeados por razones de exposición): </w:t>
      </w:r>
    </w:p>
    <w:p w14:paraId="33163F6C" w14:textId="77777777" w:rsidR="00EF0262" w:rsidRPr="00D354AB" w:rsidRDefault="00EF0262" w:rsidP="00EF0262">
      <w:pPr>
        <w:pStyle w:val="Default"/>
        <w:jc w:val="both"/>
        <w:rPr>
          <w:sz w:val="20"/>
          <w:szCs w:val="20"/>
          <w:highlight w:val="yellow"/>
        </w:rPr>
      </w:pPr>
    </w:p>
    <w:p w14:paraId="778BF1D7" w14:textId="77777777" w:rsidR="00EF0262" w:rsidRPr="00D354AB" w:rsidRDefault="00EF0262" w:rsidP="00EF0262">
      <w:pPr>
        <w:pStyle w:val="Default"/>
        <w:numPr>
          <w:ilvl w:val="0"/>
          <w:numId w:val="38"/>
        </w:numPr>
        <w:spacing w:after="19"/>
        <w:jc w:val="both"/>
        <w:rPr>
          <w:sz w:val="20"/>
          <w:szCs w:val="20"/>
        </w:rPr>
      </w:pPr>
      <w:r w:rsidRPr="00D354AB">
        <w:rPr>
          <w:sz w:val="20"/>
          <w:szCs w:val="20"/>
        </w:rPr>
        <w:t xml:space="preserve">honorarios de asesores contables y legales: $ 521.900 lo cual representa el 0,07% del total de la emisión; </w:t>
      </w:r>
    </w:p>
    <w:p w14:paraId="4EC9BC9E" w14:textId="77777777" w:rsidR="00EF0262" w:rsidRPr="00D354AB" w:rsidRDefault="00EF0262" w:rsidP="00EF0262">
      <w:pPr>
        <w:pStyle w:val="Default"/>
        <w:numPr>
          <w:ilvl w:val="0"/>
          <w:numId w:val="38"/>
        </w:numPr>
        <w:spacing w:after="19"/>
        <w:jc w:val="both"/>
        <w:rPr>
          <w:sz w:val="20"/>
          <w:szCs w:val="20"/>
        </w:rPr>
      </w:pPr>
      <w:r w:rsidRPr="00D354AB">
        <w:rPr>
          <w:sz w:val="20"/>
          <w:szCs w:val="20"/>
        </w:rPr>
        <w:t xml:space="preserve">arancel de la CNV y otros organismos reguladores: $ 566.565 lo cual representa el 0,08% del total de la emisión; </w:t>
      </w:r>
    </w:p>
    <w:p w14:paraId="2C55C873" w14:textId="77777777" w:rsidR="00EF0262" w:rsidRPr="00D354AB" w:rsidRDefault="00EF0262" w:rsidP="00EF0262">
      <w:pPr>
        <w:pStyle w:val="Default"/>
        <w:numPr>
          <w:ilvl w:val="0"/>
          <w:numId w:val="38"/>
        </w:numPr>
        <w:spacing w:after="19"/>
        <w:jc w:val="both"/>
        <w:rPr>
          <w:sz w:val="20"/>
          <w:szCs w:val="20"/>
        </w:rPr>
      </w:pPr>
      <w:r w:rsidRPr="00D354AB">
        <w:rPr>
          <w:sz w:val="20"/>
          <w:szCs w:val="20"/>
        </w:rPr>
        <w:t xml:space="preserve">honorarios del agente de calificación de riesgo: $ 140.000 lo cual representa el 0,02% del total de la emisión; </w:t>
      </w:r>
    </w:p>
    <w:p w14:paraId="71F7AF74" w14:textId="77777777" w:rsidR="00EF0262" w:rsidRPr="00D354AB" w:rsidRDefault="00EF0262" w:rsidP="00EF0262">
      <w:pPr>
        <w:pStyle w:val="Default"/>
        <w:numPr>
          <w:ilvl w:val="0"/>
          <w:numId w:val="38"/>
        </w:numPr>
        <w:spacing w:after="19"/>
        <w:jc w:val="both"/>
        <w:rPr>
          <w:sz w:val="20"/>
          <w:szCs w:val="20"/>
          <w:lang w:val="es-AR"/>
        </w:rPr>
      </w:pPr>
      <w:r w:rsidRPr="00D354AB">
        <w:rPr>
          <w:sz w:val="20"/>
          <w:szCs w:val="20"/>
        </w:rPr>
        <w:t xml:space="preserve">gastos de publicaciones: $ 120.000 lo cual representa el 0,02% del total de la emisión; </w:t>
      </w:r>
    </w:p>
    <w:bookmarkEnd w:id="58"/>
    <w:p w14:paraId="61A262C6" w14:textId="77777777" w:rsidR="008E76CF" w:rsidRPr="00D354AB" w:rsidRDefault="008E76CF" w:rsidP="008E76CF">
      <w:pPr>
        <w:jc w:val="both"/>
        <w:rPr>
          <w:b/>
          <w:smallCaps/>
          <w:sz w:val="20"/>
          <w:szCs w:val="20"/>
          <w:lang w:val="es-AR"/>
        </w:rPr>
      </w:pPr>
    </w:p>
    <w:p w14:paraId="2DB428D6" w14:textId="7E70A7BD" w:rsidR="00A969DB" w:rsidRPr="00D354AB" w:rsidRDefault="00A969DB" w:rsidP="008E76CF">
      <w:pPr>
        <w:pStyle w:val="Default"/>
        <w:jc w:val="both"/>
        <w:rPr>
          <w:color w:val="auto"/>
          <w:sz w:val="20"/>
          <w:szCs w:val="20"/>
          <w:lang w:val="es-AR"/>
        </w:rPr>
      </w:pPr>
      <w:r w:rsidRPr="00D354AB">
        <w:rPr>
          <w:color w:val="auto"/>
          <w:sz w:val="20"/>
          <w:szCs w:val="20"/>
          <w:lang w:val="es-AR"/>
        </w:rPr>
        <w:br w:type="page"/>
      </w:r>
    </w:p>
    <w:bookmarkEnd w:id="57"/>
    <w:p w14:paraId="57497A3D" w14:textId="2317E7C4" w:rsidR="00DC0B1F" w:rsidRPr="00D354AB" w:rsidRDefault="004E0D13" w:rsidP="003561B3">
      <w:pPr>
        <w:widowControl w:val="0"/>
        <w:outlineLvl w:val="0"/>
        <w:rPr>
          <w:b/>
          <w:smallCaps/>
          <w:sz w:val="20"/>
          <w:szCs w:val="20"/>
          <w:lang w:val="es-AR"/>
        </w:rPr>
      </w:pPr>
      <w:r w:rsidRPr="00D354AB">
        <w:rPr>
          <w:b/>
          <w:smallCaps/>
          <w:sz w:val="20"/>
          <w:szCs w:val="20"/>
          <w:lang w:val="es-AR"/>
        </w:rPr>
        <w:lastRenderedPageBreak/>
        <w:t>H</w:t>
      </w:r>
      <w:r w:rsidR="008E76CF" w:rsidRPr="00D354AB">
        <w:rPr>
          <w:b/>
          <w:smallCaps/>
          <w:sz w:val="20"/>
          <w:szCs w:val="20"/>
          <w:lang w:val="es-AR"/>
        </w:rPr>
        <w:t>echos Posteriores al Cierre</w:t>
      </w:r>
    </w:p>
    <w:p w14:paraId="48505CC0" w14:textId="138BF781" w:rsidR="008E76CF" w:rsidRPr="00D354AB" w:rsidRDefault="008E76CF" w:rsidP="007E2C47">
      <w:pPr>
        <w:widowControl w:val="0"/>
        <w:outlineLvl w:val="0"/>
        <w:rPr>
          <w:b/>
          <w:smallCaps/>
          <w:sz w:val="20"/>
          <w:szCs w:val="20"/>
          <w:lang w:val="es-AR"/>
        </w:rPr>
      </w:pPr>
    </w:p>
    <w:p w14:paraId="508C2F14" w14:textId="77777777" w:rsidR="00B46684" w:rsidRPr="00C436CD" w:rsidRDefault="008E76CF" w:rsidP="006C1EFA">
      <w:pPr>
        <w:widowControl w:val="0"/>
        <w:jc w:val="both"/>
        <w:outlineLvl w:val="0"/>
        <w:rPr>
          <w:sz w:val="20"/>
          <w:szCs w:val="20"/>
          <w:lang w:val="es-MX"/>
        </w:rPr>
      </w:pPr>
      <w:r w:rsidRPr="00C436CD">
        <w:rPr>
          <w:sz w:val="20"/>
          <w:szCs w:val="20"/>
          <w:lang w:val="es-MX"/>
        </w:rPr>
        <w:t xml:space="preserve">Se informa que no han ocurrido cambios significativos desde la fecha del Prospecto </w:t>
      </w:r>
      <w:r w:rsidR="00052BAF" w:rsidRPr="00C436CD">
        <w:rPr>
          <w:sz w:val="20"/>
          <w:szCs w:val="20"/>
          <w:lang w:val="es-MX"/>
        </w:rPr>
        <w:t xml:space="preserve">8 </w:t>
      </w:r>
      <w:r w:rsidRPr="00C436CD">
        <w:rPr>
          <w:sz w:val="20"/>
          <w:szCs w:val="20"/>
          <w:lang w:val="es-MX"/>
        </w:rPr>
        <w:t xml:space="preserve">de </w:t>
      </w:r>
      <w:r w:rsidR="00052BAF" w:rsidRPr="00C436CD">
        <w:rPr>
          <w:sz w:val="20"/>
          <w:szCs w:val="20"/>
          <w:lang w:val="es-MX"/>
        </w:rPr>
        <w:t xml:space="preserve">abril </w:t>
      </w:r>
      <w:r w:rsidRPr="00C436CD">
        <w:rPr>
          <w:sz w:val="20"/>
          <w:szCs w:val="20"/>
          <w:lang w:val="es-MX"/>
        </w:rPr>
        <w:t>de 2019</w:t>
      </w:r>
      <w:r w:rsidR="00B46684" w:rsidRPr="00C436CD">
        <w:rPr>
          <w:sz w:val="20"/>
          <w:szCs w:val="20"/>
          <w:lang w:val="es-MX"/>
        </w:rPr>
        <w:t>, más allá de los que se exponen a continuación:</w:t>
      </w:r>
    </w:p>
    <w:p w14:paraId="1B4D7122" w14:textId="77777777" w:rsidR="00B46684" w:rsidRPr="00655E50" w:rsidRDefault="00B46684" w:rsidP="006C1EFA">
      <w:pPr>
        <w:widowControl w:val="0"/>
        <w:jc w:val="both"/>
        <w:outlineLvl w:val="0"/>
        <w:rPr>
          <w:sz w:val="20"/>
          <w:szCs w:val="20"/>
          <w:lang w:val="es-MX"/>
        </w:rPr>
      </w:pPr>
    </w:p>
    <w:p w14:paraId="02B7AF65" w14:textId="5DBA3BF6" w:rsidR="00B46684" w:rsidRPr="00655E50" w:rsidRDefault="00B46684" w:rsidP="00E462C0">
      <w:pPr>
        <w:pStyle w:val="Prrafodelista"/>
        <w:widowControl w:val="0"/>
        <w:numPr>
          <w:ilvl w:val="0"/>
          <w:numId w:val="38"/>
        </w:numPr>
        <w:jc w:val="both"/>
        <w:outlineLvl w:val="0"/>
        <w:rPr>
          <w:sz w:val="20"/>
          <w:szCs w:val="20"/>
          <w:lang w:val="es-MX"/>
        </w:rPr>
      </w:pPr>
      <w:bookmarkStart w:id="59" w:name="_Hlk26454049"/>
      <w:r w:rsidRPr="00655E50">
        <w:rPr>
          <w:sz w:val="20"/>
          <w:szCs w:val="20"/>
          <w:lang w:val="es-MX"/>
        </w:rPr>
        <w:t>En fecha 10 de septiembre de 2019, el Directorio de la Sociedad aceptó la renuncia a su cargo de Director Titular de la Emisora del Lic. Ariel José Converso, luego de haberse desvinculado del Grupo FCA por motivos de índole personal. En el mismo acto, el Directorio de FCA resolvió convocar al Lic. Mariano Pablo Daneri a integrar el Directorio en carácter de Director Titular a partir de dicha fecha.</w:t>
      </w:r>
    </w:p>
    <w:bookmarkEnd w:id="59"/>
    <w:p w14:paraId="4C9B39B0" w14:textId="77777777" w:rsidR="00B46684" w:rsidRPr="00C436CD" w:rsidRDefault="00B46684" w:rsidP="00655E50">
      <w:pPr>
        <w:pStyle w:val="Prrafodelista"/>
        <w:widowControl w:val="0"/>
        <w:jc w:val="both"/>
        <w:outlineLvl w:val="0"/>
        <w:rPr>
          <w:sz w:val="20"/>
          <w:szCs w:val="20"/>
          <w:lang w:val="es-MX"/>
        </w:rPr>
      </w:pPr>
    </w:p>
    <w:p w14:paraId="38E35612" w14:textId="77777777" w:rsidR="00DC0B1F" w:rsidRPr="00D354AB" w:rsidRDefault="00DC0B1F" w:rsidP="007E2C47">
      <w:pPr>
        <w:pStyle w:val="Encabezado"/>
        <w:widowControl w:val="0"/>
        <w:tabs>
          <w:tab w:val="clear" w:pos="4419"/>
          <w:tab w:val="clear" w:pos="8838"/>
        </w:tabs>
        <w:rPr>
          <w:sz w:val="20"/>
          <w:szCs w:val="20"/>
          <w:lang w:val="es-AR"/>
        </w:rPr>
      </w:pPr>
    </w:p>
    <w:p w14:paraId="5735E5D7" w14:textId="0DCB1A4F" w:rsidR="007D1CA9" w:rsidRPr="00D354AB" w:rsidRDefault="008E76CF" w:rsidP="00C57C61">
      <w:pPr>
        <w:autoSpaceDE w:val="0"/>
        <w:autoSpaceDN w:val="0"/>
        <w:adjustRightInd w:val="0"/>
        <w:spacing w:after="120" w:line="240" w:lineRule="atLeast"/>
        <w:rPr>
          <w:sz w:val="20"/>
          <w:szCs w:val="20"/>
          <w:lang w:val="es-AR"/>
        </w:rPr>
      </w:pPr>
      <w:r w:rsidRPr="00D354AB">
        <w:rPr>
          <w:sz w:val="20"/>
          <w:szCs w:val="20"/>
          <w:lang w:val="es-AR"/>
        </w:rPr>
        <w:br w:type="page"/>
      </w:r>
      <w:r w:rsidR="00C57C61" w:rsidRPr="00D354AB">
        <w:rPr>
          <w:b/>
          <w:smallCaps/>
          <w:sz w:val="20"/>
          <w:szCs w:val="20"/>
          <w:lang w:val="es-AR"/>
        </w:rPr>
        <w:lastRenderedPageBreak/>
        <w:t>Información Adicional</w:t>
      </w:r>
    </w:p>
    <w:p w14:paraId="0D50986F" w14:textId="77777777" w:rsidR="007D1CA9" w:rsidRPr="00D354AB" w:rsidRDefault="007D1CA9" w:rsidP="007D1CA9">
      <w:pPr>
        <w:pStyle w:val="Default"/>
        <w:jc w:val="center"/>
        <w:rPr>
          <w:sz w:val="20"/>
          <w:szCs w:val="20"/>
        </w:rPr>
      </w:pPr>
    </w:p>
    <w:p w14:paraId="49BF4C3C" w14:textId="41DBDCF6" w:rsidR="007D1CA9" w:rsidRPr="00D354AB" w:rsidRDefault="007D1CA9" w:rsidP="007D1CA9">
      <w:pPr>
        <w:pStyle w:val="Default"/>
        <w:numPr>
          <w:ilvl w:val="0"/>
          <w:numId w:val="35"/>
        </w:numPr>
        <w:rPr>
          <w:b/>
          <w:bCs/>
          <w:sz w:val="20"/>
          <w:szCs w:val="20"/>
        </w:rPr>
      </w:pPr>
      <w:r w:rsidRPr="00D354AB">
        <w:rPr>
          <w:b/>
          <w:bCs/>
          <w:sz w:val="20"/>
          <w:szCs w:val="20"/>
        </w:rPr>
        <w:t xml:space="preserve">Controles de Cambio </w:t>
      </w:r>
    </w:p>
    <w:p w14:paraId="43479490" w14:textId="77777777" w:rsidR="00D354AB" w:rsidRPr="00D354AB" w:rsidRDefault="00D354AB" w:rsidP="00D354AB">
      <w:pPr>
        <w:spacing w:before="120"/>
        <w:jc w:val="both"/>
        <w:rPr>
          <w:sz w:val="20"/>
          <w:szCs w:val="20"/>
          <w:lang w:val="es-AR" w:eastAsia="es-ES"/>
        </w:rPr>
      </w:pPr>
      <w:r w:rsidRPr="00D354AB">
        <w:rPr>
          <w:sz w:val="20"/>
          <w:szCs w:val="20"/>
          <w:lang w:val="es-ES" w:eastAsia="es-ES"/>
        </w:rPr>
        <w:t xml:space="preserve">En enero de 2002, con la sanción de la Ley N° 25.561 de Emergencia se declaró la emergencia pública en materia social, económica, administrativa, financiera y cambiaria, y se facultó al </w:t>
      </w:r>
      <w:r w:rsidRPr="00D354AB">
        <w:rPr>
          <w:sz w:val="20"/>
          <w:szCs w:val="20"/>
          <w:lang w:val="es-AR" w:eastAsia="es-ES"/>
        </w:rPr>
        <w:t>Poder Ejecutivo Nacional (“</w:t>
      </w:r>
      <w:r w:rsidRPr="00D354AB">
        <w:rPr>
          <w:sz w:val="20"/>
          <w:szCs w:val="20"/>
          <w:u w:val="single"/>
          <w:lang w:val="es-AR" w:eastAsia="es-ES"/>
        </w:rPr>
        <w:t>PEN</w:t>
      </w:r>
      <w:r w:rsidRPr="00D354AB">
        <w:rPr>
          <w:sz w:val="20"/>
          <w:szCs w:val="20"/>
          <w:lang w:val="es-AR" w:eastAsia="es-ES"/>
        </w:rPr>
        <w:t>”) para establecer el sistema que determinará la relación de cambio entre el peso y las divisas extranjeras, y dictar regulaciones cambiarias</w:t>
      </w:r>
      <w:r w:rsidRPr="00D354AB">
        <w:rPr>
          <w:sz w:val="20"/>
          <w:szCs w:val="20"/>
          <w:lang w:val="es-ES" w:eastAsia="es-ES"/>
        </w:rPr>
        <w:t xml:space="preserve">. En tal contexto, el 8 de febrero de 2002 a través del Decreto N° 260/02, el PEN estableció (i) el MULC, a través del cual deben cursarse todas las operaciones de cambio en divisas extranjeras, y (ii) que las operaciones de cambio en divisas extranjeras deben ser realizadas al tipo de cambio libremente pactado entre las partes contratantes y sujetarse a los requisitos y a la reglamentación que establezca el BCRA (la cual, en sus aspectos principales, se detalla más </w:t>
      </w:r>
      <w:r w:rsidRPr="00D354AB">
        <w:rPr>
          <w:sz w:val="20"/>
          <w:szCs w:val="20"/>
          <w:lang w:val="es-AR" w:eastAsia="es-ES"/>
        </w:rPr>
        <w:t>abajo).</w:t>
      </w:r>
    </w:p>
    <w:p w14:paraId="2C1B27F6" w14:textId="77777777" w:rsidR="00D354AB" w:rsidRPr="00D354AB" w:rsidRDefault="00D354AB" w:rsidP="00D354AB">
      <w:pPr>
        <w:widowControl w:val="0"/>
        <w:autoSpaceDE w:val="0"/>
        <w:autoSpaceDN w:val="0"/>
        <w:adjustRightInd w:val="0"/>
        <w:spacing w:before="120"/>
        <w:jc w:val="both"/>
        <w:rPr>
          <w:sz w:val="20"/>
          <w:szCs w:val="20"/>
          <w:lang w:val="es-AR" w:eastAsia="es-ES"/>
        </w:rPr>
      </w:pPr>
      <w:r w:rsidRPr="00D354AB">
        <w:rPr>
          <w:sz w:val="20"/>
          <w:szCs w:val="20"/>
          <w:lang w:val="es-AR" w:eastAsia="es-ES"/>
        </w:rPr>
        <w:t xml:space="preserve">Desde fines del 2015, con el cambio de Gobierno, se han introducido significantes modificaciones al marco regulatorio cambiario, flexibilizando el régimen cambiario y facilitando el ingreso al MULC, que eliminaron algunas de las restricciones que imperaban, a la vez que redefinieron aspectos importantes del esquema aplicable a algunos tipos de operaciones en el MULC. </w:t>
      </w:r>
    </w:p>
    <w:p w14:paraId="28D8E56E" w14:textId="77777777" w:rsidR="00D354AB" w:rsidRPr="00D354AB" w:rsidRDefault="00D354AB" w:rsidP="00D354AB">
      <w:pPr>
        <w:widowControl w:val="0"/>
        <w:autoSpaceDE w:val="0"/>
        <w:autoSpaceDN w:val="0"/>
        <w:adjustRightInd w:val="0"/>
        <w:spacing w:before="120"/>
        <w:jc w:val="both"/>
        <w:rPr>
          <w:i/>
          <w:sz w:val="20"/>
          <w:szCs w:val="20"/>
          <w:lang w:val="es-AR" w:eastAsia="es-ES"/>
        </w:rPr>
      </w:pPr>
      <w:r w:rsidRPr="00D354AB">
        <w:rPr>
          <w:sz w:val="20"/>
          <w:szCs w:val="20"/>
          <w:lang w:val="es-AR" w:eastAsia="es-ES"/>
        </w:rPr>
        <w:t>A partir de la entrada en vigencia de la Comunicación “A”6244 (</w:t>
      </w:r>
      <w:r w:rsidRPr="00D354AB">
        <w:rPr>
          <w:sz w:val="20"/>
          <w:szCs w:val="20"/>
          <w:lang w:val="es-ES" w:eastAsia="es-ES"/>
        </w:rPr>
        <w:t>posteriormente modificada por la Comunicación “A” 6312)</w:t>
      </w:r>
      <w:r w:rsidRPr="00D354AB">
        <w:rPr>
          <w:sz w:val="20"/>
          <w:szCs w:val="20"/>
          <w:lang w:val="es-AR" w:eastAsia="es-ES"/>
        </w:rPr>
        <w:t xml:space="preserve">, el 1 de julio de 2017, se definió la liberación del MULC, </w:t>
      </w:r>
      <w:r w:rsidRPr="00D354AB">
        <w:rPr>
          <w:iCs/>
          <w:sz w:val="20"/>
          <w:szCs w:val="20"/>
          <w:lang w:val="es-AR" w:eastAsia="es-ES"/>
        </w:rPr>
        <w:t>actualmente redefinido como Mercado Libre de Cambios (“</w:t>
      </w:r>
      <w:r w:rsidRPr="00D354AB">
        <w:rPr>
          <w:iCs/>
          <w:sz w:val="20"/>
          <w:szCs w:val="20"/>
          <w:u w:val="single"/>
          <w:lang w:val="es-AR" w:eastAsia="es-ES"/>
        </w:rPr>
        <w:t>MLC</w:t>
      </w:r>
      <w:r w:rsidRPr="00D354AB">
        <w:rPr>
          <w:iCs/>
          <w:sz w:val="20"/>
          <w:szCs w:val="20"/>
          <w:lang w:val="es-AR" w:eastAsia="es-ES"/>
        </w:rPr>
        <w:t>”)</w:t>
      </w:r>
      <w:r w:rsidRPr="00D354AB">
        <w:rPr>
          <w:sz w:val="20"/>
          <w:szCs w:val="20"/>
          <w:lang w:val="es-AR" w:eastAsia="es-ES"/>
        </w:rPr>
        <w:t xml:space="preserve">, dejándose sin efecto todas las normas que reglamentaban la operatoria cambiaria, la posición general de cambios, así como aquellas atinentes al ingreso de divisas de operaciones de exportaciones de bienes y los seguimientos asociados a dicho ingreso –entre otras–, las que pasaron a regirse por esta nueva Comunicación, y por las regulaciones modificatorias y complementarias que se dicten con posterioridad. </w:t>
      </w:r>
    </w:p>
    <w:p w14:paraId="23E6775E" w14:textId="77777777" w:rsidR="00D354AB" w:rsidRPr="00D354AB" w:rsidRDefault="00D354AB" w:rsidP="00D354AB">
      <w:pPr>
        <w:spacing w:before="120"/>
        <w:jc w:val="both"/>
        <w:rPr>
          <w:sz w:val="20"/>
          <w:szCs w:val="20"/>
          <w:lang w:val="es-ES" w:eastAsia="es-ES"/>
        </w:rPr>
      </w:pPr>
      <w:r w:rsidRPr="00D354AB">
        <w:rPr>
          <w:i/>
          <w:sz w:val="20"/>
          <w:szCs w:val="20"/>
          <w:lang w:val="es-AR" w:eastAsia="es-ES"/>
        </w:rPr>
        <w:t xml:space="preserve">Decreto Nº 616/05 </w:t>
      </w:r>
    </w:p>
    <w:p w14:paraId="5B7E12C9" w14:textId="77777777" w:rsidR="00D354AB" w:rsidRPr="00D354AB" w:rsidRDefault="00D354AB" w:rsidP="00D354AB">
      <w:pPr>
        <w:spacing w:before="120"/>
        <w:jc w:val="both"/>
        <w:rPr>
          <w:sz w:val="20"/>
          <w:szCs w:val="20"/>
          <w:lang w:val="es-ES" w:eastAsia="es-ES"/>
        </w:rPr>
      </w:pPr>
      <w:r w:rsidRPr="00D354AB">
        <w:rPr>
          <w:sz w:val="20"/>
          <w:szCs w:val="20"/>
          <w:lang w:val="es-ES" w:eastAsia="es-ES"/>
        </w:rPr>
        <w:t>El Decreto Nº 616/05 dictado por el PEN el 9 de junio de 2005, estableció que (a) todo ingreso de fondos al mercado local de cambios originado en el endeudamiento con el exterior de personas físicas o jurídicas pertenecientes al sector privado, excluyendo los referidos al financiamiento del comercio exterior y a las emisiones primarias de valores negociables de deuda que cuenten con oferta pública y listado en mercados; (b) todo ingreso de fondos de no residentes cursados por el mercado local de cambios destinados a: tenencias de moneda local, adquisición de activos o pasivos financieros de todo tipo del sector privado financiero o no financiero (excluyendo la inversión extranjera directa (es decir, inversiones en inmuebles o que representen al menos un 10% del capital social o votos de una empresa local) y las emisiones primarias de valores negociables de deuda y de acciones que cuenten con oferta pública y listado en mercados, e inversiones en valores emitidos por el sector público que sean adquiridos en mercados secundarios; debían cumplir los siguientes requisitos: (a) los fondos ingresados sólo podían ser transferidos fuera del mercado local de cambios al vencimiento de un plazo de 365 días corridos, a contar desde la fecha de ingreso de los mismos al país (el “</w:t>
      </w:r>
      <w:r w:rsidRPr="00D354AB">
        <w:rPr>
          <w:sz w:val="20"/>
          <w:szCs w:val="20"/>
          <w:u w:val="single"/>
          <w:lang w:val="es-ES" w:eastAsia="es-ES"/>
        </w:rPr>
        <w:t>Plazo Mínimo de Permanencia</w:t>
      </w:r>
      <w:r w:rsidRPr="00D354AB">
        <w:rPr>
          <w:sz w:val="20"/>
          <w:szCs w:val="20"/>
          <w:lang w:val="es-ES" w:eastAsia="es-ES"/>
        </w:rPr>
        <w:t>”); (b) el resultado de la negociación de cambios de los fondos ingresados debía acreditarse en una cuenta del sistema bancario local; (c) debía constituirse un depósito nominativo, no transferible y no remunerado, por el 30% del monto involucrado en la operación correspondiente, durante un plazo de 365 días corridos, de acuerdo a las condiciones que se establecieron en la reglamentación (el “</w:t>
      </w:r>
      <w:r w:rsidRPr="00D354AB">
        <w:rPr>
          <w:sz w:val="20"/>
          <w:szCs w:val="20"/>
          <w:u w:val="single"/>
          <w:lang w:val="es-ES" w:eastAsia="es-ES"/>
        </w:rPr>
        <w:t>Depósito</w:t>
      </w:r>
      <w:r w:rsidRPr="00D354AB">
        <w:rPr>
          <w:sz w:val="20"/>
          <w:szCs w:val="20"/>
          <w:lang w:val="es-ES" w:eastAsia="es-ES"/>
        </w:rPr>
        <w:t>”); y (d) el Depósito debía ser constituido en dólares en las entidades financieras del país, no devengando intereses ni beneficios de ningún tipo, ni pudiendo ser utilizado como garantía de operaciones de crédito de ningún tipo. Cabe aclarar que existían diversas excepciones a los requisitos del Decreto Nro. 616/2005.</w:t>
      </w:r>
    </w:p>
    <w:p w14:paraId="0EA3875C" w14:textId="77777777" w:rsidR="00D354AB" w:rsidRPr="00D354AB" w:rsidRDefault="00D354AB" w:rsidP="00D354AB">
      <w:pPr>
        <w:spacing w:before="120"/>
        <w:jc w:val="both"/>
        <w:rPr>
          <w:sz w:val="20"/>
          <w:szCs w:val="20"/>
          <w:lang w:val="es-ES" w:eastAsia="es-ES"/>
        </w:rPr>
      </w:pPr>
      <w:r w:rsidRPr="00D354AB">
        <w:rPr>
          <w:sz w:val="20"/>
          <w:szCs w:val="20"/>
          <w:lang w:val="es-ES" w:eastAsia="es-ES"/>
        </w:rPr>
        <w:t>En virtud de las facultades delegadas por el Artículo 5° de dicho Decreto se facultó al Ministerio de Economía y Producción, actual Ministerio de Hacienda a modificar, en caso de producirse cambios en las condiciones macroeconómicas, (i) el Plazo Mínimo de Permanencia, y (ii) el porcentaje correspondiente al Depósito.</w:t>
      </w:r>
    </w:p>
    <w:p w14:paraId="328C7BD6" w14:textId="77777777" w:rsidR="00D354AB" w:rsidRPr="00D354AB" w:rsidRDefault="00D354AB" w:rsidP="00D354AB">
      <w:pPr>
        <w:spacing w:before="120"/>
        <w:jc w:val="both"/>
        <w:rPr>
          <w:sz w:val="20"/>
          <w:szCs w:val="20"/>
          <w:lang w:val="es-ES" w:eastAsia="es-ES"/>
        </w:rPr>
      </w:pPr>
      <w:r w:rsidRPr="00D354AB">
        <w:rPr>
          <w:sz w:val="20"/>
          <w:szCs w:val="20"/>
          <w:lang w:val="es-ES" w:eastAsia="es-ES"/>
        </w:rPr>
        <w:t>En este sentido, a través de la Resolución Nro. 3/2015 de fecha 18 de diciembre de 2015 y la Resolución Nro. 1/2017, el Ministerio de Hacienda redujo de 30% a 0% la alícuota aplicable al referido Depósito y, de manera complementaria, redujo de 365 a 0 días el Plazo Mínimo de Permanencia.</w:t>
      </w:r>
    </w:p>
    <w:p w14:paraId="5277890C" w14:textId="77777777" w:rsidR="00D354AB" w:rsidRPr="00D354AB" w:rsidRDefault="00D354AB" w:rsidP="00D354AB">
      <w:pPr>
        <w:spacing w:before="120"/>
        <w:jc w:val="both"/>
        <w:rPr>
          <w:b/>
          <w:sz w:val="20"/>
          <w:szCs w:val="20"/>
          <w:lang w:val="es-ES" w:eastAsia="es-ES"/>
        </w:rPr>
      </w:pPr>
      <w:r w:rsidRPr="00D354AB">
        <w:rPr>
          <w:sz w:val="20"/>
          <w:szCs w:val="20"/>
          <w:lang w:val="es-ES" w:eastAsia="es-ES"/>
        </w:rPr>
        <w:t>A continuación, se detallan los aspectos más relevantes de la normativa del BCRA a los fines del presente, incluyendo las recientes modificaciones introducidas por la Comunicación “A” 6.770 y concordantes.</w:t>
      </w:r>
    </w:p>
    <w:p w14:paraId="4ED17610" w14:textId="77777777" w:rsidR="00D354AB" w:rsidRPr="00D354AB" w:rsidRDefault="00D354AB" w:rsidP="00D354AB">
      <w:pPr>
        <w:widowControl w:val="0"/>
        <w:autoSpaceDE w:val="0"/>
        <w:autoSpaceDN w:val="0"/>
        <w:adjustRightInd w:val="0"/>
        <w:spacing w:before="100" w:beforeAutospacing="1" w:after="100" w:afterAutospacing="1"/>
        <w:jc w:val="both"/>
        <w:rPr>
          <w:i/>
          <w:sz w:val="20"/>
          <w:szCs w:val="20"/>
          <w:lang w:val="es-MX"/>
        </w:rPr>
      </w:pPr>
      <w:r w:rsidRPr="00D354AB">
        <w:rPr>
          <w:i/>
          <w:sz w:val="20"/>
          <w:szCs w:val="20"/>
          <w:lang w:val="es-MX"/>
        </w:rPr>
        <w:t>Nueva normativa cambiaria</w:t>
      </w:r>
    </w:p>
    <w:p w14:paraId="54AB2272" w14:textId="77777777" w:rsidR="00D354AB" w:rsidRPr="00D354AB" w:rsidRDefault="00D354AB" w:rsidP="00D354AB">
      <w:pPr>
        <w:spacing w:before="120" w:after="60"/>
        <w:jc w:val="both"/>
        <w:rPr>
          <w:sz w:val="20"/>
          <w:szCs w:val="20"/>
          <w:lang w:val="es-MX"/>
        </w:rPr>
      </w:pPr>
      <w:r w:rsidRPr="00D354AB">
        <w:rPr>
          <w:sz w:val="20"/>
          <w:szCs w:val="20"/>
          <w:lang w:val="es-MX"/>
        </w:rPr>
        <w:t>Recientemente, con fecha 1° de septiembre el Decreto de Necesidad y Urgencia N° 609 (“</w:t>
      </w:r>
      <w:r w:rsidRPr="00D354AB">
        <w:rPr>
          <w:sz w:val="20"/>
          <w:szCs w:val="20"/>
          <w:u w:val="single"/>
          <w:lang w:val="es-MX"/>
        </w:rPr>
        <w:t>DNU</w:t>
      </w:r>
      <w:r w:rsidRPr="00D354AB">
        <w:rPr>
          <w:sz w:val="20"/>
          <w:szCs w:val="20"/>
          <w:lang w:val="es-MX"/>
        </w:rPr>
        <w:t>”) publicado en el Boletín Oficial estableció en principio hasta el 31 de diciembre de 2019, el contravalor de la exportación de bienes y servicios deberá ingresarse al país en divisas y/o negociarse en el mercado de cambios en las condiciones y plazos que establezca el BCRA oportunamente.</w:t>
      </w:r>
    </w:p>
    <w:p w14:paraId="44555910" w14:textId="77777777" w:rsidR="00D354AB" w:rsidRPr="00D354AB" w:rsidRDefault="00D354AB" w:rsidP="00D354AB">
      <w:pPr>
        <w:spacing w:before="120" w:after="60"/>
        <w:jc w:val="both"/>
        <w:rPr>
          <w:sz w:val="20"/>
          <w:szCs w:val="20"/>
          <w:lang w:val="es-MX"/>
        </w:rPr>
      </w:pPr>
      <w:r w:rsidRPr="00D354AB">
        <w:rPr>
          <w:sz w:val="20"/>
          <w:szCs w:val="20"/>
          <w:lang w:val="es-MX"/>
        </w:rPr>
        <w:t>En ese marco, el BCRA emitió la Comunicación “A” 6770 (tal como fuera enmendada, aclarada y modificada sucesivamente mediante distintas Comunicaciones) por la cual se dispusieron restricciones al acceso al mercado de cambios para la compra de moneda extranjera y metales preciosos amonedados y las transferencias al exterior así como medidas que eviten prácticas y operaciones tendientes a eludir, a través de títulos públicos u otros instrumentos, lo dispuesto en dichas medidas.</w:t>
      </w:r>
    </w:p>
    <w:p w14:paraId="19469900" w14:textId="77777777" w:rsidR="00D354AB" w:rsidRPr="00D354AB" w:rsidRDefault="00D354AB" w:rsidP="00D354AB">
      <w:pPr>
        <w:spacing w:before="120" w:after="60"/>
        <w:jc w:val="both"/>
        <w:rPr>
          <w:sz w:val="20"/>
          <w:szCs w:val="20"/>
          <w:lang w:val="es-MX"/>
        </w:rPr>
      </w:pPr>
      <w:r w:rsidRPr="00D354AB">
        <w:rPr>
          <w:sz w:val="20"/>
          <w:szCs w:val="20"/>
          <w:lang w:val="es-MX"/>
        </w:rPr>
        <w:lastRenderedPageBreak/>
        <w:t>A continuación, se detallan los aspectos más relevantes de la nueva normativa del BCRA conforme la Comunicación “A” 6770 y complementarias y concordantes, relativos al ingreso y egreso de fondos de la Argentina:</w:t>
      </w:r>
    </w:p>
    <w:p w14:paraId="446854D7" w14:textId="77777777" w:rsidR="00D354AB" w:rsidRPr="00D354AB" w:rsidRDefault="00D354AB" w:rsidP="00D354AB">
      <w:pPr>
        <w:spacing w:before="120" w:after="60"/>
        <w:jc w:val="both"/>
        <w:rPr>
          <w:i/>
          <w:sz w:val="20"/>
          <w:szCs w:val="20"/>
          <w:lang w:val="es-MX"/>
        </w:rPr>
      </w:pPr>
      <w:r w:rsidRPr="00D354AB">
        <w:rPr>
          <w:i/>
          <w:sz w:val="20"/>
          <w:szCs w:val="20"/>
          <w:lang w:val="es-MX"/>
        </w:rPr>
        <w:t xml:space="preserve">Cobro de Exportaciones </w:t>
      </w:r>
    </w:p>
    <w:p w14:paraId="718B8CA7" w14:textId="77777777" w:rsidR="00D354AB" w:rsidRPr="00D354AB" w:rsidRDefault="00D354AB" w:rsidP="00D354AB">
      <w:pPr>
        <w:spacing w:before="120" w:after="60"/>
        <w:jc w:val="both"/>
        <w:rPr>
          <w:sz w:val="20"/>
          <w:szCs w:val="20"/>
          <w:lang w:val="es-MX"/>
        </w:rPr>
      </w:pPr>
      <w:r w:rsidRPr="00D354AB">
        <w:rPr>
          <w:sz w:val="20"/>
          <w:szCs w:val="20"/>
          <w:lang w:val="es-MX"/>
        </w:rPr>
        <w:t>El contravalor en divisas de exportaciones de bienes oficializadas a partir del 2 de septiembre de 2019 hasta alcanzar el valor facturado según la condición de venta pactada deberá ingresarse al país y liquidarse en el mercado de cambios en conformidad con determinados plazos dispuestos en la normativa, a computar desde la fecha del cumplido de embarque otorgado por la Aduana. Sin perjuicio de ello, independientemente de los plazos máximos dispuestos, los cobros de exportaciones deberán ser ingresados y liquidados en el mercado local de cambios dentro de los 5 días hábiles de la fecha de cobro. En igual sentido, existe la obligación de ingresar y liquidar en el mercado local de cambios dentro de 5 días hábiles de haber percibido divisas respecto de una exportación de servicios.</w:t>
      </w:r>
    </w:p>
    <w:p w14:paraId="119FC6A0" w14:textId="77777777" w:rsidR="00D354AB" w:rsidRPr="00D354AB" w:rsidRDefault="00D354AB" w:rsidP="00D354AB">
      <w:pPr>
        <w:spacing w:before="120" w:after="60"/>
        <w:jc w:val="both"/>
        <w:rPr>
          <w:sz w:val="20"/>
          <w:szCs w:val="20"/>
          <w:lang w:val="es-MX"/>
        </w:rPr>
      </w:pPr>
      <w:r w:rsidRPr="00D354AB">
        <w:rPr>
          <w:sz w:val="20"/>
          <w:szCs w:val="20"/>
          <w:lang w:val="es-MX"/>
        </w:rPr>
        <w:t>El exportador deberá seleccionar una entidad para que realice el “Seguimiento de las negociaciones de divisas por exportaciones de bienes”. La obligación de ingreso y liquidación de divisas de un permiso de embarque se considerará cumplida cuando la entidad haya certificado tal situación por los mecanismos establecidos a tal efecto.</w:t>
      </w:r>
    </w:p>
    <w:p w14:paraId="3993A797" w14:textId="77777777" w:rsidR="00D354AB" w:rsidRPr="00D354AB" w:rsidRDefault="00D354AB" w:rsidP="00D354AB">
      <w:pPr>
        <w:spacing w:before="120" w:after="60"/>
        <w:jc w:val="both"/>
        <w:rPr>
          <w:i/>
          <w:sz w:val="20"/>
          <w:szCs w:val="20"/>
          <w:lang w:val="es-MX"/>
        </w:rPr>
      </w:pPr>
      <w:r w:rsidRPr="00D354AB">
        <w:rPr>
          <w:i/>
          <w:sz w:val="20"/>
          <w:szCs w:val="20"/>
          <w:lang w:val="es-MX"/>
        </w:rPr>
        <w:t>Cancelación de anticipos y préstamos de prefinanciación de exportaciones.</w:t>
      </w:r>
    </w:p>
    <w:p w14:paraId="70911FEC" w14:textId="77777777" w:rsidR="00D354AB" w:rsidRPr="00D354AB" w:rsidRDefault="00D354AB" w:rsidP="00D354AB">
      <w:pPr>
        <w:spacing w:before="120" w:after="60"/>
        <w:jc w:val="both"/>
        <w:rPr>
          <w:sz w:val="20"/>
          <w:szCs w:val="20"/>
          <w:lang w:val="es-MX"/>
        </w:rPr>
      </w:pPr>
      <w:r w:rsidRPr="00D354AB">
        <w:rPr>
          <w:sz w:val="20"/>
          <w:szCs w:val="20"/>
          <w:lang w:val="es-MX"/>
        </w:rPr>
        <w:t>Se admite la aplicación de cobros de exportaciones a la cancelación de anticipos y préstamos de prefinanciación de exportaciones en determinados supuestos como la (i) Prefinanciaciones y financiaciones otorgadas o garantizadas por entidades financieras locales; (ii) Prefinanciaciones, anticipos y financiaciones ingresadas y liquidadas en el mercado local de cambios y declaradas en el relevamiento de activos y pasivos externos; (iii) Préstamos financieros con contratos vigentes al 31 de agosto de 2019 cuyas condiciones prevean la atención de los servicios mediante la aplicación en el exterior del flujo de fondos de exportaciones; (iv) Financiaciones de entidades financieras a importadores del exterior.</w:t>
      </w:r>
    </w:p>
    <w:p w14:paraId="0A82994C" w14:textId="77777777" w:rsidR="00D354AB" w:rsidRPr="00D354AB" w:rsidRDefault="00D354AB" w:rsidP="00D354AB">
      <w:pPr>
        <w:spacing w:before="120" w:after="60"/>
        <w:jc w:val="both"/>
        <w:rPr>
          <w:sz w:val="20"/>
          <w:szCs w:val="20"/>
          <w:lang w:val="es-MX"/>
        </w:rPr>
      </w:pPr>
      <w:r w:rsidRPr="00D354AB">
        <w:rPr>
          <w:sz w:val="20"/>
          <w:szCs w:val="20"/>
          <w:lang w:val="es-MX"/>
        </w:rPr>
        <w:t>Aquellas aplicaciones de cobro de exportaciones que no se encuentren detalladas en los puntos (i), a (iv) precedentes, requerirán la conformidad previa del BCRA.</w:t>
      </w:r>
    </w:p>
    <w:p w14:paraId="4F3FB620" w14:textId="77777777" w:rsidR="00D354AB" w:rsidRPr="00D354AB" w:rsidRDefault="00D354AB" w:rsidP="00D354AB">
      <w:pPr>
        <w:spacing w:before="120" w:after="60"/>
        <w:jc w:val="both"/>
        <w:rPr>
          <w:i/>
          <w:sz w:val="20"/>
          <w:szCs w:val="20"/>
          <w:lang w:val="es-MX"/>
        </w:rPr>
      </w:pPr>
      <w:r w:rsidRPr="00D354AB">
        <w:rPr>
          <w:i/>
          <w:sz w:val="20"/>
          <w:szCs w:val="20"/>
          <w:lang w:val="es-MX"/>
        </w:rPr>
        <w:t>Constitución de Activos Externos – Garantías y Operaciones de Derivados</w:t>
      </w:r>
    </w:p>
    <w:p w14:paraId="5A3AC855" w14:textId="77777777" w:rsidR="00D354AB" w:rsidRPr="00D354AB" w:rsidRDefault="00D354AB" w:rsidP="00D354AB">
      <w:pPr>
        <w:spacing w:before="120" w:after="60"/>
        <w:jc w:val="both"/>
        <w:rPr>
          <w:sz w:val="20"/>
          <w:szCs w:val="20"/>
          <w:lang w:val="es-MX"/>
        </w:rPr>
      </w:pPr>
      <w:r w:rsidRPr="00D354AB">
        <w:rPr>
          <w:sz w:val="20"/>
          <w:szCs w:val="20"/>
          <w:lang w:val="es-MX"/>
        </w:rPr>
        <w:t>Se establece la conformidad previa del BCRA para el acceso al mercado de cambios por parte de personas jurídicas, gobiernos locales, Fondos Comunes de Inversión, Fideicomisos y otras universalidades constituidas en el país, para la constitución de activos externos y para la constitución de todo tipo de garantías vinculadas a la concertación de operaciones de derivados.</w:t>
      </w:r>
    </w:p>
    <w:p w14:paraId="1C245580" w14:textId="77777777" w:rsidR="00D354AB" w:rsidRPr="00D354AB" w:rsidRDefault="00D354AB" w:rsidP="00D354AB">
      <w:pPr>
        <w:spacing w:before="120" w:after="60"/>
        <w:jc w:val="both"/>
        <w:rPr>
          <w:sz w:val="20"/>
          <w:szCs w:val="20"/>
          <w:lang w:val="es-MX"/>
        </w:rPr>
      </w:pPr>
      <w:r w:rsidRPr="00D354AB">
        <w:rPr>
          <w:sz w:val="20"/>
          <w:szCs w:val="20"/>
          <w:lang w:val="es-MX"/>
        </w:rPr>
        <w:t>Se aclara que las entidades podrán dar acceso al mercado local de cambios para realizar pagos de principal o intereses a los fideicomisos constituidos en el país por un residente, para garantizar la atención de los servicios de capital e intereses de su obligación, en la medida que verifique que el deudor hubiese tenido acceso para realizar el pago a su nombre por cumplimentar las disposiciones normativas aplicables.</w:t>
      </w:r>
    </w:p>
    <w:p w14:paraId="38F0C334" w14:textId="77777777" w:rsidR="00D354AB" w:rsidRPr="00D354AB" w:rsidRDefault="00D354AB" w:rsidP="00D354AB">
      <w:pPr>
        <w:spacing w:before="120" w:after="60"/>
        <w:jc w:val="both"/>
        <w:rPr>
          <w:sz w:val="20"/>
          <w:szCs w:val="20"/>
          <w:lang w:val="es-MX"/>
        </w:rPr>
      </w:pPr>
      <w:r w:rsidRPr="00D354AB">
        <w:rPr>
          <w:sz w:val="20"/>
          <w:szCs w:val="20"/>
          <w:lang w:val="es-MX"/>
        </w:rPr>
        <w:t>Al respecto, la Comunicación “A” 6814 aclara que se permite constituir garantías localmente para los contratos de endeudamiento financiero con el exterior contraídos tanto con anterioridad como con posterioridad al 31 de agosto de 2019; que, por el contrario, sólo se permite constituir garantías en el exterior para los contratos de endeudamiento financiero con el exterior contraídos con anterioridad al 31 de agosto de 2019.</w:t>
      </w:r>
    </w:p>
    <w:p w14:paraId="077D621C" w14:textId="77777777" w:rsidR="00D354AB" w:rsidRPr="00D354AB" w:rsidRDefault="00D354AB" w:rsidP="00D354AB">
      <w:pPr>
        <w:spacing w:before="120" w:after="60"/>
        <w:jc w:val="both"/>
        <w:rPr>
          <w:sz w:val="20"/>
          <w:szCs w:val="20"/>
          <w:lang w:val="es-MX"/>
        </w:rPr>
      </w:pPr>
      <w:r w:rsidRPr="00D354AB">
        <w:rPr>
          <w:sz w:val="20"/>
          <w:szCs w:val="20"/>
          <w:lang w:val="es-MX"/>
        </w:rPr>
        <w:t>La Comunicación “A” 6815 dispone la conformidad previa del BCRA para el acceso al mercado de cambios por parte de Personas Humanas residentes para la constitución de activos externos ayuda familiar y para la operatoria de derivados cuando supere el equivalente de US$ 200 mensuales en el conjunto de las entidades autorizadas a operar en cambios y en el conjunto de los conceptos señalados precedentemente, reduciéndose dicho monto a US$ 100 en caso de que la operación sea efectuada en efectivo.</w:t>
      </w:r>
    </w:p>
    <w:p w14:paraId="702972D5" w14:textId="77777777" w:rsidR="00D354AB" w:rsidRPr="00D354AB" w:rsidRDefault="00D354AB" w:rsidP="00D354AB">
      <w:pPr>
        <w:spacing w:before="120" w:after="60"/>
        <w:jc w:val="both"/>
        <w:rPr>
          <w:sz w:val="20"/>
          <w:szCs w:val="20"/>
          <w:lang w:val="es-MX"/>
        </w:rPr>
      </w:pPr>
      <w:r w:rsidRPr="00D354AB">
        <w:rPr>
          <w:sz w:val="20"/>
          <w:szCs w:val="20"/>
          <w:lang w:val="es-MX"/>
        </w:rPr>
        <w:t>La Comunicación “A” 6804 establece como requisito de acceso al mercado de cambios para la compra de moneda extranjera en los términos arriba mencionados, que la persona humana no haya excedido en el mes calendario anterior el límite de US$ 200. A estos efectos, el Banco Central informará periódicamente a las entidades autorizadas a operar en cambios el número de clave de identificación tributaria de las personas humanas que ya han alcanzado en ese mes calendario los límites previstos o que los hayan excedido en el mes calendario anterior. Las entidades autorizadas a operar en cambios no podrán dar acceso al mercado de cambios para la compra de moneda extranjera en el marco de las operaciones contempladas en el mencionado punto a quienes se encuentren incluidos en ese listado.</w:t>
      </w:r>
    </w:p>
    <w:p w14:paraId="01274B18" w14:textId="77777777" w:rsidR="00D354AB" w:rsidRPr="00D354AB" w:rsidRDefault="00D354AB" w:rsidP="00D354AB">
      <w:pPr>
        <w:spacing w:before="120" w:after="60"/>
        <w:jc w:val="both"/>
        <w:rPr>
          <w:sz w:val="20"/>
          <w:szCs w:val="20"/>
          <w:lang w:val="es-MX"/>
        </w:rPr>
      </w:pPr>
      <w:r w:rsidRPr="00D354AB">
        <w:rPr>
          <w:sz w:val="20"/>
          <w:szCs w:val="20"/>
          <w:lang w:val="es-MX"/>
        </w:rPr>
        <w:t>Toda solicitud de rectificación o actualización de la información incluida en el listado informado deberá ser cursada a la Superintendencia de Entidades Financieras y Cambiarias a través de una entidad autorizada a operar en cambios mediante una nota suscripta por el interesado, explicando los motivos por los cuales entiende que es inadecuada su inclusión. Junto con esa presentación deberá acompañar todos los elementos demostrativos de las circunstancias invocadas.</w:t>
      </w:r>
    </w:p>
    <w:p w14:paraId="5B7898FB" w14:textId="77777777" w:rsidR="00D354AB" w:rsidRPr="00D354AB" w:rsidRDefault="00D354AB" w:rsidP="00D354AB">
      <w:pPr>
        <w:spacing w:before="120" w:after="60"/>
        <w:jc w:val="both"/>
        <w:rPr>
          <w:sz w:val="20"/>
          <w:szCs w:val="20"/>
          <w:lang w:val="es-MX"/>
        </w:rPr>
      </w:pPr>
      <w:r w:rsidRPr="00D354AB">
        <w:rPr>
          <w:sz w:val="20"/>
          <w:szCs w:val="20"/>
          <w:lang w:val="es-MX"/>
        </w:rPr>
        <w:t xml:space="preserve">Se establece como requisito para el acceso al mercado de cambios para la compra de moneda extranjera por parte de personas humanas residentes dentro de los limites mensuales establecidos en los párrafos precedentes, la presentación de una declaración jurada por parte del cliente respecto a que los fondos comprados no serán destinados a la compra en el mercado secundario de títulos valores dentro de los 5 (cinco) días hábiles a partir de la fecha de liquidación de dicha operación de cambio. </w:t>
      </w:r>
    </w:p>
    <w:p w14:paraId="3C91B70B" w14:textId="77777777" w:rsidR="00D354AB" w:rsidRPr="00D354AB" w:rsidRDefault="00D354AB" w:rsidP="00D354AB">
      <w:pPr>
        <w:spacing w:before="120" w:after="60"/>
        <w:jc w:val="both"/>
        <w:rPr>
          <w:sz w:val="20"/>
          <w:szCs w:val="20"/>
          <w:lang w:val="es-MX"/>
        </w:rPr>
      </w:pPr>
      <w:r w:rsidRPr="00D354AB">
        <w:rPr>
          <w:sz w:val="20"/>
          <w:szCs w:val="20"/>
          <w:lang w:val="es-MX"/>
        </w:rPr>
        <w:lastRenderedPageBreak/>
        <w:t>Por otro lado, se aclara que la conformidad previa para el acceso al mercado de cambios por parte de personas jurídicas para la formación de activos externos y para la constitución de todo tipo de garantías vinculadas a la concertación de operaciones de derivados, no alcanza a las entidades autorizadas a operar en cambios, cuyas tenencias en moneda extranjera se rigen por las normas específicas aplicables.</w:t>
      </w:r>
    </w:p>
    <w:p w14:paraId="3D27E87A" w14:textId="77777777" w:rsidR="00D354AB" w:rsidRPr="00D354AB" w:rsidRDefault="00D354AB" w:rsidP="00D354AB">
      <w:pPr>
        <w:spacing w:before="120" w:after="60"/>
        <w:jc w:val="both"/>
        <w:rPr>
          <w:sz w:val="20"/>
          <w:szCs w:val="20"/>
          <w:lang w:val="es-MX"/>
        </w:rPr>
      </w:pPr>
      <w:r w:rsidRPr="00D354AB">
        <w:rPr>
          <w:sz w:val="20"/>
          <w:szCs w:val="20"/>
          <w:lang w:val="es-MX"/>
        </w:rPr>
        <w:t>Asimismo, se aclara que el requisito de conformidad previa establecido para las personas jurídicas, gobiernos locales, universalidades, FCI, fideicomisos y para las personas humanas para la constitución de todo tipo de garantías vinculadas a la concertación de operaciones de derivados, abarca a la totalidad de la operatoria de derivados. pago de primas, constitución de garantías y cancelaciones que correspondan de operaciones de futuros, forwards, opciones y otros derivados.</w:t>
      </w:r>
    </w:p>
    <w:p w14:paraId="3F0E7519" w14:textId="77777777" w:rsidR="00D354AB" w:rsidRPr="00D354AB" w:rsidRDefault="00D354AB" w:rsidP="00D354AB">
      <w:pPr>
        <w:spacing w:before="120" w:after="60"/>
        <w:jc w:val="both"/>
        <w:rPr>
          <w:sz w:val="20"/>
          <w:szCs w:val="20"/>
          <w:lang w:val="es-MX"/>
        </w:rPr>
      </w:pPr>
      <w:r w:rsidRPr="00D354AB">
        <w:rPr>
          <w:sz w:val="20"/>
          <w:szCs w:val="20"/>
          <w:lang w:val="es-MX"/>
        </w:rPr>
        <w:t>Al respecto, la Comunicación “A” 6814 establece que se permite el acceso al mercado de cambios para el pago de primas, constitución de garantías y cancelaciones que correspondan a operaciones de contratos de cobertura de tasa de interés por las obligaciones de residentes con el exterior declaradas y validadas, en caso de corresponder, en el Relevamiento de Activos y Pasivos Externos, en tanto no se cubran riesgos superiores a los pasivos externos que efectivamente registre el deudor en la tasa de interés cuyo riesgo se está cubriendo con su celebración.</w:t>
      </w:r>
    </w:p>
    <w:p w14:paraId="28AF25B0" w14:textId="77777777" w:rsidR="00D354AB" w:rsidRPr="00D354AB" w:rsidRDefault="00D354AB" w:rsidP="00D354AB">
      <w:pPr>
        <w:spacing w:before="120" w:after="60"/>
        <w:jc w:val="both"/>
        <w:rPr>
          <w:sz w:val="20"/>
          <w:szCs w:val="20"/>
          <w:lang w:val="es-MX"/>
        </w:rPr>
      </w:pPr>
      <w:r w:rsidRPr="00D354AB">
        <w:rPr>
          <w:sz w:val="20"/>
          <w:szCs w:val="20"/>
          <w:lang w:val="es-MX"/>
        </w:rPr>
        <w:t>Se establece que el cliente que acceda al mercado de cambios usando este mecanismo deberá nominar a una entidad autorizada a operar en cambios para que realice el seguimiento de la operación y firmar una declaración jurada en la que se compromete a ingresar y liquidar los fondos que resulten a favor del cliente local como resultado de dicha operación, o como resultado de la liberación de los fondos de las garantías constituidas, dentro de los 5 días hábiles siguientes.</w:t>
      </w:r>
    </w:p>
    <w:p w14:paraId="6245901A" w14:textId="77777777" w:rsidR="00D354AB" w:rsidRPr="00D354AB" w:rsidRDefault="00D354AB" w:rsidP="00D354AB">
      <w:pPr>
        <w:spacing w:before="120" w:after="60"/>
        <w:jc w:val="both"/>
        <w:rPr>
          <w:sz w:val="20"/>
          <w:szCs w:val="20"/>
          <w:lang w:val="es-MX"/>
        </w:rPr>
      </w:pPr>
    </w:p>
    <w:p w14:paraId="21B61402" w14:textId="77777777" w:rsidR="00D354AB" w:rsidRPr="00D354AB" w:rsidRDefault="00D354AB" w:rsidP="00D354AB">
      <w:pPr>
        <w:spacing w:before="120" w:after="60"/>
        <w:jc w:val="both"/>
        <w:rPr>
          <w:sz w:val="20"/>
          <w:szCs w:val="20"/>
          <w:lang w:val="es-MX"/>
        </w:rPr>
      </w:pPr>
      <w:r w:rsidRPr="00D354AB">
        <w:rPr>
          <w:sz w:val="20"/>
          <w:szCs w:val="20"/>
          <w:lang w:val="es-MX"/>
        </w:rPr>
        <w:t xml:space="preserve">Por otro lado, el artículo 1° de la Resolución General N° 808 de fecha 12 de septiembre de 2019 y en virtud de lo establecido en el punto 1.10 de la Comunicación “A” 6780, a efectos de cursar toda operación de compra de valores negociables en dólares (especie D) por un monto de hasta US$ 200 por parte de personas humanas, los Agentes de Liquidación y Compensación deberán contar previamente con una declaración jurada del titular que manifieste que los fondos en dólares no provienen de una operación de MULC realizada en los últimos 5 (cinco) días hábiles. Asimismo, las operaciones de compra de valores negociables en dólares (especie D) sólo podrán ser cursadas para ser liquidadas en el plazo de contado de 48 horas. Los valores negociables acreditados por dicha compra no podrán ser transferidos para cubrir la liquidación de una operación de venta en pesos hasta haber transcurrido. </w:t>
      </w:r>
    </w:p>
    <w:p w14:paraId="612A4D0B" w14:textId="77777777" w:rsidR="00D354AB" w:rsidRPr="00D354AB" w:rsidRDefault="00D354AB" w:rsidP="00D354AB">
      <w:pPr>
        <w:spacing w:before="120" w:after="60"/>
        <w:jc w:val="both"/>
        <w:rPr>
          <w:sz w:val="20"/>
          <w:szCs w:val="20"/>
          <w:lang w:val="es-MX"/>
        </w:rPr>
      </w:pPr>
      <w:r w:rsidRPr="00D354AB">
        <w:rPr>
          <w:sz w:val="20"/>
          <w:szCs w:val="20"/>
          <w:lang w:val="es-MX"/>
        </w:rPr>
        <w:t>La Comunicación “A” 6799 del Banco Central estableció que, con vigencia a partir del 1 de octubre de 2019, cuando las personas humanas adquieran títulos valores mediante liquidación en moneda extranjera, los mismos deberán permanecer en la cartera del comprador por un período no menor a 5 (cinco) días hábiles a contar desde la fecha de liquidación de la operación, antes de ser vendidos o transferidos a otras entidades depositarias. Se aclara que este plazo mínimo de tenencia no será de aplicación cuando la venta de los títulos valores sea contra la misma jurisdicción de liquidación que la compra.</w:t>
      </w:r>
    </w:p>
    <w:p w14:paraId="2EDA814E" w14:textId="77777777" w:rsidR="00D354AB" w:rsidRPr="00D354AB" w:rsidRDefault="00D354AB" w:rsidP="00D354AB">
      <w:pPr>
        <w:spacing w:before="120" w:after="60"/>
        <w:jc w:val="both"/>
        <w:rPr>
          <w:sz w:val="20"/>
          <w:szCs w:val="20"/>
          <w:lang w:val="es-MX"/>
        </w:rPr>
      </w:pPr>
      <w:r w:rsidRPr="00D354AB">
        <w:rPr>
          <w:sz w:val="20"/>
          <w:szCs w:val="20"/>
          <w:lang w:val="es-MX"/>
        </w:rPr>
        <w:t>Asimismo, se estableció que las personas humanas que transfieran divisas desde sus cuentas locales en moneda extranjera a cuentas bancarias propias en el exterior deben presentar una declaración jurada de que no han efectuado venta de títulos valores con liquidación local en moneda extranjera en los últimos 5 (cinco) días hábiles.</w:t>
      </w:r>
    </w:p>
    <w:p w14:paraId="0F9F4CCE" w14:textId="77777777" w:rsidR="00D354AB" w:rsidRPr="00D354AB" w:rsidRDefault="00D354AB" w:rsidP="00D354AB">
      <w:pPr>
        <w:spacing w:before="120" w:after="60"/>
        <w:jc w:val="both"/>
        <w:rPr>
          <w:sz w:val="20"/>
          <w:szCs w:val="20"/>
          <w:lang w:val="es-MX"/>
        </w:rPr>
      </w:pPr>
      <w:r w:rsidRPr="00D354AB">
        <w:rPr>
          <w:sz w:val="20"/>
          <w:szCs w:val="20"/>
          <w:lang w:val="es-MX"/>
        </w:rPr>
        <w:t>Por último, la mencionada norma aclaró que la transferencia de divisas de las personas humanas desde sus cuentas locales en moneda extranjera a cuentas bancarias propias en el exterior se puede efectuar sin restricciones, pero estableció que para transferir divisas al exterior para la formación de activos externos, el acceso de las personas humanas residentes al mercado de cambio, debe tener como destino cuentas bancarias de su titularidad en el exterior.</w:t>
      </w:r>
    </w:p>
    <w:p w14:paraId="6D52288A" w14:textId="77777777" w:rsidR="00D354AB" w:rsidRPr="00D354AB" w:rsidRDefault="00D354AB" w:rsidP="00D354AB">
      <w:pPr>
        <w:spacing w:before="120" w:after="60"/>
        <w:jc w:val="both"/>
        <w:rPr>
          <w:sz w:val="20"/>
          <w:szCs w:val="20"/>
          <w:lang w:val="es-MX"/>
        </w:rPr>
      </w:pPr>
      <w:r w:rsidRPr="00D354AB">
        <w:rPr>
          <w:sz w:val="20"/>
          <w:szCs w:val="20"/>
          <w:lang w:val="es-MX"/>
        </w:rPr>
        <w:t>En relación a los retiros de efectivo en el exterior con tarjetas de débitos locales que se realicen a partir del 28 de octubre de 2019, la comunicación “A” 6815 dispone que sólo podrán ser efectuadas con débito en cuentas locales del cliente en moneda extranjera.</w:t>
      </w:r>
    </w:p>
    <w:p w14:paraId="03EA2EB2" w14:textId="77777777" w:rsidR="00D354AB" w:rsidRPr="00D354AB" w:rsidRDefault="00D354AB" w:rsidP="00D354AB">
      <w:pPr>
        <w:spacing w:before="120" w:after="60"/>
        <w:jc w:val="both"/>
        <w:rPr>
          <w:sz w:val="20"/>
          <w:szCs w:val="20"/>
          <w:lang w:val="es-MX"/>
        </w:rPr>
      </w:pPr>
      <w:r w:rsidRPr="00D354AB">
        <w:rPr>
          <w:sz w:val="20"/>
          <w:szCs w:val="20"/>
          <w:lang w:val="es-MX"/>
        </w:rPr>
        <w:t>En relación a las ventas de cambio, la Comunicación “A” 6815 dispone que las entidades autorizadas a operar en cambios deberán remitir al BCRA, al cierre de cada jornada y con una antelación de 2 días hábiles, la información sobre dichas ventas a realizarse por solicitud de clientes u operaciones propias de la entidad que impliquen un acceso al mercado de cambio por un monto diario que sea igual o superior al equivalente a US$ 2 millones, para cada uno de los 3 días hábiles contados a partir del primer día informado.</w:t>
      </w:r>
    </w:p>
    <w:p w14:paraId="4A0E202E" w14:textId="77777777" w:rsidR="00D354AB" w:rsidRPr="00D354AB" w:rsidRDefault="00D354AB" w:rsidP="00D354AB">
      <w:pPr>
        <w:spacing w:before="120" w:after="60"/>
        <w:jc w:val="both"/>
        <w:rPr>
          <w:sz w:val="20"/>
          <w:szCs w:val="20"/>
          <w:lang w:val="es-MX"/>
        </w:rPr>
      </w:pPr>
      <w:r w:rsidRPr="00D354AB">
        <w:rPr>
          <w:sz w:val="20"/>
          <w:szCs w:val="20"/>
          <w:lang w:val="es-MX"/>
        </w:rPr>
        <w:t>En este sentido, a partir del 28.10.19 inclusive y hasta que esté implementado el Régimen Informativo correspondiente, las operaciones deben ser remitidas a la casilla anticipooperaciones@bcra.gob.ar, con el siguiente detalle: entidad que informa, CUIT y nombre del cliente (incluido las operaciones propias de las entidades), fecha de la operación, código de concepto y monto equivalente en dólares estadounidenses.</w:t>
      </w:r>
    </w:p>
    <w:p w14:paraId="1AF5636C" w14:textId="77777777" w:rsidR="00D354AB" w:rsidRPr="00D354AB" w:rsidRDefault="00D354AB" w:rsidP="00D354AB">
      <w:pPr>
        <w:autoSpaceDE w:val="0"/>
        <w:autoSpaceDN w:val="0"/>
        <w:adjustRightInd w:val="0"/>
        <w:jc w:val="both"/>
        <w:rPr>
          <w:sz w:val="20"/>
          <w:szCs w:val="20"/>
          <w:lang w:val="es-MX"/>
        </w:rPr>
      </w:pPr>
    </w:p>
    <w:p w14:paraId="52F3F07D" w14:textId="77777777" w:rsidR="00D354AB" w:rsidRPr="00D354AB" w:rsidRDefault="00D354AB" w:rsidP="00D354AB">
      <w:pPr>
        <w:autoSpaceDE w:val="0"/>
        <w:autoSpaceDN w:val="0"/>
        <w:adjustRightInd w:val="0"/>
        <w:jc w:val="both"/>
        <w:rPr>
          <w:sz w:val="20"/>
          <w:szCs w:val="20"/>
          <w:lang w:val="es-MX"/>
        </w:rPr>
      </w:pPr>
      <w:r w:rsidRPr="00D354AB">
        <w:rPr>
          <w:sz w:val="20"/>
          <w:szCs w:val="20"/>
          <w:lang w:val="es-MX"/>
        </w:rPr>
        <w:t>De esta manera, los clientes de las entidades autorizadas deberán informar a las mismas con la antelación necesaria para que las entidades puedan dar cumplimiento al requisito mencionado en los párrafos anteriores, para que éstas puedan dar curso a la operación de cambio.</w:t>
      </w:r>
    </w:p>
    <w:p w14:paraId="735DC579" w14:textId="77777777" w:rsidR="00D354AB" w:rsidRPr="00D354AB" w:rsidRDefault="00D354AB" w:rsidP="00D354AB">
      <w:pPr>
        <w:spacing w:before="120" w:after="60"/>
        <w:jc w:val="both"/>
        <w:rPr>
          <w:i/>
          <w:sz w:val="20"/>
          <w:szCs w:val="20"/>
          <w:lang w:val="es-MX"/>
        </w:rPr>
      </w:pPr>
      <w:r w:rsidRPr="00D354AB">
        <w:rPr>
          <w:i/>
          <w:sz w:val="20"/>
          <w:szCs w:val="20"/>
          <w:lang w:val="es-MX"/>
        </w:rPr>
        <w:t>No Residentes</w:t>
      </w:r>
    </w:p>
    <w:p w14:paraId="6F6D9988" w14:textId="77777777" w:rsidR="00D354AB" w:rsidRPr="00D354AB" w:rsidRDefault="00D354AB" w:rsidP="00D354AB">
      <w:pPr>
        <w:spacing w:before="120" w:after="60"/>
        <w:jc w:val="both"/>
        <w:rPr>
          <w:sz w:val="20"/>
          <w:szCs w:val="20"/>
          <w:lang w:val="es-MX"/>
        </w:rPr>
      </w:pPr>
      <w:r w:rsidRPr="00D354AB">
        <w:rPr>
          <w:sz w:val="20"/>
          <w:szCs w:val="20"/>
          <w:lang w:val="es-MX"/>
        </w:rPr>
        <w:lastRenderedPageBreak/>
        <w:t>La comunicación “A” 6815 dispone que se establece la conformidad previa del BCRA para el acceso al mercado de cambios por parte de no residentes para la compra de moneda extranjera por montos superiores al equivalente a US$ 100 mensuales en el conjunto de entidades autorizadas a operar en cambios.</w:t>
      </w:r>
    </w:p>
    <w:p w14:paraId="5AA7E9DF" w14:textId="77777777" w:rsidR="00D354AB" w:rsidRPr="00D354AB" w:rsidRDefault="00D354AB" w:rsidP="00D354AB">
      <w:pPr>
        <w:spacing w:before="120" w:after="60"/>
        <w:jc w:val="both"/>
        <w:rPr>
          <w:sz w:val="20"/>
          <w:szCs w:val="20"/>
          <w:lang w:val="es-MX"/>
        </w:rPr>
      </w:pPr>
      <w:r w:rsidRPr="00D354AB">
        <w:rPr>
          <w:sz w:val="20"/>
          <w:szCs w:val="20"/>
          <w:lang w:val="es-MX"/>
        </w:rPr>
        <w:t>Se exceptúan del límite del párrafo precedente las operaciones de: (a) Organismos internacionales e instituciones que cumplan funciones de agencias oficiales de crédito a la exportación, (b) Representaciones diplomáticas y consulares y personal diplomático acreditado en el país por transferencias que efectúen en ejercicio de sus funciones, (c) Representaciones en el país de Tribunales, Autoridades u Oficinas, Misiones Especiales, Comisiones u Órganos Bilaterales establecidos por Tratados o Convenios Internacionales, en los cuales la República Argentina es parte, en la medida que las transferencias se realicen en ejercicio de sus funciones, y (d) las transferencias al exterior a nombre de personas humanas que sean beneficiarias de jubilaciones y/o pensiones abonadas por la Administración Nacional de la Seguridad Social (ANSES), por hasta el monto abonado por dicho organismo en el mes calendario y en la medida que la transferencia se efectúe a una cuenta bancaria de titularidad del beneficiario en su país de residencia registrado</w:t>
      </w:r>
    </w:p>
    <w:p w14:paraId="76C3E667" w14:textId="77777777" w:rsidR="00D354AB" w:rsidRPr="00D354AB" w:rsidRDefault="00D354AB" w:rsidP="00D354AB">
      <w:pPr>
        <w:spacing w:before="120" w:after="60"/>
        <w:jc w:val="both"/>
        <w:rPr>
          <w:sz w:val="20"/>
          <w:szCs w:val="20"/>
          <w:lang w:val="es-MX"/>
        </w:rPr>
      </w:pPr>
      <w:r w:rsidRPr="00D354AB">
        <w:rPr>
          <w:sz w:val="20"/>
          <w:szCs w:val="20"/>
          <w:lang w:val="es-MX"/>
        </w:rPr>
        <w:t>La Comunicación “A” 6776 aclara que las restricciones para el acceso al mercado de cambios por parte de no residentes establecidas por la Comunicación “A” 6770 solamente aplica para la compra de moneda extranjera.</w:t>
      </w:r>
    </w:p>
    <w:p w14:paraId="546AE7D1" w14:textId="77777777" w:rsidR="00D354AB" w:rsidRPr="00D354AB" w:rsidRDefault="00D354AB" w:rsidP="00D354AB">
      <w:pPr>
        <w:spacing w:before="120" w:after="60"/>
        <w:jc w:val="both"/>
        <w:rPr>
          <w:i/>
          <w:sz w:val="20"/>
          <w:szCs w:val="20"/>
          <w:lang w:val="es-MX"/>
        </w:rPr>
      </w:pPr>
      <w:r w:rsidRPr="00D354AB">
        <w:rPr>
          <w:i/>
          <w:sz w:val="20"/>
          <w:szCs w:val="20"/>
          <w:lang w:val="es-MX"/>
        </w:rPr>
        <w:t>Liquidación de Endeudamiento Con el Exterior - Obligación y requisitos para el acceso</w:t>
      </w:r>
    </w:p>
    <w:p w14:paraId="244C1412" w14:textId="77777777" w:rsidR="00D354AB" w:rsidRPr="00D354AB" w:rsidRDefault="00D354AB" w:rsidP="00D354AB">
      <w:pPr>
        <w:spacing w:before="120" w:after="60"/>
        <w:jc w:val="both"/>
        <w:rPr>
          <w:sz w:val="20"/>
          <w:szCs w:val="20"/>
          <w:lang w:val="es-MX"/>
        </w:rPr>
      </w:pPr>
      <w:r w:rsidRPr="00D354AB">
        <w:rPr>
          <w:sz w:val="20"/>
          <w:szCs w:val="20"/>
          <w:lang w:val="es-MX"/>
        </w:rPr>
        <w:t>Se establece la obligación de ingreso y liquidación en el mercado local de cambios de nuevas deudas de carácter financiero con el exterior que se desembolsen a partir del 1 de septiembre de 2019 y la obligación de demostrar el cumplimiento de este requisito para el acceso al mercado de cambios para la atención de los servicios de capital e intereses de las mismas.</w:t>
      </w:r>
    </w:p>
    <w:p w14:paraId="15AAB389" w14:textId="77777777" w:rsidR="00D354AB" w:rsidRPr="00D354AB" w:rsidRDefault="00D354AB" w:rsidP="00D354AB">
      <w:pPr>
        <w:spacing w:before="120" w:after="60"/>
        <w:jc w:val="both"/>
        <w:rPr>
          <w:sz w:val="20"/>
          <w:szCs w:val="20"/>
          <w:lang w:val="es-MX"/>
        </w:rPr>
      </w:pPr>
      <w:r w:rsidRPr="00D354AB">
        <w:rPr>
          <w:sz w:val="20"/>
          <w:szCs w:val="20"/>
          <w:lang w:val="es-MX"/>
        </w:rPr>
        <w:t>Se aclara que en el caso de las entidades autorizadas a operar en cambios, lo previsto en la Comunicación “A” 6770 acerca de la obligación de ingreso y liquidación en el mercado local de cambios de nuevas deudas de carácter financiero con el exterior, se considerará cumplido con el ingreso de los fondos a la Posición General de Cambios.</w:t>
      </w:r>
    </w:p>
    <w:p w14:paraId="50B63CB3" w14:textId="77777777" w:rsidR="00D354AB" w:rsidRPr="00D354AB" w:rsidRDefault="00D354AB" w:rsidP="00D354AB">
      <w:pPr>
        <w:spacing w:before="120" w:after="60"/>
        <w:jc w:val="both"/>
        <w:rPr>
          <w:i/>
          <w:sz w:val="20"/>
          <w:szCs w:val="20"/>
          <w:lang w:val="es-MX"/>
        </w:rPr>
      </w:pPr>
      <w:r w:rsidRPr="00D354AB">
        <w:rPr>
          <w:i/>
          <w:sz w:val="20"/>
          <w:szCs w:val="20"/>
          <w:lang w:val="es-MX"/>
        </w:rPr>
        <w:t>Prohibición del acceso para pago de deudas entre residentes – (excepciones)</w:t>
      </w:r>
    </w:p>
    <w:p w14:paraId="7A438620" w14:textId="77777777" w:rsidR="00D354AB" w:rsidRPr="00D354AB" w:rsidRDefault="00D354AB" w:rsidP="00D354AB">
      <w:pPr>
        <w:spacing w:before="120" w:after="60"/>
        <w:jc w:val="both"/>
        <w:rPr>
          <w:sz w:val="20"/>
          <w:szCs w:val="20"/>
          <w:lang w:val="es-MX"/>
        </w:rPr>
      </w:pPr>
      <w:r w:rsidRPr="00D354AB">
        <w:rPr>
          <w:sz w:val="20"/>
          <w:szCs w:val="20"/>
          <w:lang w:val="es-MX"/>
        </w:rPr>
        <w:t>Se prohíbe el acceso al mercado de cambios para el pago de deudas y otras obligaciones en moneda extranjera entre residentes, concertadas a partir del 1 de septiembre de 2019. Para las obligaciones en moneda extranjera entre residentes instrumentadas mediante registros o escrituras públicos al 30.08.19, se podrá acceder a su vencimiento.</w:t>
      </w:r>
    </w:p>
    <w:p w14:paraId="0B7D776F" w14:textId="77777777" w:rsidR="00D354AB" w:rsidRPr="00D354AB" w:rsidRDefault="00D354AB" w:rsidP="00D354AB">
      <w:pPr>
        <w:spacing w:before="120" w:after="60"/>
        <w:jc w:val="both"/>
        <w:rPr>
          <w:sz w:val="20"/>
          <w:szCs w:val="20"/>
          <w:lang w:val="es-MX"/>
        </w:rPr>
      </w:pPr>
      <w:r w:rsidRPr="00D354AB">
        <w:rPr>
          <w:sz w:val="20"/>
          <w:szCs w:val="20"/>
          <w:lang w:val="es-MX"/>
        </w:rPr>
        <w:t>Se aclara que la prohibición del acceso al mercado de cambios para el pago de deudas y otras obligaciones en moneda extranjera entre residentes, no alcanza a los pagos de los clientes de las financiaciones en moneda extranjera otorgadas por entidades financieras locales, incluyendo los pagos por los consumos en moneda extranjera efectuados mediante tarjetas de crédito.</w:t>
      </w:r>
    </w:p>
    <w:p w14:paraId="675B8FE6" w14:textId="77777777" w:rsidR="00D354AB" w:rsidRPr="00D354AB" w:rsidRDefault="00D354AB" w:rsidP="00D354AB">
      <w:pPr>
        <w:spacing w:before="120" w:after="60"/>
        <w:jc w:val="both"/>
        <w:rPr>
          <w:sz w:val="20"/>
          <w:szCs w:val="20"/>
          <w:lang w:val="es-MX"/>
        </w:rPr>
      </w:pPr>
      <w:r w:rsidRPr="00D354AB">
        <w:rPr>
          <w:sz w:val="20"/>
          <w:szCs w:val="20"/>
          <w:lang w:val="es-MX"/>
        </w:rPr>
        <w:t>Se podrá acceder al mercado de cambios para el pago, a su vencimiento de nuevas emisiones de títulos de deuda que se realicen con el objeto de refinanciar deudas que tuviesen acceso en virtud de lo dispuesto en este punto y conlleven un incremento de la vida promedio de las obligaciones.</w:t>
      </w:r>
    </w:p>
    <w:p w14:paraId="3EAC5BB2" w14:textId="635BAFBB" w:rsidR="00D354AB" w:rsidRPr="00D354AB" w:rsidRDefault="00D354AB" w:rsidP="00D354AB">
      <w:pPr>
        <w:spacing w:before="120" w:after="60"/>
        <w:jc w:val="both"/>
        <w:rPr>
          <w:sz w:val="20"/>
          <w:szCs w:val="20"/>
          <w:lang w:val="es-MX"/>
        </w:rPr>
      </w:pPr>
      <w:r w:rsidRPr="00D354AB">
        <w:rPr>
          <w:sz w:val="20"/>
          <w:szCs w:val="20"/>
          <w:lang w:val="es-MX"/>
        </w:rPr>
        <w:t xml:space="preserve">Por otro lado, conforme lo dispuesto en la Comunicación “A” 6838, se ha dispuesto que se permite el acceso al mercado de cambios a fin de que un emisor de títulos de deuda con oferta pública pueda acceder al mercado de cambios para pagar sus servicios, </w:t>
      </w:r>
      <w:r w:rsidR="00E475BB" w:rsidRPr="00D354AB">
        <w:rPr>
          <w:sz w:val="20"/>
          <w:szCs w:val="20"/>
          <w:lang w:val="es-MX"/>
        </w:rPr>
        <w:t>aun</w:t>
      </w:r>
      <w:r w:rsidRPr="00D354AB">
        <w:rPr>
          <w:sz w:val="20"/>
          <w:szCs w:val="20"/>
          <w:lang w:val="es-MX"/>
        </w:rPr>
        <w:t xml:space="preserve"> cuando estas emisiones no sean internacionales, “[…] </w:t>
      </w:r>
      <w:r w:rsidRPr="00D354AB">
        <w:rPr>
          <w:i/>
          <w:sz w:val="20"/>
          <w:szCs w:val="20"/>
          <w:lang w:val="es-MX"/>
        </w:rPr>
        <w:t>en la medida que sean suscriptos en moneda extranjera y la totalidad de los fondos obtenidos liquidados en el mercado de cambios</w:t>
      </w:r>
      <w:r w:rsidRPr="00D354AB">
        <w:rPr>
          <w:sz w:val="20"/>
          <w:szCs w:val="20"/>
          <w:lang w:val="es-MX"/>
        </w:rPr>
        <w:t>”.</w:t>
      </w:r>
    </w:p>
    <w:p w14:paraId="7546A024" w14:textId="77777777" w:rsidR="00D354AB" w:rsidRPr="00D354AB" w:rsidRDefault="00D354AB" w:rsidP="00D354AB">
      <w:pPr>
        <w:spacing w:before="120" w:after="60"/>
        <w:jc w:val="both"/>
        <w:rPr>
          <w:i/>
          <w:sz w:val="20"/>
          <w:szCs w:val="20"/>
          <w:lang w:val="es-MX"/>
        </w:rPr>
      </w:pPr>
      <w:r w:rsidRPr="00D354AB">
        <w:rPr>
          <w:i/>
          <w:sz w:val="20"/>
          <w:szCs w:val="20"/>
          <w:lang w:val="es-MX"/>
        </w:rPr>
        <w:t>Conformidad previa acceso para pago de utilidades y dividendos</w:t>
      </w:r>
    </w:p>
    <w:p w14:paraId="317A752C" w14:textId="77777777" w:rsidR="00D354AB" w:rsidRPr="00D354AB" w:rsidRDefault="00D354AB" w:rsidP="00D354AB">
      <w:pPr>
        <w:spacing w:before="120" w:after="60"/>
        <w:jc w:val="both"/>
        <w:rPr>
          <w:sz w:val="20"/>
          <w:szCs w:val="20"/>
          <w:lang w:val="es-MX"/>
        </w:rPr>
      </w:pPr>
      <w:r w:rsidRPr="00D354AB">
        <w:rPr>
          <w:sz w:val="20"/>
          <w:szCs w:val="20"/>
          <w:lang w:val="es-MX"/>
        </w:rPr>
        <w:t>Se establece el requisito de conformidad previa del BCRA para el acceso al mercado de cambios para el giro de utilidades y dividendos.</w:t>
      </w:r>
    </w:p>
    <w:p w14:paraId="41EDE8A2" w14:textId="77777777" w:rsidR="00D354AB" w:rsidRPr="00D354AB" w:rsidRDefault="00D354AB" w:rsidP="00D354AB">
      <w:pPr>
        <w:spacing w:before="120" w:after="60"/>
        <w:jc w:val="both"/>
        <w:rPr>
          <w:i/>
          <w:sz w:val="20"/>
          <w:szCs w:val="20"/>
          <w:lang w:val="es-MX"/>
        </w:rPr>
      </w:pPr>
      <w:r w:rsidRPr="00D354AB">
        <w:rPr>
          <w:i/>
          <w:sz w:val="20"/>
          <w:szCs w:val="20"/>
          <w:lang w:val="es-MX"/>
        </w:rPr>
        <w:t>Conformidad previa para precancelar deudas financieras</w:t>
      </w:r>
    </w:p>
    <w:p w14:paraId="5F026BE9" w14:textId="77777777" w:rsidR="00D354AB" w:rsidRPr="00D354AB" w:rsidRDefault="00D354AB" w:rsidP="00D354AB">
      <w:pPr>
        <w:spacing w:before="120" w:after="60"/>
        <w:jc w:val="both"/>
        <w:rPr>
          <w:sz w:val="20"/>
          <w:szCs w:val="20"/>
          <w:lang w:val="es-MX"/>
        </w:rPr>
      </w:pPr>
      <w:r w:rsidRPr="00D354AB">
        <w:rPr>
          <w:sz w:val="20"/>
          <w:szCs w:val="20"/>
          <w:lang w:val="es-MX"/>
        </w:rPr>
        <w:t>Se requerirá la conformidad previa del BCRA para el acceso al mercado local de cambios para la precancelación con más de 3 días hábiles antes al vencimiento de servicios de capital e intereses de deudas financieras con el exterior.</w:t>
      </w:r>
    </w:p>
    <w:p w14:paraId="7AF2BA69" w14:textId="77777777" w:rsidR="00D354AB" w:rsidRPr="00D354AB" w:rsidRDefault="00D354AB" w:rsidP="00D354AB">
      <w:pPr>
        <w:jc w:val="both"/>
        <w:rPr>
          <w:sz w:val="20"/>
          <w:szCs w:val="20"/>
          <w:lang w:val="es-MX"/>
        </w:rPr>
      </w:pPr>
      <w:r w:rsidRPr="00D354AB">
        <w:rPr>
          <w:sz w:val="20"/>
          <w:szCs w:val="20"/>
          <w:lang w:val="es-MX"/>
        </w:rPr>
        <w:t>Al respecto, la Comunicación “A” 6814 y concordantes establecen que no se requerirá conformidad previa del BCRA, en la medida que se verifiquen la totalidad de las siguientes condiciones: (i) La precancelación sea efectuada en manera simultánea con los fondos liquidados de un nuevo endeudamiento de carácter financiero desembolsado a partir del 17 de octubre; (ii) La vida promedio del nuevo endeudamiento sea mayor a la vida promedio remanente de la deuda que se precancela; (iii) El vencimiento del primer servicio de capital del nuevo endeudamiento no sea anterior al próximo vencimiento futuro previsto del servicio de capital de la deuda que se cancela; (iv) El monto del primer servicio de capital del nuevo endeudamiento no sea mayor al monto del próximo servicio de capital futuro previsto de la deuda que se cancela.</w:t>
      </w:r>
    </w:p>
    <w:p w14:paraId="4CE63625" w14:textId="77777777" w:rsidR="00D354AB" w:rsidRPr="00D354AB" w:rsidRDefault="00D354AB" w:rsidP="00D354AB">
      <w:pPr>
        <w:spacing w:before="120" w:after="60"/>
        <w:jc w:val="both"/>
        <w:rPr>
          <w:sz w:val="20"/>
          <w:szCs w:val="20"/>
          <w:lang w:val="es-MX"/>
        </w:rPr>
      </w:pPr>
    </w:p>
    <w:p w14:paraId="36B807C7" w14:textId="77777777" w:rsidR="00D354AB" w:rsidRPr="00D354AB" w:rsidRDefault="00D354AB" w:rsidP="00D354AB">
      <w:pPr>
        <w:spacing w:before="120" w:after="60"/>
        <w:jc w:val="both"/>
        <w:rPr>
          <w:i/>
          <w:sz w:val="20"/>
          <w:szCs w:val="20"/>
          <w:lang w:val="es-MX"/>
        </w:rPr>
      </w:pPr>
      <w:r w:rsidRPr="00D354AB">
        <w:rPr>
          <w:i/>
          <w:sz w:val="20"/>
          <w:szCs w:val="20"/>
          <w:lang w:val="es-MX"/>
        </w:rPr>
        <w:t>Conformidad previa para respecto de deuda por importaciones</w:t>
      </w:r>
    </w:p>
    <w:p w14:paraId="4D0F2B11" w14:textId="77777777" w:rsidR="00D354AB" w:rsidRPr="00D354AB" w:rsidRDefault="00D354AB" w:rsidP="00D354AB">
      <w:pPr>
        <w:spacing w:before="120" w:after="60"/>
        <w:jc w:val="both"/>
        <w:rPr>
          <w:sz w:val="20"/>
          <w:szCs w:val="20"/>
          <w:lang w:val="es-MX"/>
        </w:rPr>
      </w:pPr>
      <w:r w:rsidRPr="00D354AB">
        <w:rPr>
          <w:sz w:val="20"/>
          <w:szCs w:val="20"/>
          <w:lang w:val="es-MX"/>
        </w:rPr>
        <w:t>Se establece el requisito de conformidad previa del BCRA para el acceso al mercado de cambios para la precancelación de deuda por importaciones de bienes y servicios.</w:t>
      </w:r>
    </w:p>
    <w:p w14:paraId="59F419D8" w14:textId="77777777" w:rsidR="00D354AB" w:rsidRPr="00D354AB" w:rsidRDefault="00D354AB" w:rsidP="00D354AB">
      <w:pPr>
        <w:spacing w:before="120" w:after="60"/>
        <w:jc w:val="both"/>
        <w:rPr>
          <w:sz w:val="20"/>
          <w:szCs w:val="20"/>
          <w:lang w:val="es-MX"/>
        </w:rPr>
      </w:pPr>
      <w:r w:rsidRPr="00D354AB">
        <w:rPr>
          <w:sz w:val="20"/>
          <w:szCs w:val="20"/>
          <w:lang w:val="es-MX"/>
        </w:rPr>
        <w:t xml:space="preserve">Así también, se establece el requisito de conformidad previa del BCRA para el acceso al mercado de cambios para pagos de deudas vencidas o a la vista por importaciones de bienes con empresas vinculadas del exterior cuando supere el </w:t>
      </w:r>
      <w:r w:rsidRPr="00D354AB">
        <w:rPr>
          <w:sz w:val="20"/>
          <w:szCs w:val="20"/>
          <w:lang w:val="es-MX"/>
        </w:rPr>
        <w:lastRenderedPageBreak/>
        <w:t>equivalente a US$ 2 millones mensuales por cliente re</w:t>
      </w:r>
      <w:bookmarkStart w:id="60" w:name="_GoBack"/>
      <w:bookmarkEnd w:id="60"/>
      <w:r w:rsidRPr="00D354AB">
        <w:rPr>
          <w:sz w:val="20"/>
          <w:szCs w:val="20"/>
          <w:lang w:val="es-MX"/>
        </w:rPr>
        <w:t>sidente. Se aclara que se consideran “deudas vencidas y a la vista de importaciones de bienes” a todas aquellas pendientes al 31.08.19, tanto aquéllas cuyo vencimiento hubiera operado con anterioridad a dicha fecha, como las que no tuvieran una fecha de vencimiento estipulada.</w:t>
      </w:r>
    </w:p>
    <w:p w14:paraId="0490582D" w14:textId="77777777" w:rsidR="00D354AB" w:rsidRPr="00D354AB" w:rsidRDefault="00D354AB" w:rsidP="00D354AB">
      <w:pPr>
        <w:spacing w:before="120" w:after="60"/>
        <w:jc w:val="both"/>
        <w:rPr>
          <w:i/>
          <w:sz w:val="20"/>
          <w:szCs w:val="20"/>
          <w:lang w:val="es-MX"/>
        </w:rPr>
      </w:pPr>
      <w:r w:rsidRPr="00D354AB">
        <w:rPr>
          <w:i/>
          <w:sz w:val="20"/>
          <w:szCs w:val="20"/>
          <w:lang w:val="es-MX"/>
        </w:rPr>
        <w:t>Conformidad previa para pagos de servicios con empresas vinculadas del exterior (con excepciones)</w:t>
      </w:r>
    </w:p>
    <w:p w14:paraId="30936E9F" w14:textId="77777777" w:rsidR="00D354AB" w:rsidRPr="00D354AB" w:rsidRDefault="00D354AB" w:rsidP="00D354AB">
      <w:pPr>
        <w:spacing w:before="120" w:after="60"/>
        <w:jc w:val="both"/>
        <w:rPr>
          <w:sz w:val="20"/>
          <w:szCs w:val="20"/>
          <w:lang w:val="es-MX"/>
        </w:rPr>
      </w:pPr>
      <w:r w:rsidRPr="00D354AB">
        <w:rPr>
          <w:sz w:val="20"/>
          <w:szCs w:val="20"/>
          <w:lang w:val="es-MX"/>
        </w:rPr>
        <w:t>Se establece el requisito de conformidad previa del BCRA para el acceso al mercado de cambios para el pago de servicios con empresas vinculadas del exterior, excepto para las emisoras de tarjetas por los giros por turismo y viajes.</w:t>
      </w:r>
    </w:p>
    <w:p w14:paraId="23078D0D" w14:textId="77777777" w:rsidR="00D354AB" w:rsidRPr="00D354AB" w:rsidRDefault="00D354AB" w:rsidP="00D354AB">
      <w:pPr>
        <w:spacing w:before="120" w:after="60"/>
        <w:jc w:val="both"/>
        <w:rPr>
          <w:sz w:val="20"/>
          <w:szCs w:val="20"/>
          <w:lang w:val="es-MX"/>
        </w:rPr>
      </w:pPr>
      <w:r w:rsidRPr="00D354AB">
        <w:rPr>
          <w:sz w:val="20"/>
          <w:szCs w:val="20"/>
          <w:lang w:val="es-MX"/>
        </w:rPr>
        <w:t>Asimismo se establece que están exceptuados del requisito de conformidad previa del BCRA para el acceso al mercado de cambios para el pago de servicios con empresas vinculadas del exterior, aquellos agentes locales que recauden en el país los fondos correspondientes a servicios prestados por no residentes a residentes y las entidades por los gastos que abonen a entidades del exterior por su operatoria habitual.</w:t>
      </w:r>
    </w:p>
    <w:p w14:paraId="73BAE38B" w14:textId="77777777" w:rsidR="00D354AB" w:rsidRPr="00D354AB" w:rsidRDefault="00D354AB" w:rsidP="00D354AB">
      <w:pPr>
        <w:spacing w:before="120" w:after="60"/>
        <w:jc w:val="both"/>
        <w:rPr>
          <w:sz w:val="20"/>
          <w:szCs w:val="20"/>
          <w:lang w:val="es-MX"/>
        </w:rPr>
      </w:pPr>
      <w:r w:rsidRPr="00D354AB">
        <w:rPr>
          <w:sz w:val="20"/>
          <w:szCs w:val="20"/>
          <w:lang w:val="es-MX"/>
        </w:rPr>
        <w:t>La Comunicación “A” 6780 aclara que no se aplica el requisito de conformidad previa para dar curso a transferencias al exterior en concepto de pagos de primas de reaseguros en el exterior. En estos casos, la transferencia al exterior debe ser realizada a nombre del beneficiario del exterior admitido por la Superintendencia de Seguros de la Nación.</w:t>
      </w:r>
    </w:p>
    <w:p w14:paraId="63B831B2" w14:textId="77777777" w:rsidR="00D354AB" w:rsidRPr="00D354AB" w:rsidRDefault="00D354AB" w:rsidP="00D354AB">
      <w:pPr>
        <w:spacing w:before="120" w:after="60"/>
        <w:jc w:val="both"/>
        <w:rPr>
          <w:i/>
          <w:sz w:val="20"/>
          <w:szCs w:val="20"/>
          <w:lang w:val="es-MX"/>
        </w:rPr>
      </w:pPr>
      <w:r w:rsidRPr="00D354AB">
        <w:rPr>
          <w:i/>
          <w:sz w:val="20"/>
          <w:szCs w:val="20"/>
          <w:lang w:val="es-MX"/>
        </w:rPr>
        <w:t>Operaciones de canje y arbitraje</w:t>
      </w:r>
    </w:p>
    <w:p w14:paraId="2C577094" w14:textId="77777777" w:rsidR="00D354AB" w:rsidRPr="00D354AB" w:rsidRDefault="00D354AB" w:rsidP="00D354AB">
      <w:pPr>
        <w:spacing w:before="120" w:after="60"/>
        <w:jc w:val="both"/>
        <w:rPr>
          <w:sz w:val="20"/>
          <w:szCs w:val="20"/>
          <w:lang w:val="es-MX"/>
        </w:rPr>
      </w:pPr>
      <w:r w:rsidRPr="00D354AB">
        <w:rPr>
          <w:sz w:val="20"/>
          <w:szCs w:val="20"/>
          <w:lang w:val="es-MX"/>
        </w:rPr>
        <w:t>Las operaciones de canje y arbitraje podrán realizarse con clientes sin la conformidad previa del BCRA en la medida que de instrumentarse como operaciones individuales pasando por pesos puedan realizarse sin dicha conformidad de acuerdo con las normas de la presente.</w:t>
      </w:r>
    </w:p>
    <w:p w14:paraId="31869B5C" w14:textId="77777777" w:rsidR="00D354AB" w:rsidRPr="00D354AB" w:rsidRDefault="00D354AB" w:rsidP="00D354AB">
      <w:pPr>
        <w:spacing w:before="120" w:after="60"/>
        <w:jc w:val="both"/>
        <w:rPr>
          <w:sz w:val="20"/>
          <w:szCs w:val="20"/>
          <w:lang w:val="es-MX"/>
        </w:rPr>
      </w:pPr>
      <w:r w:rsidRPr="00D354AB">
        <w:rPr>
          <w:sz w:val="20"/>
          <w:szCs w:val="20"/>
          <w:lang w:val="es-MX"/>
        </w:rPr>
        <w:t>Se aclara que: (i) la transferencia de divisas de las personas humanas desde sus cuentas locales en moneda extranjera a cuentas propias en el exterior se puede efectuar sin restricciones; (ii) los canjes y arbitrajes que impliquen ingresos de divisas por operaciones no alcanzadas por la obligación de liquidación en el mercado de cambios pueden ser realizadas sin restricciones.</w:t>
      </w:r>
    </w:p>
    <w:p w14:paraId="1402D7BD" w14:textId="77777777" w:rsidR="00D354AB" w:rsidRPr="00D354AB" w:rsidRDefault="00D354AB" w:rsidP="00D354AB">
      <w:pPr>
        <w:spacing w:before="120" w:after="60"/>
        <w:jc w:val="both"/>
        <w:rPr>
          <w:sz w:val="20"/>
          <w:szCs w:val="20"/>
          <w:lang w:val="es-MX"/>
        </w:rPr>
      </w:pPr>
      <w:r w:rsidRPr="00D354AB">
        <w:rPr>
          <w:sz w:val="20"/>
          <w:szCs w:val="20"/>
          <w:lang w:val="es-MX"/>
        </w:rPr>
        <w:t>La Comunicación “A” 6780 aclara lo dispuesto en el punto 15 de la Comunicación “A” 6770 estableciendo que las operaciones de canje y arbitraje podrán realizarse con clientes sin la conformidad previa del BCRA en la medida que de instrumentarse como operaciones individuales pasando por pesos, puedan realizarse sin dicha conformidad, también resulta de aplicación a las centrales locales de depósito colectivo de valores por los fondos percibidos en moneda extranjera por los servicios de capital y renta de títulos en moneda extranjera abonados en el país.</w:t>
      </w:r>
    </w:p>
    <w:p w14:paraId="4C1B33CB" w14:textId="77777777" w:rsidR="00D354AB" w:rsidRPr="00D354AB" w:rsidRDefault="00D354AB" w:rsidP="00D354AB">
      <w:pPr>
        <w:spacing w:before="120" w:after="60"/>
        <w:jc w:val="both"/>
        <w:rPr>
          <w:i/>
          <w:sz w:val="20"/>
          <w:szCs w:val="20"/>
          <w:lang w:val="es-MX"/>
        </w:rPr>
      </w:pPr>
      <w:r w:rsidRPr="00D354AB">
        <w:rPr>
          <w:i/>
          <w:sz w:val="20"/>
          <w:szCs w:val="20"/>
          <w:lang w:val="es-MX"/>
        </w:rPr>
        <w:t>Contado con liquidación</w:t>
      </w:r>
    </w:p>
    <w:p w14:paraId="4A9ECD2F" w14:textId="77777777" w:rsidR="00D354AB" w:rsidRPr="00D354AB" w:rsidRDefault="00D354AB" w:rsidP="00D354AB">
      <w:pPr>
        <w:spacing w:before="120" w:after="60"/>
        <w:jc w:val="both"/>
        <w:rPr>
          <w:sz w:val="20"/>
          <w:szCs w:val="20"/>
          <w:lang w:val="es-MX"/>
        </w:rPr>
      </w:pPr>
      <w:r w:rsidRPr="00D354AB">
        <w:rPr>
          <w:sz w:val="20"/>
          <w:szCs w:val="20"/>
          <w:lang w:val="es-MX"/>
        </w:rPr>
        <w:t>Las entidades autorizadas a operar en cambios no podrán comprar con liquidación en moneda extranjera títulos valores en el mercado secundario ni utilizar tenencias de su posición general de cambios para pagos a proveedores locales.</w:t>
      </w:r>
    </w:p>
    <w:p w14:paraId="49326721" w14:textId="77777777" w:rsidR="00D354AB" w:rsidRPr="00D354AB" w:rsidRDefault="00D354AB" w:rsidP="00D354AB">
      <w:pPr>
        <w:spacing w:before="120" w:after="60"/>
        <w:jc w:val="both"/>
        <w:rPr>
          <w:i/>
          <w:sz w:val="20"/>
          <w:szCs w:val="20"/>
          <w:lang w:val="es-MX"/>
        </w:rPr>
      </w:pPr>
      <w:r w:rsidRPr="00D354AB">
        <w:rPr>
          <w:i/>
          <w:sz w:val="20"/>
          <w:szCs w:val="20"/>
          <w:lang w:val="es-MX"/>
        </w:rPr>
        <w:t>Casas y agencias de cambio – Tenencia de moneda extranjera</w:t>
      </w:r>
    </w:p>
    <w:p w14:paraId="2DAB3BC6" w14:textId="77777777" w:rsidR="00D354AB" w:rsidRPr="00D354AB" w:rsidRDefault="00D354AB" w:rsidP="00D354AB">
      <w:pPr>
        <w:spacing w:before="120" w:after="60"/>
        <w:jc w:val="both"/>
        <w:rPr>
          <w:sz w:val="20"/>
          <w:szCs w:val="20"/>
          <w:lang w:val="es-MX"/>
        </w:rPr>
      </w:pPr>
      <w:r w:rsidRPr="00D354AB">
        <w:rPr>
          <w:sz w:val="20"/>
          <w:szCs w:val="20"/>
          <w:lang w:val="es-MX"/>
        </w:rPr>
        <w:t>Las Casas y Agencias de Cambio no podrán incrementar, sin conformidad previa del BCRA, sus tenencias en moneda extranjera respecto al promedio de sus tenencias de agosto de 2019 o el stock al cierre del día anterior a la entrada en vigencia de la presente, el máximo de los dos.</w:t>
      </w:r>
    </w:p>
    <w:p w14:paraId="1D20EC28" w14:textId="77777777" w:rsidR="00D354AB" w:rsidRPr="00D354AB" w:rsidRDefault="00D354AB" w:rsidP="00D354AB">
      <w:pPr>
        <w:spacing w:before="120" w:after="60"/>
        <w:jc w:val="both"/>
        <w:rPr>
          <w:sz w:val="20"/>
          <w:szCs w:val="20"/>
          <w:lang w:val="es-MX"/>
        </w:rPr>
      </w:pPr>
      <w:r w:rsidRPr="00D354AB">
        <w:rPr>
          <w:sz w:val="20"/>
          <w:szCs w:val="20"/>
          <w:lang w:val="es-MX"/>
        </w:rPr>
        <w:t xml:space="preserve">Se dispone que las autorizaciones otorgadas a casas y agencias de cambio antes del 01.09.19 que no inicien actividades antes del 30.09.19, caducarán a partir de esta última fecha, procediéndose a darlas de baja del registro correspondiente. </w:t>
      </w:r>
    </w:p>
    <w:p w14:paraId="13106A1D" w14:textId="77777777" w:rsidR="00D354AB" w:rsidRPr="00D354AB" w:rsidRDefault="00D354AB" w:rsidP="00D354AB">
      <w:pPr>
        <w:spacing w:before="120" w:after="60"/>
        <w:jc w:val="both"/>
        <w:rPr>
          <w:sz w:val="20"/>
          <w:szCs w:val="20"/>
          <w:lang w:val="es-MX"/>
        </w:rPr>
      </w:pPr>
      <w:r w:rsidRPr="00D354AB">
        <w:rPr>
          <w:sz w:val="20"/>
          <w:szCs w:val="20"/>
          <w:lang w:val="es-MX"/>
        </w:rPr>
        <w:t>Asimismo, se dispone que las casas y agencias de cambios inscriptas antes del 01.09.19 y que no hubieran operado hasta esa fecha, a los efectos de determinar la posibilidad de incrementar sin conformidad previa del BCRA sus tenencias en moneda extranjera respecto del promedio de sus tenencias de agosto de 2019, o el stock al cierre del día anterior a la entrada en vigencia de la Comunicación “A” 6770, el máximo de los dos, deberán considerar las tenencias de moneda extranjera registradas al inicio del día en que comiencen su operatoria.</w:t>
      </w:r>
    </w:p>
    <w:p w14:paraId="77C39B1F" w14:textId="77777777" w:rsidR="00D354AB" w:rsidRPr="00D354AB" w:rsidRDefault="00D354AB" w:rsidP="00D354AB">
      <w:pPr>
        <w:spacing w:before="120" w:after="60"/>
        <w:jc w:val="both"/>
        <w:rPr>
          <w:i/>
          <w:sz w:val="20"/>
          <w:szCs w:val="20"/>
          <w:lang w:val="es-MX"/>
        </w:rPr>
      </w:pPr>
      <w:r w:rsidRPr="00D354AB">
        <w:rPr>
          <w:i/>
          <w:sz w:val="20"/>
          <w:szCs w:val="20"/>
          <w:lang w:val="es-MX"/>
        </w:rPr>
        <w:t>Boletos de compra y venta de Cambio</w:t>
      </w:r>
    </w:p>
    <w:p w14:paraId="2622E422" w14:textId="77777777" w:rsidR="00D354AB" w:rsidRPr="00D354AB" w:rsidRDefault="00D354AB" w:rsidP="00D354AB">
      <w:pPr>
        <w:spacing w:before="120" w:after="60"/>
        <w:jc w:val="both"/>
        <w:rPr>
          <w:sz w:val="20"/>
          <w:szCs w:val="20"/>
          <w:lang w:val="es-MX"/>
        </w:rPr>
      </w:pPr>
      <w:r w:rsidRPr="00D354AB">
        <w:rPr>
          <w:sz w:val="20"/>
          <w:szCs w:val="20"/>
          <w:lang w:val="es-MX"/>
        </w:rPr>
        <w:t>Por cada operación de cambio, se debe realizar un boleto de compra o venta de cambio, según corresponda. En el boleto de cambio debe constar el carácter de declaración jurada del ordenante de la operación de cambio sobre todos los datos contenidos en el mismo, incluyendo el concepto de la operación y el cumplimiento de los límites y requisitos establecidos en la Comunicación “A” 6770. La entidad interviniente deberá constatar la razonabilidad de la operación y el cumplimiento de los límites.</w:t>
      </w:r>
    </w:p>
    <w:p w14:paraId="2396A72C" w14:textId="77777777" w:rsidR="00D354AB" w:rsidRPr="00D354AB" w:rsidRDefault="00D354AB" w:rsidP="00D354AB">
      <w:pPr>
        <w:spacing w:before="120" w:after="60"/>
        <w:jc w:val="both"/>
        <w:rPr>
          <w:sz w:val="20"/>
          <w:szCs w:val="20"/>
          <w:lang w:val="es-MX"/>
        </w:rPr>
      </w:pPr>
      <w:r w:rsidRPr="00D354AB">
        <w:rPr>
          <w:sz w:val="20"/>
          <w:szCs w:val="20"/>
          <w:lang w:val="es-MX"/>
        </w:rPr>
        <w:t>En los boletos de compra y de venta de moneda extranjera, debe constar la firma del cliente que realiza la operación de cambio, quien debe presentar documento de identificación admitido para operar con entidades financieras de acuerdo al punto 3.1.1 del Texto Ordenado de “Exterior y Cambios”.</w:t>
      </w:r>
    </w:p>
    <w:p w14:paraId="65980D03" w14:textId="77777777" w:rsidR="00D354AB" w:rsidRPr="00D354AB" w:rsidRDefault="00D354AB" w:rsidP="00D354AB">
      <w:pPr>
        <w:spacing w:before="120" w:after="60"/>
        <w:jc w:val="both"/>
        <w:rPr>
          <w:sz w:val="20"/>
          <w:szCs w:val="20"/>
          <w:lang w:val="es-MX"/>
        </w:rPr>
      </w:pPr>
      <w:r w:rsidRPr="00D354AB">
        <w:rPr>
          <w:sz w:val="20"/>
          <w:szCs w:val="20"/>
          <w:lang w:val="es-MX"/>
        </w:rPr>
        <w:t>En el caso de operaciones por canales electrónicos y/o firma electrónica o digital, se aplica el punto 3.1.2 del referido Texto Ordenado.</w:t>
      </w:r>
    </w:p>
    <w:p w14:paraId="1538179D" w14:textId="77777777" w:rsidR="00D354AB" w:rsidRPr="00D354AB" w:rsidRDefault="00D354AB" w:rsidP="00D354AB">
      <w:pPr>
        <w:spacing w:before="120" w:after="60"/>
        <w:jc w:val="both"/>
        <w:rPr>
          <w:sz w:val="20"/>
          <w:szCs w:val="20"/>
          <w:lang w:val="es-MX"/>
        </w:rPr>
      </w:pPr>
      <w:r w:rsidRPr="00D354AB">
        <w:rPr>
          <w:sz w:val="20"/>
          <w:szCs w:val="20"/>
          <w:lang w:val="es-MX"/>
        </w:rPr>
        <w:t>Requisitos previos para el acceso para pago de deudas financieras o comerciales y para pago anticipado de importaciones</w:t>
      </w:r>
    </w:p>
    <w:p w14:paraId="23EEAE9D" w14:textId="77777777" w:rsidR="00D354AB" w:rsidRPr="00D354AB" w:rsidRDefault="00D354AB" w:rsidP="00D354AB">
      <w:pPr>
        <w:spacing w:before="120" w:after="60"/>
        <w:jc w:val="both"/>
        <w:rPr>
          <w:sz w:val="20"/>
          <w:szCs w:val="20"/>
          <w:lang w:val="es-MX"/>
        </w:rPr>
      </w:pPr>
      <w:r w:rsidRPr="00D354AB">
        <w:rPr>
          <w:sz w:val="20"/>
          <w:szCs w:val="20"/>
          <w:lang w:val="es-MX"/>
        </w:rPr>
        <w:t xml:space="preserve">En el caso de acceso al mercado local de cambios para el pago de deudas financieras o comerciales con el exterior de acuerdo a las normas establecidas en la Comunicación “A” 6770 deberá demostrarse, en caso de corresponder, que la operación se encuentra declarada en la última presentación vencida del Relevamiento de activos y pasivos externos. En </w:t>
      </w:r>
      <w:r w:rsidRPr="00D354AB">
        <w:rPr>
          <w:sz w:val="20"/>
          <w:szCs w:val="20"/>
          <w:lang w:val="es-MX"/>
        </w:rPr>
        <w:lastRenderedPageBreak/>
        <w:t>el caso de pagos anticipados de importaciones, la Comunicación “A” 6815 establece que deberá presentarse la documentación respaldatoria, se deberá demostrar el registro de ingreso aduanero de los bienes dentro de los 90 días corridos desde su acceso al mercado de cambios en el caso de los pagos anticipados de importaciones a proveedores no vinculados con el importador y la conformidad previa del BCRA para los pagos anticipados de importaciones a proveedores vinculados con el importador.</w:t>
      </w:r>
    </w:p>
    <w:p w14:paraId="16AD88F1" w14:textId="77777777" w:rsidR="00D354AB" w:rsidRPr="00D354AB" w:rsidRDefault="00D354AB" w:rsidP="00D354AB">
      <w:pPr>
        <w:spacing w:before="120" w:after="60"/>
        <w:jc w:val="both"/>
        <w:rPr>
          <w:i/>
          <w:sz w:val="20"/>
          <w:szCs w:val="20"/>
          <w:lang w:val="es-MX"/>
        </w:rPr>
      </w:pPr>
      <w:r w:rsidRPr="00D354AB">
        <w:rPr>
          <w:i/>
          <w:sz w:val="20"/>
          <w:szCs w:val="20"/>
          <w:lang w:val="es-MX"/>
        </w:rPr>
        <w:t>Entidades Autorizadas</w:t>
      </w:r>
    </w:p>
    <w:p w14:paraId="1A6B391B" w14:textId="77777777" w:rsidR="00D354AB" w:rsidRPr="00D354AB" w:rsidRDefault="00D354AB" w:rsidP="00D354AB">
      <w:pPr>
        <w:spacing w:before="120" w:after="60"/>
        <w:jc w:val="both"/>
        <w:rPr>
          <w:sz w:val="20"/>
          <w:szCs w:val="20"/>
          <w:lang w:val="es-MX"/>
        </w:rPr>
      </w:pPr>
      <w:r w:rsidRPr="00D354AB">
        <w:rPr>
          <w:sz w:val="20"/>
          <w:szCs w:val="20"/>
          <w:lang w:val="es-MX"/>
        </w:rPr>
        <w:t>Las distintas presentaciones que realicen los clientes por operaciones a cursar en el mercado de cambios deberán indefectiblemente cursarse a través de una entidad que esté autorizada a cursar el tipo de operación contenida en la consulta o pedido de conformidad.</w:t>
      </w:r>
    </w:p>
    <w:p w14:paraId="1E7A7316" w14:textId="77777777" w:rsidR="00D354AB" w:rsidRPr="00D354AB" w:rsidRDefault="00D354AB" w:rsidP="00D354AB">
      <w:pPr>
        <w:spacing w:before="120" w:after="60"/>
        <w:jc w:val="both"/>
        <w:rPr>
          <w:i/>
          <w:sz w:val="20"/>
          <w:szCs w:val="20"/>
          <w:lang w:val="es-MX"/>
        </w:rPr>
      </w:pPr>
      <w:r w:rsidRPr="00D354AB">
        <w:rPr>
          <w:i/>
          <w:sz w:val="20"/>
          <w:szCs w:val="20"/>
          <w:lang w:val="es-MX"/>
        </w:rPr>
        <w:t>Financiaciones en moneda extranjera otorgadas por entidades financieras locales.</w:t>
      </w:r>
    </w:p>
    <w:p w14:paraId="5A9DE842" w14:textId="77777777" w:rsidR="00D354AB" w:rsidRPr="00D354AB" w:rsidRDefault="00D354AB" w:rsidP="00D354AB">
      <w:pPr>
        <w:spacing w:before="120" w:after="60"/>
        <w:jc w:val="both"/>
        <w:rPr>
          <w:sz w:val="20"/>
          <w:szCs w:val="20"/>
          <w:lang w:val="es-MX"/>
        </w:rPr>
      </w:pPr>
      <w:r w:rsidRPr="00D354AB">
        <w:rPr>
          <w:sz w:val="20"/>
          <w:szCs w:val="20"/>
          <w:lang w:val="es-MX"/>
        </w:rPr>
        <w:t>Se establece que las financiaciones que otorguen las entidades financieras en moneda extranjera a clientes del sector privado no financiero deben ser liquidadas en el mercado local de cambios al momento de su desembolso.</w:t>
      </w:r>
    </w:p>
    <w:p w14:paraId="76E420F0" w14:textId="77777777" w:rsidR="00D354AB" w:rsidRPr="00D354AB" w:rsidRDefault="00D354AB" w:rsidP="00D354AB">
      <w:pPr>
        <w:spacing w:before="120" w:after="60"/>
        <w:jc w:val="both"/>
        <w:rPr>
          <w:i/>
          <w:sz w:val="20"/>
          <w:szCs w:val="20"/>
          <w:lang w:val="es-MX"/>
        </w:rPr>
      </w:pPr>
      <w:r w:rsidRPr="00D354AB">
        <w:rPr>
          <w:i/>
          <w:sz w:val="20"/>
          <w:szCs w:val="20"/>
          <w:lang w:val="es-MX"/>
        </w:rPr>
        <w:t>Enajenación de activos por parte de residentes</w:t>
      </w:r>
    </w:p>
    <w:p w14:paraId="28D085C9" w14:textId="77777777" w:rsidR="00D354AB" w:rsidRPr="00D354AB" w:rsidRDefault="00D354AB" w:rsidP="00D354AB">
      <w:pPr>
        <w:jc w:val="both"/>
        <w:rPr>
          <w:sz w:val="20"/>
          <w:szCs w:val="20"/>
          <w:lang w:val="es-MX"/>
        </w:rPr>
      </w:pPr>
      <w:r w:rsidRPr="00D354AB">
        <w:rPr>
          <w:sz w:val="20"/>
          <w:szCs w:val="20"/>
          <w:lang w:val="es-MX"/>
        </w:rPr>
        <w:t xml:space="preserve">Se dispone que la percepción por parte de residentes de montos en moneda extranjera por la enajenación de “activos no financieros no producidos” deberá ingresarse y liquidarse en el mercado de cambios dentro de los 5 días hábiles de la fecha de percepción de los fondos en el país o en el exterior o de su acreditación en cuentas del exterior. </w:t>
      </w:r>
    </w:p>
    <w:p w14:paraId="62A92764" w14:textId="77777777" w:rsidR="00D354AB" w:rsidRPr="00D354AB" w:rsidRDefault="00D354AB" w:rsidP="00D354AB">
      <w:pPr>
        <w:jc w:val="both"/>
        <w:rPr>
          <w:sz w:val="20"/>
          <w:szCs w:val="20"/>
          <w:lang w:val="es-MX"/>
        </w:rPr>
      </w:pPr>
    </w:p>
    <w:p w14:paraId="0E590A16" w14:textId="77777777" w:rsidR="00D354AB" w:rsidRPr="00D354AB" w:rsidRDefault="00D354AB" w:rsidP="00D354AB">
      <w:pPr>
        <w:jc w:val="both"/>
        <w:rPr>
          <w:sz w:val="20"/>
          <w:szCs w:val="20"/>
          <w:lang w:val="es-MX"/>
        </w:rPr>
      </w:pPr>
      <w:r w:rsidRPr="00D354AB">
        <w:rPr>
          <w:sz w:val="20"/>
          <w:szCs w:val="20"/>
          <w:lang w:val="es-MX"/>
        </w:rPr>
        <w:t>La Comunicación “A” 6814 y concordantes disponen que no resultará exigible la liquidación en el mercado local de cambios de las divisas en moneda extranjera que reciban los residentes por exportaciones de bienes y servicios, por la enajenación de activos no financieros no producidos, ni como condición para su repago en los casos de endeudamientos con el exterior ni de emisiones de residentes de títulos de deuda con registro público en el país, en la medida que se cumplan la totalidad de las siguientes condiciones:</w:t>
      </w:r>
    </w:p>
    <w:p w14:paraId="08E4B0E8" w14:textId="77777777" w:rsidR="00D354AB" w:rsidRPr="00D354AB" w:rsidRDefault="00D354AB" w:rsidP="00D354AB">
      <w:pPr>
        <w:jc w:val="both"/>
        <w:rPr>
          <w:sz w:val="20"/>
          <w:szCs w:val="20"/>
          <w:lang w:val="es-MX"/>
        </w:rPr>
      </w:pPr>
    </w:p>
    <w:p w14:paraId="48636FA0" w14:textId="77777777" w:rsidR="00D354AB" w:rsidRPr="00D354AB" w:rsidRDefault="00D354AB" w:rsidP="00D354AB">
      <w:pPr>
        <w:jc w:val="both"/>
        <w:rPr>
          <w:sz w:val="20"/>
          <w:szCs w:val="20"/>
          <w:lang w:val="es-MX"/>
        </w:rPr>
      </w:pPr>
      <w:r w:rsidRPr="00D354AB">
        <w:rPr>
          <w:sz w:val="20"/>
          <w:szCs w:val="20"/>
          <w:lang w:val="es-MX"/>
        </w:rPr>
        <w:t>a) Los fondos ingresen al país para su acreditación en cuentas en moneda extranjera de titularidad del cliente en entidades financieras locales.</w:t>
      </w:r>
    </w:p>
    <w:p w14:paraId="29BE2192" w14:textId="77777777" w:rsidR="00D354AB" w:rsidRPr="00D354AB" w:rsidRDefault="00D354AB" w:rsidP="00D354AB">
      <w:pPr>
        <w:jc w:val="both"/>
        <w:rPr>
          <w:sz w:val="20"/>
          <w:szCs w:val="20"/>
          <w:lang w:val="es-MX"/>
        </w:rPr>
      </w:pPr>
      <w:r w:rsidRPr="00D354AB">
        <w:rPr>
          <w:sz w:val="20"/>
          <w:szCs w:val="20"/>
          <w:lang w:val="es-MX"/>
        </w:rPr>
        <w:t xml:space="preserve"> </w:t>
      </w:r>
    </w:p>
    <w:p w14:paraId="7E1AACB6" w14:textId="77777777" w:rsidR="00D354AB" w:rsidRPr="00D354AB" w:rsidRDefault="00D354AB" w:rsidP="00D354AB">
      <w:pPr>
        <w:jc w:val="both"/>
        <w:rPr>
          <w:sz w:val="20"/>
          <w:szCs w:val="20"/>
          <w:lang w:val="es-MX"/>
        </w:rPr>
      </w:pPr>
      <w:r w:rsidRPr="00D354AB">
        <w:rPr>
          <w:sz w:val="20"/>
          <w:szCs w:val="20"/>
          <w:lang w:val="es-MX"/>
        </w:rPr>
        <w:t>b) El ingreso se efectúe dentro del plazo para la liquidación de los fondos en el mercado de cambios que pueda ser aplicable a la operación.</w:t>
      </w:r>
    </w:p>
    <w:p w14:paraId="6060B7AE" w14:textId="77777777" w:rsidR="00D354AB" w:rsidRPr="00D354AB" w:rsidRDefault="00D354AB" w:rsidP="00D354AB">
      <w:pPr>
        <w:jc w:val="both"/>
        <w:rPr>
          <w:sz w:val="20"/>
          <w:szCs w:val="20"/>
          <w:lang w:val="es-MX"/>
        </w:rPr>
      </w:pPr>
      <w:r w:rsidRPr="00D354AB">
        <w:rPr>
          <w:sz w:val="20"/>
          <w:szCs w:val="20"/>
          <w:lang w:val="es-MX"/>
        </w:rPr>
        <w:t xml:space="preserve"> </w:t>
      </w:r>
    </w:p>
    <w:p w14:paraId="797367E6" w14:textId="77777777" w:rsidR="00D354AB" w:rsidRPr="00D354AB" w:rsidRDefault="00D354AB" w:rsidP="00D354AB">
      <w:pPr>
        <w:jc w:val="both"/>
        <w:rPr>
          <w:sz w:val="20"/>
          <w:szCs w:val="20"/>
          <w:lang w:val="es-MX"/>
        </w:rPr>
      </w:pPr>
      <w:r w:rsidRPr="00D354AB">
        <w:rPr>
          <w:sz w:val="20"/>
          <w:szCs w:val="20"/>
          <w:lang w:val="es-MX"/>
        </w:rPr>
        <w:t>c) Los fondos en moneda extranjera se apliquen de manera simultánea a operaciones por las cuales la normativa cambiaria vigente permite el acceso al mercado local de cambios contra moneda local, considerando los límites previstos para cada concepto involucrado.</w:t>
      </w:r>
    </w:p>
    <w:p w14:paraId="5B65CCA7" w14:textId="77777777" w:rsidR="00D354AB" w:rsidRPr="00D354AB" w:rsidRDefault="00D354AB" w:rsidP="00D354AB">
      <w:pPr>
        <w:jc w:val="both"/>
        <w:rPr>
          <w:sz w:val="20"/>
          <w:szCs w:val="20"/>
          <w:lang w:val="es-MX"/>
        </w:rPr>
      </w:pPr>
      <w:r w:rsidRPr="00D354AB">
        <w:rPr>
          <w:sz w:val="20"/>
          <w:szCs w:val="20"/>
          <w:lang w:val="es-MX"/>
        </w:rPr>
        <w:t xml:space="preserve"> </w:t>
      </w:r>
    </w:p>
    <w:p w14:paraId="6B69044C" w14:textId="77777777" w:rsidR="00D354AB" w:rsidRPr="00D354AB" w:rsidRDefault="00D354AB" w:rsidP="00D354AB">
      <w:pPr>
        <w:jc w:val="both"/>
        <w:rPr>
          <w:sz w:val="20"/>
          <w:szCs w:val="20"/>
          <w:lang w:val="es-MX"/>
        </w:rPr>
      </w:pPr>
      <w:r w:rsidRPr="00D354AB">
        <w:rPr>
          <w:sz w:val="20"/>
          <w:szCs w:val="20"/>
          <w:lang w:val="es-MX"/>
        </w:rPr>
        <w:t>Si el ingreso correspondiese a nueva deuda financiera con el exterior y el destino fuese la precancelación de deuda local en moneda extranjera con una entidad financiera, la nueva deuda con el exterior deberá tener una vida promedio mayor a la que se precancela con la entidad local.</w:t>
      </w:r>
    </w:p>
    <w:p w14:paraId="36D6CB73" w14:textId="77777777" w:rsidR="00D354AB" w:rsidRPr="00D354AB" w:rsidRDefault="00D354AB" w:rsidP="00D354AB">
      <w:pPr>
        <w:jc w:val="both"/>
        <w:rPr>
          <w:sz w:val="20"/>
          <w:szCs w:val="20"/>
          <w:lang w:val="es-MX"/>
        </w:rPr>
      </w:pPr>
      <w:r w:rsidRPr="00D354AB">
        <w:rPr>
          <w:sz w:val="20"/>
          <w:szCs w:val="20"/>
          <w:lang w:val="es-MX"/>
        </w:rPr>
        <w:t xml:space="preserve"> </w:t>
      </w:r>
    </w:p>
    <w:p w14:paraId="6947CDB9" w14:textId="77777777" w:rsidR="00D354AB" w:rsidRPr="00D354AB" w:rsidRDefault="00D354AB" w:rsidP="00D354AB">
      <w:pPr>
        <w:jc w:val="both"/>
        <w:rPr>
          <w:sz w:val="20"/>
          <w:szCs w:val="20"/>
          <w:lang w:val="es-MX"/>
        </w:rPr>
      </w:pPr>
      <w:r w:rsidRPr="00D354AB">
        <w:rPr>
          <w:sz w:val="20"/>
          <w:szCs w:val="20"/>
          <w:lang w:val="es-MX"/>
        </w:rPr>
        <w:t>d) La utilización de este mecanismo resulte neutro en materia fiscal.</w:t>
      </w:r>
    </w:p>
    <w:p w14:paraId="02AC0EF9" w14:textId="77777777" w:rsidR="00D354AB" w:rsidRPr="00D354AB" w:rsidRDefault="00D354AB" w:rsidP="00D354AB">
      <w:pPr>
        <w:jc w:val="both"/>
        <w:rPr>
          <w:sz w:val="20"/>
          <w:szCs w:val="20"/>
          <w:lang w:val="es-MX"/>
        </w:rPr>
      </w:pPr>
      <w:r w:rsidRPr="00D354AB">
        <w:rPr>
          <w:sz w:val="20"/>
          <w:szCs w:val="20"/>
          <w:lang w:val="es-MX"/>
        </w:rPr>
        <w:t xml:space="preserve"> </w:t>
      </w:r>
    </w:p>
    <w:p w14:paraId="1DC714FD" w14:textId="77777777" w:rsidR="00D354AB" w:rsidRPr="00D354AB" w:rsidRDefault="00D354AB" w:rsidP="00D354AB">
      <w:pPr>
        <w:jc w:val="both"/>
        <w:rPr>
          <w:sz w:val="20"/>
          <w:szCs w:val="20"/>
          <w:lang w:val="es-MX"/>
        </w:rPr>
      </w:pPr>
      <w:r w:rsidRPr="00D354AB">
        <w:rPr>
          <w:sz w:val="20"/>
          <w:szCs w:val="20"/>
          <w:lang w:val="es-MX"/>
        </w:rPr>
        <w:t>A los efectos del registro de estas operaciones se deberán confeccionar dos boletos sin movimiento de pesos, por los conceptos de compra y venta que correspondan, computándose el monto por el cual se utiliza este mecanismo a los efectos de los límites mensuales que pudieran ser aplicables según el caso.</w:t>
      </w:r>
    </w:p>
    <w:p w14:paraId="797D0008" w14:textId="77777777" w:rsidR="00D354AB" w:rsidRPr="00D354AB" w:rsidRDefault="00D354AB" w:rsidP="00D354AB">
      <w:pPr>
        <w:jc w:val="both"/>
        <w:rPr>
          <w:sz w:val="20"/>
          <w:szCs w:val="20"/>
          <w:lang w:val="es-MX"/>
        </w:rPr>
      </w:pPr>
      <w:r w:rsidRPr="00D354AB">
        <w:rPr>
          <w:sz w:val="20"/>
          <w:szCs w:val="20"/>
          <w:lang w:val="es-MX"/>
        </w:rPr>
        <w:t xml:space="preserve"> </w:t>
      </w:r>
    </w:p>
    <w:p w14:paraId="4B7726BF" w14:textId="77777777" w:rsidR="00D354AB" w:rsidRPr="00D354AB" w:rsidRDefault="00D354AB" w:rsidP="00D354AB">
      <w:pPr>
        <w:jc w:val="both"/>
        <w:rPr>
          <w:sz w:val="20"/>
          <w:szCs w:val="20"/>
          <w:lang w:val="es-MX"/>
        </w:rPr>
      </w:pPr>
      <w:r w:rsidRPr="00D354AB">
        <w:rPr>
          <w:sz w:val="20"/>
          <w:szCs w:val="20"/>
          <w:lang w:val="es-MX"/>
        </w:rPr>
        <w:t>En todos los casos se debe contar con una declaración jurada del cliente en la que deja constancia de tener conocimiento de que los fondos que se aplican bajo esta modalidad serán computados a los efectos del cálculo de los límites que normativamente correspondan al concepto de venta de cambio que corresponda y que no los excede.</w:t>
      </w:r>
    </w:p>
    <w:p w14:paraId="35164055" w14:textId="77777777" w:rsidR="00D354AB" w:rsidRPr="00D354AB" w:rsidRDefault="00D354AB" w:rsidP="00D354AB">
      <w:pPr>
        <w:jc w:val="both"/>
        <w:rPr>
          <w:sz w:val="20"/>
          <w:szCs w:val="20"/>
          <w:lang w:val="es-MX"/>
        </w:rPr>
      </w:pPr>
      <w:r w:rsidRPr="00D354AB">
        <w:rPr>
          <w:sz w:val="20"/>
          <w:szCs w:val="20"/>
          <w:lang w:val="es-MX"/>
        </w:rPr>
        <w:t xml:space="preserve"> </w:t>
      </w:r>
    </w:p>
    <w:p w14:paraId="31AED9A4" w14:textId="77777777" w:rsidR="00D354AB" w:rsidRPr="00D354AB" w:rsidRDefault="00D354AB" w:rsidP="00D354AB">
      <w:pPr>
        <w:jc w:val="both"/>
        <w:rPr>
          <w:sz w:val="20"/>
          <w:szCs w:val="20"/>
          <w:lang w:val="es-MX"/>
        </w:rPr>
      </w:pPr>
      <w:r w:rsidRPr="00D354AB">
        <w:rPr>
          <w:sz w:val="20"/>
          <w:szCs w:val="20"/>
          <w:lang w:val="es-MX"/>
        </w:rPr>
        <w:t>La entidad interviniente deberá evaluar la razonabilidad y los requisitos normativos de la operatoria.</w:t>
      </w:r>
    </w:p>
    <w:p w14:paraId="1BE03D79" w14:textId="77777777" w:rsidR="00D354AB" w:rsidRPr="00D354AB" w:rsidRDefault="00D354AB" w:rsidP="00D354AB">
      <w:pPr>
        <w:widowControl w:val="0"/>
        <w:autoSpaceDE w:val="0"/>
        <w:autoSpaceDN w:val="0"/>
        <w:adjustRightInd w:val="0"/>
        <w:spacing w:before="120"/>
        <w:jc w:val="both"/>
        <w:rPr>
          <w:b/>
          <w:sz w:val="20"/>
          <w:szCs w:val="20"/>
          <w:lang w:val="es-ES" w:eastAsia="es-ES"/>
        </w:rPr>
      </w:pPr>
    </w:p>
    <w:p w14:paraId="04A31D15" w14:textId="77777777" w:rsidR="00D354AB" w:rsidRPr="00D354AB" w:rsidRDefault="00D354AB" w:rsidP="00D354AB">
      <w:pPr>
        <w:widowControl w:val="0"/>
        <w:autoSpaceDE w:val="0"/>
        <w:autoSpaceDN w:val="0"/>
        <w:adjustRightInd w:val="0"/>
        <w:spacing w:before="120"/>
        <w:jc w:val="both"/>
        <w:rPr>
          <w:b/>
          <w:sz w:val="20"/>
          <w:szCs w:val="20"/>
          <w:lang w:val="es-ES" w:eastAsia="es-ES"/>
        </w:rPr>
      </w:pPr>
      <w:r w:rsidRPr="00D354AB" w:rsidDel="009B0C75">
        <w:rPr>
          <w:sz w:val="20"/>
          <w:szCs w:val="20"/>
          <w:lang w:val="es-ES" w:eastAsia="es-ES"/>
        </w:rPr>
        <w:t xml:space="preserve"> </w:t>
      </w:r>
      <w:r w:rsidRPr="00D354AB">
        <w:rPr>
          <w:b/>
          <w:sz w:val="20"/>
          <w:szCs w:val="20"/>
          <w:lang w:val="es-ES" w:eastAsia="es-ES"/>
        </w:rPr>
        <w:t xml:space="preserve">(vi) Régimen Penal Cambiario. </w:t>
      </w:r>
    </w:p>
    <w:p w14:paraId="009F651B" w14:textId="77777777" w:rsidR="00D354AB" w:rsidRPr="00D354AB" w:rsidRDefault="00D354AB" w:rsidP="00D354AB">
      <w:pPr>
        <w:widowControl w:val="0"/>
        <w:autoSpaceDE w:val="0"/>
        <w:autoSpaceDN w:val="0"/>
        <w:adjustRightInd w:val="0"/>
        <w:spacing w:before="120"/>
        <w:jc w:val="both"/>
        <w:rPr>
          <w:sz w:val="20"/>
          <w:szCs w:val="20"/>
          <w:lang w:val="es-ES" w:eastAsia="es-ES"/>
        </w:rPr>
      </w:pPr>
      <w:r w:rsidRPr="00D354AB">
        <w:rPr>
          <w:sz w:val="20"/>
          <w:szCs w:val="20"/>
          <w:lang w:val="es-ES" w:eastAsia="es-ES"/>
        </w:rPr>
        <w:t>Las operaciones cambiarias sólo pueden ser efectuadas a través de las entidades autorizadas a tales efectos por el BCRA. Asimismo, dicha regulación establece que las operaciones que no se ajusten a lo dispuesto por la normativa aplicable, estarán sujetas al Régimen Penal Cambiario, que prevé sanciones tales como la imposición de multas de hasta diez veces el monto de la operación en infracción, y penas de prisión. El Régimen Penal Cambiario se encuentra delineado normativamente por la Ley 19.359 y por las disposiciones del BCRA que regulan el mercado de cambios.</w:t>
      </w:r>
    </w:p>
    <w:p w14:paraId="7DF6724E" w14:textId="77777777" w:rsidR="00D354AB" w:rsidRPr="00D354AB" w:rsidRDefault="00D354AB" w:rsidP="00D354AB">
      <w:pPr>
        <w:spacing w:before="120" w:after="120"/>
        <w:jc w:val="both"/>
        <w:rPr>
          <w:sz w:val="20"/>
          <w:szCs w:val="20"/>
          <w:lang w:val="es-AR" w:eastAsia="es-ES"/>
        </w:rPr>
      </w:pPr>
      <w:r w:rsidRPr="00D354AB">
        <w:rPr>
          <w:sz w:val="20"/>
          <w:szCs w:val="20"/>
          <w:lang w:val="es-ES" w:eastAsia="es-ES"/>
        </w:rPr>
        <w:t xml:space="preserve">Para un mayor detalle sobre la normativa cambiaria, se sugiere a los inversores consultar con sus asesores legales y dar una lectura completa a la normativa mencionada junto con sus reglamentaciones y normas complementarias, a cuyo efecto los interesados podrán consultar las mismas en el sitio web del Ministerio de Hacienda </w:t>
      </w:r>
      <w:r w:rsidRPr="00D354AB">
        <w:rPr>
          <w:sz w:val="20"/>
          <w:szCs w:val="20"/>
          <w:u w:val="single"/>
          <w:lang w:val="es-ES" w:eastAsia="es-ES"/>
        </w:rPr>
        <w:t>(</w:t>
      </w:r>
      <w:hyperlink r:id="rId49" w:history="1">
        <w:r w:rsidRPr="00D354AB">
          <w:rPr>
            <w:color w:val="0000FF"/>
            <w:sz w:val="20"/>
            <w:szCs w:val="20"/>
            <w:u w:val="single"/>
            <w:lang w:val="es-AR" w:eastAsia="es-ES"/>
          </w:rPr>
          <w:t>http://www.minhacienda.gob.ar/</w:t>
        </w:r>
      </w:hyperlink>
      <w:r w:rsidRPr="00D354AB">
        <w:rPr>
          <w:sz w:val="20"/>
          <w:szCs w:val="20"/>
          <w:lang w:val="es-ES" w:eastAsia="es-ES"/>
        </w:rPr>
        <w:t xml:space="preserve"> o </w:t>
      </w:r>
      <w:hyperlink r:id="rId50" w:history="1">
        <w:r w:rsidRPr="00D354AB">
          <w:rPr>
            <w:color w:val="0000FF"/>
            <w:sz w:val="20"/>
            <w:szCs w:val="20"/>
            <w:u w:val="single"/>
            <w:lang w:val="es-AR" w:eastAsia="es-ES"/>
          </w:rPr>
          <w:t>http://www.</w:t>
        </w:r>
        <w:r w:rsidRPr="00D354AB">
          <w:rPr>
            <w:color w:val="0000FF"/>
            <w:sz w:val="20"/>
            <w:szCs w:val="20"/>
            <w:u w:val="single"/>
            <w:lang w:val="es-ES" w:eastAsia="es-ES"/>
          </w:rPr>
          <w:t>infoleg</w:t>
        </w:r>
        <w:r w:rsidRPr="00D354AB">
          <w:rPr>
            <w:color w:val="0000FF"/>
            <w:sz w:val="20"/>
            <w:szCs w:val="20"/>
            <w:u w:val="single"/>
            <w:lang w:val="es-AR" w:eastAsia="es-ES"/>
          </w:rPr>
          <w:t>.gov.ar</w:t>
        </w:r>
      </w:hyperlink>
      <w:r w:rsidRPr="00D354AB">
        <w:rPr>
          <w:sz w:val="20"/>
          <w:szCs w:val="20"/>
          <w:lang w:val="es-ES" w:eastAsia="es-ES"/>
        </w:rPr>
        <w:t>), o el sitio web del BCRA (</w:t>
      </w:r>
      <w:hyperlink r:id="rId51" w:history="1">
        <w:r w:rsidRPr="00D354AB">
          <w:rPr>
            <w:color w:val="0000FF"/>
            <w:sz w:val="20"/>
            <w:szCs w:val="20"/>
            <w:u w:val="single"/>
            <w:lang w:val="es-AR" w:eastAsia="es-ES"/>
          </w:rPr>
          <w:t>http://www.bcra.gov.ar</w:t>
        </w:r>
      </w:hyperlink>
      <w:r w:rsidRPr="00D354AB">
        <w:rPr>
          <w:sz w:val="20"/>
          <w:szCs w:val="20"/>
          <w:lang w:val="es-ES" w:eastAsia="es-ES"/>
        </w:rPr>
        <w:t>), según corresponda.</w:t>
      </w:r>
    </w:p>
    <w:p w14:paraId="728C0EB3" w14:textId="77777777" w:rsidR="00D354AB" w:rsidRPr="00D354AB" w:rsidRDefault="00D354AB" w:rsidP="00D354AB">
      <w:pPr>
        <w:rPr>
          <w:sz w:val="20"/>
          <w:szCs w:val="20"/>
          <w:lang w:val="es-AR"/>
        </w:rPr>
      </w:pPr>
    </w:p>
    <w:p w14:paraId="3F832B7F" w14:textId="77777777" w:rsidR="007D1CA9" w:rsidRPr="00D354AB" w:rsidRDefault="007D1CA9" w:rsidP="007D1CA9">
      <w:pPr>
        <w:pStyle w:val="Default"/>
        <w:rPr>
          <w:sz w:val="20"/>
          <w:szCs w:val="20"/>
        </w:rPr>
      </w:pPr>
    </w:p>
    <w:p w14:paraId="08161154" w14:textId="0BDAD549" w:rsidR="007D1CA9" w:rsidRPr="00D354AB" w:rsidRDefault="007D1CA9" w:rsidP="007D1CA9">
      <w:pPr>
        <w:pStyle w:val="Default"/>
        <w:numPr>
          <w:ilvl w:val="0"/>
          <w:numId w:val="35"/>
        </w:numPr>
        <w:rPr>
          <w:b/>
          <w:bCs/>
          <w:sz w:val="20"/>
          <w:szCs w:val="20"/>
        </w:rPr>
      </w:pPr>
      <w:r w:rsidRPr="00D354AB">
        <w:rPr>
          <w:b/>
          <w:bCs/>
          <w:sz w:val="20"/>
          <w:szCs w:val="20"/>
        </w:rPr>
        <w:t xml:space="preserve">Carga Tributaria </w:t>
      </w:r>
    </w:p>
    <w:p w14:paraId="3CAB1F41" w14:textId="77777777" w:rsidR="007D1CA9" w:rsidRPr="00D354AB" w:rsidRDefault="007D1CA9" w:rsidP="007D1CA9">
      <w:pPr>
        <w:pStyle w:val="Default"/>
        <w:ind w:left="720"/>
        <w:rPr>
          <w:sz w:val="20"/>
          <w:szCs w:val="20"/>
        </w:rPr>
      </w:pPr>
    </w:p>
    <w:p w14:paraId="6ADA6CA0" w14:textId="081ABCC6" w:rsidR="00D354AB" w:rsidRPr="00D354AB" w:rsidRDefault="00D354AB" w:rsidP="00D354AB">
      <w:pPr>
        <w:jc w:val="both"/>
        <w:rPr>
          <w:sz w:val="20"/>
          <w:szCs w:val="20"/>
          <w:lang w:val="es-AR"/>
        </w:rPr>
      </w:pPr>
      <w:r w:rsidRPr="00D354AB">
        <w:rPr>
          <w:sz w:val="20"/>
          <w:szCs w:val="20"/>
          <w:lang w:val="es-AR"/>
        </w:rPr>
        <w:t xml:space="preserve">El siguiente es un resumen general de ciertas cuestiones sobre el régimen impositivo argentino como resultado de la tenencia y disposición de obligaciones negociables. Dicho resumen no es un análisis completo ni una enumeración de la totalidad de las regulaciones, cuestiones o consecuencias fiscales posibles que puedan resultar de interés para un tenedor de obligaciones negociables y se realiza a título meramente informativo. Si bien se entiende que el presente resumen es una interpretación razonable de las leyes y reglamentaciones vigentes a la fecha de este Prospecto, no puede asegurarse que los tribunales o autoridades impositivas estarán de acuerdo con la presente interpretación o que no ocurrirán cambios en dicha legislación. Este resumen está basado en las leyes impositivas de la República Argentina según se hallan en vigencia a la fecha de este Prospecto, y está sujeto a cualquier modificación en las leyes de la República Argentina que pueda entrar en vigencia después de dicha fecha. Se aconseja a los compradores potenciales de las Obligaciones Negociables consultar a sus propios asesores impositivos sobre las consecuencias derivadas de una inversión en las Obligaciones Negociables conforme a las leyes impositivas de su país de residencia (incluyendo la República Argentina), entre ellas, sin carácter taxativo, las consecuencias derivadas del cobro de intereses y la venta, rescate o cualquier forma de enajenación de las Obligaciones Negociables. </w:t>
      </w:r>
    </w:p>
    <w:p w14:paraId="58861E33" w14:textId="77777777" w:rsidR="00D354AB" w:rsidRPr="00D354AB" w:rsidRDefault="00D354AB" w:rsidP="00D354AB">
      <w:pPr>
        <w:pStyle w:val="Textoindependiente"/>
        <w:rPr>
          <w:i/>
          <w:iCs/>
        </w:rPr>
      </w:pPr>
    </w:p>
    <w:p w14:paraId="2C416FE8" w14:textId="77777777" w:rsidR="00D354AB" w:rsidRPr="00D354AB" w:rsidRDefault="00D354AB" w:rsidP="00D354AB">
      <w:pPr>
        <w:pStyle w:val="footnotetex"/>
        <w:spacing w:line="240" w:lineRule="auto"/>
        <w:rPr>
          <w:i/>
          <w:iCs/>
          <w:lang w:val="es-AR"/>
        </w:rPr>
      </w:pPr>
      <w:r w:rsidRPr="00D354AB">
        <w:rPr>
          <w:i/>
          <w:iCs/>
          <w:lang w:val="es-AR"/>
        </w:rPr>
        <w:t>Impuesto a las Ganancias</w:t>
      </w:r>
    </w:p>
    <w:p w14:paraId="656EE7E7" w14:textId="77777777" w:rsidR="00D354AB" w:rsidRPr="00D354AB" w:rsidRDefault="00D354AB" w:rsidP="00D354AB">
      <w:pPr>
        <w:jc w:val="both"/>
        <w:rPr>
          <w:sz w:val="20"/>
          <w:szCs w:val="20"/>
          <w:lang w:val="es-AR"/>
        </w:rPr>
      </w:pPr>
    </w:p>
    <w:p w14:paraId="6AC373D7" w14:textId="77777777" w:rsidR="00D354AB" w:rsidRPr="00D354AB" w:rsidRDefault="00D354AB" w:rsidP="00D354AB">
      <w:pPr>
        <w:jc w:val="both"/>
        <w:rPr>
          <w:i/>
          <w:iCs/>
          <w:sz w:val="20"/>
          <w:szCs w:val="20"/>
          <w:lang w:val="es-AR"/>
        </w:rPr>
      </w:pPr>
      <w:r w:rsidRPr="00D354AB">
        <w:rPr>
          <w:i/>
          <w:iCs/>
          <w:sz w:val="20"/>
          <w:szCs w:val="20"/>
          <w:lang w:val="es-AR"/>
        </w:rPr>
        <w:t>Pago de intereses</w:t>
      </w:r>
    </w:p>
    <w:p w14:paraId="673FE0A9" w14:textId="77777777" w:rsidR="00D354AB" w:rsidRPr="00D354AB" w:rsidRDefault="00D354AB" w:rsidP="00D354AB">
      <w:pPr>
        <w:jc w:val="both"/>
        <w:rPr>
          <w:sz w:val="20"/>
          <w:szCs w:val="20"/>
          <w:lang w:val="es-AR"/>
        </w:rPr>
      </w:pPr>
    </w:p>
    <w:p w14:paraId="189AA045" w14:textId="77777777" w:rsidR="00D354AB" w:rsidRPr="00D354AB" w:rsidRDefault="00D354AB" w:rsidP="00D354AB">
      <w:pPr>
        <w:jc w:val="both"/>
        <w:rPr>
          <w:sz w:val="20"/>
          <w:szCs w:val="20"/>
          <w:lang w:val="es-AR"/>
        </w:rPr>
      </w:pPr>
      <w:r w:rsidRPr="00D354AB">
        <w:rPr>
          <w:sz w:val="20"/>
          <w:szCs w:val="20"/>
          <w:lang w:val="es-AR"/>
        </w:rPr>
        <w:t>Para el caso de personas humanas residentes en Argentina y sucesiones indivisas radicadas en el país, los intereses de las Obligaciones Negociables se encuentran alcanzados a una alícuota del 5% -el Poder Ejecutivo puede incrementarla hasta el 15%- cuando las Obligaciones Negociables son emitidas en moneda nacional sin cláusula de ajuste, y al 15% cuando las Obligaciones Negociables son emitidas en moneda nacional con cláusula de ajuste o en moneda extranjera.</w:t>
      </w:r>
    </w:p>
    <w:p w14:paraId="7F03279E" w14:textId="77777777" w:rsidR="00D354AB" w:rsidRPr="00D354AB" w:rsidRDefault="00D354AB" w:rsidP="00D354AB">
      <w:pPr>
        <w:jc w:val="both"/>
        <w:rPr>
          <w:sz w:val="20"/>
          <w:szCs w:val="20"/>
          <w:lang w:val="es-AR"/>
        </w:rPr>
      </w:pPr>
    </w:p>
    <w:p w14:paraId="3713CD36" w14:textId="77777777" w:rsidR="00D354AB" w:rsidRPr="00D354AB" w:rsidRDefault="00D354AB" w:rsidP="00D354AB">
      <w:pPr>
        <w:jc w:val="both"/>
        <w:rPr>
          <w:sz w:val="20"/>
          <w:szCs w:val="20"/>
          <w:lang w:val="es-AR"/>
        </w:rPr>
      </w:pPr>
      <w:r w:rsidRPr="00D354AB">
        <w:rPr>
          <w:sz w:val="20"/>
          <w:szCs w:val="20"/>
          <w:lang w:val="es-AR"/>
        </w:rPr>
        <w:t xml:space="preserve">Las sociedades comerciales, otras entidades constituidas o registradas conforme a las leyes argentinas, sucursales locales de entidades extranjeras, y los establecimientos estables pertenecientes a personas físicas residentes en el exterior o a personas jurídicas constituidas en el extranjero, se encuentran alcanzadas por el Impuesto a las Ganancias a una alícuota del 30% o a una alícuota del 25% (para los períodos fiscales iniciados desde el 1 de enero de 2020). </w:t>
      </w:r>
    </w:p>
    <w:p w14:paraId="0DB4715A" w14:textId="77777777" w:rsidR="00D354AB" w:rsidRPr="00D354AB" w:rsidRDefault="00D354AB" w:rsidP="00D354AB">
      <w:pPr>
        <w:jc w:val="both"/>
        <w:rPr>
          <w:sz w:val="20"/>
          <w:szCs w:val="20"/>
          <w:lang w:val="es-AR"/>
        </w:rPr>
      </w:pPr>
    </w:p>
    <w:p w14:paraId="5E6D5047" w14:textId="77777777" w:rsidR="00D354AB" w:rsidRPr="00D354AB" w:rsidRDefault="00D354AB" w:rsidP="00D354AB">
      <w:pPr>
        <w:jc w:val="both"/>
        <w:rPr>
          <w:sz w:val="20"/>
          <w:szCs w:val="20"/>
          <w:lang w:val="es-AR"/>
        </w:rPr>
      </w:pPr>
      <w:r w:rsidRPr="00D354AB">
        <w:rPr>
          <w:sz w:val="20"/>
          <w:szCs w:val="20"/>
          <w:lang w:val="es-AR"/>
        </w:rPr>
        <w:t>Las empresas unipersonales y las personas humanas que desarrollen determinadas actividades comerciales en Argentina, también se encuentran alcanzados por el Impuesto a las Ganancias a una alícuota que oscila entre el 5% y el 35%.</w:t>
      </w:r>
    </w:p>
    <w:p w14:paraId="22AD91AE" w14:textId="77777777" w:rsidR="00D354AB" w:rsidRPr="00D354AB" w:rsidRDefault="00D354AB" w:rsidP="00D354AB">
      <w:pPr>
        <w:jc w:val="both"/>
        <w:rPr>
          <w:sz w:val="20"/>
          <w:szCs w:val="20"/>
          <w:lang w:val="es-AR"/>
        </w:rPr>
      </w:pPr>
    </w:p>
    <w:p w14:paraId="77BA8A89" w14:textId="77777777" w:rsidR="00D354AB" w:rsidRPr="00D354AB" w:rsidRDefault="00D354AB" w:rsidP="00D354AB">
      <w:pPr>
        <w:jc w:val="both"/>
        <w:rPr>
          <w:sz w:val="20"/>
          <w:szCs w:val="20"/>
          <w:lang w:val="es-AR"/>
        </w:rPr>
      </w:pPr>
      <w:r w:rsidRPr="00D354AB">
        <w:rPr>
          <w:sz w:val="20"/>
          <w:szCs w:val="20"/>
          <w:lang w:val="es-AR"/>
        </w:rPr>
        <w:t>En estos casos, de acuerdo con lo previsto por la actual redacción del penúltimo párrafo del artículo 81, inciso a) de la Ley de Impuesto a las Ganancias, los intereses quedarán sujetos, en el momento del pago, a las normas de retención vigentes dictadas por la Administración Federal de Ingresos Públicos, con independencia de que resulten o no deducibles. A tales efectos, deberán observarse las disposiciones de la Resolución General (AFIP) N°830/2000.</w:t>
      </w:r>
    </w:p>
    <w:p w14:paraId="4A61B12A" w14:textId="77777777" w:rsidR="00D354AB" w:rsidRPr="00D354AB" w:rsidRDefault="00D354AB" w:rsidP="00D354AB">
      <w:pPr>
        <w:jc w:val="both"/>
        <w:rPr>
          <w:sz w:val="20"/>
          <w:szCs w:val="20"/>
          <w:lang w:val="es-AR"/>
        </w:rPr>
      </w:pPr>
    </w:p>
    <w:p w14:paraId="20D67ACA" w14:textId="77777777" w:rsidR="00D354AB" w:rsidRPr="00D354AB" w:rsidRDefault="00D354AB" w:rsidP="00D354AB">
      <w:pPr>
        <w:jc w:val="both"/>
        <w:rPr>
          <w:sz w:val="20"/>
          <w:szCs w:val="20"/>
          <w:lang w:val="es-AR"/>
        </w:rPr>
      </w:pPr>
      <w:r w:rsidRPr="00D354AB">
        <w:rPr>
          <w:sz w:val="20"/>
          <w:szCs w:val="20"/>
          <w:lang w:val="es-AR"/>
        </w:rPr>
        <w:t>En el caso de beneficiarios del exterior, de acuerdo a lo previsto por el artículo 20, inc. w) de la Ley de Impuesto a las Ganancias, los intereses o rendimientos de las Obligaciones Negociables se encuentran exentos del Impuesto a las Ganancias, en la medida en que tales beneficiarios no residan en jurisdicciones no cooperantes y los fondos invertidos no provengan de jurisdicciones no cooperantes. El tratamiento señalado será de aplicación siempre que se cumplan los requisitos previstos en el Art. 36 de la Ley 23.576 (en adelante los “Requisitos del artículo 36”), es decir:</w:t>
      </w:r>
    </w:p>
    <w:p w14:paraId="5F316BC0" w14:textId="77777777" w:rsidR="00D354AB" w:rsidRPr="00D354AB" w:rsidRDefault="00D354AB" w:rsidP="00D354AB">
      <w:pPr>
        <w:jc w:val="both"/>
        <w:rPr>
          <w:sz w:val="20"/>
          <w:szCs w:val="20"/>
          <w:lang w:val="es-AR"/>
        </w:rPr>
      </w:pPr>
    </w:p>
    <w:p w14:paraId="05FF92D3" w14:textId="77777777" w:rsidR="00D354AB" w:rsidRPr="00D354AB" w:rsidRDefault="00D354AB" w:rsidP="00D354AB">
      <w:pPr>
        <w:ind w:left="708"/>
        <w:jc w:val="both"/>
        <w:rPr>
          <w:sz w:val="20"/>
          <w:szCs w:val="20"/>
          <w:lang w:val="es-AR"/>
        </w:rPr>
      </w:pPr>
      <w:r w:rsidRPr="00D354AB">
        <w:rPr>
          <w:sz w:val="20"/>
          <w:szCs w:val="20"/>
          <w:lang w:val="es-AR"/>
        </w:rPr>
        <w:t>(a)           Se trate de obligaciones negociables que sean colocadas por oferta pública autorizada por la CNV, en cumplimiento de la Ley de Mercados de Capitales y las Normas de la CNV;</w:t>
      </w:r>
    </w:p>
    <w:p w14:paraId="38B0559C" w14:textId="77777777" w:rsidR="00D354AB" w:rsidRPr="00D354AB" w:rsidRDefault="00D354AB" w:rsidP="00D354AB">
      <w:pPr>
        <w:ind w:left="708"/>
        <w:jc w:val="both"/>
        <w:rPr>
          <w:sz w:val="20"/>
          <w:szCs w:val="20"/>
          <w:lang w:val="es-AR"/>
        </w:rPr>
      </w:pPr>
    </w:p>
    <w:p w14:paraId="5FD11AE9" w14:textId="77777777" w:rsidR="00D354AB" w:rsidRPr="00D354AB" w:rsidRDefault="00D354AB" w:rsidP="00D354AB">
      <w:pPr>
        <w:ind w:left="708"/>
        <w:jc w:val="both"/>
        <w:rPr>
          <w:sz w:val="20"/>
          <w:szCs w:val="20"/>
          <w:lang w:val="es-AR"/>
        </w:rPr>
      </w:pPr>
      <w:r w:rsidRPr="00D354AB">
        <w:rPr>
          <w:sz w:val="20"/>
          <w:szCs w:val="20"/>
          <w:lang w:val="es-AR"/>
        </w:rPr>
        <w:t xml:space="preserve">(b)           Los fondos a obtener mediante la colocación de las Obligaciones Negociables deberán ser utilizados por la Emisora para: (i) inversiones en activos físicos y bienes de capital situados en Argentina, (ii) adquisición de fondos de comercio situados en el país, (iii) la integración de capital de trabajo en Argentina, (iv) la refinanciación de pasivos, (v) la integración de aportes de capital en sociedades controladas o vinculadas a la Emisora, (vi) la adquisición de participaciones sociales y/o (vii) el financiamiento del giro comercial de su negocio, siempre que los fondos derivados de la misma se apliquen a los destinos antes especificados, según se haya establecido en la resolución que disponga la emisión, y dado a conocer al público inversor a través del prospecto; y </w:t>
      </w:r>
    </w:p>
    <w:p w14:paraId="7402434B" w14:textId="77777777" w:rsidR="00D354AB" w:rsidRPr="00D354AB" w:rsidRDefault="00D354AB" w:rsidP="00D354AB">
      <w:pPr>
        <w:ind w:left="708"/>
        <w:jc w:val="both"/>
        <w:rPr>
          <w:sz w:val="20"/>
          <w:szCs w:val="20"/>
          <w:lang w:val="es-AR"/>
        </w:rPr>
      </w:pPr>
      <w:r w:rsidRPr="00D354AB">
        <w:rPr>
          <w:sz w:val="20"/>
          <w:szCs w:val="20"/>
          <w:lang w:val="es-AR"/>
        </w:rPr>
        <w:t>(c)           la Emisora deberá acreditar ante la CNV, en el tiempo y forma que determinen las reglamentaciones aplicables, que los fondos obtenidos de la oferta de las Obligaciones Negociables fueron invertidos de acuerdo al plan aprobado.</w:t>
      </w:r>
    </w:p>
    <w:p w14:paraId="15DC8E9B" w14:textId="77777777" w:rsidR="00D354AB" w:rsidRPr="00D354AB" w:rsidRDefault="00D354AB" w:rsidP="00D354AB">
      <w:pPr>
        <w:jc w:val="both"/>
        <w:rPr>
          <w:sz w:val="20"/>
          <w:szCs w:val="20"/>
          <w:lang w:val="es-AR"/>
        </w:rPr>
      </w:pPr>
      <w:r w:rsidRPr="00D354AB">
        <w:rPr>
          <w:sz w:val="20"/>
          <w:szCs w:val="20"/>
          <w:lang w:val="es-AR"/>
        </w:rPr>
        <w:t>El último párrafo del artículo 20 inc. w) de la Ley de Impuesto a las Ganancias (luego de la modificación efectuada por la Ley N°27430) prevé que la Comisión Nacional de Valores está facultada a reglamentar y fiscalizar, en el ámbito de su competencia, las condiciones establecidas en dicho artículo, de conformidad con lo dispuesto en la Ley N°26831.</w:t>
      </w:r>
    </w:p>
    <w:p w14:paraId="49579B9C" w14:textId="77777777" w:rsidR="00D354AB" w:rsidRPr="00D354AB" w:rsidRDefault="00D354AB" w:rsidP="00D354AB">
      <w:pPr>
        <w:jc w:val="both"/>
        <w:rPr>
          <w:sz w:val="20"/>
          <w:szCs w:val="20"/>
          <w:lang w:val="es-AR"/>
        </w:rPr>
      </w:pPr>
    </w:p>
    <w:p w14:paraId="40F99E91" w14:textId="77777777" w:rsidR="00D354AB" w:rsidRPr="00D354AB" w:rsidRDefault="00D354AB" w:rsidP="00D354AB">
      <w:pPr>
        <w:jc w:val="both"/>
        <w:rPr>
          <w:sz w:val="20"/>
          <w:szCs w:val="20"/>
          <w:lang w:val="es-AR"/>
        </w:rPr>
      </w:pPr>
      <w:r w:rsidRPr="00D354AB">
        <w:rPr>
          <w:sz w:val="20"/>
          <w:szCs w:val="20"/>
          <w:lang w:val="es-AR"/>
        </w:rPr>
        <w:t xml:space="preserve">En caso de no resultar aplicable la exención prevista en Art. 20 inc. w) de la Ley del Impuesto a las Ganancias, los intereses o rendimientos de las obligaciones negociables, quedarán alcanzados por el Impuesto a las Ganancias, en </w:t>
      </w:r>
      <w:r w:rsidRPr="00D354AB">
        <w:rPr>
          <w:sz w:val="20"/>
          <w:szCs w:val="20"/>
          <w:lang w:val="es-AR"/>
        </w:rPr>
        <w:lastRenderedPageBreak/>
        <w:t>carácter de retención y de pago único y definitivo, a una alícuota del 35%. Esta alícuota de retención se aplicará sobre una “base neta presunta” de: (i) 43% cuando el Emisor sea una entidad financiera alcanzada por las disposiciones de la Ley 21.526; o el Emisor sea alguno de los restantes sujetos comprendidos en el artículo 49 de la Ley de Impuesto a las Ganancias, una persona humana o una sucesión indivisa, en estos casos siempre que el acreedor sea una entidad bancaria o financiera no residente que se encuentre bajo supervisión del respectivo banco central u organismo equivalente, que (a) se encuentre radicada en una jurisdicción no considerada de nula o baja tributación; o (b) se trate de jurisdicciones que hayan suscripto con la República Argentina convenios de intercambio de información y además que por aplicación de sus normas internas no pueda alegarse secreto bancario, bursátil o de otro tipo, ante el pedido de información del respectivo fisco; (ii) 100% en caso que no se cumplan las condiciones descriptas en el punto (i).</w:t>
      </w:r>
    </w:p>
    <w:p w14:paraId="4344F3EC" w14:textId="77777777" w:rsidR="00D354AB" w:rsidRPr="00D354AB" w:rsidRDefault="00D354AB" w:rsidP="00D354AB">
      <w:pPr>
        <w:jc w:val="both"/>
        <w:rPr>
          <w:sz w:val="20"/>
          <w:szCs w:val="20"/>
          <w:lang w:val="es-AR"/>
        </w:rPr>
      </w:pPr>
    </w:p>
    <w:p w14:paraId="474E7701" w14:textId="77777777" w:rsidR="00D354AB" w:rsidRPr="00D354AB" w:rsidRDefault="00D354AB" w:rsidP="00D354AB">
      <w:pPr>
        <w:jc w:val="both"/>
        <w:rPr>
          <w:sz w:val="20"/>
          <w:szCs w:val="20"/>
          <w:lang w:val="es-AR"/>
        </w:rPr>
      </w:pPr>
      <w:r w:rsidRPr="00D354AB">
        <w:rPr>
          <w:sz w:val="20"/>
          <w:szCs w:val="20"/>
          <w:lang w:val="es-AR"/>
        </w:rPr>
        <w:t xml:space="preserve">A los efectos del ingreso del gravamen en cuestión, deberán observarse las previsiones de la Resolución General (AFIP) N°4227/2018 (publicada en el Boletín Oficial el 12 de abril de 2018). </w:t>
      </w:r>
    </w:p>
    <w:p w14:paraId="28384C23" w14:textId="77777777" w:rsidR="00D354AB" w:rsidRPr="00D354AB" w:rsidRDefault="00D354AB" w:rsidP="00D354AB">
      <w:pPr>
        <w:jc w:val="both"/>
        <w:rPr>
          <w:sz w:val="20"/>
          <w:szCs w:val="20"/>
          <w:lang w:val="es-AR"/>
        </w:rPr>
      </w:pPr>
    </w:p>
    <w:p w14:paraId="12CDAE57" w14:textId="77777777" w:rsidR="00D354AB" w:rsidRPr="00D354AB" w:rsidRDefault="00D354AB" w:rsidP="00D354AB">
      <w:pPr>
        <w:jc w:val="both"/>
        <w:rPr>
          <w:i/>
          <w:iCs/>
          <w:sz w:val="20"/>
          <w:szCs w:val="20"/>
          <w:lang w:val="es-AR"/>
        </w:rPr>
      </w:pPr>
    </w:p>
    <w:p w14:paraId="77A5E7FD" w14:textId="77777777" w:rsidR="00D354AB" w:rsidRPr="00D354AB" w:rsidRDefault="00D354AB" w:rsidP="00D354AB">
      <w:pPr>
        <w:jc w:val="both"/>
        <w:rPr>
          <w:i/>
          <w:iCs/>
          <w:sz w:val="20"/>
          <w:szCs w:val="20"/>
          <w:lang w:val="es-AR"/>
        </w:rPr>
      </w:pPr>
      <w:r w:rsidRPr="00D354AB">
        <w:rPr>
          <w:i/>
          <w:iCs/>
          <w:sz w:val="20"/>
          <w:szCs w:val="20"/>
          <w:lang w:val="es-AR"/>
        </w:rPr>
        <w:t>Ganancias de capital</w:t>
      </w:r>
    </w:p>
    <w:p w14:paraId="32C1D171" w14:textId="77777777" w:rsidR="00D354AB" w:rsidRPr="00D354AB" w:rsidRDefault="00D354AB" w:rsidP="00D354AB">
      <w:pPr>
        <w:jc w:val="both"/>
        <w:rPr>
          <w:sz w:val="20"/>
          <w:szCs w:val="20"/>
          <w:lang w:val="es-AR"/>
        </w:rPr>
      </w:pPr>
    </w:p>
    <w:p w14:paraId="508CB1B1" w14:textId="77777777" w:rsidR="00D354AB" w:rsidRPr="00D354AB" w:rsidRDefault="00D354AB" w:rsidP="00D354AB">
      <w:pPr>
        <w:jc w:val="both"/>
        <w:rPr>
          <w:sz w:val="20"/>
          <w:szCs w:val="20"/>
          <w:lang w:val="es-AR"/>
        </w:rPr>
      </w:pPr>
      <w:r w:rsidRPr="00D354AB">
        <w:rPr>
          <w:sz w:val="20"/>
          <w:szCs w:val="20"/>
          <w:lang w:val="es-AR"/>
        </w:rPr>
        <w:t>Para el caso de personas humanas residentes en Argentina y sucesiones indivisas radicadas en el país, las ganancias de capital resultante de la venta, cambio, permuta o disposición de las Obligaciones Negociables se encuentran alcanzados a una alícuota del 5% -el Poder Ejecutivo puede incrementarla hasta el 15%- cuando las Obligaciones Negociables son emitidas en moneda nacional sin cláusula de ajuste, y al 15% cuando las Obligaciones Negociables son emitidas en moneda nacional con cláusula de ajuste o en moneda extranjera.</w:t>
      </w:r>
    </w:p>
    <w:p w14:paraId="4089C4BE" w14:textId="77777777" w:rsidR="00D354AB" w:rsidRPr="00D354AB" w:rsidRDefault="00D354AB" w:rsidP="00D354AB">
      <w:pPr>
        <w:jc w:val="both"/>
        <w:rPr>
          <w:sz w:val="20"/>
          <w:szCs w:val="20"/>
          <w:lang w:val="es-AR"/>
        </w:rPr>
      </w:pPr>
    </w:p>
    <w:p w14:paraId="004D8704" w14:textId="77777777" w:rsidR="00D354AB" w:rsidRPr="00D354AB" w:rsidRDefault="00D354AB" w:rsidP="00D354AB">
      <w:pPr>
        <w:jc w:val="both"/>
        <w:rPr>
          <w:sz w:val="20"/>
          <w:szCs w:val="20"/>
          <w:lang w:val="es-AR"/>
        </w:rPr>
      </w:pPr>
      <w:r w:rsidRPr="00D354AB">
        <w:rPr>
          <w:sz w:val="20"/>
          <w:szCs w:val="20"/>
          <w:lang w:val="es-AR"/>
        </w:rPr>
        <w:t>A fin de determinar la ganancia sujeta al Impuesto a las Ganancias, del precio de venta se deberá deducir el costo de adquisición. De acuerdo a la Ley de Impuesto a las Ganancias, las actualizaciones y diferencias de cambio no serán consideradas parte de la ganancia bruta sujeta al Impuesto a las Ganancias en caso de que las Obligaciones Negociables hayan sido emitidas en moneda nacional con cláusula de ajuste o en moneda extranjera.</w:t>
      </w:r>
    </w:p>
    <w:p w14:paraId="39415DB3" w14:textId="77777777" w:rsidR="00D354AB" w:rsidRPr="00D354AB" w:rsidRDefault="00D354AB" w:rsidP="00D354AB">
      <w:pPr>
        <w:jc w:val="both"/>
        <w:rPr>
          <w:sz w:val="20"/>
          <w:szCs w:val="20"/>
          <w:lang w:val="es-AR"/>
        </w:rPr>
      </w:pPr>
    </w:p>
    <w:p w14:paraId="1BB46D2E" w14:textId="77777777" w:rsidR="00D354AB" w:rsidRPr="00D354AB" w:rsidRDefault="00D354AB" w:rsidP="00D354AB">
      <w:pPr>
        <w:jc w:val="both"/>
        <w:rPr>
          <w:sz w:val="20"/>
          <w:szCs w:val="20"/>
          <w:lang w:val="es-AR"/>
        </w:rPr>
      </w:pPr>
    </w:p>
    <w:p w14:paraId="73CD34B5" w14:textId="77777777" w:rsidR="00D354AB" w:rsidRPr="00D354AB" w:rsidRDefault="00D354AB" w:rsidP="00D354AB">
      <w:pPr>
        <w:jc w:val="both"/>
        <w:rPr>
          <w:sz w:val="20"/>
          <w:szCs w:val="20"/>
          <w:lang w:val="es-AR"/>
        </w:rPr>
      </w:pPr>
      <w:r w:rsidRPr="00D354AB">
        <w:rPr>
          <w:sz w:val="20"/>
          <w:szCs w:val="20"/>
          <w:lang w:val="es-AR"/>
        </w:rPr>
        <w:t xml:space="preserve">En virtud de lo dispuesto por el artículo 20, inciso w) de la Ley de Impuesto a las Ganancias, las ganancias de capital derivadas resultante de la venta, cambio, permuta o disposición de las Obligaciones Negociables obtenidas por beneficiarios del exterior, se encontrarán exentas del impuesto, en tanto se cumplan los Requisitos del artículo 36 y dichos beneficiarios no residan en jurisdicciones no cooperantes y los fondos invertidos no provengan de jurisdicciones no cooperantes. Si el beneficiario del exterior es un residente o los fondos invertidos provienen de una jurisdicción no cooperante, quedará alcanzado por el Impuesto a las Ganancias, en carácter de retención y de pago único y definitivo, a una alícuota del 35% sobre la presunción de renta del 90% de las sumas pagadas. A los efectos del ingreso del gravamen, deberán observarse las previsiones de la Resolución General N°4227/2018 (publicada en el Boletín Oficial el 12 de abril de 2018). </w:t>
      </w:r>
    </w:p>
    <w:p w14:paraId="226BEA08" w14:textId="77777777" w:rsidR="00D354AB" w:rsidRPr="00D354AB" w:rsidRDefault="00D354AB" w:rsidP="00D354AB">
      <w:pPr>
        <w:jc w:val="both"/>
        <w:rPr>
          <w:sz w:val="20"/>
          <w:szCs w:val="20"/>
          <w:lang w:val="es-AR"/>
        </w:rPr>
      </w:pPr>
    </w:p>
    <w:p w14:paraId="20FE0C80" w14:textId="77777777" w:rsidR="00D354AB" w:rsidRPr="00D354AB" w:rsidRDefault="00D354AB" w:rsidP="00D354AB">
      <w:pPr>
        <w:jc w:val="both"/>
        <w:rPr>
          <w:sz w:val="20"/>
          <w:szCs w:val="20"/>
          <w:lang w:val="es-AR"/>
        </w:rPr>
      </w:pPr>
      <w:r w:rsidRPr="00D354AB">
        <w:rPr>
          <w:sz w:val="20"/>
          <w:szCs w:val="20"/>
          <w:lang w:val="es-AR"/>
        </w:rPr>
        <w:t xml:space="preserve">Las sociedades comerciales, otras entidades constituidas o registradas conforme a las leyes argentinas, sucursales locales de entidades extranjeras, establecimientos estables pertenecientes a personas humanas residentes en el exterior o a personas jurídicas constituidas en el extranjero, se encuentran alcanzadas por el Impuesto a las Ganancias a una alícuota del 30% o a una alícuota del 25% (para los períodos fiscales iniciados desde el 1 de enero de 2020). </w:t>
      </w:r>
    </w:p>
    <w:p w14:paraId="4D324AF0" w14:textId="77777777" w:rsidR="00D354AB" w:rsidRPr="00D354AB" w:rsidRDefault="00D354AB" w:rsidP="00D354AB">
      <w:pPr>
        <w:jc w:val="both"/>
        <w:rPr>
          <w:sz w:val="20"/>
          <w:szCs w:val="20"/>
          <w:lang w:val="es-AR"/>
        </w:rPr>
      </w:pPr>
    </w:p>
    <w:p w14:paraId="1D71BB1F" w14:textId="77777777" w:rsidR="00D354AB" w:rsidRPr="00D354AB" w:rsidRDefault="00D354AB" w:rsidP="00D354AB">
      <w:pPr>
        <w:jc w:val="both"/>
        <w:rPr>
          <w:sz w:val="20"/>
          <w:szCs w:val="20"/>
          <w:lang w:val="es-AR"/>
        </w:rPr>
      </w:pPr>
      <w:r w:rsidRPr="00D354AB">
        <w:rPr>
          <w:sz w:val="20"/>
          <w:szCs w:val="20"/>
          <w:lang w:val="es-AR"/>
        </w:rPr>
        <w:t>Las empresas unipersonales y las personas humanas que desarrollen determinadas actividades comerciales en Argentina, también se encuentran alcanzados por el Impuesto a las Ganancias a una alícuota que oscila entre el 5% y el 35%.</w:t>
      </w:r>
    </w:p>
    <w:p w14:paraId="2F245740" w14:textId="77777777" w:rsidR="00D354AB" w:rsidRPr="00D354AB" w:rsidRDefault="00D354AB" w:rsidP="00D354AB">
      <w:pPr>
        <w:jc w:val="both"/>
        <w:rPr>
          <w:sz w:val="20"/>
          <w:szCs w:val="20"/>
          <w:lang w:val="es-AR"/>
        </w:rPr>
      </w:pPr>
    </w:p>
    <w:p w14:paraId="2033F490" w14:textId="77777777" w:rsidR="00D354AB" w:rsidRPr="00D354AB" w:rsidRDefault="00D354AB" w:rsidP="00D354AB">
      <w:pPr>
        <w:pStyle w:val="FR1"/>
        <w:spacing w:line="240" w:lineRule="auto"/>
        <w:rPr>
          <w:rFonts w:ascii="Times New Roman" w:hAnsi="Times New Roman"/>
          <w:sz w:val="20"/>
          <w:szCs w:val="20"/>
          <w:highlight w:val="yellow"/>
          <w:lang w:val="es-AR"/>
        </w:rPr>
      </w:pPr>
    </w:p>
    <w:p w14:paraId="043A08A4" w14:textId="77777777" w:rsidR="00D354AB" w:rsidRPr="00D354AB" w:rsidRDefault="00D354AB" w:rsidP="00D354AB">
      <w:pPr>
        <w:pStyle w:val="Textoindependiente"/>
        <w:rPr>
          <w:i/>
          <w:iCs/>
        </w:rPr>
      </w:pPr>
      <w:r w:rsidRPr="00D354AB">
        <w:rPr>
          <w:i/>
          <w:iCs/>
        </w:rPr>
        <w:t>Impuesto al Valor Agregado</w:t>
      </w:r>
    </w:p>
    <w:p w14:paraId="416A2444" w14:textId="77777777" w:rsidR="00D354AB" w:rsidRPr="00D354AB" w:rsidRDefault="00D354AB" w:rsidP="00D354AB">
      <w:pPr>
        <w:pStyle w:val="Textoindependiente"/>
      </w:pPr>
    </w:p>
    <w:p w14:paraId="1FFE1062" w14:textId="77777777" w:rsidR="00D354AB" w:rsidRPr="00D354AB" w:rsidRDefault="00D354AB" w:rsidP="00D354AB">
      <w:pPr>
        <w:jc w:val="both"/>
        <w:rPr>
          <w:sz w:val="20"/>
          <w:szCs w:val="20"/>
          <w:lang w:val="es-AR"/>
        </w:rPr>
      </w:pPr>
      <w:r w:rsidRPr="00D354AB">
        <w:rPr>
          <w:sz w:val="20"/>
          <w:szCs w:val="20"/>
          <w:lang w:val="es-AR"/>
        </w:rPr>
        <w:t xml:space="preserve">De acuerdo con el artículo 36 bis de la Ley de Obligaciones Negociables quedan exentos del impuesto al valor agregado las operaciones financieras y prestaciones relativas a la emisión, suscripción, colocación, transferencia, amortización, intereses y cancelaciones de las obligaciones negociables y sus garantías en la medida que se cumplan los requisitos y condiciones previstos en el Artículo 36 de la ley 23.576. </w:t>
      </w:r>
    </w:p>
    <w:p w14:paraId="70C7449C" w14:textId="77777777" w:rsidR="00D354AB" w:rsidRPr="00D354AB" w:rsidRDefault="00D354AB" w:rsidP="00D354AB">
      <w:pPr>
        <w:jc w:val="both"/>
        <w:rPr>
          <w:sz w:val="20"/>
          <w:szCs w:val="20"/>
          <w:lang w:val="es-AR"/>
        </w:rPr>
      </w:pPr>
    </w:p>
    <w:p w14:paraId="279FF9AD" w14:textId="77777777" w:rsidR="00D354AB" w:rsidRPr="00D354AB" w:rsidRDefault="00D354AB" w:rsidP="00D354AB">
      <w:pPr>
        <w:jc w:val="both"/>
        <w:rPr>
          <w:sz w:val="20"/>
          <w:szCs w:val="20"/>
          <w:lang w:val="es-AR"/>
        </w:rPr>
      </w:pPr>
      <w:r w:rsidRPr="00D354AB">
        <w:rPr>
          <w:sz w:val="20"/>
          <w:szCs w:val="20"/>
          <w:lang w:val="es-AR"/>
        </w:rPr>
        <w:t>De conformidad con la ley de impuesto al valor agregado, la transferencia de Obligaciones Negociables se encuentra exenta de este impuesto, aún si no se cumplieran las Condiciones del Artículo 36.</w:t>
      </w:r>
    </w:p>
    <w:p w14:paraId="3F3A35FE" w14:textId="77777777" w:rsidR="00D354AB" w:rsidRPr="00D354AB" w:rsidRDefault="00D354AB" w:rsidP="00D354AB">
      <w:pPr>
        <w:jc w:val="both"/>
        <w:rPr>
          <w:sz w:val="20"/>
          <w:szCs w:val="20"/>
          <w:lang w:val="es-AR"/>
        </w:rPr>
      </w:pPr>
    </w:p>
    <w:p w14:paraId="37362A70" w14:textId="77777777" w:rsidR="00D354AB" w:rsidRPr="00D354AB" w:rsidRDefault="00D354AB" w:rsidP="00D354AB">
      <w:pPr>
        <w:pStyle w:val="Textoindependiente"/>
      </w:pPr>
      <w:r w:rsidRPr="00D354AB">
        <w:rPr>
          <w:i/>
          <w:iCs/>
        </w:rPr>
        <w:t>Impuesto sobre los Bienes Personales</w:t>
      </w:r>
      <w:r w:rsidRPr="00D354AB">
        <w:t xml:space="preserve"> </w:t>
      </w:r>
    </w:p>
    <w:p w14:paraId="3406EA5F" w14:textId="77777777" w:rsidR="00D354AB" w:rsidRPr="00D354AB" w:rsidRDefault="00D354AB" w:rsidP="00D354AB">
      <w:pPr>
        <w:pStyle w:val="Textoindependiente"/>
      </w:pPr>
    </w:p>
    <w:p w14:paraId="085A16A2" w14:textId="77777777" w:rsidR="00D354AB" w:rsidRPr="00D354AB" w:rsidRDefault="00D354AB" w:rsidP="00D354AB">
      <w:pPr>
        <w:jc w:val="both"/>
        <w:rPr>
          <w:sz w:val="20"/>
          <w:szCs w:val="20"/>
          <w:lang w:val="es-AR"/>
        </w:rPr>
      </w:pPr>
      <w:r w:rsidRPr="00D354AB">
        <w:rPr>
          <w:sz w:val="20"/>
          <w:szCs w:val="20"/>
          <w:lang w:val="es-AR"/>
        </w:rPr>
        <w:t>Las personas físicas domiciliadas y las sucesiones indivisas ubicadas en Argentina o en el extranjero deben incluir los títulos, tales como las Obligaciones Negociables, a fin de determinar su responsabilidad fiscal correspondiente al Impuesto sobre los Bienes Personales (el “Impuesto sobre los Bienes Personales”).</w:t>
      </w:r>
    </w:p>
    <w:p w14:paraId="0322E958" w14:textId="77777777" w:rsidR="00D354AB" w:rsidRPr="00D354AB" w:rsidRDefault="00D354AB" w:rsidP="00D354AB">
      <w:pPr>
        <w:jc w:val="both"/>
        <w:rPr>
          <w:sz w:val="20"/>
          <w:szCs w:val="20"/>
          <w:lang w:val="es-AR"/>
        </w:rPr>
      </w:pPr>
    </w:p>
    <w:p w14:paraId="6D5E9A0D" w14:textId="77777777" w:rsidR="00D354AB" w:rsidRPr="00D354AB" w:rsidRDefault="00D354AB" w:rsidP="00D354AB">
      <w:pPr>
        <w:jc w:val="both"/>
        <w:rPr>
          <w:sz w:val="20"/>
          <w:szCs w:val="20"/>
          <w:lang w:val="es-AR"/>
        </w:rPr>
      </w:pPr>
      <w:r w:rsidRPr="00D354AB">
        <w:rPr>
          <w:sz w:val="20"/>
          <w:szCs w:val="20"/>
          <w:lang w:val="es-AR"/>
        </w:rPr>
        <w:t>Respecto de las personas físicas y las sucesiones indivisas domiciliadas o radicadas en la República Argentina, los bienes gravados existentes al 31 de diciembre de cada año se encuentran alcanzados por la siguiente escala de alícuotas:</w:t>
      </w:r>
    </w:p>
    <w:p w14:paraId="6148D0B2" w14:textId="77777777" w:rsidR="00D354AB" w:rsidRPr="00D354AB" w:rsidRDefault="00D354AB" w:rsidP="00D354AB">
      <w:pPr>
        <w:jc w:val="both"/>
        <w:rPr>
          <w:sz w:val="20"/>
          <w:szCs w:val="20"/>
          <w:lang w:val="es-AR"/>
        </w:rPr>
      </w:pPr>
    </w:p>
    <w:tbl>
      <w:tblPr>
        <w:tblStyle w:val="Tablaconcuadrcula"/>
        <w:tblW w:w="0" w:type="auto"/>
        <w:jc w:val="center"/>
        <w:tblLook w:val="04A0" w:firstRow="1" w:lastRow="0" w:firstColumn="1" w:lastColumn="0" w:noHBand="0" w:noVBand="1"/>
      </w:tblPr>
      <w:tblGrid>
        <w:gridCol w:w="1729"/>
        <w:gridCol w:w="1742"/>
        <w:gridCol w:w="1664"/>
        <w:gridCol w:w="1629"/>
        <w:gridCol w:w="1730"/>
      </w:tblGrid>
      <w:tr w:rsidR="00D354AB" w:rsidRPr="00D354AB" w14:paraId="5313A5F5" w14:textId="77777777" w:rsidTr="007E1807">
        <w:trPr>
          <w:jc w:val="center"/>
        </w:trPr>
        <w:tc>
          <w:tcPr>
            <w:tcW w:w="3471" w:type="dxa"/>
            <w:gridSpan w:val="2"/>
          </w:tcPr>
          <w:p w14:paraId="417B23B1" w14:textId="77777777" w:rsidR="00D354AB" w:rsidRPr="00D354AB" w:rsidRDefault="00D354AB" w:rsidP="007E1807">
            <w:pPr>
              <w:rPr>
                <w:bCs/>
                <w:sz w:val="20"/>
                <w:szCs w:val="20"/>
                <w:lang w:val="es-ES" w:eastAsia="x-none"/>
              </w:rPr>
            </w:pPr>
            <w:r w:rsidRPr="00D354AB">
              <w:rPr>
                <w:bCs/>
                <w:sz w:val="20"/>
                <w:szCs w:val="20"/>
                <w:lang w:val="es-ES" w:eastAsia="x-none"/>
              </w:rPr>
              <w:t>Valor total de los bienes que exceda el mínimo no imponible</w:t>
            </w:r>
            <w:r w:rsidRPr="00D354AB">
              <w:rPr>
                <w:rStyle w:val="Refdenotaalpie"/>
                <w:bCs/>
                <w:sz w:val="20"/>
                <w:szCs w:val="20"/>
                <w:lang w:eastAsia="x-none"/>
              </w:rPr>
              <w:footnoteReference w:id="2"/>
            </w:r>
          </w:p>
        </w:tc>
        <w:tc>
          <w:tcPr>
            <w:tcW w:w="1664" w:type="dxa"/>
            <w:vMerge w:val="restart"/>
          </w:tcPr>
          <w:p w14:paraId="2C150DC6" w14:textId="77777777" w:rsidR="00D354AB" w:rsidRPr="00D354AB" w:rsidRDefault="00D354AB" w:rsidP="007E1807">
            <w:pPr>
              <w:rPr>
                <w:bCs/>
                <w:sz w:val="20"/>
                <w:szCs w:val="20"/>
                <w:lang w:eastAsia="x-none"/>
              </w:rPr>
            </w:pPr>
            <w:r w:rsidRPr="00D354AB">
              <w:rPr>
                <w:bCs/>
                <w:sz w:val="20"/>
                <w:szCs w:val="20"/>
                <w:lang w:eastAsia="x-none"/>
              </w:rPr>
              <w:t>Pagarán $</w:t>
            </w:r>
          </w:p>
        </w:tc>
        <w:tc>
          <w:tcPr>
            <w:tcW w:w="1629" w:type="dxa"/>
            <w:vMerge w:val="restart"/>
          </w:tcPr>
          <w:p w14:paraId="3EBE41EB" w14:textId="77777777" w:rsidR="00D354AB" w:rsidRPr="00D354AB" w:rsidRDefault="00D354AB" w:rsidP="007E1807">
            <w:pPr>
              <w:rPr>
                <w:bCs/>
                <w:sz w:val="20"/>
                <w:szCs w:val="20"/>
                <w:lang w:eastAsia="x-none"/>
              </w:rPr>
            </w:pPr>
            <w:r w:rsidRPr="00D354AB">
              <w:rPr>
                <w:bCs/>
                <w:sz w:val="20"/>
                <w:szCs w:val="20"/>
                <w:lang w:eastAsia="x-none"/>
              </w:rPr>
              <w:t>Más el %</w:t>
            </w:r>
          </w:p>
        </w:tc>
        <w:tc>
          <w:tcPr>
            <w:tcW w:w="1730" w:type="dxa"/>
            <w:vMerge w:val="restart"/>
          </w:tcPr>
          <w:p w14:paraId="23F397CF" w14:textId="77777777" w:rsidR="00D354AB" w:rsidRPr="00D354AB" w:rsidRDefault="00D354AB" w:rsidP="007E1807">
            <w:pPr>
              <w:rPr>
                <w:bCs/>
                <w:sz w:val="20"/>
                <w:szCs w:val="20"/>
                <w:lang w:eastAsia="x-none"/>
              </w:rPr>
            </w:pPr>
            <w:r w:rsidRPr="00D354AB">
              <w:rPr>
                <w:bCs/>
                <w:sz w:val="20"/>
                <w:szCs w:val="20"/>
                <w:lang w:eastAsia="x-none"/>
              </w:rPr>
              <w:t>Sobre el excedente de</w:t>
            </w:r>
          </w:p>
        </w:tc>
      </w:tr>
      <w:tr w:rsidR="00D354AB" w:rsidRPr="00D354AB" w14:paraId="156129D5" w14:textId="77777777" w:rsidTr="007E1807">
        <w:trPr>
          <w:jc w:val="center"/>
        </w:trPr>
        <w:tc>
          <w:tcPr>
            <w:tcW w:w="1729" w:type="dxa"/>
          </w:tcPr>
          <w:p w14:paraId="33D285F7" w14:textId="77777777" w:rsidR="00D354AB" w:rsidRPr="00D354AB" w:rsidRDefault="00D354AB" w:rsidP="007E1807">
            <w:pPr>
              <w:rPr>
                <w:bCs/>
                <w:sz w:val="20"/>
                <w:szCs w:val="20"/>
                <w:lang w:eastAsia="x-none"/>
              </w:rPr>
            </w:pPr>
            <w:r w:rsidRPr="00D354AB">
              <w:rPr>
                <w:bCs/>
                <w:sz w:val="20"/>
                <w:szCs w:val="20"/>
                <w:lang w:eastAsia="x-none"/>
              </w:rPr>
              <w:t>Más de $</w:t>
            </w:r>
          </w:p>
        </w:tc>
        <w:tc>
          <w:tcPr>
            <w:tcW w:w="1742" w:type="dxa"/>
          </w:tcPr>
          <w:p w14:paraId="2E6A2607" w14:textId="77777777" w:rsidR="00D354AB" w:rsidRPr="00D354AB" w:rsidRDefault="00D354AB" w:rsidP="007E1807">
            <w:pPr>
              <w:rPr>
                <w:bCs/>
                <w:sz w:val="20"/>
                <w:szCs w:val="20"/>
                <w:lang w:eastAsia="x-none"/>
              </w:rPr>
            </w:pPr>
            <w:r w:rsidRPr="00D354AB">
              <w:rPr>
                <w:bCs/>
                <w:sz w:val="20"/>
                <w:szCs w:val="20"/>
                <w:lang w:eastAsia="x-none"/>
              </w:rPr>
              <w:t>A $</w:t>
            </w:r>
          </w:p>
        </w:tc>
        <w:tc>
          <w:tcPr>
            <w:tcW w:w="1664" w:type="dxa"/>
            <w:vMerge/>
          </w:tcPr>
          <w:p w14:paraId="3941B774" w14:textId="77777777" w:rsidR="00D354AB" w:rsidRPr="00D354AB" w:rsidRDefault="00D354AB" w:rsidP="007E1807">
            <w:pPr>
              <w:rPr>
                <w:bCs/>
                <w:sz w:val="20"/>
                <w:szCs w:val="20"/>
                <w:lang w:eastAsia="x-none"/>
              </w:rPr>
            </w:pPr>
          </w:p>
        </w:tc>
        <w:tc>
          <w:tcPr>
            <w:tcW w:w="1629" w:type="dxa"/>
            <w:vMerge/>
          </w:tcPr>
          <w:p w14:paraId="2927BFF9" w14:textId="77777777" w:rsidR="00D354AB" w:rsidRPr="00D354AB" w:rsidRDefault="00D354AB" w:rsidP="007E1807">
            <w:pPr>
              <w:rPr>
                <w:bCs/>
                <w:sz w:val="20"/>
                <w:szCs w:val="20"/>
                <w:lang w:eastAsia="x-none"/>
              </w:rPr>
            </w:pPr>
          </w:p>
        </w:tc>
        <w:tc>
          <w:tcPr>
            <w:tcW w:w="1730" w:type="dxa"/>
            <w:vMerge/>
          </w:tcPr>
          <w:p w14:paraId="74FC7D55" w14:textId="77777777" w:rsidR="00D354AB" w:rsidRPr="00D354AB" w:rsidRDefault="00D354AB" w:rsidP="007E1807">
            <w:pPr>
              <w:rPr>
                <w:bCs/>
                <w:sz w:val="20"/>
                <w:szCs w:val="20"/>
                <w:lang w:eastAsia="x-none"/>
              </w:rPr>
            </w:pPr>
          </w:p>
        </w:tc>
      </w:tr>
      <w:tr w:rsidR="00D354AB" w:rsidRPr="00D354AB" w14:paraId="089D9AEE" w14:textId="77777777" w:rsidTr="007E1807">
        <w:trPr>
          <w:jc w:val="center"/>
        </w:trPr>
        <w:tc>
          <w:tcPr>
            <w:tcW w:w="1729" w:type="dxa"/>
          </w:tcPr>
          <w:p w14:paraId="4B8E7EE9" w14:textId="77777777" w:rsidR="00D354AB" w:rsidRPr="00D354AB" w:rsidRDefault="00D354AB" w:rsidP="007E1807">
            <w:pPr>
              <w:rPr>
                <w:bCs/>
                <w:sz w:val="20"/>
                <w:szCs w:val="20"/>
                <w:lang w:eastAsia="x-none"/>
              </w:rPr>
            </w:pPr>
            <w:r w:rsidRPr="00D354AB">
              <w:rPr>
                <w:bCs/>
                <w:sz w:val="20"/>
                <w:szCs w:val="20"/>
                <w:lang w:eastAsia="x-none"/>
              </w:rPr>
              <w:t>0</w:t>
            </w:r>
          </w:p>
        </w:tc>
        <w:tc>
          <w:tcPr>
            <w:tcW w:w="1742" w:type="dxa"/>
          </w:tcPr>
          <w:p w14:paraId="34A782C4" w14:textId="77777777" w:rsidR="00D354AB" w:rsidRPr="00D354AB" w:rsidRDefault="00D354AB" w:rsidP="007E1807">
            <w:pPr>
              <w:rPr>
                <w:bCs/>
                <w:sz w:val="20"/>
                <w:szCs w:val="20"/>
                <w:lang w:eastAsia="x-none"/>
              </w:rPr>
            </w:pPr>
            <w:r w:rsidRPr="00D354AB">
              <w:rPr>
                <w:bCs/>
                <w:sz w:val="20"/>
                <w:szCs w:val="20"/>
                <w:lang w:eastAsia="x-none"/>
              </w:rPr>
              <w:t>$3.000.000, inclusive</w:t>
            </w:r>
          </w:p>
        </w:tc>
        <w:tc>
          <w:tcPr>
            <w:tcW w:w="1664" w:type="dxa"/>
          </w:tcPr>
          <w:p w14:paraId="1950760B" w14:textId="77777777" w:rsidR="00D354AB" w:rsidRPr="00D354AB" w:rsidRDefault="00D354AB" w:rsidP="007E1807">
            <w:pPr>
              <w:rPr>
                <w:bCs/>
                <w:sz w:val="20"/>
                <w:szCs w:val="20"/>
                <w:lang w:eastAsia="x-none"/>
              </w:rPr>
            </w:pPr>
            <w:r w:rsidRPr="00D354AB">
              <w:rPr>
                <w:bCs/>
                <w:sz w:val="20"/>
                <w:szCs w:val="20"/>
                <w:lang w:eastAsia="x-none"/>
              </w:rPr>
              <w:t>0</w:t>
            </w:r>
          </w:p>
        </w:tc>
        <w:tc>
          <w:tcPr>
            <w:tcW w:w="1629" w:type="dxa"/>
          </w:tcPr>
          <w:p w14:paraId="3ECD397F" w14:textId="77777777" w:rsidR="00D354AB" w:rsidRPr="00D354AB" w:rsidRDefault="00D354AB" w:rsidP="007E1807">
            <w:pPr>
              <w:rPr>
                <w:bCs/>
                <w:sz w:val="20"/>
                <w:szCs w:val="20"/>
                <w:lang w:eastAsia="x-none"/>
              </w:rPr>
            </w:pPr>
            <w:r w:rsidRPr="00D354AB">
              <w:rPr>
                <w:bCs/>
                <w:sz w:val="20"/>
                <w:szCs w:val="20"/>
                <w:lang w:eastAsia="x-none"/>
              </w:rPr>
              <w:t>0,25%</w:t>
            </w:r>
          </w:p>
        </w:tc>
        <w:tc>
          <w:tcPr>
            <w:tcW w:w="1730" w:type="dxa"/>
          </w:tcPr>
          <w:p w14:paraId="62238B23" w14:textId="77777777" w:rsidR="00D354AB" w:rsidRPr="00D354AB" w:rsidRDefault="00D354AB" w:rsidP="007E1807">
            <w:pPr>
              <w:rPr>
                <w:bCs/>
                <w:sz w:val="20"/>
                <w:szCs w:val="20"/>
                <w:lang w:eastAsia="x-none"/>
              </w:rPr>
            </w:pPr>
            <w:r w:rsidRPr="00D354AB">
              <w:rPr>
                <w:bCs/>
                <w:sz w:val="20"/>
                <w:szCs w:val="20"/>
                <w:lang w:eastAsia="x-none"/>
              </w:rPr>
              <w:t>0</w:t>
            </w:r>
          </w:p>
        </w:tc>
      </w:tr>
      <w:tr w:rsidR="00D354AB" w:rsidRPr="00D354AB" w14:paraId="15C5FC11" w14:textId="77777777" w:rsidTr="007E1807">
        <w:trPr>
          <w:jc w:val="center"/>
        </w:trPr>
        <w:tc>
          <w:tcPr>
            <w:tcW w:w="1729" w:type="dxa"/>
          </w:tcPr>
          <w:p w14:paraId="214D4E71" w14:textId="77777777" w:rsidR="00D354AB" w:rsidRPr="00D354AB" w:rsidRDefault="00D354AB" w:rsidP="007E1807">
            <w:pPr>
              <w:rPr>
                <w:bCs/>
                <w:sz w:val="20"/>
                <w:szCs w:val="20"/>
                <w:lang w:eastAsia="x-none"/>
              </w:rPr>
            </w:pPr>
            <w:r w:rsidRPr="00D354AB">
              <w:rPr>
                <w:bCs/>
                <w:sz w:val="20"/>
                <w:szCs w:val="20"/>
                <w:lang w:eastAsia="x-none"/>
              </w:rPr>
              <w:t>$3.000.000</w:t>
            </w:r>
          </w:p>
        </w:tc>
        <w:tc>
          <w:tcPr>
            <w:tcW w:w="1742" w:type="dxa"/>
          </w:tcPr>
          <w:p w14:paraId="2DC6FE73" w14:textId="77777777" w:rsidR="00D354AB" w:rsidRPr="00D354AB" w:rsidRDefault="00D354AB" w:rsidP="007E1807">
            <w:pPr>
              <w:rPr>
                <w:bCs/>
                <w:sz w:val="20"/>
                <w:szCs w:val="20"/>
                <w:lang w:eastAsia="x-none"/>
              </w:rPr>
            </w:pPr>
            <w:r w:rsidRPr="00D354AB">
              <w:rPr>
                <w:bCs/>
                <w:sz w:val="20"/>
                <w:szCs w:val="20"/>
                <w:lang w:eastAsia="x-none"/>
              </w:rPr>
              <w:t>18.000.000, inclusive</w:t>
            </w:r>
          </w:p>
        </w:tc>
        <w:tc>
          <w:tcPr>
            <w:tcW w:w="1664" w:type="dxa"/>
          </w:tcPr>
          <w:p w14:paraId="461C3A7F" w14:textId="77777777" w:rsidR="00D354AB" w:rsidRPr="00D354AB" w:rsidRDefault="00D354AB" w:rsidP="007E1807">
            <w:pPr>
              <w:rPr>
                <w:bCs/>
                <w:sz w:val="20"/>
                <w:szCs w:val="20"/>
                <w:lang w:eastAsia="x-none"/>
              </w:rPr>
            </w:pPr>
            <w:r w:rsidRPr="00D354AB">
              <w:rPr>
                <w:bCs/>
                <w:sz w:val="20"/>
                <w:szCs w:val="20"/>
                <w:lang w:eastAsia="x-none"/>
              </w:rPr>
              <w:t>$7.500</w:t>
            </w:r>
          </w:p>
        </w:tc>
        <w:tc>
          <w:tcPr>
            <w:tcW w:w="1629" w:type="dxa"/>
          </w:tcPr>
          <w:p w14:paraId="43FD073B" w14:textId="77777777" w:rsidR="00D354AB" w:rsidRPr="00D354AB" w:rsidRDefault="00D354AB" w:rsidP="007E1807">
            <w:pPr>
              <w:rPr>
                <w:bCs/>
                <w:sz w:val="20"/>
                <w:szCs w:val="20"/>
                <w:lang w:eastAsia="x-none"/>
              </w:rPr>
            </w:pPr>
            <w:r w:rsidRPr="00D354AB">
              <w:rPr>
                <w:bCs/>
                <w:sz w:val="20"/>
                <w:szCs w:val="20"/>
                <w:lang w:eastAsia="x-none"/>
              </w:rPr>
              <w:t>0,50%</w:t>
            </w:r>
          </w:p>
        </w:tc>
        <w:tc>
          <w:tcPr>
            <w:tcW w:w="1730" w:type="dxa"/>
          </w:tcPr>
          <w:p w14:paraId="5D0B4E41" w14:textId="77777777" w:rsidR="00D354AB" w:rsidRPr="00D354AB" w:rsidRDefault="00D354AB" w:rsidP="007E1807">
            <w:pPr>
              <w:rPr>
                <w:bCs/>
                <w:sz w:val="20"/>
                <w:szCs w:val="20"/>
                <w:lang w:eastAsia="x-none"/>
              </w:rPr>
            </w:pPr>
            <w:r w:rsidRPr="00D354AB">
              <w:rPr>
                <w:bCs/>
                <w:sz w:val="20"/>
                <w:szCs w:val="20"/>
                <w:lang w:eastAsia="x-none"/>
              </w:rPr>
              <w:t>$3.000.000</w:t>
            </w:r>
          </w:p>
        </w:tc>
      </w:tr>
      <w:tr w:rsidR="00D354AB" w:rsidRPr="00D354AB" w14:paraId="196E4096" w14:textId="77777777" w:rsidTr="007E1807">
        <w:trPr>
          <w:trHeight w:val="420"/>
          <w:jc w:val="center"/>
        </w:trPr>
        <w:tc>
          <w:tcPr>
            <w:tcW w:w="1729" w:type="dxa"/>
          </w:tcPr>
          <w:p w14:paraId="6763D398" w14:textId="77777777" w:rsidR="00D354AB" w:rsidRPr="00D354AB" w:rsidRDefault="00D354AB" w:rsidP="007E1807">
            <w:pPr>
              <w:rPr>
                <w:bCs/>
                <w:sz w:val="20"/>
                <w:szCs w:val="20"/>
                <w:lang w:eastAsia="x-none"/>
              </w:rPr>
            </w:pPr>
            <w:r w:rsidRPr="00D354AB">
              <w:rPr>
                <w:bCs/>
                <w:sz w:val="20"/>
                <w:szCs w:val="20"/>
                <w:lang w:eastAsia="x-none"/>
              </w:rPr>
              <w:t>$ 18.000.000</w:t>
            </w:r>
          </w:p>
        </w:tc>
        <w:tc>
          <w:tcPr>
            <w:tcW w:w="1742" w:type="dxa"/>
          </w:tcPr>
          <w:p w14:paraId="7BB949A1" w14:textId="77777777" w:rsidR="00D354AB" w:rsidRPr="00D354AB" w:rsidRDefault="00D354AB" w:rsidP="007E1807">
            <w:pPr>
              <w:rPr>
                <w:bCs/>
                <w:sz w:val="20"/>
                <w:szCs w:val="20"/>
                <w:lang w:eastAsia="x-none"/>
              </w:rPr>
            </w:pPr>
            <w:r w:rsidRPr="00D354AB">
              <w:rPr>
                <w:bCs/>
                <w:sz w:val="20"/>
                <w:szCs w:val="20"/>
                <w:lang w:eastAsia="x-none"/>
              </w:rPr>
              <w:t>En adelante</w:t>
            </w:r>
          </w:p>
        </w:tc>
        <w:tc>
          <w:tcPr>
            <w:tcW w:w="1664" w:type="dxa"/>
          </w:tcPr>
          <w:p w14:paraId="0E4A9669" w14:textId="77777777" w:rsidR="00D354AB" w:rsidRPr="00D354AB" w:rsidRDefault="00D354AB" w:rsidP="007E1807">
            <w:pPr>
              <w:rPr>
                <w:bCs/>
                <w:sz w:val="20"/>
                <w:szCs w:val="20"/>
                <w:lang w:eastAsia="x-none"/>
              </w:rPr>
            </w:pPr>
            <w:r w:rsidRPr="00D354AB">
              <w:rPr>
                <w:bCs/>
                <w:sz w:val="20"/>
                <w:szCs w:val="20"/>
                <w:lang w:eastAsia="x-none"/>
              </w:rPr>
              <w:t>$82.500</w:t>
            </w:r>
          </w:p>
        </w:tc>
        <w:tc>
          <w:tcPr>
            <w:tcW w:w="1629" w:type="dxa"/>
          </w:tcPr>
          <w:p w14:paraId="5E78E36E" w14:textId="77777777" w:rsidR="00D354AB" w:rsidRPr="00D354AB" w:rsidRDefault="00D354AB" w:rsidP="007E1807">
            <w:pPr>
              <w:rPr>
                <w:bCs/>
                <w:sz w:val="20"/>
                <w:szCs w:val="20"/>
                <w:lang w:eastAsia="x-none"/>
              </w:rPr>
            </w:pPr>
            <w:r w:rsidRPr="00D354AB">
              <w:rPr>
                <w:bCs/>
                <w:sz w:val="20"/>
                <w:szCs w:val="20"/>
                <w:lang w:eastAsia="x-none"/>
              </w:rPr>
              <w:t>0,75%</w:t>
            </w:r>
          </w:p>
        </w:tc>
        <w:tc>
          <w:tcPr>
            <w:tcW w:w="1730" w:type="dxa"/>
          </w:tcPr>
          <w:p w14:paraId="5EB9D005" w14:textId="77777777" w:rsidR="00D354AB" w:rsidRPr="00D354AB" w:rsidRDefault="00D354AB" w:rsidP="007E1807">
            <w:pPr>
              <w:rPr>
                <w:bCs/>
                <w:sz w:val="20"/>
                <w:szCs w:val="20"/>
                <w:lang w:eastAsia="x-none"/>
              </w:rPr>
            </w:pPr>
            <w:r w:rsidRPr="00D354AB">
              <w:rPr>
                <w:bCs/>
                <w:sz w:val="20"/>
                <w:szCs w:val="20"/>
                <w:lang w:eastAsia="x-none"/>
              </w:rPr>
              <w:t>$18.000.000</w:t>
            </w:r>
          </w:p>
        </w:tc>
      </w:tr>
    </w:tbl>
    <w:p w14:paraId="35B07C21" w14:textId="77777777" w:rsidR="00D354AB" w:rsidRPr="00D354AB" w:rsidRDefault="00D354AB" w:rsidP="00D354AB">
      <w:pPr>
        <w:jc w:val="both"/>
        <w:rPr>
          <w:sz w:val="20"/>
          <w:szCs w:val="20"/>
          <w:lang w:val="es-AR"/>
        </w:rPr>
      </w:pPr>
    </w:p>
    <w:p w14:paraId="4E96DC53" w14:textId="77777777" w:rsidR="00D354AB" w:rsidRPr="00D354AB" w:rsidRDefault="00D354AB" w:rsidP="00D354AB">
      <w:pPr>
        <w:jc w:val="both"/>
        <w:rPr>
          <w:sz w:val="20"/>
          <w:szCs w:val="20"/>
          <w:lang w:val="es-AR"/>
        </w:rPr>
      </w:pPr>
    </w:p>
    <w:p w14:paraId="0C8F29EE" w14:textId="77777777" w:rsidR="00D354AB" w:rsidRPr="00D354AB" w:rsidRDefault="00D354AB" w:rsidP="00D354AB">
      <w:pPr>
        <w:jc w:val="both"/>
        <w:rPr>
          <w:sz w:val="20"/>
          <w:szCs w:val="20"/>
          <w:lang w:val="es-AR"/>
        </w:rPr>
      </w:pPr>
    </w:p>
    <w:p w14:paraId="6B4857C4" w14:textId="77777777" w:rsidR="00D354AB" w:rsidRPr="00D354AB" w:rsidRDefault="00D354AB" w:rsidP="00D354AB">
      <w:pPr>
        <w:jc w:val="both"/>
        <w:rPr>
          <w:sz w:val="20"/>
          <w:szCs w:val="20"/>
          <w:lang w:val="es-AR"/>
        </w:rPr>
      </w:pPr>
      <w:r w:rsidRPr="00D354AB">
        <w:rPr>
          <w:sz w:val="20"/>
          <w:szCs w:val="20"/>
          <w:lang w:val="es-AR"/>
        </w:rPr>
        <w:t xml:space="preserve">Respecto de las personas físicas domiciliadas o las sucesiones indivisas ubicadas en el extranjero, no es obligatorio el Impuesto sobre los Bienes Personales si el monto de dicho impuesto es igual o inferior a $255,75. Si bien los títulos, tales como las Obligaciones Negociables, de personas físicas domiciliadas o las sucesiones indivisas ubicadas fuera de Argentina estarían técnicamente sujetos al Impuesto sobre los Bienes Personales de acuerdo con las disposiciones del Decreto N° 127/96, no se ha establecido ningún procedimiento para la recaudación de dicho impuesto en relación con tales títulos. </w:t>
      </w:r>
    </w:p>
    <w:p w14:paraId="515BDEE8" w14:textId="77777777" w:rsidR="00D354AB" w:rsidRPr="00D354AB" w:rsidRDefault="00D354AB" w:rsidP="00D354AB">
      <w:pPr>
        <w:jc w:val="both"/>
        <w:rPr>
          <w:sz w:val="20"/>
          <w:szCs w:val="20"/>
          <w:lang w:val="es-AR"/>
        </w:rPr>
      </w:pPr>
    </w:p>
    <w:p w14:paraId="4C8348EA" w14:textId="77777777" w:rsidR="00D354AB" w:rsidRPr="00D354AB" w:rsidRDefault="00D354AB" w:rsidP="00D354AB">
      <w:pPr>
        <w:jc w:val="both"/>
        <w:rPr>
          <w:sz w:val="20"/>
          <w:szCs w:val="20"/>
          <w:lang w:val="es-AR"/>
        </w:rPr>
      </w:pPr>
      <w:r w:rsidRPr="00D354AB">
        <w:rPr>
          <w:sz w:val="20"/>
          <w:szCs w:val="20"/>
          <w:lang w:val="es-AR"/>
        </w:rPr>
        <w:t>En algunos casos, respecto de ciertos bienes cuya titularidad directa corresponda a determinadas sociedades, empresas u otras entidades domiciliadas o, en su caso, radicadas en el exterior (específicamente, sociedades off-shore que no sean compañías de seguros, fondos abiertos de inversión, fondos de pensión o entidades bancarias o financieras cuyas matrices estén constituidas o radicadas en países en los que sus bancos centrales u organismos equivalentes hayan adoptado los estándares internacionales de supervisión bancaria establecidos por el Comité de Bancos de Basilea), la ley presume sin admitir prueba en contrario, que los mismos pertenecen a personas físicas o sucesiones indivisas domiciliadas o, en su caso, radicadas en el país. En consecuencia, esos bienes estarán alcanzados por el Impuesto sobre los Bienes Personales a la tasa del 0,25%.</w:t>
      </w:r>
    </w:p>
    <w:p w14:paraId="639122A8" w14:textId="77777777" w:rsidR="00D354AB" w:rsidRPr="00D354AB" w:rsidRDefault="00D354AB" w:rsidP="00D354AB">
      <w:pPr>
        <w:jc w:val="both"/>
        <w:rPr>
          <w:sz w:val="20"/>
          <w:szCs w:val="20"/>
          <w:lang w:val="es-AR"/>
        </w:rPr>
      </w:pPr>
    </w:p>
    <w:p w14:paraId="51EB6537" w14:textId="77777777" w:rsidR="00D354AB" w:rsidRPr="00D354AB" w:rsidRDefault="00D354AB" w:rsidP="00D354AB">
      <w:pPr>
        <w:jc w:val="both"/>
        <w:rPr>
          <w:sz w:val="20"/>
          <w:szCs w:val="20"/>
          <w:lang w:val="es-AR"/>
        </w:rPr>
      </w:pPr>
      <w:r w:rsidRPr="00D354AB">
        <w:rPr>
          <w:sz w:val="20"/>
          <w:szCs w:val="20"/>
          <w:lang w:val="es-AR"/>
        </w:rPr>
        <w:t>La Ley de IBP establece como presunción legal irrefutable que las obligaciones negociables emitidas por emisores privados argentinos, de titularidad directa de entidades extranjeras que (a) se encuentren domiciliadas en una jurisdicción que no exige que las acciones o títulos privados sean detentados en forma nominativa y (b) que (i) de conformidad con sus estatutos o la ley aplicable, estén únicamente autorizadas a realizar actividades de inversión fuera de la jurisdicción de su lugar de constitución y/o (ii) no les esté permitido realizar ciertas actividades autorizadas en sus propios estatutos o por la ley aplicable en su jurisdicción de constitución, se considerarán que son de titularidad de personas físicas o sucesiones indivisas domiciliadas o radicadas en el país, encontrándose, en consecuencia, sujetas al pago del IBP. En esos casos, la ley impone la obligación de abonar el impuesto a los bienes personales a una alícuota del incrementada en un 100% para el emisor privado argentino (el “</w:t>
      </w:r>
      <w:r w:rsidRPr="00D354AB">
        <w:rPr>
          <w:sz w:val="20"/>
          <w:szCs w:val="20"/>
          <w:u w:val="single"/>
          <w:lang w:val="es-AR"/>
        </w:rPr>
        <w:t>Obligado Sustituto</w:t>
      </w:r>
      <w:r w:rsidRPr="00D354AB">
        <w:rPr>
          <w:sz w:val="20"/>
          <w:szCs w:val="20"/>
          <w:lang w:val="es-AR"/>
        </w:rPr>
        <w:t>”). De conformidad con la Ley de IBP, el Obligado Sustituto está autorizado a obtener el reintegro del importe abonado en la forma antes descripta, incluso reteniendo o ejecutando directamente los bienes que dieron origen a dicho pago.</w:t>
      </w:r>
    </w:p>
    <w:p w14:paraId="4E96D52F" w14:textId="77777777" w:rsidR="00D354AB" w:rsidRPr="00D354AB" w:rsidRDefault="00D354AB" w:rsidP="00D354AB">
      <w:pPr>
        <w:jc w:val="both"/>
        <w:rPr>
          <w:sz w:val="20"/>
          <w:szCs w:val="20"/>
          <w:lang w:val="es-AR"/>
        </w:rPr>
      </w:pPr>
    </w:p>
    <w:p w14:paraId="0B7D3CA0" w14:textId="77777777" w:rsidR="00D354AB" w:rsidRPr="00D354AB" w:rsidRDefault="00D354AB" w:rsidP="00D354AB">
      <w:pPr>
        <w:jc w:val="both"/>
        <w:rPr>
          <w:sz w:val="20"/>
          <w:szCs w:val="20"/>
          <w:lang w:val="es-AR"/>
        </w:rPr>
      </w:pPr>
      <w:r w:rsidRPr="00D354AB">
        <w:rPr>
          <w:sz w:val="20"/>
          <w:szCs w:val="20"/>
          <w:lang w:val="es-AR"/>
        </w:rPr>
        <w:t xml:space="preserve">La presunción legal precedente no se aplica a las siguientes entidades extranjeras que sean titulares directas de títulos valores tal como lo son las Obligaciones Negociables: (a) compañías de seguros; (b) fondos abiertos de inversión; (c) fondos de pensión; y (d) entidades bancarias o financieras cuyas casas matrices estén radicadas en países cuyos bancos centrales u organismos equivalentes hayan adoptado los estándares internacionales de supervisión bancaria establecidos por el Comité de Basilea. </w:t>
      </w:r>
    </w:p>
    <w:p w14:paraId="5E8B83B7" w14:textId="77777777" w:rsidR="00D354AB" w:rsidRPr="00D354AB" w:rsidRDefault="00D354AB" w:rsidP="00D354AB">
      <w:pPr>
        <w:jc w:val="both"/>
        <w:rPr>
          <w:sz w:val="20"/>
          <w:szCs w:val="20"/>
          <w:lang w:val="es-AR"/>
        </w:rPr>
      </w:pPr>
    </w:p>
    <w:p w14:paraId="2948E929" w14:textId="77777777" w:rsidR="00D354AB" w:rsidRPr="00D354AB" w:rsidRDefault="00D354AB" w:rsidP="00D354AB">
      <w:pPr>
        <w:jc w:val="both"/>
        <w:rPr>
          <w:sz w:val="20"/>
          <w:szCs w:val="20"/>
          <w:lang w:val="es-AR"/>
        </w:rPr>
      </w:pPr>
      <w:r w:rsidRPr="00D354AB">
        <w:rPr>
          <w:sz w:val="20"/>
          <w:szCs w:val="20"/>
          <w:lang w:val="es-AR"/>
        </w:rPr>
        <w:t>No obstante, el Decreto 812/1996, del 24 de julio de 1996, dispone que la presunción legal analizada precedentemente no se aplicará a las acciones y títulos de deuda privados, tales como las Obligaciones Negociables, cuya oferta pública haya sido autorizada por la CNV y que se negocien en bolsas o mercados de valores ubicadas en Argentina o en el extranjero.</w:t>
      </w:r>
    </w:p>
    <w:p w14:paraId="6D259006" w14:textId="77777777" w:rsidR="00D354AB" w:rsidRPr="00D354AB" w:rsidRDefault="00D354AB" w:rsidP="00D354AB">
      <w:pPr>
        <w:jc w:val="both"/>
        <w:rPr>
          <w:sz w:val="20"/>
          <w:szCs w:val="20"/>
          <w:lang w:val="es-AR"/>
        </w:rPr>
      </w:pPr>
    </w:p>
    <w:p w14:paraId="551336FB" w14:textId="77777777" w:rsidR="00D354AB" w:rsidRPr="00D354AB" w:rsidRDefault="00D354AB" w:rsidP="00D354AB">
      <w:pPr>
        <w:jc w:val="both"/>
        <w:rPr>
          <w:sz w:val="20"/>
          <w:szCs w:val="20"/>
          <w:lang w:val="es-AR"/>
        </w:rPr>
      </w:pPr>
      <w:r w:rsidRPr="00D354AB">
        <w:rPr>
          <w:sz w:val="20"/>
          <w:szCs w:val="20"/>
          <w:lang w:val="es-AR"/>
        </w:rPr>
        <w:t>Con el objeto de garantizar que esta presunción legal no se aplicará y en consecuencia que la Sociedad no será responsable en calidad de obligado sustituto respecto de las Obligaciones Negociables, la Sociedad conservará en sus registros una copia debidamente certificada de la resolución de la CNV que autoriza la oferta pública de las acciones o títulos de deuda privados y constancias que verifiquen que dicho certificado o autorización de hallaba en vigencia al 31 de diciembre del año en que tuvo lugar la obligación fiscal, conforme lo requiere la Resolución General N° 2.151 de la AFIP de fecha 31 de octubre de 2006.</w:t>
      </w:r>
    </w:p>
    <w:p w14:paraId="5D311E50" w14:textId="77777777" w:rsidR="00D354AB" w:rsidRPr="00D354AB" w:rsidRDefault="00D354AB" w:rsidP="00D354AB">
      <w:pPr>
        <w:jc w:val="both"/>
        <w:rPr>
          <w:sz w:val="20"/>
          <w:szCs w:val="20"/>
          <w:lang w:val="es-AR"/>
        </w:rPr>
      </w:pPr>
    </w:p>
    <w:p w14:paraId="4064C8D1" w14:textId="77777777" w:rsidR="00D354AB" w:rsidRPr="00D354AB" w:rsidRDefault="00D354AB" w:rsidP="00D354AB">
      <w:pPr>
        <w:jc w:val="both"/>
        <w:rPr>
          <w:sz w:val="20"/>
          <w:szCs w:val="20"/>
          <w:lang w:val="es-AR"/>
        </w:rPr>
      </w:pPr>
      <w:r w:rsidRPr="00D354AB">
        <w:rPr>
          <w:sz w:val="20"/>
          <w:szCs w:val="20"/>
          <w:lang w:val="es-AR"/>
        </w:rPr>
        <w:t>En el caso de que la autoridad fiscal argentina considere que no se cuenta con la documentación que acredita la autorización de la CNV, y su negociación en mercados de valores de país o del exterior, la Emisora será responsable sustituto del ingreso del impuesto.</w:t>
      </w:r>
    </w:p>
    <w:p w14:paraId="7578C706" w14:textId="77777777" w:rsidR="00D354AB" w:rsidRPr="00D354AB" w:rsidRDefault="00D354AB" w:rsidP="00D354AB">
      <w:pPr>
        <w:jc w:val="both"/>
        <w:rPr>
          <w:sz w:val="20"/>
          <w:szCs w:val="20"/>
          <w:lang w:val="es-AR"/>
        </w:rPr>
      </w:pPr>
    </w:p>
    <w:p w14:paraId="35782DDD" w14:textId="77777777" w:rsidR="00D354AB" w:rsidRPr="00D354AB" w:rsidRDefault="00D354AB" w:rsidP="00D354AB">
      <w:pPr>
        <w:pStyle w:val="Textoindependiente"/>
      </w:pPr>
    </w:p>
    <w:p w14:paraId="5E84345A" w14:textId="77777777" w:rsidR="00D354AB" w:rsidRPr="00D354AB" w:rsidRDefault="00D354AB" w:rsidP="00D354AB">
      <w:pPr>
        <w:jc w:val="both"/>
        <w:rPr>
          <w:sz w:val="20"/>
          <w:szCs w:val="20"/>
          <w:lang w:val="es-AR"/>
        </w:rPr>
      </w:pPr>
    </w:p>
    <w:p w14:paraId="10D93BF6" w14:textId="77777777" w:rsidR="00D354AB" w:rsidRPr="00D354AB" w:rsidRDefault="00D354AB" w:rsidP="00D354AB">
      <w:pPr>
        <w:pStyle w:val="Textoindependiente"/>
      </w:pPr>
      <w:r w:rsidRPr="00D354AB">
        <w:rPr>
          <w:i/>
          <w:iCs/>
        </w:rPr>
        <w:t>Impuesto sobre los Débitos y Créditos Bancarios</w:t>
      </w:r>
    </w:p>
    <w:p w14:paraId="78DE08FB" w14:textId="77777777" w:rsidR="00D354AB" w:rsidRPr="00D354AB" w:rsidRDefault="00D354AB" w:rsidP="00D354AB">
      <w:pPr>
        <w:pStyle w:val="Textoindependiente"/>
      </w:pPr>
    </w:p>
    <w:p w14:paraId="790B835C" w14:textId="77777777" w:rsidR="00D354AB" w:rsidRPr="00D354AB" w:rsidRDefault="00D354AB" w:rsidP="00D354AB">
      <w:pPr>
        <w:jc w:val="both"/>
        <w:rPr>
          <w:sz w:val="20"/>
          <w:szCs w:val="20"/>
          <w:lang w:val="es-AR"/>
        </w:rPr>
      </w:pPr>
      <w:r w:rsidRPr="00D354AB">
        <w:rPr>
          <w:sz w:val="20"/>
          <w:szCs w:val="20"/>
          <w:lang w:val="es-AR"/>
        </w:rPr>
        <w:t xml:space="preserve">La Ley N° 25.413 (publicada en el Boletín Oficial el 26 de marzo de 2001), con sus modificatorias, establece, con ciertas excepciones, un impuesto que grava los débitos y créditos en cuentas corrientes mantenidas en entidades financieras de Argentina y sobre otras operaciones que se utilizan en reemplazo del uso de cuentas corrientes bancarias. La alícuota general es del 0,60% por cada débito y crédito, también existiendo una alícuota reducida del 0,0075%. Ciertas transferencias de dinero no realizadas mediante cuentas bancarias podrían estar sujetas a este impuesto a una alícuota incrementada del 1,2%. </w:t>
      </w:r>
    </w:p>
    <w:p w14:paraId="49BB5C21" w14:textId="77777777" w:rsidR="00D354AB" w:rsidRPr="00D354AB" w:rsidRDefault="00D354AB" w:rsidP="00D354AB">
      <w:pPr>
        <w:jc w:val="both"/>
        <w:rPr>
          <w:sz w:val="20"/>
          <w:szCs w:val="20"/>
          <w:lang w:val="es-AR"/>
        </w:rPr>
      </w:pPr>
    </w:p>
    <w:p w14:paraId="33CA33A2" w14:textId="77777777" w:rsidR="00D354AB" w:rsidRPr="00D354AB" w:rsidRDefault="00D354AB" w:rsidP="00D354AB">
      <w:pPr>
        <w:jc w:val="both"/>
        <w:rPr>
          <w:sz w:val="20"/>
          <w:szCs w:val="20"/>
          <w:lang w:val="es-AR"/>
        </w:rPr>
      </w:pPr>
      <w:r w:rsidRPr="00D354AB">
        <w:rPr>
          <w:sz w:val="20"/>
          <w:szCs w:val="20"/>
          <w:lang w:val="es-AR"/>
        </w:rPr>
        <w:t>Según el Decreto N° 409/2018 (publicado en el Boletín Oficial con fecha 7 de mayo de 2018), el 33% del impuesto pagado a la alícuota del 0,60% y el 33% del impuesto pagado a la alícuota del 1,2% podrán computarse como pago a cuenta del impuesto a las ganancias o de la Contribución Especial sobre el Capital de las Cooperativas. Cuando los hechos imponibles se encontraren alcanzados a una alícuota menor a las indicadas precedentemente, el cómputo como crédito de impuestos será del 20%. El remanente no compensado no podrá ser objeto de compensación con otros gravámenes a cargo del contribuyente o de solicitudes de reintegro o transferencia a favor de terceros, pudiendo trasladarse, hasta su agotamiento, a otros períodos fiscales de los citados tributos.</w:t>
      </w:r>
    </w:p>
    <w:p w14:paraId="6F2B98ED" w14:textId="77777777" w:rsidR="00D354AB" w:rsidRPr="00D354AB" w:rsidRDefault="00D354AB" w:rsidP="00D354AB">
      <w:pPr>
        <w:jc w:val="both"/>
        <w:rPr>
          <w:sz w:val="20"/>
          <w:szCs w:val="20"/>
          <w:lang w:val="es-AR"/>
        </w:rPr>
      </w:pPr>
    </w:p>
    <w:p w14:paraId="7696BC72" w14:textId="77777777" w:rsidR="00D354AB" w:rsidRPr="00D354AB" w:rsidRDefault="00D354AB" w:rsidP="00D354AB">
      <w:pPr>
        <w:jc w:val="both"/>
        <w:rPr>
          <w:sz w:val="20"/>
          <w:szCs w:val="20"/>
          <w:lang w:val="es-AR"/>
        </w:rPr>
      </w:pPr>
      <w:r w:rsidRPr="00D354AB">
        <w:rPr>
          <w:sz w:val="20"/>
          <w:szCs w:val="20"/>
          <w:lang w:val="es-AR"/>
        </w:rPr>
        <w:t>Asimismo, téngase en cuenta que, mediante la Ley 27.432, el Poder Legislativo nacional autorizó al Poder Ejecutivo nacional a reducir hasta un 20% por año el porcentaje del impuesto que</w:t>
      </w:r>
      <w:r w:rsidRPr="00D354AB">
        <w:rPr>
          <w:sz w:val="20"/>
          <w:szCs w:val="20"/>
          <w:lang w:val="es-ES"/>
        </w:rPr>
        <w:t xml:space="preserve"> a la fecha de entrada en vigencia de la mentada ley no resulte computable como pago a cuenta del impuesto a las ganancias; pudiendo establecerse que, en 2022, se compute íntegramente el impuesto sobre los débitos y créditos bancarios como pago a cuenta del impuesto a las ganancias. </w:t>
      </w:r>
    </w:p>
    <w:p w14:paraId="0FC86777" w14:textId="77777777" w:rsidR="00D354AB" w:rsidRPr="00D354AB" w:rsidRDefault="00D354AB" w:rsidP="00D354AB">
      <w:pPr>
        <w:jc w:val="both"/>
        <w:rPr>
          <w:sz w:val="20"/>
          <w:szCs w:val="20"/>
          <w:lang w:val="es-AR"/>
        </w:rPr>
      </w:pPr>
    </w:p>
    <w:p w14:paraId="1635F210" w14:textId="77777777" w:rsidR="00D354AB" w:rsidRPr="00D354AB" w:rsidRDefault="00D354AB" w:rsidP="00D354AB">
      <w:pPr>
        <w:jc w:val="both"/>
        <w:rPr>
          <w:sz w:val="20"/>
          <w:szCs w:val="20"/>
          <w:lang w:val="es-AR"/>
        </w:rPr>
      </w:pPr>
      <w:r w:rsidRPr="00D354AB">
        <w:rPr>
          <w:sz w:val="20"/>
          <w:szCs w:val="20"/>
          <w:lang w:val="es-AR"/>
        </w:rPr>
        <w:t>El artículo 10 del Decreto Nº 380/2001 establece que estarán exentos del impuesto, entre otras operaciones, los débitos y créditos correspondientes a cuentas utilizadas en forma exclusiva para las operaciones inherentes a la actividad específica por, y los giros y transferencias de los que sean ordenantes con igual finalidad, los mercados autorizados por la CNV y sus respectivos agentes, bolsas de comercio que no tengan organizados mercados de valores, cajas de valores y entidades de liquidación y compensación de operaciones autorizadas por la CNV.</w:t>
      </w:r>
    </w:p>
    <w:p w14:paraId="2E93FB46" w14:textId="77777777" w:rsidR="00D354AB" w:rsidRPr="00D354AB" w:rsidRDefault="00D354AB" w:rsidP="00D354AB">
      <w:pPr>
        <w:jc w:val="both"/>
        <w:rPr>
          <w:sz w:val="20"/>
          <w:szCs w:val="20"/>
          <w:lang w:val="es-AR"/>
        </w:rPr>
      </w:pPr>
    </w:p>
    <w:p w14:paraId="7E1B6D64" w14:textId="77777777" w:rsidR="00D354AB" w:rsidRPr="00D354AB" w:rsidRDefault="00D354AB" w:rsidP="00D354AB">
      <w:pPr>
        <w:jc w:val="both"/>
        <w:rPr>
          <w:sz w:val="20"/>
          <w:szCs w:val="20"/>
          <w:lang w:val="es-AR"/>
        </w:rPr>
      </w:pPr>
      <w:r w:rsidRPr="00D354AB">
        <w:rPr>
          <w:sz w:val="20"/>
          <w:szCs w:val="20"/>
          <w:lang w:val="es-AR"/>
        </w:rPr>
        <w:t>También se encuentran exentos del impuesto los movimientos registrados en las cuentas corrientes especiales (Comunicación “A” 3250 del BCRA) cuando las mismas estén abiertas a nombre de personas jurídicas del exterior y en tanto se utilicen exclusivamente para la realización de inversiones financieras en el país (para más información véase artículo 10, inciso (s) del anexo al Decreto Nº 380/2001).</w:t>
      </w:r>
    </w:p>
    <w:p w14:paraId="7D4081AC" w14:textId="77777777" w:rsidR="00D354AB" w:rsidRPr="00D354AB" w:rsidRDefault="00D354AB" w:rsidP="00D354AB">
      <w:pPr>
        <w:pStyle w:val="Textoindependiente"/>
        <w:ind w:firstLine="708"/>
      </w:pPr>
    </w:p>
    <w:p w14:paraId="2EBB9680" w14:textId="77777777" w:rsidR="00D354AB" w:rsidRPr="00D354AB" w:rsidRDefault="00D354AB" w:rsidP="00D354AB">
      <w:pPr>
        <w:jc w:val="both"/>
        <w:rPr>
          <w:b/>
          <w:bCs/>
          <w:i/>
          <w:iCs/>
          <w:sz w:val="20"/>
          <w:szCs w:val="20"/>
          <w:lang w:val="es-AR"/>
        </w:rPr>
      </w:pPr>
      <w:r w:rsidRPr="00D354AB">
        <w:rPr>
          <w:b/>
          <w:bCs/>
          <w:i/>
          <w:iCs/>
          <w:sz w:val="20"/>
          <w:szCs w:val="20"/>
          <w:lang w:val="es-AR"/>
        </w:rPr>
        <w:t>Impuesto sobre los Ingresos Brutos</w:t>
      </w:r>
    </w:p>
    <w:p w14:paraId="6D897F71" w14:textId="77777777" w:rsidR="00D354AB" w:rsidRPr="00D354AB" w:rsidRDefault="00D354AB" w:rsidP="00D354AB">
      <w:pPr>
        <w:jc w:val="both"/>
        <w:rPr>
          <w:sz w:val="20"/>
          <w:szCs w:val="20"/>
          <w:lang w:val="es-AR"/>
        </w:rPr>
      </w:pPr>
    </w:p>
    <w:p w14:paraId="4EEB152D" w14:textId="77777777" w:rsidR="00D354AB" w:rsidRPr="00D354AB" w:rsidRDefault="00D354AB" w:rsidP="00D354AB">
      <w:pPr>
        <w:jc w:val="both"/>
        <w:rPr>
          <w:sz w:val="20"/>
          <w:szCs w:val="20"/>
          <w:lang w:val="es-AR"/>
        </w:rPr>
      </w:pPr>
      <w:r w:rsidRPr="00D354AB">
        <w:rPr>
          <w:sz w:val="20"/>
          <w:szCs w:val="20"/>
          <w:lang w:val="es-AR"/>
        </w:rPr>
        <w:t>Es un tributo de carácter local que recae sobre el ejercicio habitual y a título oneroso de actividades desarrolladas en una determinada jurisdicción.</w:t>
      </w:r>
    </w:p>
    <w:p w14:paraId="2B983465" w14:textId="77777777" w:rsidR="00D354AB" w:rsidRPr="00D354AB" w:rsidRDefault="00D354AB" w:rsidP="00D354AB">
      <w:pPr>
        <w:jc w:val="both"/>
        <w:rPr>
          <w:sz w:val="20"/>
          <w:szCs w:val="20"/>
          <w:lang w:val="es-AR"/>
        </w:rPr>
      </w:pPr>
    </w:p>
    <w:p w14:paraId="091EC064" w14:textId="77777777" w:rsidR="00D354AB" w:rsidRPr="0086608C" w:rsidRDefault="00D354AB" w:rsidP="00D354AB">
      <w:pPr>
        <w:pStyle w:val="Textoindependiente2"/>
        <w:ind w:right="57"/>
        <w:rPr>
          <w:b w:val="0"/>
          <w:bCs w:val="0"/>
          <w:lang w:val="es-AR"/>
        </w:rPr>
      </w:pPr>
      <w:r w:rsidRPr="0086608C">
        <w:rPr>
          <w:b w:val="0"/>
          <w:bCs w:val="0"/>
          <w:lang w:val="es-AR"/>
        </w:rPr>
        <w:t xml:space="preserve">Aquellos inversores que realicen actividades en forma habitual o que se presuma que desarrollan dichas actividades en cualquier jurisdicción en la cual obtengan sus ingresos por intereses originados en la tenencia de obligaciones negociables, o por su venta o transferencia, podrían resultar gravados con este impuesto a tasas que varían de acuerdo con la legislación específica de cada provincia argentina salvo que proceda la aplicación de alguna exención. Ciertas jurisdicciones como la Ciudad Autónoma de Buenos Aires y la Provincia de Buenos Aires eximen los intereses sobre las obligaciones negociables emitidas bajo la Ley de Obligaciones Negociables cuando estuvieran exentas del impuesto a las ganancias. </w:t>
      </w:r>
    </w:p>
    <w:p w14:paraId="7BC76A8E" w14:textId="77777777" w:rsidR="00D354AB" w:rsidRPr="00D354AB" w:rsidRDefault="00D354AB" w:rsidP="00D354AB">
      <w:pPr>
        <w:pStyle w:val="Textoindependiente2"/>
        <w:ind w:right="57"/>
        <w:rPr>
          <w:lang w:val="es-AR"/>
        </w:rPr>
      </w:pPr>
    </w:p>
    <w:p w14:paraId="2C4FCC90" w14:textId="77777777" w:rsidR="00D354AB" w:rsidRPr="00D354AB" w:rsidRDefault="00D354AB" w:rsidP="00D354AB">
      <w:pPr>
        <w:jc w:val="both"/>
        <w:rPr>
          <w:sz w:val="20"/>
          <w:szCs w:val="20"/>
          <w:lang w:val="es-AR"/>
        </w:rPr>
      </w:pPr>
      <w:r w:rsidRPr="00D354AB">
        <w:rPr>
          <w:sz w:val="20"/>
          <w:szCs w:val="20"/>
          <w:lang w:val="es-AR"/>
        </w:rPr>
        <w:t>El artículo 180, punto (1) del Código Fiscal de la Ciudad Autónoma de Buenos Aires (T.O. 2019) establece que los ingresos derivados de toda operación sobre obligaciones negociables emitidas en virtud de la Ley de Obligaciones Negociables (intereses, actualizaciones devengadas y el valor de venta en caso de transferencia) están exentos del impuesto sobre ingresos brutos en la medida en que se aplique la exención del impuesto a las ganancias.</w:t>
      </w:r>
    </w:p>
    <w:p w14:paraId="0C677746" w14:textId="77777777" w:rsidR="00D354AB" w:rsidRPr="00D354AB" w:rsidRDefault="00D354AB" w:rsidP="00D354AB">
      <w:pPr>
        <w:pStyle w:val="Textoindependiente2"/>
        <w:ind w:right="57"/>
        <w:rPr>
          <w:lang w:val="es-AR"/>
        </w:rPr>
      </w:pPr>
    </w:p>
    <w:p w14:paraId="78576C6D" w14:textId="77777777" w:rsidR="00D354AB" w:rsidRPr="00D354AB" w:rsidRDefault="00D354AB" w:rsidP="00D354AB">
      <w:pPr>
        <w:jc w:val="both"/>
        <w:rPr>
          <w:sz w:val="20"/>
          <w:szCs w:val="20"/>
          <w:lang w:val="es-AR"/>
        </w:rPr>
      </w:pPr>
      <w:r w:rsidRPr="00D354AB">
        <w:rPr>
          <w:sz w:val="20"/>
          <w:szCs w:val="20"/>
          <w:lang w:val="es-AR"/>
        </w:rPr>
        <w:t>El artículo 207, punto (c) del Código fiscal de la Provincia de Buenos Aires establece que los ingresos derivados de cualquier operación de obligaciones negociables emitidas en virtud de la Ley de Obligaciones Negociables y la Ley N° 23.962 con sus modificaciones (intereses, actualizaciones devengadas y el valor de venta en caso de transferencia) están exentos del impuesto sobre ingresos brutos en la medida en que se aplique la exención del impuesto a las ganancias.</w:t>
      </w:r>
    </w:p>
    <w:p w14:paraId="4CE7940C" w14:textId="77777777" w:rsidR="00D354AB" w:rsidRPr="00D354AB" w:rsidRDefault="00D354AB" w:rsidP="00D354AB">
      <w:pPr>
        <w:jc w:val="both"/>
        <w:rPr>
          <w:sz w:val="20"/>
          <w:szCs w:val="20"/>
          <w:lang w:val="es-AR"/>
        </w:rPr>
      </w:pPr>
    </w:p>
    <w:p w14:paraId="6B277356" w14:textId="77777777" w:rsidR="00D354AB" w:rsidRPr="00D354AB" w:rsidRDefault="00D354AB" w:rsidP="00D354AB">
      <w:pPr>
        <w:pStyle w:val="Default"/>
        <w:jc w:val="both"/>
        <w:rPr>
          <w:sz w:val="20"/>
          <w:szCs w:val="20"/>
          <w:lang w:val="es-AR"/>
        </w:rPr>
      </w:pPr>
      <w:r w:rsidRPr="00D354AB">
        <w:rPr>
          <w:sz w:val="20"/>
          <w:szCs w:val="20"/>
          <w:lang w:val="es-AR"/>
        </w:rPr>
        <w:t>Por lo expuesto, los potenciales adquirentes de Obligaciones Negociables deberán considerar la posible incidencia del Impuesto sobre los Ingresos Brutos considerando las disposiciones de la legislación provincial que pudiera resultar aplicable en función del lugar de su residencia y actividad económica, como así también los diferentes regímenes de recaudación del gravamen que pudieran ser aplicables en cada jurisdicción.</w:t>
      </w:r>
    </w:p>
    <w:p w14:paraId="6380A86B" w14:textId="77777777" w:rsidR="00D354AB" w:rsidRPr="00D354AB" w:rsidRDefault="00D354AB" w:rsidP="00D354AB">
      <w:pPr>
        <w:jc w:val="both"/>
        <w:rPr>
          <w:sz w:val="20"/>
          <w:szCs w:val="20"/>
          <w:lang w:val="es-AR"/>
        </w:rPr>
      </w:pPr>
    </w:p>
    <w:p w14:paraId="59CA0C94" w14:textId="77777777" w:rsidR="00D354AB" w:rsidRPr="00D354AB" w:rsidRDefault="00D354AB" w:rsidP="00D354AB">
      <w:pPr>
        <w:jc w:val="both"/>
        <w:rPr>
          <w:b/>
          <w:bCs/>
          <w:i/>
          <w:iCs/>
          <w:sz w:val="20"/>
          <w:szCs w:val="20"/>
          <w:lang w:val="es-AR"/>
        </w:rPr>
      </w:pPr>
      <w:r w:rsidRPr="00D354AB">
        <w:rPr>
          <w:b/>
          <w:bCs/>
          <w:i/>
          <w:iCs/>
          <w:sz w:val="20"/>
          <w:szCs w:val="20"/>
          <w:lang w:val="es-AR"/>
        </w:rPr>
        <w:t>Regímenes de recaudación provincial sobre créditos en cuentas bancarias.</w:t>
      </w:r>
    </w:p>
    <w:p w14:paraId="37515F56" w14:textId="77777777" w:rsidR="00D354AB" w:rsidRPr="00D354AB" w:rsidRDefault="00D354AB" w:rsidP="00D354AB">
      <w:pPr>
        <w:jc w:val="both"/>
        <w:rPr>
          <w:sz w:val="20"/>
          <w:szCs w:val="20"/>
          <w:u w:val="single"/>
          <w:lang w:val="es-AR"/>
        </w:rPr>
      </w:pPr>
    </w:p>
    <w:p w14:paraId="47C32A5A" w14:textId="77777777" w:rsidR="00D354AB" w:rsidRPr="00D354AB" w:rsidRDefault="00D354AB" w:rsidP="00D354AB">
      <w:pPr>
        <w:jc w:val="both"/>
        <w:rPr>
          <w:sz w:val="20"/>
          <w:szCs w:val="20"/>
          <w:lang w:val="es-AR"/>
        </w:rPr>
      </w:pPr>
      <w:r w:rsidRPr="00D354AB">
        <w:rPr>
          <w:sz w:val="20"/>
          <w:szCs w:val="20"/>
          <w:lang w:val="es-AR"/>
        </w:rPr>
        <w:lastRenderedPageBreak/>
        <w:t>Distintos fiscos provinciales (por ejemplo, la Ciudad Autónoma de Buenos Aires y las provincias de Corrientes, Córdoba, Tucumán, Buenos Aires, Salta, etcétera) han establecido regímenes de percepción del impuesto sobre los ingresos brutos que resultan aplicables a los créditos que se produzcan en las cuentas abiertas en entidades financieras, cualquiera sea su especie y/o naturaleza, quedando comprendidas la totalidad de las sucursales, cualquiera sea el asiento territorial de las mismas.</w:t>
      </w:r>
    </w:p>
    <w:p w14:paraId="253C9CCF" w14:textId="77777777" w:rsidR="00D354AB" w:rsidRPr="00D354AB" w:rsidRDefault="00D354AB" w:rsidP="00D354AB">
      <w:pPr>
        <w:jc w:val="both"/>
        <w:rPr>
          <w:sz w:val="20"/>
          <w:szCs w:val="20"/>
          <w:lang w:val="es-AR"/>
        </w:rPr>
      </w:pPr>
    </w:p>
    <w:p w14:paraId="21586A12" w14:textId="77777777" w:rsidR="00D354AB" w:rsidRPr="00D354AB" w:rsidRDefault="00D354AB" w:rsidP="00D354AB">
      <w:pPr>
        <w:jc w:val="both"/>
        <w:rPr>
          <w:sz w:val="20"/>
          <w:szCs w:val="20"/>
          <w:lang w:val="es-AR"/>
        </w:rPr>
      </w:pPr>
      <w:r w:rsidRPr="00D354AB">
        <w:rPr>
          <w:sz w:val="20"/>
          <w:szCs w:val="20"/>
          <w:lang w:val="es-AR"/>
        </w:rPr>
        <w:t xml:space="preserve">Estos regímenes se aplican a aquellos contribuyentes que se encuentran en el padrón que provee mensualmente la Dirección de Rentas de cada jurisdicción. </w:t>
      </w:r>
    </w:p>
    <w:p w14:paraId="57EA0935" w14:textId="77777777" w:rsidR="00D354AB" w:rsidRPr="00D354AB" w:rsidRDefault="00D354AB" w:rsidP="00D354AB">
      <w:pPr>
        <w:jc w:val="both"/>
        <w:rPr>
          <w:sz w:val="20"/>
          <w:szCs w:val="20"/>
          <w:lang w:val="es-AR"/>
        </w:rPr>
      </w:pPr>
    </w:p>
    <w:p w14:paraId="487019D5" w14:textId="77777777" w:rsidR="00D354AB" w:rsidRPr="00D354AB" w:rsidRDefault="00D354AB" w:rsidP="00D354AB">
      <w:pPr>
        <w:jc w:val="both"/>
        <w:rPr>
          <w:sz w:val="20"/>
          <w:szCs w:val="20"/>
          <w:lang w:val="es-AR"/>
        </w:rPr>
      </w:pPr>
      <w:r w:rsidRPr="00D354AB">
        <w:rPr>
          <w:sz w:val="20"/>
          <w:szCs w:val="20"/>
          <w:lang w:val="es-AR"/>
        </w:rPr>
        <w:t>Las alícuotas a aplicar dependen de cada uno de los fiscos con un rango que puede llegar actualmente al 5%.</w:t>
      </w:r>
    </w:p>
    <w:p w14:paraId="0F9BE995" w14:textId="77777777" w:rsidR="00D354AB" w:rsidRPr="00D354AB" w:rsidRDefault="00D354AB" w:rsidP="00D354AB">
      <w:pPr>
        <w:jc w:val="both"/>
        <w:rPr>
          <w:sz w:val="20"/>
          <w:szCs w:val="20"/>
          <w:lang w:val="es-AR"/>
        </w:rPr>
      </w:pPr>
    </w:p>
    <w:p w14:paraId="6B5CAD80" w14:textId="77777777" w:rsidR="00D354AB" w:rsidRPr="00D354AB" w:rsidRDefault="00D354AB" w:rsidP="00D354AB">
      <w:pPr>
        <w:jc w:val="both"/>
        <w:rPr>
          <w:sz w:val="20"/>
          <w:szCs w:val="20"/>
          <w:lang w:val="es-AR"/>
        </w:rPr>
      </w:pPr>
      <w:r w:rsidRPr="00D354AB">
        <w:rPr>
          <w:sz w:val="20"/>
          <w:szCs w:val="20"/>
          <w:lang w:val="es-AR"/>
        </w:rPr>
        <w:t>Las percepciones sufridas constituyen un pago a cuenta del impuesto sobre los ingresos brutos para aquellos sujetos que son pasibles de las mismas.</w:t>
      </w:r>
    </w:p>
    <w:p w14:paraId="5D79066D" w14:textId="77777777" w:rsidR="00D354AB" w:rsidRPr="00D354AB" w:rsidRDefault="00D354AB" w:rsidP="00D354AB">
      <w:pPr>
        <w:jc w:val="both"/>
        <w:rPr>
          <w:sz w:val="20"/>
          <w:szCs w:val="20"/>
          <w:u w:val="single"/>
          <w:lang w:val="es-AR"/>
        </w:rPr>
      </w:pPr>
    </w:p>
    <w:p w14:paraId="06F8786A" w14:textId="77777777" w:rsidR="00D354AB" w:rsidRPr="0086608C" w:rsidRDefault="00D354AB" w:rsidP="00D354AB">
      <w:pPr>
        <w:pStyle w:val="Textoindependiente2"/>
        <w:ind w:right="57"/>
        <w:rPr>
          <w:b w:val="0"/>
          <w:bCs w:val="0"/>
          <w:lang w:val="es-AR"/>
        </w:rPr>
      </w:pPr>
      <w:r w:rsidRPr="0086608C">
        <w:rPr>
          <w:b w:val="0"/>
          <w:bCs w:val="0"/>
          <w:lang w:val="es-AR"/>
        </w:rPr>
        <w:t xml:space="preserve">Los potenciales adquirentes residentes en el país deberán considerar la posible incidencia del impuesto sobre los ingresos brutos considerando las disposiciones de la legislación aplicable que pudiera resultar relevante en función de su residencia y actividad económica. </w:t>
      </w:r>
    </w:p>
    <w:p w14:paraId="053034CE" w14:textId="77777777" w:rsidR="00D354AB" w:rsidRPr="00D354AB" w:rsidRDefault="00D354AB" w:rsidP="00D354AB">
      <w:pPr>
        <w:pStyle w:val="Textoindependiente"/>
      </w:pPr>
    </w:p>
    <w:p w14:paraId="25668274" w14:textId="77777777" w:rsidR="00D354AB" w:rsidRPr="00D354AB" w:rsidRDefault="00D354AB" w:rsidP="00D354AB">
      <w:pPr>
        <w:pStyle w:val="Textoindependiente"/>
      </w:pPr>
      <w:r w:rsidRPr="00D354AB">
        <w:rPr>
          <w:i/>
          <w:iCs/>
        </w:rPr>
        <w:t>Impuesto de Sellos</w:t>
      </w:r>
      <w:r w:rsidRPr="00D354AB">
        <w:t xml:space="preserve"> </w:t>
      </w:r>
    </w:p>
    <w:p w14:paraId="68A757C8" w14:textId="77777777" w:rsidR="00D354AB" w:rsidRPr="00D354AB" w:rsidRDefault="00D354AB" w:rsidP="00D354AB">
      <w:pPr>
        <w:pStyle w:val="Textoindependiente"/>
      </w:pPr>
    </w:p>
    <w:p w14:paraId="76DF83F9" w14:textId="77777777" w:rsidR="00D354AB" w:rsidRPr="00D354AB" w:rsidRDefault="00D354AB" w:rsidP="00D354AB">
      <w:pPr>
        <w:jc w:val="both"/>
        <w:rPr>
          <w:sz w:val="20"/>
          <w:szCs w:val="20"/>
          <w:lang w:val="es-AR"/>
        </w:rPr>
      </w:pPr>
      <w:r w:rsidRPr="00D354AB">
        <w:rPr>
          <w:sz w:val="20"/>
          <w:szCs w:val="20"/>
          <w:lang w:val="es-AR"/>
        </w:rPr>
        <w:t>Al igual que el impuesto sobre los ingresos brutos, el impuesto de sellos es un tributo de carácter local y grava los actos y contratos de carácter oneroso formalizados en instrumentos públicos y/o privados, que se otorguen en la jurisdicción de cada provincia y/o en la Ciudad de Buenos Aires o bien aquellos que siendo instrumentados en determinada jurisdicción tengan efectos en otra jurisdicción.</w:t>
      </w:r>
    </w:p>
    <w:p w14:paraId="77D6CC02" w14:textId="77777777" w:rsidR="00D354AB" w:rsidRPr="00D354AB" w:rsidRDefault="00D354AB" w:rsidP="00D354AB">
      <w:pPr>
        <w:jc w:val="both"/>
        <w:rPr>
          <w:sz w:val="20"/>
          <w:szCs w:val="20"/>
          <w:lang w:val="es-AR"/>
        </w:rPr>
      </w:pPr>
    </w:p>
    <w:p w14:paraId="065D5FF1" w14:textId="77777777" w:rsidR="00D354AB" w:rsidRPr="0086608C" w:rsidRDefault="00D354AB" w:rsidP="00D354AB">
      <w:pPr>
        <w:pStyle w:val="Textoindependiente2"/>
        <w:rPr>
          <w:b w:val="0"/>
          <w:bCs w:val="0"/>
          <w:lang w:val="es-AR"/>
        </w:rPr>
      </w:pPr>
      <w:r w:rsidRPr="0086608C">
        <w:rPr>
          <w:b w:val="0"/>
          <w:bCs w:val="0"/>
          <w:lang w:val="es-AR"/>
        </w:rPr>
        <w:t>En la Ciudad Autónoma de Buenos Aires están exentos de este impuesto todos los actos, contratos y operaciones, incluyendo entregas o recepciones de dinero, relacionados con la emisión, suscripción, colocación y transferencia de obligaciones negociables, emitidas conforme el régimen de las Ley de Obligaciones Negociables. Esta exención comprenderá a los aumentos de capital que se realicen para la emisión de acciones a entregar, por conversión de las obligaciones negociables, como así también, a la constitución de todo tipo de garantías personales o reales a favor de inversores o terceros que garanticen la emisión, sean anteriores, simultáneos o posteriores a la misma.</w:t>
      </w:r>
    </w:p>
    <w:p w14:paraId="473653BA" w14:textId="77777777" w:rsidR="00D354AB" w:rsidRPr="0086608C" w:rsidRDefault="00D354AB" w:rsidP="00D354AB">
      <w:pPr>
        <w:pStyle w:val="Textoindependiente2"/>
        <w:rPr>
          <w:b w:val="0"/>
          <w:bCs w:val="0"/>
          <w:lang w:val="es-AR"/>
        </w:rPr>
      </w:pPr>
    </w:p>
    <w:p w14:paraId="0A36E2BC" w14:textId="77777777" w:rsidR="00D354AB" w:rsidRPr="0086608C" w:rsidRDefault="00D354AB" w:rsidP="00D354AB">
      <w:pPr>
        <w:pStyle w:val="Textoindependiente2"/>
        <w:rPr>
          <w:b w:val="0"/>
          <w:bCs w:val="0"/>
          <w:lang w:val="es-AR"/>
        </w:rPr>
      </w:pPr>
      <w:r w:rsidRPr="0086608C">
        <w:rPr>
          <w:b w:val="0"/>
          <w:bCs w:val="0"/>
          <w:lang w:val="es-AR"/>
        </w:rPr>
        <w:t xml:space="preserve">También se encuentran exentos del impuesto en la Ciudad Autónoma de Buenos Aires los instrumentos, actos y operaciones vinculados con la emisión de valores mobiliarios representativos de deuda de sus emisoras y cualesquiera otros valores mobiliarios destinados a la oferta pública en los términos de la Ley de Mercado de Capitales, por parte de las sociedades autorizadas por la CNV a hacer oferta pública. Esta exención ampara también a las garantías vinculadas con dichas emisiones. Sin embargo, la exención queda sin efecto si en el plazo de 90 días corridos no se solicita la autorización para la oferta pública de dichos títulos valores ante la CNV y/o si la colocación de los títulos no se realiza en un plazo de 180 días corridos a partir de la concesión de la autorización solicitada. </w:t>
      </w:r>
    </w:p>
    <w:p w14:paraId="76A509CE" w14:textId="77777777" w:rsidR="00D354AB" w:rsidRPr="0086608C" w:rsidRDefault="00D354AB" w:rsidP="00D354AB">
      <w:pPr>
        <w:pStyle w:val="Textoindependiente2"/>
        <w:rPr>
          <w:b w:val="0"/>
          <w:bCs w:val="0"/>
          <w:lang w:val="es-AR"/>
        </w:rPr>
      </w:pPr>
    </w:p>
    <w:p w14:paraId="347616ED" w14:textId="77777777" w:rsidR="00D354AB" w:rsidRPr="0086608C" w:rsidRDefault="00D354AB" w:rsidP="00D354AB">
      <w:pPr>
        <w:pStyle w:val="Textoindependiente2"/>
        <w:rPr>
          <w:b w:val="0"/>
          <w:bCs w:val="0"/>
          <w:lang w:val="es-AR"/>
        </w:rPr>
      </w:pPr>
      <w:r w:rsidRPr="0086608C">
        <w:rPr>
          <w:b w:val="0"/>
          <w:bCs w:val="0"/>
          <w:lang w:val="es-AR"/>
        </w:rPr>
        <w:t>Los actos y/o instrumentos relacionados con la negociación de las acciones y demás valores mobiliarios debidamente autorizados para su oferta pública por la CNV están, asimismo, exentos del impuesto de sellos en la Ciudad Autónoma de Buenos Aires. Esta exención también queda sin efecto de darse la circunstancia señalada en la segunda oración del párrafo anterior.</w:t>
      </w:r>
    </w:p>
    <w:p w14:paraId="315A5BF0" w14:textId="77777777" w:rsidR="00D354AB" w:rsidRPr="0086608C" w:rsidRDefault="00D354AB" w:rsidP="00D354AB">
      <w:pPr>
        <w:pStyle w:val="Textoindependiente2"/>
        <w:rPr>
          <w:b w:val="0"/>
          <w:bCs w:val="0"/>
          <w:lang w:val="es-AR"/>
        </w:rPr>
      </w:pPr>
    </w:p>
    <w:p w14:paraId="7285D7DB" w14:textId="77777777" w:rsidR="00D354AB" w:rsidRPr="0086608C" w:rsidRDefault="00D354AB" w:rsidP="00D354AB">
      <w:pPr>
        <w:pStyle w:val="Textoindependiente2"/>
        <w:rPr>
          <w:b w:val="0"/>
          <w:bCs w:val="0"/>
          <w:lang w:val="es-AR"/>
        </w:rPr>
      </w:pPr>
      <w:r w:rsidRPr="0086608C">
        <w:rPr>
          <w:b w:val="0"/>
          <w:bCs w:val="0"/>
          <w:lang w:val="es-AR"/>
        </w:rPr>
        <w:t xml:space="preserve">Por su parte, en la Provincia de Buenos Aires están exentos de este impuesto todos los actos, contratos y operaciones, incluyendo entregas o recepciones de dinero, relacionados con la emisión, suscripción, colocación y transferencia de obligaciones negociables, emitidas conforme el régimen de la Ley de Obligaciones Negociables. Esta exención comprenderá a los aumentos de capital que se realicen para la emisión de acciones a entregar, por conversión de las obligaciones negociables, como así también, a la constitución de todo tipo de garantías personales o reales a favor de inversores o terceros que garanticen la emisión, sean anteriores, simultáneos o posteriores a la misma. </w:t>
      </w:r>
    </w:p>
    <w:p w14:paraId="13B6EC50" w14:textId="77777777" w:rsidR="00D354AB" w:rsidRPr="0086608C" w:rsidRDefault="00D354AB" w:rsidP="00D354AB">
      <w:pPr>
        <w:pStyle w:val="Textoindependiente2"/>
        <w:rPr>
          <w:b w:val="0"/>
          <w:bCs w:val="0"/>
          <w:lang w:val="es-AR"/>
        </w:rPr>
      </w:pPr>
    </w:p>
    <w:p w14:paraId="6B94875C" w14:textId="77777777" w:rsidR="00D354AB" w:rsidRPr="0086608C" w:rsidRDefault="00D354AB" w:rsidP="00D354AB">
      <w:pPr>
        <w:pStyle w:val="Textoindependiente2"/>
        <w:rPr>
          <w:b w:val="0"/>
          <w:bCs w:val="0"/>
          <w:lang w:val="es-AR"/>
        </w:rPr>
      </w:pPr>
      <w:r w:rsidRPr="0086608C">
        <w:rPr>
          <w:b w:val="0"/>
          <w:bCs w:val="0"/>
          <w:lang w:val="es-AR"/>
        </w:rPr>
        <w:t>En la Provincia de Buenos Aires también están exentos de este impuesto todos los instrumentos, actos y operaciones, vinculados con la emisión de valores representativos de deuda de sus emisoras y cualesquiera otros títulos valores destinados a la oferta pública en los términos de la Ley de Mercado de Capitales, por parte de sociedades debidamente autorizadas por la CNV. Esta exención comprende también la constitución de todo tipo de garantías personales o reales a favor de inversores o terceros que garanticen la emisión, sean anteriores, simultáneos o posteriores a la misma. Sin embargo, la exención queda sin efecto si en el plazo de 90 días corridos no se solicita la autorización para la oferta pública de dichos títulos valores ante la CNV y/o si la colocación de los títulos no se realiza en un plazo de 180 días corridos a partir de la concesión de la autorización solicitada.</w:t>
      </w:r>
    </w:p>
    <w:p w14:paraId="3C19CD82" w14:textId="77777777" w:rsidR="00D354AB" w:rsidRPr="0086608C" w:rsidRDefault="00D354AB" w:rsidP="00D354AB">
      <w:pPr>
        <w:pStyle w:val="Textoindependiente2"/>
        <w:rPr>
          <w:b w:val="0"/>
          <w:bCs w:val="0"/>
          <w:lang w:val="es-AR"/>
        </w:rPr>
      </w:pPr>
    </w:p>
    <w:p w14:paraId="44EDBC15" w14:textId="77777777" w:rsidR="00D354AB" w:rsidRPr="0086608C" w:rsidRDefault="00D354AB" w:rsidP="00D354AB">
      <w:pPr>
        <w:pStyle w:val="Textoindependiente2"/>
        <w:rPr>
          <w:b w:val="0"/>
          <w:bCs w:val="0"/>
          <w:lang w:val="es-AR"/>
        </w:rPr>
      </w:pPr>
      <w:r w:rsidRPr="0086608C">
        <w:rPr>
          <w:b w:val="0"/>
          <w:bCs w:val="0"/>
          <w:lang w:val="es-AR"/>
        </w:rPr>
        <w:t>Asimismo, se encuentran exentos del impuesto de sellos en la Provincia de Buenos Aires los actos relacionados con la negociación de valores mobiliarios debidamente autorizados para su oferta pública por la CNV. Esta exención también queda sin efecto de presentarse la circunstancia señalada en la segunda oración del párrafo anterior.</w:t>
      </w:r>
    </w:p>
    <w:p w14:paraId="6F5552E2" w14:textId="77777777" w:rsidR="00D354AB" w:rsidRPr="00D354AB" w:rsidRDefault="00D354AB" w:rsidP="00D354AB">
      <w:pPr>
        <w:jc w:val="both"/>
        <w:rPr>
          <w:sz w:val="20"/>
          <w:szCs w:val="20"/>
          <w:lang w:val="es-AR"/>
        </w:rPr>
      </w:pPr>
    </w:p>
    <w:p w14:paraId="37599F77" w14:textId="77777777" w:rsidR="00D354AB" w:rsidRPr="00D354AB" w:rsidRDefault="00D354AB" w:rsidP="00D354AB">
      <w:pPr>
        <w:jc w:val="both"/>
        <w:rPr>
          <w:b/>
          <w:bCs/>
          <w:sz w:val="20"/>
          <w:szCs w:val="20"/>
          <w:lang w:val="es-AR"/>
        </w:rPr>
      </w:pPr>
      <w:r w:rsidRPr="00D354AB">
        <w:rPr>
          <w:sz w:val="20"/>
          <w:szCs w:val="20"/>
          <w:lang w:val="es-AR"/>
        </w:rPr>
        <w:lastRenderedPageBreak/>
        <w:t>Considerando la autonomía que en materia tributaria posee cada jurisdicción provincial, se deberá analizar los potenciales efectos que este tipo de operatorias pudieran generar y el tratamiento tributario que establece el resto de las jurisdicciones provinciales.</w:t>
      </w:r>
    </w:p>
    <w:p w14:paraId="04475959" w14:textId="77777777" w:rsidR="00D354AB" w:rsidRPr="00D354AB" w:rsidRDefault="00D354AB" w:rsidP="00D354AB">
      <w:pPr>
        <w:pStyle w:val="Textoindependiente"/>
      </w:pPr>
    </w:p>
    <w:p w14:paraId="403B58E4" w14:textId="77777777" w:rsidR="00D354AB" w:rsidRPr="00D354AB" w:rsidRDefault="00D354AB" w:rsidP="00D354AB">
      <w:pPr>
        <w:pStyle w:val="Textoindependiente"/>
      </w:pPr>
      <w:r w:rsidRPr="00D354AB">
        <w:rPr>
          <w:i/>
          <w:iCs/>
        </w:rPr>
        <w:t>Tasa de Justicia</w:t>
      </w:r>
      <w:r w:rsidRPr="00D354AB">
        <w:t xml:space="preserve"> </w:t>
      </w:r>
    </w:p>
    <w:p w14:paraId="3FCDE717" w14:textId="77777777" w:rsidR="00D354AB" w:rsidRPr="00D354AB" w:rsidRDefault="00D354AB" w:rsidP="00D354AB">
      <w:pPr>
        <w:pStyle w:val="Textoindependiente"/>
        <w:rPr>
          <w:b/>
          <w:bCs/>
        </w:rPr>
      </w:pPr>
    </w:p>
    <w:p w14:paraId="5927230A" w14:textId="77777777" w:rsidR="00D354AB" w:rsidRPr="00D354AB" w:rsidRDefault="00D354AB" w:rsidP="00D354AB">
      <w:pPr>
        <w:pStyle w:val="Textoindependiente"/>
        <w:rPr>
          <w:b/>
          <w:bCs/>
        </w:rPr>
      </w:pPr>
      <w:r w:rsidRPr="00D354AB">
        <w:t>En caso de que fuera necesario instituir procedimientos de ejecución en relación con las Obligaciones Negociables en la República Argentina, se aplicará una tasa de justicia (actualmente a una alícuota del 3%) sobre el monto de cualquier reclamo iniciado ante los tribunales argentinos con asiento en la Ciudad de Buenos Aires.</w:t>
      </w:r>
    </w:p>
    <w:p w14:paraId="4D780DA0" w14:textId="77777777" w:rsidR="00D354AB" w:rsidRPr="00D354AB" w:rsidRDefault="00D354AB" w:rsidP="00D354AB">
      <w:pPr>
        <w:jc w:val="both"/>
        <w:rPr>
          <w:i/>
          <w:iCs/>
          <w:sz w:val="20"/>
          <w:szCs w:val="20"/>
          <w:lang w:val="es-AR"/>
        </w:rPr>
      </w:pPr>
    </w:p>
    <w:p w14:paraId="11AF888C" w14:textId="77777777" w:rsidR="00D354AB" w:rsidRPr="00D354AB" w:rsidRDefault="00D354AB" w:rsidP="00D354AB">
      <w:pPr>
        <w:jc w:val="both"/>
        <w:rPr>
          <w:b/>
          <w:bCs/>
          <w:i/>
          <w:iCs/>
          <w:sz w:val="20"/>
          <w:szCs w:val="20"/>
          <w:lang w:val="es-AR"/>
        </w:rPr>
      </w:pPr>
      <w:r w:rsidRPr="00D354AB">
        <w:rPr>
          <w:b/>
          <w:bCs/>
          <w:i/>
          <w:iCs/>
          <w:sz w:val="20"/>
          <w:szCs w:val="20"/>
          <w:lang w:val="es-AR"/>
        </w:rPr>
        <w:t>Otros impuestos</w:t>
      </w:r>
    </w:p>
    <w:p w14:paraId="16161909" w14:textId="77777777" w:rsidR="00D354AB" w:rsidRPr="00D354AB" w:rsidRDefault="00D354AB" w:rsidP="00D354AB">
      <w:pPr>
        <w:jc w:val="both"/>
        <w:rPr>
          <w:b/>
          <w:bCs/>
          <w:sz w:val="20"/>
          <w:szCs w:val="20"/>
          <w:lang w:val="es-AR"/>
        </w:rPr>
      </w:pPr>
    </w:p>
    <w:p w14:paraId="68CB2E42" w14:textId="77777777" w:rsidR="00D354AB" w:rsidRPr="00D354AB" w:rsidRDefault="00D354AB" w:rsidP="00D354AB">
      <w:pPr>
        <w:jc w:val="both"/>
        <w:rPr>
          <w:sz w:val="20"/>
          <w:szCs w:val="20"/>
          <w:lang w:val="es-AR"/>
        </w:rPr>
      </w:pPr>
      <w:r w:rsidRPr="00D354AB">
        <w:rPr>
          <w:sz w:val="20"/>
          <w:szCs w:val="20"/>
          <w:lang w:val="es-AR"/>
        </w:rPr>
        <w:t xml:space="preserve">A nivel federal, no se grava con impuestos la transmisión gratuita de bienes a herederos, donantes, legatarios o donatarios. </w:t>
      </w:r>
    </w:p>
    <w:p w14:paraId="55BA7876" w14:textId="77777777" w:rsidR="00D354AB" w:rsidRPr="00D354AB" w:rsidRDefault="00D354AB" w:rsidP="00D354AB">
      <w:pPr>
        <w:jc w:val="both"/>
        <w:rPr>
          <w:sz w:val="20"/>
          <w:szCs w:val="20"/>
          <w:lang w:val="es-AR"/>
        </w:rPr>
      </w:pPr>
    </w:p>
    <w:p w14:paraId="6DAC2294" w14:textId="77777777" w:rsidR="00D354AB" w:rsidRPr="00D354AB" w:rsidRDefault="00D354AB" w:rsidP="00D354AB">
      <w:pPr>
        <w:jc w:val="both"/>
        <w:rPr>
          <w:sz w:val="20"/>
          <w:szCs w:val="20"/>
          <w:lang w:val="es-AR"/>
        </w:rPr>
      </w:pPr>
      <w:r w:rsidRPr="00D354AB">
        <w:rPr>
          <w:sz w:val="20"/>
          <w:szCs w:val="20"/>
          <w:lang w:val="es-AR"/>
        </w:rPr>
        <w:t>En la Provincia de Buenos Aires se encuentra vigente el impuesto a la transmisión gratuita de bienes (el “</w:t>
      </w:r>
      <w:r w:rsidRPr="00D354AB">
        <w:rPr>
          <w:sz w:val="20"/>
          <w:szCs w:val="20"/>
          <w:u w:val="single"/>
          <w:lang w:val="es-AR"/>
        </w:rPr>
        <w:t>ITGB</w:t>
      </w:r>
      <w:r w:rsidRPr="00D354AB">
        <w:rPr>
          <w:sz w:val="20"/>
          <w:szCs w:val="20"/>
          <w:lang w:val="es-AR"/>
        </w:rPr>
        <w:t xml:space="preserve">”) , cuyas características básicas son las siguientes: </w:t>
      </w:r>
    </w:p>
    <w:p w14:paraId="7FB76E30" w14:textId="77777777" w:rsidR="00D354AB" w:rsidRPr="00D354AB" w:rsidRDefault="00D354AB" w:rsidP="00D354AB">
      <w:pPr>
        <w:jc w:val="both"/>
        <w:rPr>
          <w:sz w:val="20"/>
          <w:szCs w:val="20"/>
          <w:lang w:val="es-AR"/>
        </w:rPr>
      </w:pPr>
    </w:p>
    <w:p w14:paraId="3B0B3354" w14:textId="77777777" w:rsidR="00D354AB" w:rsidRPr="00D354AB" w:rsidRDefault="00D354AB" w:rsidP="00D354AB">
      <w:pPr>
        <w:numPr>
          <w:ilvl w:val="0"/>
          <w:numId w:val="47"/>
        </w:numPr>
        <w:jc w:val="both"/>
        <w:rPr>
          <w:sz w:val="20"/>
          <w:szCs w:val="20"/>
          <w:lang w:val="es-AR"/>
        </w:rPr>
      </w:pPr>
      <w:r w:rsidRPr="00D354AB">
        <w:rPr>
          <w:sz w:val="20"/>
          <w:szCs w:val="20"/>
          <w:lang w:val="es-AR"/>
        </w:rPr>
        <w:t>El ITGB alcanza al enriquecimiento que se obtenga en virtud de toda transmisión a título gratuito, incluyendo: herencias, legados, donaciones, anticipos de herencia y cualquier otro hecho, otra transmisión que implique un enriquecimiento patrimonial a título gratuito;</w:t>
      </w:r>
    </w:p>
    <w:p w14:paraId="37BCFC27" w14:textId="77777777" w:rsidR="00D354AB" w:rsidRPr="00D354AB" w:rsidRDefault="00D354AB" w:rsidP="00D354AB">
      <w:pPr>
        <w:jc w:val="both"/>
        <w:rPr>
          <w:sz w:val="20"/>
          <w:szCs w:val="20"/>
          <w:lang w:val="es-AR"/>
        </w:rPr>
      </w:pPr>
    </w:p>
    <w:p w14:paraId="68222774" w14:textId="77777777" w:rsidR="00D354AB" w:rsidRPr="00D354AB" w:rsidRDefault="00D354AB" w:rsidP="00D354AB">
      <w:pPr>
        <w:numPr>
          <w:ilvl w:val="0"/>
          <w:numId w:val="48"/>
        </w:numPr>
        <w:jc w:val="both"/>
        <w:rPr>
          <w:sz w:val="20"/>
          <w:szCs w:val="20"/>
          <w:lang w:val="es-AR"/>
        </w:rPr>
      </w:pPr>
      <w:r w:rsidRPr="00D354AB">
        <w:rPr>
          <w:sz w:val="20"/>
          <w:szCs w:val="20"/>
          <w:lang w:val="es-AR"/>
        </w:rPr>
        <w:t>Son contribuyentes del ITGB las personas físicas y las personas jurídicas beneficiarias de una transmisión gratuita de bienes;</w:t>
      </w:r>
    </w:p>
    <w:p w14:paraId="01506B54" w14:textId="77777777" w:rsidR="00D354AB" w:rsidRPr="00D354AB" w:rsidRDefault="00D354AB" w:rsidP="00D354AB">
      <w:pPr>
        <w:jc w:val="both"/>
        <w:rPr>
          <w:sz w:val="20"/>
          <w:szCs w:val="20"/>
          <w:lang w:val="es-AR"/>
        </w:rPr>
      </w:pPr>
    </w:p>
    <w:p w14:paraId="0532355C" w14:textId="77777777" w:rsidR="00D354AB" w:rsidRPr="00D354AB" w:rsidRDefault="00D354AB" w:rsidP="00D354AB">
      <w:pPr>
        <w:numPr>
          <w:ilvl w:val="0"/>
          <w:numId w:val="48"/>
        </w:numPr>
        <w:jc w:val="both"/>
        <w:rPr>
          <w:sz w:val="20"/>
          <w:szCs w:val="20"/>
          <w:lang w:val="es-AR"/>
        </w:rPr>
      </w:pPr>
      <w:r w:rsidRPr="00D354AB">
        <w:rPr>
          <w:sz w:val="20"/>
          <w:szCs w:val="20"/>
          <w:lang w:val="es-AR"/>
        </w:rPr>
        <w:t>Para los contribuyentes domiciliados en la Provincia de Buenos Aires, el ITGB recae sobre el monto total del enriquecimiento gratuito, tanto por los bienes situados en dicha provincia como fuera de ella. En cambio, para los sujetos domiciliados fuera de la Provincia de Buenos Aires, el ITGB recae únicamente sobre el enriquecimiento gratuito originado por la transmisión de los bienes situados en la Provincia de Buenos Aires.</w:t>
      </w:r>
    </w:p>
    <w:p w14:paraId="7235B49B" w14:textId="77777777" w:rsidR="00D354AB" w:rsidRPr="00D354AB" w:rsidRDefault="00D354AB" w:rsidP="00D354AB">
      <w:pPr>
        <w:jc w:val="both"/>
        <w:rPr>
          <w:sz w:val="20"/>
          <w:szCs w:val="20"/>
          <w:lang w:val="es-AR"/>
        </w:rPr>
      </w:pPr>
    </w:p>
    <w:p w14:paraId="115E8DC3" w14:textId="77777777" w:rsidR="00D354AB" w:rsidRPr="00D354AB" w:rsidRDefault="00D354AB" w:rsidP="00D354AB">
      <w:pPr>
        <w:numPr>
          <w:ilvl w:val="0"/>
          <w:numId w:val="48"/>
        </w:numPr>
        <w:jc w:val="both"/>
        <w:rPr>
          <w:sz w:val="20"/>
          <w:szCs w:val="20"/>
          <w:lang w:val="es-AR"/>
        </w:rPr>
      </w:pPr>
      <w:r w:rsidRPr="00D354AB">
        <w:rPr>
          <w:sz w:val="20"/>
          <w:szCs w:val="20"/>
          <w:lang w:val="es-AR"/>
        </w:rPr>
        <w:t>Se consideran situados en la Provincia de Buenos Aires, entre otros supuestos, (i) los títulos y las acciones, cuotas o participaciones sociales y otros valores mobiliarios representativos de su capital, emitidos por entes públicos o privados y por sociedades, cuando éstos estuvieren domiciliados en la Provincia de Buenos Aires; (ii) los títulos, acciones y demás valores mobiliarios que se encuentren en la Provincia de Buenos Aires al tiempo de la transmisión, emitidos por entes privados o sociedades domiciliados en otra jurisdicción; y (iii) los títulos, acciones y otros valores mobiliarios representativos de capital social o equivalente que al tiempo de la transmisión se hallaren en otra jurisdicción, emitidos por entes o sociedades domiciliados también en otra jurisdicción, en proporción a los bienes de los emisores que se encontraren en la Provincia de Buenos Aires.</w:t>
      </w:r>
    </w:p>
    <w:p w14:paraId="73713832" w14:textId="77777777" w:rsidR="00D354AB" w:rsidRPr="00D354AB" w:rsidRDefault="00D354AB" w:rsidP="00D354AB">
      <w:pPr>
        <w:jc w:val="both"/>
        <w:rPr>
          <w:sz w:val="20"/>
          <w:szCs w:val="20"/>
          <w:lang w:val="es-AR"/>
        </w:rPr>
      </w:pPr>
    </w:p>
    <w:p w14:paraId="5985C582" w14:textId="77777777" w:rsidR="00D354AB" w:rsidRPr="00D354AB" w:rsidRDefault="00D354AB" w:rsidP="00D354AB">
      <w:pPr>
        <w:numPr>
          <w:ilvl w:val="0"/>
          <w:numId w:val="48"/>
        </w:numPr>
        <w:jc w:val="both"/>
        <w:rPr>
          <w:sz w:val="20"/>
          <w:szCs w:val="20"/>
          <w:lang w:val="es-AR"/>
        </w:rPr>
      </w:pPr>
      <w:r w:rsidRPr="00D354AB">
        <w:rPr>
          <w:sz w:val="20"/>
          <w:szCs w:val="20"/>
          <w:lang w:val="es-AR"/>
        </w:rPr>
        <w:t xml:space="preserve">No están alcanzadas por el ITGB las transmisiones gratuitas de bienes cuando su valor en conjunto sea igual o inferior a $269.000 monto que se elevará a $1.120.000 cuando se trate de padres, hijos y cónyuges; </w:t>
      </w:r>
    </w:p>
    <w:p w14:paraId="7BF6E311" w14:textId="77777777" w:rsidR="00D354AB" w:rsidRPr="00D354AB" w:rsidRDefault="00D354AB" w:rsidP="00D354AB">
      <w:pPr>
        <w:jc w:val="both"/>
        <w:rPr>
          <w:sz w:val="20"/>
          <w:szCs w:val="20"/>
          <w:lang w:val="es-AR"/>
        </w:rPr>
      </w:pPr>
    </w:p>
    <w:p w14:paraId="4971F105" w14:textId="77777777" w:rsidR="00D354AB" w:rsidRPr="00D354AB" w:rsidRDefault="00D354AB" w:rsidP="00D354AB">
      <w:pPr>
        <w:numPr>
          <w:ilvl w:val="0"/>
          <w:numId w:val="48"/>
        </w:numPr>
        <w:jc w:val="both"/>
        <w:rPr>
          <w:sz w:val="20"/>
          <w:szCs w:val="20"/>
          <w:lang w:val="es-AR"/>
        </w:rPr>
      </w:pPr>
      <w:r w:rsidRPr="00D354AB">
        <w:rPr>
          <w:sz w:val="20"/>
          <w:szCs w:val="20"/>
          <w:lang w:val="es-AR"/>
        </w:rPr>
        <w:t>En cuanto a las alícuotas, se han previsto escalas progresivas del 1,6026% al 8,7840% según el grado de parentesco y la base imponible involucrada.</w:t>
      </w:r>
    </w:p>
    <w:p w14:paraId="333831BF" w14:textId="77777777" w:rsidR="00D354AB" w:rsidRPr="00D354AB" w:rsidRDefault="00D354AB" w:rsidP="00D354AB">
      <w:pPr>
        <w:jc w:val="both"/>
        <w:rPr>
          <w:sz w:val="20"/>
          <w:szCs w:val="20"/>
          <w:lang w:val="es-AR"/>
        </w:rPr>
      </w:pPr>
    </w:p>
    <w:p w14:paraId="0DD93991" w14:textId="77777777" w:rsidR="00D354AB" w:rsidRPr="00D354AB" w:rsidRDefault="00D354AB" w:rsidP="00D354AB">
      <w:pPr>
        <w:ind w:right="51"/>
        <w:jc w:val="both"/>
        <w:rPr>
          <w:sz w:val="20"/>
          <w:szCs w:val="20"/>
          <w:lang w:val="es-AR"/>
        </w:rPr>
      </w:pPr>
      <w:r w:rsidRPr="00D354AB">
        <w:rPr>
          <w:sz w:val="20"/>
          <w:szCs w:val="20"/>
          <w:lang w:val="es-AR"/>
        </w:rPr>
        <w:t>En función de lo precedentemente expuesto, la transmisión gratuita de obligaciones negociables podría estar alcanzada por el ITGB en la medida que forme parte de transmisiones gratuitas de bienes cuyos valores en conjunto -sin computar las deducciones, exenciones ni exclusiones- sean superiores a AR$ $269.000 o AR$ $1.120.000 cuando se trate de padres, hijos y cónyuges.</w:t>
      </w:r>
    </w:p>
    <w:p w14:paraId="61822699" w14:textId="77777777" w:rsidR="00D354AB" w:rsidRPr="00D354AB" w:rsidRDefault="00D354AB" w:rsidP="00D354AB">
      <w:pPr>
        <w:ind w:right="51"/>
        <w:jc w:val="both"/>
        <w:rPr>
          <w:sz w:val="20"/>
          <w:szCs w:val="20"/>
          <w:lang w:val="es-AR"/>
        </w:rPr>
      </w:pPr>
    </w:p>
    <w:p w14:paraId="590F9AE4" w14:textId="77777777" w:rsidR="00D354AB" w:rsidRPr="00D354AB" w:rsidRDefault="00D354AB" w:rsidP="00D354AB">
      <w:pPr>
        <w:jc w:val="both"/>
        <w:rPr>
          <w:sz w:val="20"/>
          <w:szCs w:val="20"/>
          <w:lang w:val="es-AR"/>
        </w:rPr>
      </w:pPr>
    </w:p>
    <w:p w14:paraId="46B5F877" w14:textId="77777777" w:rsidR="00D354AB" w:rsidRPr="00D354AB" w:rsidRDefault="00D354AB" w:rsidP="00D354AB">
      <w:pPr>
        <w:jc w:val="both"/>
        <w:rPr>
          <w:b/>
          <w:bCs/>
          <w:i/>
          <w:iCs/>
          <w:sz w:val="20"/>
          <w:szCs w:val="20"/>
          <w:lang w:val="es-AR"/>
        </w:rPr>
      </w:pPr>
      <w:r w:rsidRPr="00D354AB">
        <w:rPr>
          <w:b/>
          <w:bCs/>
          <w:i/>
          <w:iCs/>
          <w:sz w:val="20"/>
          <w:szCs w:val="20"/>
          <w:lang w:val="es-AR"/>
        </w:rPr>
        <w:t xml:space="preserve">Ingreso de fondos provenientes de jurisdicciones no cooperantes </w:t>
      </w:r>
    </w:p>
    <w:p w14:paraId="4E09CCB0" w14:textId="77777777" w:rsidR="00D354AB" w:rsidRPr="00D354AB" w:rsidRDefault="00D354AB" w:rsidP="00D354AB">
      <w:pPr>
        <w:jc w:val="both"/>
        <w:rPr>
          <w:b/>
          <w:bCs/>
          <w:sz w:val="20"/>
          <w:szCs w:val="20"/>
          <w:highlight w:val="yellow"/>
          <w:lang w:val="es-AR"/>
        </w:rPr>
      </w:pPr>
    </w:p>
    <w:p w14:paraId="68FE6582" w14:textId="77777777" w:rsidR="00D354AB" w:rsidRPr="00D354AB" w:rsidRDefault="00D354AB" w:rsidP="00D354AB">
      <w:pPr>
        <w:jc w:val="both"/>
        <w:rPr>
          <w:sz w:val="20"/>
          <w:szCs w:val="20"/>
          <w:lang w:val="es-AR"/>
        </w:rPr>
      </w:pPr>
      <w:r w:rsidRPr="00D354AB">
        <w:rPr>
          <w:sz w:val="20"/>
          <w:szCs w:val="20"/>
          <w:lang w:val="es-ES"/>
        </w:rPr>
        <w:t>De acuerdo a lo previsto por el segundo artículo agregado a continuación del artículo 15 de la Ley de Impuesto a las Ganancias, se entiende por “jurisdicciones no cooperantes” a aquellos países o jurisdicciones que no tengan vigente con la República Argentina un acuerdo de intercambio de información en materia tributaria o un convenio para evitar la doble imposición internacional con cláusula amplia de intercambio de información. Asimismo, se consideran como no cooperantes aquellos países que, teniendo vigente un acuerdo con los alcances definidos, no cumplan efectivamente con el intercambio de información.</w:t>
      </w:r>
    </w:p>
    <w:p w14:paraId="028929CF" w14:textId="77777777" w:rsidR="00D354AB" w:rsidRPr="00D354AB" w:rsidRDefault="00D354AB" w:rsidP="00D354AB">
      <w:pPr>
        <w:jc w:val="both"/>
        <w:rPr>
          <w:sz w:val="20"/>
          <w:szCs w:val="20"/>
          <w:lang w:val="es-AR"/>
        </w:rPr>
      </w:pPr>
    </w:p>
    <w:p w14:paraId="6315AE28" w14:textId="77777777" w:rsidR="00D354AB" w:rsidRPr="00D354AB" w:rsidRDefault="00D354AB" w:rsidP="00D354AB">
      <w:pPr>
        <w:jc w:val="both"/>
        <w:rPr>
          <w:sz w:val="20"/>
          <w:szCs w:val="20"/>
          <w:lang w:val="es-AR"/>
        </w:rPr>
      </w:pPr>
      <w:r w:rsidRPr="00D354AB">
        <w:rPr>
          <w:sz w:val="20"/>
          <w:szCs w:val="20"/>
          <w:lang w:val="es-AR"/>
        </w:rPr>
        <w:t>Mediante el artículo 7 del Decreto N°279/2018 se estableció que hasta tanto se reglamente el segundo artículo sin número agregado a continuación del artículo 15 de la Ley de Impuesto a las Ganancias, para determinar si una jurisdicción es “cooperante” se verificará si está incluida en el listado vigente publicado por la AFIP en el marco del Decreto N°589/2013 (</w:t>
      </w:r>
      <w:hyperlink r:id="rId52" w:anchor="ver" w:history="1">
        <w:r w:rsidRPr="00D354AB">
          <w:rPr>
            <w:rStyle w:val="Hipervnculo"/>
            <w:sz w:val="20"/>
            <w:szCs w:val="20"/>
            <w:lang w:val="es-AR"/>
          </w:rPr>
          <w:t>http://www.afip.gob.ar/jurisdiccionesCooperantes/#ver</w:t>
        </w:r>
      </w:hyperlink>
      <w:r w:rsidRPr="00D354AB">
        <w:rPr>
          <w:sz w:val="20"/>
          <w:szCs w:val="20"/>
          <w:lang w:val="es-AR"/>
        </w:rPr>
        <w:t>).</w:t>
      </w:r>
    </w:p>
    <w:p w14:paraId="51C72B12" w14:textId="77777777" w:rsidR="00D354AB" w:rsidRPr="00D354AB" w:rsidRDefault="00D354AB" w:rsidP="00D354AB">
      <w:pPr>
        <w:jc w:val="both"/>
        <w:rPr>
          <w:sz w:val="20"/>
          <w:szCs w:val="20"/>
          <w:lang w:val="es-AR"/>
        </w:rPr>
      </w:pPr>
    </w:p>
    <w:p w14:paraId="60CC29A7" w14:textId="77777777" w:rsidR="00D354AB" w:rsidRPr="00D354AB" w:rsidRDefault="00D354AB" w:rsidP="00D354AB">
      <w:pPr>
        <w:pStyle w:val="Default"/>
        <w:jc w:val="both"/>
        <w:rPr>
          <w:sz w:val="20"/>
          <w:szCs w:val="20"/>
        </w:rPr>
      </w:pPr>
      <w:r w:rsidRPr="00D354AB">
        <w:rPr>
          <w:sz w:val="20"/>
          <w:szCs w:val="20"/>
        </w:rPr>
        <w:lastRenderedPageBreak/>
        <w:t>Por su parte, el segundo artículo agregado a continuación del artículo 15 de la Ley de Impuesto a las Ganancias establece que cualquier referencia efectuada a “jurisdicciones de baja o nula tributación”, deberá entenderse referida a aquellos países, dominios, jurisdicciones, territorios, estados asociados o regímenes tributarios especiales que establezcan una tributación máxima a la renta empresaria inferior al sesenta por ciento (60%) de la alícuota contemplada en el inciso a) del artículo 69 de dicha ley.</w:t>
      </w:r>
    </w:p>
    <w:p w14:paraId="1366DCE3" w14:textId="77777777" w:rsidR="00D354AB" w:rsidRPr="00D354AB" w:rsidRDefault="00D354AB" w:rsidP="00D354AB">
      <w:pPr>
        <w:jc w:val="both"/>
        <w:rPr>
          <w:sz w:val="20"/>
          <w:szCs w:val="20"/>
          <w:lang w:val="es-AR"/>
        </w:rPr>
      </w:pPr>
    </w:p>
    <w:p w14:paraId="6C34B58C" w14:textId="77777777" w:rsidR="00D354AB" w:rsidRPr="00D354AB" w:rsidRDefault="00D354AB" w:rsidP="00D354AB">
      <w:pPr>
        <w:jc w:val="both"/>
        <w:rPr>
          <w:sz w:val="20"/>
          <w:szCs w:val="20"/>
          <w:lang w:val="es-AR"/>
        </w:rPr>
      </w:pPr>
      <w:r w:rsidRPr="00D354AB">
        <w:rPr>
          <w:sz w:val="20"/>
          <w:szCs w:val="20"/>
          <w:lang w:val="es-AR"/>
        </w:rPr>
        <w:t xml:space="preserve">Conforme la presunción legal prevista por el artículo 18.1 de la Ley Nº 11.683 y sus modificaciones, los fondos provenientes de jurisdicciones baja o nula tributación serán gravados de la siguiente manera: </w:t>
      </w:r>
    </w:p>
    <w:p w14:paraId="3D25A7D5" w14:textId="77777777" w:rsidR="00D354AB" w:rsidRPr="00D354AB" w:rsidRDefault="00D354AB" w:rsidP="00D354AB">
      <w:pPr>
        <w:jc w:val="both"/>
        <w:rPr>
          <w:sz w:val="20"/>
          <w:szCs w:val="20"/>
          <w:lang w:val="es-AR"/>
        </w:rPr>
      </w:pPr>
    </w:p>
    <w:p w14:paraId="68A4667A" w14:textId="77777777" w:rsidR="00D354AB" w:rsidRPr="00D354AB" w:rsidRDefault="00D354AB" w:rsidP="00D354AB">
      <w:pPr>
        <w:numPr>
          <w:ilvl w:val="0"/>
          <w:numId w:val="49"/>
        </w:numPr>
        <w:jc w:val="both"/>
        <w:rPr>
          <w:sz w:val="20"/>
          <w:szCs w:val="20"/>
          <w:lang w:val="es-AR"/>
        </w:rPr>
      </w:pPr>
      <w:r w:rsidRPr="00D354AB">
        <w:rPr>
          <w:sz w:val="20"/>
          <w:szCs w:val="20"/>
          <w:lang w:val="es-AR"/>
        </w:rPr>
        <w:t>Con el impuesto a las ganancias, a una tasa del 30%, aplicada sobre el 110% del monto de los fondos transferidos.</w:t>
      </w:r>
    </w:p>
    <w:p w14:paraId="05FC36D5" w14:textId="77777777" w:rsidR="00D354AB" w:rsidRPr="00D354AB" w:rsidRDefault="00D354AB" w:rsidP="00D354AB">
      <w:pPr>
        <w:jc w:val="both"/>
        <w:rPr>
          <w:sz w:val="20"/>
          <w:szCs w:val="20"/>
          <w:lang w:val="es-AR"/>
        </w:rPr>
      </w:pPr>
    </w:p>
    <w:p w14:paraId="37D03B0F" w14:textId="77777777" w:rsidR="00D354AB" w:rsidRPr="00D354AB" w:rsidRDefault="00D354AB" w:rsidP="00D354AB">
      <w:pPr>
        <w:numPr>
          <w:ilvl w:val="0"/>
          <w:numId w:val="49"/>
        </w:numPr>
        <w:jc w:val="both"/>
        <w:rPr>
          <w:sz w:val="20"/>
          <w:szCs w:val="20"/>
          <w:lang w:val="es-AR"/>
        </w:rPr>
      </w:pPr>
      <w:r w:rsidRPr="00D354AB">
        <w:rPr>
          <w:sz w:val="20"/>
          <w:szCs w:val="20"/>
          <w:lang w:val="es-AR"/>
        </w:rPr>
        <w:t>Con el impuesto al valor agregado, a una tasa del 21%, aplicada sobre valor estimado de las operaciones gravadas omitidas (se utilizará el 110% del monto de los fondos recibidos como base para su cálculo).</w:t>
      </w:r>
    </w:p>
    <w:p w14:paraId="4A767255" w14:textId="77777777" w:rsidR="00D354AB" w:rsidRPr="00D354AB" w:rsidRDefault="00D354AB" w:rsidP="00D354AB">
      <w:pPr>
        <w:jc w:val="both"/>
        <w:rPr>
          <w:sz w:val="20"/>
          <w:szCs w:val="20"/>
          <w:lang w:val="es-AR"/>
        </w:rPr>
      </w:pPr>
    </w:p>
    <w:p w14:paraId="3D0D1673" w14:textId="77777777" w:rsidR="00D354AB" w:rsidRPr="00D354AB" w:rsidRDefault="00D354AB" w:rsidP="00D354AB">
      <w:pPr>
        <w:jc w:val="both"/>
        <w:rPr>
          <w:sz w:val="20"/>
          <w:szCs w:val="20"/>
          <w:lang w:val="es-AR"/>
        </w:rPr>
      </w:pPr>
      <w:r w:rsidRPr="00D354AB">
        <w:rPr>
          <w:sz w:val="20"/>
          <w:szCs w:val="20"/>
          <w:lang w:val="es-AR"/>
        </w:rPr>
        <w:t xml:space="preserve">Aunque el significado del concepto ingresos provenientes no está claro, podría interpretarse como cualquier transferencia de fondos: </w:t>
      </w:r>
    </w:p>
    <w:p w14:paraId="3A22FF03" w14:textId="77777777" w:rsidR="00D354AB" w:rsidRPr="00D354AB" w:rsidRDefault="00D354AB" w:rsidP="00D354AB">
      <w:pPr>
        <w:jc w:val="both"/>
        <w:rPr>
          <w:sz w:val="20"/>
          <w:szCs w:val="20"/>
          <w:lang w:val="es-AR"/>
        </w:rPr>
      </w:pPr>
    </w:p>
    <w:p w14:paraId="6B9DE9A2" w14:textId="77777777" w:rsidR="00D354AB" w:rsidRPr="00D354AB" w:rsidRDefault="00D354AB" w:rsidP="00D354AB">
      <w:pPr>
        <w:numPr>
          <w:ilvl w:val="0"/>
          <w:numId w:val="50"/>
        </w:numPr>
        <w:jc w:val="both"/>
        <w:rPr>
          <w:sz w:val="20"/>
          <w:szCs w:val="20"/>
          <w:lang w:val="es-AR"/>
        </w:rPr>
      </w:pPr>
      <w:r w:rsidRPr="00D354AB">
        <w:rPr>
          <w:sz w:val="20"/>
          <w:szCs w:val="20"/>
          <w:lang w:val="es-AR"/>
        </w:rPr>
        <w:t>Desde una cuenta en un país no cooperador o desde una cuenta bancaria abierta fuera de un país no cooperador pero cuyo titular sea una entidad localizada en un país no cooperador.</w:t>
      </w:r>
    </w:p>
    <w:p w14:paraId="2418DA00" w14:textId="77777777" w:rsidR="00D354AB" w:rsidRPr="00D354AB" w:rsidRDefault="00D354AB" w:rsidP="00D354AB">
      <w:pPr>
        <w:jc w:val="both"/>
        <w:rPr>
          <w:sz w:val="20"/>
          <w:szCs w:val="20"/>
          <w:lang w:val="es-AR"/>
        </w:rPr>
      </w:pPr>
    </w:p>
    <w:p w14:paraId="686FE613" w14:textId="77777777" w:rsidR="00D354AB" w:rsidRPr="00D354AB" w:rsidRDefault="00D354AB" w:rsidP="00D354AB">
      <w:pPr>
        <w:numPr>
          <w:ilvl w:val="0"/>
          <w:numId w:val="50"/>
        </w:numPr>
        <w:jc w:val="both"/>
        <w:rPr>
          <w:sz w:val="20"/>
          <w:szCs w:val="20"/>
          <w:lang w:val="es-AR"/>
        </w:rPr>
      </w:pPr>
      <w:r w:rsidRPr="00D354AB">
        <w:rPr>
          <w:sz w:val="20"/>
          <w:szCs w:val="20"/>
          <w:lang w:val="es-AR"/>
        </w:rPr>
        <w:t>A una cuenta bancaria localizada en Argentina o una cuenta bancaria abierta fuera de Argentina, pero cuyo titular sea un sujeto residente en Argentina para los efectos fiscales.</w:t>
      </w:r>
    </w:p>
    <w:p w14:paraId="27DA49F6" w14:textId="77777777" w:rsidR="00D354AB" w:rsidRPr="00D354AB" w:rsidRDefault="00D354AB" w:rsidP="00D354AB">
      <w:pPr>
        <w:jc w:val="both"/>
        <w:rPr>
          <w:sz w:val="20"/>
          <w:szCs w:val="20"/>
          <w:lang w:val="es-AR"/>
        </w:rPr>
      </w:pPr>
    </w:p>
    <w:p w14:paraId="7C541AC9" w14:textId="77777777" w:rsidR="00D354AB" w:rsidRPr="00D354AB" w:rsidRDefault="00D354AB" w:rsidP="00D354AB">
      <w:pPr>
        <w:jc w:val="both"/>
        <w:rPr>
          <w:sz w:val="20"/>
          <w:szCs w:val="20"/>
          <w:lang w:val="es-AR"/>
        </w:rPr>
      </w:pPr>
      <w:r w:rsidRPr="00D354AB">
        <w:rPr>
          <w:sz w:val="20"/>
          <w:szCs w:val="20"/>
          <w:lang w:val="es-AR"/>
        </w:rPr>
        <w:t>El sujeto local o receptor local de los fondos puede refutar dicha presunción legal probando debidamente ante la Autoridad Impositiva que los fondos provienen de actividades efectivamente realizadas por el contribuyente argentino o por una tercera persona en dicha jurisdicción o que dichos fondos fueron declarados con anterioridad.</w:t>
      </w:r>
    </w:p>
    <w:p w14:paraId="4194889B" w14:textId="77777777" w:rsidR="00D354AB" w:rsidRPr="00D354AB" w:rsidRDefault="00D354AB" w:rsidP="00D354AB">
      <w:pPr>
        <w:ind w:right="51"/>
        <w:jc w:val="both"/>
        <w:rPr>
          <w:i/>
          <w:iCs/>
          <w:sz w:val="20"/>
          <w:szCs w:val="20"/>
          <w:lang w:val="es-AR"/>
        </w:rPr>
      </w:pPr>
    </w:p>
    <w:p w14:paraId="7A497840" w14:textId="77777777" w:rsidR="00D354AB" w:rsidRPr="00D354AB" w:rsidRDefault="00D354AB" w:rsidP="00D354AB">
      <w:pPr>
        <w:ind w:right="51"/>
        <w:jc w:val="both"/>
        <w:rPr>
          <w:b/>
          <w:bCs/>
          <w:i/>
          <w:iCs/>
          <w:sz w:val="20"/>
          <w:szCs w:val="20"/>
          <w:lang w:val="es-AR"/>
        </w:rPr>
      </w:pPr>
      <w:r w:rsidRPr="00D354AB">
        <w:rPr>
          <w:b/>
          <w:bCs/>
          <w:i/>
          <w:iCs/>
          <w:sz w:val="20"/>
          <w:szCs w:val="20"/>
          <w:lang w:val="es-AR"/>
        </w:rPr>
        <w:t>Convenios para evitar la doble imposición internacional</w:t>
      </w:r>
    </w:p>
    <w:p w14:paraId="6F971633" w14:textId="77777777" w:rsidR="00D354AB" w:rsidRPr="00D354AB" w:rsidRDefault="00D354AB" w:rsidP="00D354AB">
      <w:pPr>
        <w:ind w:right="51"/>
        <w:jc w:val="both"/>
        <w:rPr>
          <w:sz w:val="20"/>
          <w:szCs w:val="20"/>
          <w:lang w:val="es-AR"/>
        </w:rPr>
      </w:pPr>
    </w:p>
    <w:p w14:paraId="123B928C" w14:textId="77777777" w:rsidR="00D354AB" w:rsidRPr="00D354AB" w:rsidRDefault="00D354AB" w:rsidP="00D354AB">
      <w:pPr>
        <w:ind w:right="51"/>
        <w:jc w:val="both"/>
        <w:rPr>
          <w:sz w:val="20"/>
          <w:szCs w:val="20"/>
          <w:lang w:val="es-MX"/>
        </w:rPr>
      </w:pPr>
      <w:r w:rsidRPr="00D354AB">
        <w:rPr>
          <w:sz w:val="20"/>
          <w:szCs w:val="20"/>
          <w:lang w:val="es-MX"/>
        </w:rPr>
        <w:t>Argentina ha celebrado convenios para evitar la doble imposición con varios países (Alemania, Australia, Bélgica, Bolivia, Brasil, Canadá, Chile, China, Dinamarca, Emiratos Árabes Unidos, España, Finlandia, Francia, Italia, Japón, Luxemburgo, México, Noruega, Países Bajos, Qatar, Reino Unido, Rusia, Suecia, Suiza y Uruguay). Los convenios firmados con China, Japón, Luxemburgo, Qatar y Turquía no han entrado en vigor por estar aún pendiente el cumplimiento de los requisitos previstos en las respectivas legislaciones internas.</w:t>
      </w:r>
    </w:p>
    <w:p w14:paraId="1271CD9E" w14:textId="77777777" w:rsidR="00D354AB" w:rsidRPr="00D354AB" w:rsidRDefault="00D354AB" w:rsidP="00D354AB">
      <w:pPr>
        <w:ind w:right="51"/>
        <w:jc w:val="both"/>
        <w:rPr>
          <w:sz w:val="20"/>
          <w:szCs w:val="20"/>
          <w:lang w:val="es-AR"/>
        </w:rPr>
      </w:pPr>
    </w:p>
    <w:p w14:paraId="32E9E830" w14:textId="77777777" w:rsidR="00D354AB" w:rsidRPr="00D354AB" w:rsidRDefault="00D354AB" w:rsidP="00D354AB">
      <w:pPr>
        <w:ind w:right="51"/>
        <w:jc w:val="both"/>
        <w:rPr>
          <w:sz w:val="20"/>
          <w:szCs w:val="20"/>
          <w:lang w:val="es-AR"/>
        </w:rPr>
      </w:pPr>
    </w:p>
    <w:p w14:paraId="527D3F58" w14:textId="77777777" w:rsidR="00D354AB" w:rsidRPr="00D354AB" w:rsidRDefault="00D354AB" w:rsidP="00D354AB">
      <w:pPr>
        <w:ind w:right="51"/>
        <w:jc w:val="both"/>
        <w:rPr>
          <w:b/>
          <w:bCs/>
          <w:i/>
          <w:iCs/>
          <w:sz w:val="20"/>
          <w:szCs w:val="20"/>
          <w:lang w:val="es-AR"/>
        </w:rPr>
      </w:pPr>
      <w:r w:rsidRPr="00D354AB">
        <w:rPr>
          <w:b/>
          <w:bCs/>
          <w:i/>
          <w:iCs/>
          <w:sz w:val="20"/>
          <w:szCs w:val="20"/>
          <w:lang w:val="es-AR"/>
        </w:rPr>
        <w:t>Cooperación en materia tributaria entre la República Argentina y otros países. Resolución General 631/2014 de la CNV</w:t>
      </w:r>
    </w:p>
    <w:p w14:paraId="29F3FEDE" w14:textId="77777777" w:rsidR="00D354AB" w:rsidRPr="00D354AB" w:rsidRDefault="00D354AB" w:rsidP="00D354AB">
      <w:pPr>
        <w:ind w:right="51"/>
        <w:jc w:val="both"/>
        <w:rPr>
          <w:i/>
          <w:iCs/>
          <w:sz w:val="20"/>
          <w:szCs w:val="20"/>
          <w:lang w:val="es-AR"/>
        </w:rPr>
      </w:pPr>
    </w:p>
    <w:p w14:paraId="108553B5" w14:textId="77777777" w:rsidR="00D354AB" w:rsidRPr="00E475BB" w:rsidRDefault="00D354AB" w:rsidP="00D354AB">
      <w:pPr>
        <w:jc w:val="both"/>
        <w:rPr>
          <w:rStyle w:val="characterstyle1"/>
          <w:spacing w:val="-5"/>
          <w:sz w:val="20"/>
          <w:szCs w:val="20"/>
          <w:lang w:val="es-MX"/>
        </w:rPr>
      </w:pPr>
      <w:r w:rsidRPr="00D354AB">
        <w:rPr>
          <w:rStyle w:val="characterstyle1"/>
          <w:spacing w:val="-5"/>
          <w:sz w:val="20"/>
          <w:szCs w:val="20"/>
          <w:lang w:val="es-AR"/>
        </w:rPr>
        <w:t>En el marco del compromiso que ha asumido la República Argentina a través de la suscripción de la “Declaración sobre intercambio Automático de Información en Asuntos Fiscales” para implementar tempranamente el nuevo estándar referido al intercambio de información de cuentas financieras desarrollado por la OCDE, adoptada en la Reunión Ministerial de esa Organización de fecha 6 de mayo de 2014 y las disposiciones vinculadas a la Ley de Cumplimiento Fiscal de Cuentas Extranjeras (“</w:t>
      </w:r>
      <w:r w:rsidRPr="00D354AB">
        <w:rPr>
          <w:rStyle w:val="characterstyle1"/>
          <w:i/>
          <w:iCs/>
          <w:spacing w:val="-5"/>
          <w:sz w:val="20"/>
          <w:szCs w:val="20"/>
          <w:lang w:val="es-AR"/>
        </w:rPr>
        <w:t>Foreign Account Tax Compliance Act</w:t>
      </w:r>
      <w:r w:rsidRPr="00D354AB">
        <w:rPr>
          <w:rStyle w:val="characterstyle1"/>
          <w:spacing w:val="-5"/>
          <w:sz w:val="20"/>
          <w:szCs w:val="20"/>
          <w:lang w:val="es-AR"/>
        </w:rPr>
        <w:t>” FATCA) de los Estados Unidos de América, la Comisión Nacional de Valores, mediante Resolución General 631/2014 del 18/09/2014, ha dispuesto que los agentes registrados deberán arbitrar las medidas necesarias para identificar los titulares de cuentas alcanzados por dicho estándar (no residentes). A esos efectos, los legajos de tales clientes en poder de los agentes registrados deberán incluir en el caso de personas físicas la información sobre nacionalidad, país de residencia fiscal y número de identificación fiscal en ese país, domicilio y lugar y fecha de nacimiento. En el caso de las personas jurídicas y otros entes, la información deberá comprender país de residencia fiscal, número de identificación fiscal en ese país y domicilio.</w:t>
      </w:r>
    </w:p>
    <w:p w14:paraId="65E8FE0D" w14:textId="77777777" w:rsidR="00D354AB" w:rsidRPr="00D354AB" w:rsidRDefault="00D354AB" w:rsidP="00D354AB">
      <w:pPr>
        <w:jc w:val="both"/>
        <w:rPr>
          <w:rStyle w:val="characterstyle1"/>
          <w:spacing w:val="-5"/>
          <w:sz w:val="20"/>
          <w:szCs w:val="20"/>
          <w:lang w:val="es-AR"/>
        </w:rPr>
      </w:pPr>
    </w:p>
    <w:p w14:paraId="36671483" w14:textId="77777777" w:rsidR="00D354AB" w:rsidRPr="00D354AB" w:rsidRDefault="00D354AB" w:rsidP="00D354AB">
      <w:pPr>
        <w:spacing w:line="276" w:lineRule="auto"/>
        <w:jc w:val="both"/>
        <w:rPr>
          <w:rStyle w:val="characterstyle1"/>
          <w:spacing w:val="-5"/>
          <w:sz w:val="20"/>
          <w:szCs w:val="20"/>
          <w:lang w:val="es-AR"/>
        </w:rPr>
      </w:pPr>
      <w:r w:rsidRPr="00D354AB">
        <w:rPr>
          <w:rStyle w:val="characterstyle1"/>
          <w:spacing w:val="-5"/>
          <w:sz w:val="20"/>
          <w:szCs w:val="20"/>
          <w:lang w:val="es-AR"/>
        </w:rPr>
        <w:t>La información debe ser presentada ante la AFIP en los términos indicados, de acuerdo con el régimen que esa Administración ha establecido por la RG 4056/2017.</w:t>
      </w:r>
    </w:p>
    <w:p w14:paraId="2B8AACA0" w14:textId="77777777" w:rsidR="00D354AB" w:rsidRPr="00D354AB" w:rsidRDefault="00D354AB" w:rsidP="00D354AB">
      <w:pPr>
        <w:jc w:val="both"/>
        <w:rPr>
          <w:rStyle w:val="characterstyle1"/>
          <w:i/>
          <w:spacing w:val="-5"/>
          <w:sz w:val="20"/>
          <w:szCs w:val="20"/>
          <w:lang w:val="es-AR"/>
        </w:rPr>
      </w:pPr>
    </w:p>
    <w:p w14:paraId="020D3119" w14:textId="77777777" w:rsidR="00D354AB" w:rsidRPr="00D354AB" w:rsidRDefault="00D354AB" w:rsidP="00D354AB">
      <w:pPr>
        <w:jc w:val="both"/>
        <w:rPr>
          <w:rStyle w:val="characterstyle1"/>
          <w:i/>
          <w:spacing w:val="-5"/>
          <w:sz w:val="20"/>
          <w:szCs w:val="20"/>
          <w:lang w:val="es-AR"/>
        </w:rPr>
      </w:pPr>
      <w:r w:rsidRPr="00D354AB">
        <w:rPr>
          <w:rStyle w:val="characterstyle1"/>
          <w:i/>
          <w:spacing w:val="-5"/>
          <w:sz w:val="20"/>
          <w:szCs w:val="20"/>
          <w:lang w:val="es-AR"/>
        </w:rPr>
        <w:t>El resumen anterior no tiene por objeto constituir un análisis completo de todas las consecuencias impositivas relacionadas con la tenencia o disposición de las obligaciones negociables. Se aconseja a los tenedores y posibles compradores consultar con sus respectivos asesores impositivos acerca de las consecuencias impositivas en cada caso particular.</w:t>
      </w:r>
    </w:p>
    <w:p w14:paraId="4F213DAF" w14:textId="77777777" w:rsidR="00D354AB" w:rsidRPr="00C436CD" w:rsidRDefault="00D354AB" w:rsidP="00C436CD">
      <w:pPr>
        <w:rPr>
          <w:sz w:val="20"/>
          <w:lang w:val="es-AR"/>
        </w:rPr>
      </w:pPr>
    </w:p>
    <w:p w14:paraId="4D584B6F" w14:textId="77777777" w:rsidR="00EF0262" w:rsidRPr="00D354AB" w:rsidRDefault="00EF0262" w:rsidP="007D1CA9">
      <w:pPr>
        <w:pStyle w:val="Default"/>
        <w:rPr>
          <w:sz w:val="20"/>
          <w:szCs w:val="20"/>
        </w:rPr>
      </w:pPr>
    </w:p>
    <w:p w14:paraId="0691A607" w14:textId="6F17292C" w:rsidR="007D1CA9" w:rsidRPr="00D354AB" w:rsidRDefault="007D1CA9" w:rsidP="007D1CA9">
      <w:pPr>
        <w:pStyle w:val="Default"/>
        <w:numPr>
          <w:ilvl w:val="0"/>
          <w:numId w:val="35"/>
        </w:numPr>
        <w:rPr>
          <w:b/>
          <w:bCs/>
          <w:sz w:val="20"/>
          <w:szCs w:val="20"/>
        </w:rPr>
      </w:pPr>
      <w:r w:rsidRPr="00D354AB">
        <w:rPr>
          <w:b/>
          <w:bCs/>
          <w:sz w:val="20"/>
          <w:szCs w:val="20"/>
        </w:rPr>
        <w:t xml:space="preserve">Documentos a Disposición </w:t>
      </w:r>
    </w:p>
    <w:p w14:paraId="675CD2FD" w14:textId="77777777" w:rsidR="007D1CA9" w:rsidRPr="00D354AB" w:rsidRDefault="007D1CA9" w:rsidP="001A39FF">
      <w:pPr>
        <w:pStyle w:val="Default"/>
        <w:ind w:left="720"/>
        <w:jc w:val="both"/>
        <w:rPr>
          <w:sz w:val="20"/>
          <w:szCs w:val="20"/>
        </w:rPr>
      </w:pPr>
    </w:p>
    <w:p w14:paraId="3894BF06" w14:textId="2369EF2D" w:rsidR="008E76CF" w:rsidRPr="00D354AB" w:rsidRDefault="007D1CA9" w:rsidP="001A39FF">
      <w:pPr>
        <w:pStyle w:val="Textoindependiente"/>
        <w:widowControl w:val="0"/>
        <w:tabs>
          <w:tab w:val="clear" w:pos="397"/>
          <w:tab w:val="clear" w:pos="794"/>
          <w:tab w:val="clear" w:pos="1191"/>
          <w:tab w:val="clear" w:pos="1588"/>
          <w:tab w:val="clear" w:pos="1985"/>
          <w:tab w:val="clear" w:pos="2382"/>
          <w:tab w:val="clear" w:pos="2779"/>
          <w:tab w:val="clear" w:pos="3176"/>
          <w:tab w:val="clear" w:pos="3573"/>
          <w:tab w:val="clear" w:pos="3970"/>
          <w:tab w:val="clear" w:pos="4367"/>
          <w:tab w:val="clear" w:pos="4764"/>
          <w:tab w:val="clear" w:pos="5161"/>
          <w:tab w:val="clear" w:pos="5558"/>
          <w:tab w:val="clear" w:pos="5955"/>
          <w:tab w:val="clear" w:pos="6352"/>
          <w:tab w:val="clear" w:pos="6749"/>
          <w:tab w:val="clear" w:pos="7146"/>
          <w:tab w:val="clear" w:pos="7543"/>
          <w:tab w:val="clear" w:pos="7940"/>
          <w:tab w:val="clear" w:pos="8337"/>
          <w:tab w:val="clear" w:pos="8734"/>
          <w:tab w:val="clear" w:pos="9131"/>
          <w:tab w:val="clear" w:pos="9528"/>
        </w:tabs>
      </w:pPr>
      <w:r w:rsidRPr="00D354AB">
        <w:rPr>
          <w:lang w:val="es-MX"/>
        </w:rPr>
        <w:t>Los inversores interesados en obtener una copia del Prospecto, del presente Suplemento de P</w:t>
      </w:r>
      <w:r w:rsidR="00670AF6" w:rsidRPr="00D354AB">
        <w:rPr>
          <w:lang w:val="es-MX"/>
        </w:rPr>
        <w:t>r</w:t>
      </w:r>
      <w:r w:rsidRPr="00D354AB">
        <w:rPr>
          <w:lang w:val="es-MX"/>
        </w:rPr>
        <w:t>o</w:t>
      </w:r>
      <w:r w:rsidR="00670AF6" w:rsidRPr="00D354AB">
        <w:rPr>
          <w:lang w:val="es-MX"/>
        </w:rPr>
        <w:t>specto</w:t>
      </w:r>
      <w:r w:rsidRPr="00D354AB">
        <w:rPr>
          <w:lang w:val="es-MX"/>
        </w:rPr>
        <w:t xml:space="preserve">, y de los Estados Contables de la Compañía, podrán retirarla en las oficinas de Banco Galicia, sitas en la calle Tte. Gral. Juan D. Perón 407/430 Piso 21 (C1038AAI), de la Ciudad Autónoma de Buenos Aires, y en las oficinas de </w:t>
      </w:r>
      <w:r w:rsidR="007F6C56">
        <w:rPr>
          <w:lang w:val="es-MX"/>
        </w:rPr>
        <w:t>Banco BBVA Argentina</w:t>
      </w:r>
      <w:r w:rsidR="00073BE1" w:rsidRPr="00D354AB">
        <w:rPr>
          <w:lang w:val="es-MX"/>
        </w:rPr>
        <w:t xml:space="preserve"> </w:t>
      </w:r>
      <w:r w:rsidR="001A39FF" w:rsidRPr="00D354AB">
        <w:rPr>
          <w:lang w:val="es-MX"/>
        </w:rPr>
        <w:t>S.A.</w:t>
      </w:r>
      <w:r w:rsidRPr="00D354AB">
        <w:rPr>
          <w:lang w:val="es-MX"/>
        </w:rPr>
        <w:t>, sitas en</w:t>
      </w:r>
      <w:r w:rsidR="001A39FF" w:rsidRPr="00D354AB">
        <w:rPr>
          <w:lang w:val="es-MX"/>
        </w:rPr>
        <w:t xml:space="preserve"> Av. Córdoba 111, Piso 26°, (C1054AAA)</w:t>
      </w:r>
      <w:r w:rsidRPr="00D354AB">
        <w:rPr>
          <w:lang w:val="es-MX"/>
        </w:rPr>
        <w:t xml:space="preserve"> de la Ciudad Autónoma de Buenos Aires, así como también en </w:t>
      </w:r>
      <w:r w:rsidRPr="00D354AB">
        <w:rPr>
          <w:lang w:val="es-MX"/>
        </w:rPr>
        <w:lastRenderedPageBreak/>
        <w:t>la sede social del Emisor sita</w:t>
      </w:r>
      <w:r w:rsidR="001A39FF" w:rsidRPr="00D354AB">
        <w:rPr>
          <w:lang w:val="es-MX"/>
        </w:rPr>
        <w:t xml:space="preserve"> en</w:t>
      </w:r>
      <w:r w:rsidR="001A39FF" w:rsidRPr="00D354AB">
        <w:t xml:space="preserve"> Carlos María Della Paolera 297, Piso 25º (C1001ADA), Ciudad Autónoma de Buenos Aires</w:t>
      </w:r>
      <w:r w:rsidRPr="00D354AB">
        <w:rPr>
          <w:lang w:val="es-MX"/>
        </w:rPr>
        <w:t xml:space="preserve"> Asimismo, el Prospecto, el Suplemento de Pr</w:t>
      </w:r>
      <w:r w:rsidR="00670AF6" w:rsidRPr="00D354AB">
        <w:rPr>
          <w:lang w:val="es-MX"/>
        </w:rPr>
        <w:t>ospecto</w:t>
      </w:r>
      <w:r w:rsidRPr="00D354AB">
        <w:rPr>
          <w:lang w:val="es-MX"/>
        </w:rPr>
        <w:t>, y los estados contables de la Compañía se encuentran publicados en la Página Web de la CNV y en l</w:t>
      </w:r>
      <w:r w:rsidR="008B06B1" w:rsidRPr="00D354AB">
        <w:rPr>
          <w:lang w:val="es-MX"/>
        </w:rPr>
        <w:t xml:space="preserve">a </w:t>
      </w:r>
      <w:r w:rsidR="008B06B1" w:rsidRPr="00D354AB">
        <w:t>Página Web Institucional</w:t>
      </w:r>
      <w:r w:rsidR="008B06B1" w:rsidRPr="00D354AB">
        <w:rPr>
          <w:lang w:val="es-MX"/>
        </w:rPr>
        <w:t>.</w:t>
      </w:r>
    </w:p>
    <w:p w14:paraId="5119A2E6" w14:textId="3F007C9B" w:rsidR="007D1CA9" w:rsidRPr="00C436CD" w:rsidRDefault="007D1CA9" w:rsidP="00F071E9">
      <w:pPr>
        <w:widowControl w:val="0"/>
        <w:rPr>
          <w:sz w:val="20"/>
          <w:lang w:val="es-AR"/>
        </w:rPr>
      </w:pPr>
      <w:bookmarkStart w:id="61" w:name="_DV_M237"/>
      <w:bookmarkEnd w:id="61"/>
      <w:r w:rsidRPr="00C436CD">
        <w:rPr>
          <w:sz w:val="20"/>
          <w:lang w:val="es-AR"/>
        </w:rPr>
        <w:br w:type="page"/>
      </w:r>
    </w:p>
    <w:p w14:paraId="10B92A91" w14:textId="77777777" w:rsidR="00DD6CAC" w:rsidRPr="00C436CD" w:rsidRDefault="00DD6CAC" w:rsidP="00F071E9">
      <w:pPr>
        <w:widowControl w:val="0"/>
        <w:rPr>
          <w:sz w:val="20"/>
          <w:lang w:val="es-AR"/>
        </w:rPr>
      </w:pPr>
    </w:p>
    <w:p w14:paraId="7726B20B" w14:textId="1DEFC0E7" w:rsidR="00DC0B1F" w:rsidRPr="00D354AB" w:rsidRDefault="00DC0B1F" w:rsidP="006C1EFA">
      <w:pPr>
        <w:pStyle w:val="Textoindependiente"/>
        <w:widowControl w:val="0"/>
        <w:tabs>
          <w:tab w:val="clear" w:pos="397"/>
          <w:tab w:val="clear" w:pos="794"/>
          <w:tab w:val="clear" w:pos="1191"/>
          <w:tab w:val="clear" w:pos="1588"/>
          <w:tab w:val="clear" w:pos="1985"/>
          <w:tab w:val="clear" w:pos="2382"/>
          <w:tab w:val="clear" w:pos="2779"/>
          <w:tab w:val="clear" w:pos="3176"/>
          <w:tab w:val="clear" w:pos="3573"/>
          <w:tab w:val="clear" w:pos="3970"/>
          <w:tab w:val="clear" w:pos="4367"/>
          <w:tab w:val="clear" w:pos="4764"/>
          <w:tab w:val="clear" w:pos="5161"/>
          <w:tab w:val="clear" w:pos="5558"/>
          <w:tab w:val="clear" w:pos="5955"/>
          <w:tab w:val="clear" w:pos="6352"/>
          <w:tab w:val="clear" w:pos="6749"/>
          <w:tab w:val="clear" w:pos="7146"/>
          <w:tab w:val="clear" w:pos="7543"/>
          <w:tab w:val="clear" w:pos="7940"/>
          <w:tab w:val="clear" w:pos="8337"/>
          <w:tab w:val="clear" w:pos="8734"/>
          <w:tab w:val="clear" w:pos="9131"/>
          <w:tab w:val="clear" w:pos="9528"/>
        </w:tabs>
        <w:rPr>
          <w:bCs/>
        </w:rPr>
      </w:pPr>
    </w:p>
    <w:p w14:paraId="11C831C4" w14:textId="4829E97F" w:rsidR="00052BAF" w:rsidRPr="00D354AB" w:rsidRDefault="00052BAF" w:rsidP="006C1EFA">
      <w:pPr>
        <w:pStyle w:val="Textoindependiente"/>
        <w:widowControl w:val="0"/>
        <w:tabs>
          <w:tab w:val="clear" w:pos="397"/>
          <w:tab w:val="clear" w:pos="794"/>
          <w:tab w:val="clear" w:pos="1191"/>
          <w:tab w:val="clear" w:pos="1588"/>
          <w:tab w:val="clear" w:pos="1985"/>
          <w:tab w:val="clear" w:pos="2382"/>
          <w:tab w:val="clear" w:pos="2779"/>
          <w:tab w:val="clear" w:pos="3176"/>
          <w:tab w:val="clear" w:pos="3573"/>
          <w:tab w:val="clear" w:pos="3970"/>
          <w:tab w:val="clear" w:pos="4367"/>
          <w:tab w:val="clear" w:pos="4764"/>
          <w:tab w:val="clear" w:pos="5161"/>
          <w:tab w:val="clear" w:pos="5558"/>
          <w:tab w:val="clear" w:pos="5955"/>
          <w:tab w:val="clear" w:pos="6352"/>
          <w:tab w:val="clear" w:pos="6749"/>
          <w:tab w:val="clear" w:pos="7146"/>
          <w:tab w:val="clear" w:pos="7543"/>
          <w:tab w:val="clear" w:pos="7940"/>
          <w:tab w:val="clear" w:pos="8337"/>
          <w:tab w:val="clear" w:pos="8734"/>
          <w:tab w:val="clear" w:pos="9131"/>
          <w:tab w:val="clear" w:pos="9528"/>
        </w:tabs>
        <w:rPr>
          <w:bCs/>
        </w:rPr>
      </w:pPr>
    </w:p>
    <w:p w14:paraId="0AEF76F2" w14:textId="1FB2D22C" w:rsidR="00052BAF" w:rsidRPr="00D354AB" w:rsidRDefault="00052BAF" w:rsidP="006C1EFA">
      <w:pPr>
        <w:pStyle w:val="Textoindependiente"/>
        <w:widowControl w:val="0"/>
        <w:tabs>
          <w:tab w:val="clear" w:pos="397"/>
          <w:tab w:val="clear" w:pos="794"/>
          <w:tab w:val="clear" w:pos="1191"/>
          <w:tab w:val="clear" w:pos="1588"/>
          <w:tab w:val="clear" w:pos="1985"/>
          <w:tab w:val="clear" w:pos="2382"/>
          <w:tab w:val="clear" w:pos="2779"/>
          <w:tab w:val="clear" w:pos="3176"/>
          <w:tab w:val="clear" w:pos="3573"/>
          <w:tab w:val="clear" w:pos="3970"/>
          <w:tab w:val="clear" w:pos="4367"/>
          <w:tab w:val="clear" w:pos="4764"/>
          <w:tab w:val="clear" w:pos="5161"/>
          <w:tab w:val="clear" w:pos="5558"/>
          <w:tab w:val="clear" w:pos="5955"/>
          <w:tab w:val="clear" w:pos="6352"/>
          <w:tab w:val="clear" w:pos="6749"/>
          <w:tab w:val="clear" w:pos="7146"/>
          <w:tab w:val="clear" w:pos="7543"/>
          <w:tab w:val="clear" w:pos="7940"/>
          <w:tab w:val="clear" w:pos="8337"/>
          <w:tab w:val="clear" w:pos="8734"/>
          <w:tab w:val="clear" w:pos="9131"/>
          <w:tab w:val="clear" w:pos="9528"/>
        </w:tabs>
        <w:rPr>
          <w:bCs/>
        </w:rPr>
      </w:pPr>
    </w:p>
    <w:p w14:paraId="2A359490" w14:textId="77777777" w:rsidR="00052BAF" w:rsidRPr="00D354AB" w:rsidRDefault="00052BAF" w:rsidP="006C1EFA">
      <w:pPr>
        <w:pStyle w:val="Textoindependiente"/>
        <w:widowControl w:val="0"/>
        <w:tabs>
          <w:tab w:val="clear" w:pos="397"/>
          <w:tab w:val="clear" w:pos="794"/>
          <w:tab w:val="clear" w:pos="1191"/>
          <w:tab w:val="clear" w:pos="1588"/>
          <w:tab w:val="clear" w:pos="1985"/>
          <w:tab w:val="clear" w:pos="2382"/>
          <w:tab w:val="clear" w:pos="2779"/>
          <w:tab w:val="clear" w:pos="3176"/>
          <w:tab w:val="clear" w:pos="3573"/>
          <w:tab w:val="clear" w:pos="3970"/>
          <w:tab w:val="clear" w:pos="4367"/>
          <w:tab w:val="clear" w:pos="4764"/>
          <w:tab w:val="clear" w:pos="5161"/>
          <w:tab w:val="clear" w:pos="5558"/>
          <w:tab w:val="clear" w:pos="5955"/>
          <w:tab w:val="clear" w:pos="6352"/>
          <w:tab w:val="clear" w:pos="6749"/>
          <w:tab w:val="clear" w:pos="7146"/>
          <w:tab w:val="clear" w:pos="7543"/>
          <w:tab w:val="clear" w:pos="7940"/>
          <w:tab w:val="clear" w:pos="8337"/>
          <w:tab w:val="clear" w:pos="8734"/>
          <w:tab w:val="clear" w:pos="9131"/>
          <w:tab w:val="clear" w:pos="9528"/>
        </w:tabs>
        <w:rPr>
          <w:bCs/>
        </w:rPr>
      </w:pPr>
    </w:p>
    <w:p w14:paraId="22893D3E" w14:textId="77777777" w:rsidR="00DC0B1F" w:rsidRPr="00D354AB" w:rsidRDefault="00DC0B1F" w:rsidP="007E2C47">
      <w:pPr>
        <w:pStyle w:val="Textoindependiente"/>
        <w:widowControl w:val="0"/>
        <w:tabs>
          <w:tab w:val="clear" w:pos="397"/>
          <w:tab w:val="clear" w:pos="794"/>
          <w:tab w:val="clear" w:pos="1191"/>
          <w:tab w:val="clear" w:pos="1588"/>
          <w:tab w:val="clear" w:pos="1985"/>
          <w:tab w:val="clear" w:pos="2382"/>
          <w:tab w:val="clear" w:pos="2779"/>
          <w:tab w:val="clear" w:pos="3176"/>
          <w:tab w:val="clear" w:pos="3573"/>
          <w:tab w:val="clear" w:pos="3970"/>
          <w:tab w:val="clear" w:pos="4367"/>
          <w:tab w:val="clear" w:pos="4764"/>
          <w:tab w:val="clear" w:pos="5161"/>
          <w:tab w:val="clear" w:pos="5558"/>
          <w:tab w:val="clear" w:pos="5955"/>
          <w:tab w:val="clear" w:pos="6352"/>
          <w:tab w:val="clear" w:pos="6749"/>
          <w:tab w:val="clear" w:pos="7146"/>
          <w:tab w:val="clear" w:pos="7543"/>
          <w:tab w:val="clear" w:pos="7940"/>
          <w:tab w:val="clear" w:pos="8337"/>
          <w:tab w:val="clear" w:pos="8734"/>
          <w:tab w:val="clear" w:pos="9131"/>
          <w:tab w:val="clear" w:pos="9528"/>
        </w:tabs>
        <w:jc w:val="center"/>
        <w:rPr>
          <w:bCs/>
        </w:rPr>
      </w:pPr>
    </w:p>
    <w:p w14:paraId="05FF4713" w14:textId="77777777" w:rsidR="00DC0B1F" w:rsidRPr="00D354AB" w:rsidRDefault="00DC0B1F" w:rsidP="007E2C47">
      <w:pPr>
        <w:pStyle w:val="Textoindependiente"/>
        <w:widowControl w:val="0"/>
        <w:tabs>
          <w:tab w:val="clear" w:pos="397"/>
          <w:tab w:val="clear" w:pos="794"/>
          <w:tab w:val="clear" w:pos="1191"/>
          <w:tab w:val="clear" w:pos="1588"/>
          <w:tab w:val="clear" w:pos="1985"/>
          <w:tab w:val="clear" w:pos="2382"/>
          <w:tab w:val="clear" w:pos="2779"/>
          <w:tab w:val="clear" w:pos="3176"/>
          <w:tab w:val="clear" w:pos="3573"/>
          <w:tab w:val="clear" w:pos="3970"/>
          <w:tab w:val="clear" w:pos="4367"/>
          <w:tab w:val="clear" w:pos="4764"/>
          <w:tab w:val="clear" w:pos="5161"/>
          <w:tab w:val="clear" w:pos="5558"/>
          <w:tab w:val="clear" w:pos="5955"/>
          <w:tab w:val="clear" w:pos="6352"/>
          <w:tab w:val="clear" w:pos="6749"/>
          <w:tab w:val="clear" w:pos="7146"/>
          <w:tab w:val="clear" w:pos="7543"/>
          <w:tab w:val="clear" w:pos="7940"/>
          <w:tab w:val="clear" w:pos="8337"/>
          <w:tab w:val="clear" w:pos="8734"/>
          <w:tab w:val="clear" w:pos="9131"/>
          <w:tab w:val="clear" w:pos="9528"/>
        </w:tabs>
        <w:jc w:val="center"/>
        <w:rPr>
          <w:b/>
          <w:smallCaps/>
        </w:rPr>
      </w:pPr>
      <w:r w:rsidRPr="00D354AB">
        <w:rPr>
          <w:b/>
          <w:smallCaps/>
        </w:rPr>
        <w:t>Emisor</w:t>
      </w:r>
    </w:p>
    <w:p w14:paraId="2D564552" w14:textId="77777777" w:rsidR="00DC0B1F" w:rsidRPr="00D354AB" w:rsidRDefault="00DC0B1F" w:rsidP="007E2C47">
      <w:pPr>
        <w:pStyle w:val="Textoindependiente"/>
        <w:widowControl w:val="0"/>
        <w:tabs>
          <w:tab w:val="clear" w:pos="397"/>
          <w:tab w:val="clear" w:pos="794"/>
          <w:tab w:val="clear" w:pos="1191"/>
          <w:tab w:val="clear" w:pos="1588"/>
          <w:tab w:val="clear" w:pos="1985"/>
          <w:tab w:val="clear" w:pos="2382"/>
          <w:tab w:val="clear" w:pos="2779"/>
          <w:tab w:val="clear" w:pos="3176"/>
          <w:tab w:val="clear" w:pos="3573"/>
          <w:tab w:val="clear" w:pos="3970"/>
          <w:tab w:val="clear" w:pos="4367"/>
          <w:tab w:val="clear" w:pos="4764"/>
          <w:tab w:val="clear" w:pos="5161"/>
          <w:tab w:val="clear" w:pos="5558"/>
          <w:tab w:val="clear" w:pos="5955"/>
          <w:tab w:val="clear" w:pos="6352"/>
          <w:tab w:val="clear" w:pos="6749"/>
          <w:tab w:val="clear" w:pos="7146"/>
          <w:tab w:val="clear" w:pos="7543"/>
          <w:tab w:val="clear" w:pos="7940"/>
          <w:tab w:val="clear" w:pos="8337"/>
          <w:tab w:val="clear" w:pos="8734"/>
          <w:tab w:val="clear" w:pos="9131"/>
          <w:tab w:val="clear" w:pos="9528"/>
        </w:tabs>
        <w:jc w:val="center"/>
        <w:rPr>
          <w:bCs/>
          <w:smallCaps/>
        </w:rPr>
      </w:pPr>
    </w:p>
    <w:p w14:paraId="61AE3513" w14:textId="77777777" w:rsidR="00DC0B1F" w:rsidRPr="00D354AB" w:rsidRDefault="00550C6F" w:rsidP="007E2C47">
      <w:pPr>
        <w:pStyle w:val="Textoindependiente"/>
        <w:widowControl w:val="0"/>
        <w:tabs>
          <w:tab w:val="clear" w:pos="397"/>
          <w:tab w:val="clear" w:pos="794"/>
          <w:tab w:val="clear" w:pos="1191"/>
          <w:tab w:val="clear" w:pos="1588"/>
          <w:tab w:val="clear" w:pos="1985"/>
          <w:tab w:val="clear" w:pos="2382"/>
          <w:tab w:val="clear" w:pos="2779"/>
          <w:tab w:val="clear" w:pos="3176"/>
          <w:tab w:val="clear" w:pos="3573"/>
          <w:tab w:val="clear" w:pos="3970"/>
          <w:tab w:val="clear" w:pos="4367"/>
          <w:tab w:val="clear" w:pos="4764"/>
          <w:tab w:val="clear" w:pos="5161"/>
          <w:tab w:val="clear" w:pos="5558"/>
          <w:tab w:val="clear" w:pos="5955"/>
          <w:tab w:val="clear" w:pos="6352"/>
          <w:tab w:val="clear" w:pos="6749"/>
          <w:tab w:val="clear" w:pos="7146"/>
          <w:tab w:val="clear" w:pos="7543"/>
          <w:tab w:val="clear" w:pos="7940"/>
          <w:tab w:val="clear" w:pos="8337"/>
          <w:tab w:val="clear" w:pos="8734"/>
          <w:tab w:val="clear" w:pos="9131"/>
          <w:tab w:val="clear" w:pos="9528"/>
        </w:tabs>
        <w:jc w:val="center"/>
        <w:rPr>
          <w:b/>
        </w:rPr>
      </w:pPr>
      <w:r w:rsidRPr="00D354AB">
        <w:rPr>
          <w:b/>
        </w:rPr>
        <w:t>FCA</w:t>
      </w:r>
      <w:r w:rsidR="00DC0B1F" w:rsidRPr="00D354AB">
        <w:rPr>
          <w:b/>
        </w:rPr>
        <w:t xml:space="preserve"> Compañía Financiera S.A.</w:t>
      </w:r>
    </w:p>
    <w:p w14:paraId="73371562" w14:textId="77777777" w:rsidR="00DC0B1F" w:rsidRPr="00D354AB" w:rsidRDefault="00DC0B1F" w:rsidP="007E2C47">
      <w:pPr>
        <w:pStyle w:val="Textoindependiente"/>
        <w:widowControl w:val="0"/>
        <w:tabs>
          <w:tab w:val="clear" w:pos="397"/>
          <w:tab w:val="clear" w:pos="794"/>
          <w:tab w:val="clear" w:pos="1191"/>
          <w:tab w:val="clear" w:pos="1588"/>
          <w:tab w:val="clear" w:pos="1985"/>
          <w:tab w:val="clear" w:pos="2382"/>
          <w:tab w:val="clear" w:pos="2779"/>
          <w:tab w:val="clear" w:pos="3176"/>
          <w:tab w:val="clear" w:pos="3573"/>
          <w:tab w:val="clear" w:pos="3970"/>
          <w:tab w:val="clear" w:pos="4367"/>
          <w:tab w:val="clear" w:pos="4764"/>
          <w:tab w:val="clear" w:pos="5161"/>
          <w:tab w:val="clear" w:pos="5558"/>
          <w:tab w:val="clear" w:pos="5955"/>
          <w:tab w:val="clear" w:pos="6352"/>
          <w:tab w:val="clear" w:pos="6749"/>
          <w:tab w:val="clear" w:pos="7146"/>
          <w:tab w:val="clear" w:pos="7543"/>
          <w:tab w:val="clear" w:pos="7940"/>
          <w:tab w:val="clear" w:pos="8337"/>
          <w:tab w:val="clear" w:pos="8734"/>
          <w:tab w:val="clear" w:pos="9131"/>
          <w:tab w:val="clear" w:pos="9528"/>
        </w:tabs>
        <w:jc w:val="center"/>
      </w:pPr>
      <w:r w:rsidRPr="00D354AB">
        <w:t>Carlos María Della Paolera 297, Piso 25º (C1001ADA)</w:t>
      </w:r>
    </w:p>
    <w:p w14:paraId="233C37A1" w14:textId="77777777" w:rsidR="00DC0B1F" w:rsidRPr="00D354AB" w:rsidRDefault="00DC0B1F" w:rsidP="007E2C47">
      <w:pPr>
        <w:pStyle w:val="Textoindependiente"/>
        <w:widowControl w:val="0"/>
        <w:tabs>
          <w:tab w:val="clear" w:pos="397"/>
          <w:tab w:val="clear" w:pos="794"/>
          <w:tab w:val="clear" w:pos="1191"/>
          <w:tab w:val="clear" w:pos="1588"/>
          <w:tab w:val="clear" w:pos="1985"/>
          <w:tab w:val="clear" w:pos="2382"/>
          <w:tab w:val="clear" w:pos="2779"/>
          <w:tab w:val="clear" w:pos="3176"/>
          <w:tab w:val="clear" w:pos="3573"/>
          <w:tab w:val="clear" w:pos="3970"/>
          <w:tab w:val="clear" w:pos="4367"/>
          <w:tab w:val="clear" w:pos="4764"/>
          <w:tab w:val="clear" w:pos="5161"/>
          <w:tab w:val="clear" w:pos="5558"/>
          <w:tab w:val="clear" w:pos="5955"/>
          <w:tab w:val="clear" w:pos="6352"/>
          <w:tab w:val="clear" w:pos="6749"/>
          <w:tab w:val="clear" w:pos="7146"/>
          <w:tab w:val="clear" w:pos="7543"/>
          <w:tab w:val="clear" w:pos="7940"/>
          <w:tab w:val="clear" w:pos="8337"/>
          <w:tab w:val="clear" w:pos="8734"/>
          <w:tab w:val="clear" w:pos="9131"/>
          <w:tab w:val="clear" w:pos="9528"/>
        </w:tabs>
        <w:jc w:val="center"/>
      </w:pPr>
      <w:r w:rsidRPr="00D354AB">
        <w:t>Ciudad Autónoma de Buenos Aires</w:t>
      </w:r>
    </w:p>
    <w:p w14:paraId="582EEC09" w14:textId="45347E1A" w:rsidR="00DC0B1F" w:rsidRPr="00D354AB" w:rsidRDefault="00DC0B1F" w:rsidP="007E2C47">
      <w:pPr>
        <w:pStyle w:val="Textoindependiente"/>
        <w:widowControl w:val="0"/>
        <w:tabs>
          <w:tab w:val="clear" w:pos="397"/>
          <w:tab w:val="clear" w:pos="794"/>
          <w:tab w:val="clear" w:pos="1191"/>
          <w:tab w:val="clear" w:pos="1588"/>
          <w:tab w:val="clear" w:pos="1985"/>
          <w:tab w:val="clear" w:pos="2382"/>
          <w:tab w:val="clear" w:pos="2779"/>
          <w:tab w:val="clear" w:pos="3176"/>
          <w:tab w:val="clear" w:pos="3573"/>
          <w:tab w:val="clear" w:pos="3970"/>
          <w:tab w:val="clear" w:pos="4367"/>
          <w:tab w:val="clear" w:pos="4764"/>
          <w:tab w:val="clear" w:pos="5161"/>
          <w:tab w:val="clear" w:pos="5558"/>
          <w:tab w:val="clear" w:pos="5955"/>
          <w:tab w:val="clear" w:pos="6352"/>
          <w:tab w:val="clear" w:pos="6749"/>
          <w:tab w:val="clear" w:pos="7146"/>
          <w:tab w:val="clear" w:pos="7543"/>
          <w:tab w:val="clear" w:pos="7940"/>
          <w:tab w:val="clear" w:pos="8337"/>
          <w:tab w:val="clear" w:pos="8734"/>
          <w:tab w:val="clear" w:pos="9131"/>
          <w:tab w:val="clear" w:pos="9528"/>
        </w:tabs>
        <w:jc w:val="center"/>
      </w:pPr>
    </w:p>
    <w:p w14:paraId="09D6922D" w14:textId="77777777" w:rsidR="00052BAF" w:rsidRPr="00D354AB" w:rsidRDefault="00052BAF" w:rsidP="007E2C47">
      <w:pPr>
        <w:pStyle w:val="Textoindependiente"/>
        <w:widowControl w:val="0"/>
        <w:tabs>
          <w:tab w:val="clear" w:pos="397"/>
          <w:tab w:val="clear" w:pos="794"/>
          <w:tab w:val="clear" w:pos="1191"/>
          <w:tab w:val="clear" w:pos="1588"/>
          <w:tab w:val="clear" w:pos="1985"/>
          <w:tab w:val="clear" w:pos="2382"/>
          <w:tab w:val="clear" w:pos="2779"/>
          <w:tab w:val="clear" w:pos="3176"/>
          <w:tab w:val="clear" w:pos="3573"/>
          <w:tab w:val="clear" w:pos="3970"/>
          <w:tab w:val="clear" w:pos="4367"/>
          <w:tab w:val="clear" w:pos="4764"/>
          <w:tab w:val="clear" w:pos="5161"/>
          <w:tab w:val="clear" w:pos="5558"/>
          <w:tab w:val="clear" w:pos="5955"/>
          <w:tab w:val="clear" w:pos="6352"/>
          <w:tab w:val="clear" w:pos="6749"/>
          <w:tab w:val="clear" w:pos="7146"/>
          <w:tab w:val="clear" w:pos="7543"/>
          <w:tab w:val="clear" w:pos="7940"/>
          <w:tab w:val="clear" w:pos="8337"/>
          <w:tab w:val="clear" w:pos="8734"/>
          <w:tab w:val="clear" w:pos="9131"/>
          <w:tab w:val="clear" w:pos="9528"/>
        </w:tabs>
        <w:jc w:val="center"/>
      </w:pPr>
    </w:p>
    <w:p w14:paraId="4A06CD19" w14:textId="77777777" w:rsidR="00DC0B1F" w:rsidRPr="00D354AB" w:rsidRDefault="00DC0B1F" w:rsidP="007E2C47">
      <w:pPr>
        <w:pStyle w:val="Textoindependiente"/>
        <w:widowControl w:val="0"/>
        <w:tabs>
          <w:tab w:val="clear" w:pos="397"/>
          <w:tab w:val="clear" w:pos="794"/>
          <w:tab w:val="clear" w:pos="1191"/>
          <w:tab w:val="clear" w:pos="1588"/>
          <w:tab w:val="clear" w:pos="1985"/>
          <w:tab w:val="clear" w:pos="2382"/>
          <w:tab w:val="clear" w:pos="2779"/>
          <w:tab w:val="clear" w:pos="3176"/>
          <w:tab w:val="clear" w:pos="3573"/>
          <w:tab w:val="clear" w:pos="3970"/>
          <w:tab w:val="clear" w:pos="4367"/>
          <w:tab w:val="clear" w:pos="4764"/>
          <w:tab w:val="clear" w:pos="5161"/>
          <w:tab w:val="clear" w:pos="5558"/>
          <w:tab w:val="clear" w:pos="5955"/>
          <w:tab w:val="clear" w:pos="6352"/>
          <w:tab w:val="clear" w:pos="6749"/>
          <w:tab w:val="clear" w:pos="7146"/>
          <w:tab w:val="clear" w:pos="7543"/>
          <w:tab w:val="clear" w:pos="7940"/>
          <w:tab w:val="clear" w:pos="8337"/>
          <w:tab w:val="clear" w:pos="8734"/>
          <w:tab w:val="clear" w:pos="9131"/>
          <w:tab w:val="clear" w:pos="9528"/>
        </w:tabs>
        <w:jc w:val="center"/>
        <w:rPr>
          <w:b/>
          <w:smallCaps/>
        </w:rPr>
      </w:pPr>
      <w:r w:rsidRPr="00D354AB">
        <w:rPr>
          <w:b/>
          <w:smallCaps/>
        </w:rPr>
        <w:t>Organizador</w:t>
      </w:r>
      <w:r w:rsidR="009C7F05" w:rsidRPr="00D354AB">
        <w:rPr>
          <w:b/>
          <w:smallCaps/>
        </w:rPr>
        <w:t>,</w:t>
      </w:r>
      <w:r w:rsidRPr="00D354AB">
        <w:rPr>
          <w:b/>
          <w:smallCaps/>
        </w:rPr>
        <w:t xml:space="preserve"> Colocador</w:t>
      </w:r>
      <w:r w:rsidR="009C7F05" w:rsidRPr="00D354AB">
        <w:rPr>
          <w:b/>
          <w:smallCaps/>
        </w:rPr>
        <w:t>, Agente de Creación y Agente de Liquidación</w:t>
      </w:r>
    </w:p>
    <w:p w14:paraId="01F71287" w14:textId="77777777" w:rsidR="00DC0B1F" w:rsidRPr="00D354AB" w:rsidRDefault="00DC0B1F" w:rsidP="007E2C47">
      <w:pPr>
        <w:pStyle w:val="Textoindependiente"/>
        <w:widowControl w:val="0"/>
        <w:tabs>
          <w:tab w:val="clear" w:pos="397"/>
          <w:tab w:val="clear" w:pos="794"/>
          <w:tab w:val="clear" w:pos="1191"/>
          <w:tab w:val="clear" w:pos="1588"/>
          <w:tab w:val="clear" w:pos="1985"/>
          <w:tab w:val="clear" w:pos="2382"/>
          <w:tab w:val="clear" w:pos="2779"/>
          <w:tab w:val="clear" w:pos="3176"/>
          <w:tab w:val="clear" w:pos="3573"/>
          <w:tab w:val="clear" w:pos="3970"/>
          <w:tab w:val="clear" w:pos="4367"/>
          <w:tab w:val="clear" w:pos="4764"/>
          <w:tab w:val="clear" w:pos="5161"/>
          <w:tab w:val="clear" w:pos="5558"/>
          <w:tab w:val="clear" w:pos="5955"/>
          <w:tab w:val="clear" w:pos="6352"/>
          <w:tab w:val="clear" w:pos="6749"/>
          <w:tab w:val="clear" w:pos="7146"/>
          <w:tab w:val="clear" w:pos="7543"/>
          <w:tab w:val="clear" w:pos="7940"/>
          <w:tab w:val="clear" w:pos="8337"/>
          <w:tab w:val="clear" w:pos="8734"/>
          <w:tab w:val="clear" w:pos="9131"/>
          <w:tab w:val="clear" w:pos="9528"/>
        </w:tabs>
        <w:jc w:val="center"/>
        <w:rPr>
          <w:bCs/>
          <w:smallCaps/>
        </w:rPr>
      </w:pPr>
    </w:p>
    <w:p w14:paraId="4F5EA7AF" w14:textId="77777777" w:rsidR="00DC0B1F" w:rsidRPr="00D354AB" w:rsidRDefault="00DC0B1F" w:rsidP="007E2C47">
      <w:pPr>
        <w:pStyle w:val="Textoindependiente"/>
        <w:widowControl w:val="0"/>
        <w:tabs>
          <w:tab w:val="clear" w:pos="397"/>
          <w:tab w:val="clear" w:pos="794"/>
          <w:tab w:val="clear" w:pos="1191"/>
          <w:tab w:val="clear" w:pos="1588"/>
          <w:tab w:val="clear" w:pos="1985"/>
          <w:tab w:val="clear" w:pos="2382"/>
          <w:tab w:val="clear" w:pos="2779"/>
          <w:tab w:val="clear" w:pos="3176"/>
          <w:tab w:val="clear" w:pos="3573"/>
          <w:tab w:val="clear" w:pos="3970"/>
          <w:tab w:val="clear" w:pos="4367"/>
          <w:tab w:val="clear" w:pos="4764"/>
          <w:tab w:val="clear" w:pos="5161"/>
          <w:tab w:val="clear" w:pos="5558"/>
          <w:tab w:val="clear" w:pos="5955"/>
          <w:tab w:val="clear" w:pos="6352"/>
          <w:tab w:val="clear" w:pos="6749"/>
          <w:tab w:val="clear" w:pos="7146"/>
          <w:tab w:val="clear" w:pos="7543"/>
          <w:tab w:val="clear" w:pos="7940"/>
          <w:tab w:val="clear" w:pos="8337"/>
          <w:tab w:val="clear" w:pos="8734"/>
          <w:tab w:val="clear" w:pos="9131"/>
          <w:tab w:val="clear" w:pos="9528"/>
        </w:tabs>
        <w:jc w:val="center"/>
        <w:rPr>
          <w:b/>
        </w:rPr>
      </w:pPr>
      <w:r w:rsidRPr="00D354AB">
        <w:rPr>
          <w:b/>
        </w:rPr>
        <w:t>Banco de Galicia y Buenos Aires S.A.</w:t>
      </w:r>
      <w:r w:rsidR="00FF0D9A" w:rsidRPr="00D354AB">
        <w:rPr>
          <w:b/>
        </w:rPr>
        <w:t>U.</w:t>
      </w:r>
    </w:p>
    <w:p w14:paraId="7D53C4EE" w14:textId="77777777" w:rsidR="00DC0B1F" w:rsidRPr="00D354AB" w:rsidRDefault="00DC0B1F" w:rsidP="007E2C47">
      <w:pPr>
        <w:pStyle w:val="Textoindependiente"/>
        <w:widowControl w:val="0"/>
        <w:tabs>
          <w:tab w:val="clear" w:pos="397"/>
          <w:tab w:val="clear" w:pos="794"/>
          <w:tab w:val="clear" w:pos="1191"/>
          <w:tab w:val="clear" w:pos="1588"/>
          <w:tab w:val="clear" w:pos="1985"/>
          <w:tab w:val="clear" w:pos="2382"/>
          <w:tab w:val="clear" w:pos="2779"/>
          <w:tab w:val="clear" w:pos="3176"/>
          <w:tab w:val="clear" w:pos="3573"/>
          <w:tab w:val="clear" w:pos="3970"/>
          <w:tab w:val="clear" w:pos="4367"/>
          <w:tab w:val="clear" w:pos="4764"/>
          <w:tab w:val="clear" w:pos="5161"/>
          <w:tab w:val="clear" w:pos="5558"/>
          <w:tab w:val="clear" w:pos="5955"/>
          <w:tab w:val="clear" w:pos="6352"/>
          <w:tab w:val="clear" w:pos="6749"/>
          <w:tab w:val="clear" w:pos="7146"/>
          <w:tab w:val="clear" w:pos="7543"/>
          <w:tab w:val="clear" w:pos="7940"/>
          <w:tab w:val="clear" w:pos="8337"/>
          <w:tab w:val="clear" w:pos="8734"/>
          <w:tab w:val="clear" w:pos="9131"/>
          <w:tab w:val="clear" w:pos="9528"/>
        </w:tabs>
        <w:jc w:val="center"/>
      </w:pPr>
      <w:r w:rsidRPr="00D354AB">
        <w:t xml:space="preserve">Tte. Gral. Juan D. Perón </w:t>
      </w:r>
      <w:r w:rsidR="00911CCA" w:rsidRPr="00D354AB">
        <w:t>407/</w:t>
      </w:r>
      <w:r w:rsidR="008F1A40" w:rsidRPr="00D354AB">
        <w:t xml:space="preserve">430 piso 21 </w:t>
      </w:r>
      <w:r w:rsidRPr="00D354AB">
        <w:t>(C1038AAI)</w:t>
      </w:r>
    </w:p>
    <w:p w14:paraId="11B6CEEE" w14:textId="77777777" w:rsidR="00DC0B1F" w:rsidRPr="00D354AB" w:rsidRDefault="00DC0B1F" w:rsidP="007E2C47">
      <w:pPr>
        <w:pStyle w:val="Textoindependiente"/>
        <w:widowControl w:val="0"/>
        <w:tabs>
          <w:tab w:val="clear" w:pos="397"/>
          <w:tab w:val="clear" w:pos="794"/>
          <w:tab w:val="clear" w:pos="1191"/>
          <w:tab w:val="clear" w:pos="1588"/>
          <w:tab w:val="clear" w:pos="1985"/>
          <w:tab w:val="clear" w:pos="2382"/>
          <w:tab w:val="clear" w:pos="2779"/>
          <w:tab w:val="clear" w:pos="3176"/>
          <w:tab w:val="clear" w:pos="3573"/>
          <w:tab w:val="clear" w:pos="3970"/>
          <w:tab w:val="clear" w:pos="4367"/>
          <w:tab w:val="clear" w:pos="4764"/>
          <w:tab w:val="clear" w:pos="5161"/>
          <w:tab w:val="clear" w:pos="5558"/>
          <w:tab w:val="clear" w:pos="5955"/>
          <w:tab w:val="clear" w:pos="6352"/>
          <w:tab w:val="clear" w:pos="6749"/>
          <w:tab w:val="clear" w:pos="7146"/>
          <w:tab w:val="clear" w:pos="7543"/>
          <w:tab w:val="clear" w:pos="7940"/>
          <w:tab w:val="clear" w:pos="8337"/>
          <w:tab w:val="clear" w:pos="8734"/>
          <w:tab w:val="clear" w:pos="9131"/>
          <w:tab w:val="clear" w:pos="9528"/>
        </w:tabs>
        <w:jc w:val="center"/>
      </w:pPr>
      <w:r w:rsidRPr="00D354AB">
        <w:t>Ciudad Autónoma de Buenos Aires</w:t>
      </w:r>
    </w:p>
    <w:p w14:paraId="2D2D4CAA" w14:textId="77777777" w:rsidR="00DC0B1F" w:rsidRPr="00D354AB" w:rsidRDefault="00DC0B1F" w:rsidP="007E2C47">
      <w:pPr>
        <w:pStyle w:val="Textoindependiente"/>
        <w:widowControl w:val="0"/>
        <w:tabs>
          <w:tab w:val="clear" w:pos="397"/>
          <w:tab w:val="clear" w:pos="794"/>
          <w:tab w:val="clear" w:pos="1191"/>
          <w:tab w:val="clear" w:pos="1588"/>
          <w:tab w:val="clear" w:pos="1985"/>
          <w:tab w:val="clear" w:pos="2382"/>
          <w:tab w:val="clear" w:pos="2779"/>
          <w:tab w:val="clear" w:pos="3176"/>
          <w:tab w:val="clear" w:pos="3573"/>
          <w:tab w:val="clear" w:pos="3970"/>
          <w:tab w:val="clear" w:pos="4367"/>
          <w:tab w:val="clear" w:pos="4764"/>
          <w:tab w:val="clear" w:pos="5161"/>
          <w:tab w:val="clear" w:pos="5558"/>
          <w:tab w:val="clear" w:pos="5955"/>
          <w:tab w:val="clear" w:pos="6352"/>
          <w:tab w:val="clear" w:pos="6749"/>
          <w:tab w:val="clear" w:pos="7146"/>
          <w:tab w:val="clear" w:pos="7543"/>
          <w:tab w:val="clear" w:pos="7940"/>
          <w:tab w:val="clear" w:pos="8337"/>
          <w:tab w:val="clear" w:pos="8734"/>
          <w:tab w:val="clear" w:pos="9131"/>
          <w:tab w:val="clear" w:pos="9528"/>
        </w:tabs>
        <w:jc w:val="center"/>
      </w:pPr>
    </w:p>
    <w:p w14:paraId="20B31186" w14:textId="77777777" w:rsidR="00DC0B1F" w:rsidRPr="00D354AB" w:rsidRDefault="00DC0B1F" w:rsidP="007E2C47">
      <w:pPr>
        <w:pStyle w:val="Textoindependiente"/>
        <w:widowControl w:val="0"/>
        <w:tabs>
          <w:tab w:val="clear" w:pos="397"/>
          <w:tab w:val="clear" w:pos="794"/>
          <w:tab w:val="clear" w:pos="1191"/>
          <w:tab w:val="clear" w:pos="1588"/>
          <w:tab w:val="clear" w:pos="1985"/>
          <w:tab w:val="clear" w:pos="2382"/>
          <w:tab w:val="clear" w:pos="2779"/>
          <w:tab w:val="clear" w:pos="3176"/>
          <w:tab w:val="clear" w:pos="3573"/>
          <w:tab w:val="clear" w:pos="3970"/>
          <w:tab w:val="clear" w:pos="4367"/>
          <w:tab w:val="clear" w:pos="4764"/>
          <w:tab w:val="clear" w:pos="5161"/>
          <w:tab w:val="clear" w:pos="5558"/>
          <w:tab w:val="clear" w:pos="5955"/>
          <w:tab w:val="clear" w:pos="6352"/>
          <w:tab w:val="clear" w:pos="6749"/>
          <w:tab w:val="clear" w:pos="7146"/>
          <w:tab w:val="clear" w:pos="7543"/>
          <w:tab w:val="clear" w:pos="7940"/>
          <w:tab w:val="clear" w:pos="8337"/>
          <w:tab w:val="clear" w:pos="8734"/>
          <w:tab w:val="clear" w:pos="9131"/>
          <w:tab w:val="clear" w:pos="9528"/>
        </w:tabs>
        <w:jc w:val="center"/>
      </w:pPr>
    </w:p>
    <w:p w14:paraId="10B404AB" w14:textId="77777777" w:rsidR="00D97BFA" w:rsidRPr="00D354AB" w:rsidRDefault="009C7F05" w:rsidP="007E2C47">
      <w:pPr>
        <w:pStyle w:val="Textoindependiente"/>
        <w:widowControl w:val="0"/>
        <w:tabs>
          <w:tab w:val="clear" w:pos="397"/>
          <w:tab w:val="clear" w:pos="794"/>
          <w:tab w:val="clear" w:pos="1191"/>
          <w:tab w:val="clear" w:pos="1588"/>
          <w:tab w:val="clear" w:pos="1985"/>
          <w:tab w:val="clear" w:pos="2382"/>
          <w:tab w:val="clear" w:pos="2779"/>
          <w:tab w:val="clear" w:pos="3176"/>
          <w:tab w:val="clear" w:pos="3573"/>
          <w:tab w:val="clear" w:pos="3970"/>
          <w:tab w:val="clear" w:pos="4367"/>
          <w:tab w:val="clear" w:pos="4764"/>
          <w:tab w:val="clear" w:pos="5161"/>
          <w:tab w:val="clear" w:pos="5558"/>
          <w:tab w:val="clear" w:pos="5955"/>
          <w:tab w:val="clear" w:pos="6352"/>
          <w:tab w:val="clear" w:pos="6749"/>
          <w:tab w:val="clear" w:pos="7146"/>
          <w:tab w:val="clear" w:pos="7543"/>
          <w:tab w:val="clear" w:pos="7940"/>
          <w:tab w:val="clear" w:pos="8337"/>
          <w:tab w:val="clear" w:pos="8734"/>
          <w:tab w:val="clear" w:pos="9131"/>
          <w:tab w:val="clear" w:pos="9528"/>
        </w:tabs>
        <w:jc w:val="center"/>
        <w:rPr>
          <w:b/>
          <w:smallCaps/>
        </w:rPr>
      </w:pPr>
      <w:r w:rsidRPr="00D354AB">
        <w:rPr>
          <w:b/>
          <w:smallCaps/>
        </w:rPr>
        <w:t>Organizador y</w:t>
      </w:r>
      <w:r w:rsidR="000C2BD2" w:rsidRPr="00D354AB">
        <w:rPr>
          <w:b/>
          <w:smallCaps/>
        </w:rPr>
        <w:t xml:space="preserve"> </w:t>
      </w:r>
      <w:r w:rsidR="00081AF6" w:rsidRPr="00D354AB">
        <w:rPr>
          <w:b/>
          <w:smallCaps/>
        </w:rPr>
        <w:t>Colocador</w:t>
      </w:r>
    </w:p>
    <w:p w14:paraId="6523D66E" w14:textId="77777777" w:rsidR="00081AF6" w:rsidRPr="00D354AB" w:rsidRDefault="00081AF6" w:rsidP="007E2C47">
      <w:pPr>
        <w:pStyle w:val="Textoindependiente"/>
        <w:widowControl w:val="0"/>
        <w:tabs>
          <w:tab w:val="clear" w:pos="397"/>
          <w:tab w:val="clear" w:pos="794"/>
          <w:tab w:val="clear" w:pos="1191"/>
          <w:tab w:val="clear" w:pos="1588"/>
          <w:tab w:val="clear" w:pos="1985"/>
          <w:tab w:val="clear" w:pos="2382"/>
          <w:tab w:val="clear" w:pos="2779"/>
          <w:tab w:val="clear" w:pos="3176"/>
          <w:tab w:val="clear" w:pos="3573"/>
          <w:tab w:val="clear" w:pos="3970"/>
          <w:tab w:val="clear" w:pos="4367"/>
          <w:tab w:val="clear" w:pos="4764"/>
          <w:tab w:val="clear" w:pos="5161"/>
          <w:tab w:val="clear" w:pos="5558"/>
          <w:tab w:val="clear" w:pos="5955"/>
          <w:tab w:val="clear" w:pos="6352"/>
          <w:tab w:val="clear" w:pos="6749"/>
          <w:tab w:val="clear" w:pos="7146"/>
          <w:tab w:val="clear" w:pos="7543"/>
          <w:tab w:val="clear" w:pos="7940"/>
          <w:tab w:val="clear" w:pos="8337"/>
          <w:tab w:val="clear" w:pos="8734"/>
          <w:tab w:val="clear" w:pos="9131"/>
          <w:tab w:val="clear" w:pos="9528"/>
        </w:tabs>
        <w:jc w:val="center"/>
      </w:pPr>
    </w:p>
    <w:p w14:paraId="3DE2E52F" w14:textId="2C623922" w:rsidR="00DC0B1F" w:rsidRPr="00D354AB" w:rsidRDefault="007F6C56" w:rsidP="007E2C47">
      <w:pPr>
        <w:pStyle w:val="Textoindependiente"/>
        <w:widowControl w:val="0"/>
        <w:tabs>
          <w:tab w:val="clear" w:pos="397"/>
          <w:tab w:val="clear" w:pos="794"/>
          <w:tab w:val="clear" w:pos="1191"/>
          <w:tab w:val="clear" w:pos="1588"/>
          <w:tab w:val="clear" w:pos="1985"/>
          <w:tab w:val="clear" w:pos="2382"/>
          <w:tab w:val="clear" w:pos="2779"/>
          <w:tab w:val="clear" w:pos="3176"/>
          <w:tab w:val="clear" w:pos="3573"/>
          <w:tab w:val="clear" w:pos="3970"/>
          <w:tab w:val="clear" w:pos="4367"/>
          <w:tab w:val="clear" w:pos="4764"/>
          <w:tab w:val="clear" w:pos="5161"/>
          <w:tab w:val="clear" w:pos="5558"/>
          <w:tab w:val="clear" w:pos="5955"/>
          <w:tab w:val="clear" w:pos="6352"/>
          <w:tab w:val="clear" w:pos="6749"/>
          <w:tab w:val="clear" w:pos="7146"/>
          <w:tab w:val="clear" w:pos="7543"/>
          <w:tab w:val="clear" w:pos="7940"/>
          <w:tab w:val="clear" w:pos="8337"/>
          <w:tab w:val="clear" w:pos="8734"/>
          <w:tab w:val="clear" w:pos="9131"/>
          <w:tab w:val="clear" w:pos="9528"/>
        </w:tabs>
        <w:jc w:val="center"/>
        <w:rPr>
          <w:b/>
          <w:lang w:val="es-MX"/>
        </w:rPr>
      </w:pPr>
      <w:r>
        <w:rPr>
          <w:b/>
          <w:lang w:val="es-MX"/>
        </w:rPr>
        <w:t>Banco BBVA Argentina</w:t>
      </w:r>
      <w:r w:rsidR="00FA0AEC" w:rsidRPr="00D354AB">
        <w:rPr>
          <w:b/>
          <w:lang w:val="es-MX"/>
        </w:rPr>
        <w:t xml:space="preserve"> S.A. </w:t>
      </w:r>
    </w:p>
    <w:p w14:paraId="447F043B" w14:textId="77777777" w:rsidR="002519DF" w:rsidRPr="00D354AB" w:rsidRDefault="002519DF" w:rsidP="007E2C47">
      <w:pPr>
        <w:pStyle w:val="Textoindependiente"/>
        <w:widowControl w:val="0"/>
        <w:tabs>
          <w:tab w:val="clear" w:pos="397"/>
          <w:tab w:val="clear" w:pos="794"/>
          <w:tab w:val="clear" w:pos="1191"/>
          <w:tab w:val="clear" w:pos="1588"/>
          <w:tab w:val="clear" w:pos="1985"/>
          <w:tab w:val="clear" w:pos="2382"/>
          <w:tab w:val="clear" w:pos="2779"/>
          <w:tab w:val="clear" w:pos="3176"/>
          <w:tab w:val="clear" w:pos="3573"/>
          <w:tab w:val="clear" w:pos="3970"/>
          <w:tab w:val="clear" w:pos="4367"/>
          <w:tab w:val="clear" w:pos="4764"/>
          <w:tab w:val="clear" w:pos="5161"/>
          <w:tab w:val="clear" w:pos="5558"/>
          <w:tab w:val="clear" w:pos="5955"/>
          <w:tab w:val="clear" w:pos="6352"/>
          <w:tab w:val="clear" w:pos="6749"/>
          <w:tab w:val="clear" w:pos="7146"/>
          <w:tab w:val="clear" w:pos="7543"/>
          <w:tab w:val="clear" w:pos="7940"/>
          <w:tab w:val="clear" w:pos="8337"/>
          <w:tab w:val="clear" w:pos="8734"/>
          <w:tab w:val="clear" w:pos="9131"/>
          <w:tab w:val="clear" w:pos="9528"/>
        </w:tabs>
        <w:jc w:val="center"/>
        <w:rPr>
          <w:lang w:val="es-MX"/>
        </w:rPr>
      </w:pPr>
      <w:r w:rsidRPr="00D354AB">
        <w:rPr>
          <w:lang w:val="es-MX"/>
        </w:rPr>
        <w:t>Av. Córdoba 111, Piso 26°, (C1054AAA)</w:t>
      </w:r>
    </w:p>
    <w:p w14:paraId="57D22233" w14:textId="77777777" w:rsidR="002519DF" w:rsidRPr="00D354AB" w:rsidRDefault="002519DF" w:rsidP="007E2C47">
      <w:pPr>
        <w:pStyle w:val="Textoindependiente"/>
        <w:widowControl w:val="0"/>
        <w:tabs>
          <w:tab w:val="clear" w:pos="397"/>
          <w:tab w:val="clear" w:pos="794"/>
          <w:tab w:val="clear" w:pos="1191"/>
          <w:tab w:val="clear" w:pos="1588"/>
          <w:tab w:val="clear" w:pos="1985"/>
          <w:tab w:val="clear" w:pos="2382"/>
          <w:tab w:val="clear" w:pos="2779"/>
          <w:tab w:val="clear" w:pos="3176"/>
          <w:tab w:val="clear" w:pos="3573"/>
          <w:tab w:val="clear" w:pos="3970"/>
          <w:tab w:val="clear" w:pos="4367"/>
          <w:tab w:val="clear" w:pos="4764"/>
          <w:tab w:val="clear" w:pos="5161"/>
          <w:tab w:val="clear" w:pos="5558"/>
          <w:tab w:val="clear" w:pos="5955"/>
          <w:tab w:val="clear" w:pos="6352"/>
          <w:tab w:val="clear" w:pos="6749"/>
          <w:tab w:val="clear" w:pos="7146"/>
          <w:tab w:val="clear" w:pos="7543"/>
          <w:tab w:val="clear" w:pos="7940"/>
          <w:tab w:val="clear" w:pos="8337"/>
          <w:tab w:val="clear" w:pos="8734"/>
          <w:tab w:val="clear" w:pos="9131"/>
          <w:tab w:val="clear" w:pos="9528"/>
        </w:tabs>
        <w:jc w:val="center"/>
      </w:pPr>
      <w:r w:rsidRPr="00D354AB">
        <w:t>Ciudad Autónoma de Buenos Aires</w:t>
      </w:r>
    </w:p>
    <w:p w14:paraId="3376E568" w14:textId="77777777" w:rsidR="00DC0B1F" w:rsidRPr="00D354AB" w:rsidRDefault="00DC0B1F" w:rsidP="007E2C47">
      <w:pPr>
        <w:pStyle w:val="Textoindependiente"/>
        <w:widowControl w:val="0"/>
        <w:tabs>
          <w:tab w:val="clear" w:pos="397"/>
          <w:tab w:val="clear" w:pos="794"/>
          <w:tab w:val="clear" w:pos="1191"/>
          <w:tab w:val="clear" w:pos="1588"/>
          <w:tab w:val="clear" w:pos="1985"/>
          <w:tab w:val="clear" w:pos="2382"/>
          <w:tab w:val="clear" w:pos="2779"/>
          <w:tab w:val="clear" w:pos="3176"/>
          <w:tab w:val="clear" w:pos="3573"/>
          <w:tab w:val="clear" w:pos="3970"/>
          <w:tab w:val="clear" w:pos="4367"/>
          <w:tab w:val="clear" w:pos="4764"/>
          <w:tab w:val="clear" w:pos="5161"/>
          <w:tab w:val="clear" w:pos="5558"/>
          <w:tab w:val="clear" w:pos="5955"/>
          <w:tab w:val="clear" w:pos="6352"/>
          <w:tab w:val="clear" w:pos="6749"/>
          <w:tab w:val="clear" w:pos="7146"/>
          <w:tab w:val="clear" w:pos="7543"/>
          <w:tab w:val="clear" w:pos="7940"/>
          <w:tab w:val="clear" w:pos="8337"/>
          <w:tab w:val="clear" w:pos="8734"/>
          <w:tab w:val="clear" w:pos="9131"/>
          <w:tab w:val="clear" w:pos="9528"/>
        </w:tabs>
        <w:jc w:val="center"/>
      </w:pPr>
    </w:p>
    <w:p w14:paraId="65703D62" w14:textId="77777777" w:rsidR="00052BAF" w:rsidRPr="00D354AB" w:rsidRDefault="00052BAF" w:rsidP="007E2C47">
      <w:pPr>
        <w:pStyle w:val="Textoindependiente"/>
        <w:widowControl w:val="0"/>
        <w:tabs>
          <w:tab w:val="clear" w:pos="397"/>
          <w:tab w:val="clear" w:pos="794"/>
          <w:tab w:val="clear" w:pos="1191"/>
          <w:tab w:val="clear" w:pos="1588"/>
          <w:tab w:val="clear" w:pos="1985"/>
          <w:tab w:val="clear" w:pos="2382"/>
          <w:tab w:val="clear" w:pos="2779"/>
          <w:tab w:val="clear" w:pos="3176"/>
          <w:tab w:val="clear" w:pos="3573"/>
          <w:tab w:val="clear" w:pos="3970"/>
          <w:tab w:val="clear" w:pos="4367"/>
          <w:tab w:val="clear" w:pos="4764"/>
          <w:tab w:val="clear" w:pos="5161"/>
          <w:tab w:val="clear" w:pos="5558"/>
          <w:tab w:val="clear" w:pos="5955"/>
          <w:tab w:val="clear" w:pos="6352"/>
          <w:tab w:val="clear" w:pos="6749"/>
          <w:tab w:val="clear" w:pos="7146"/>
          <w:tab w:val="clear" w:pos="7543"/>
          <w:tab w:val="clear" w:pos="7940"/>
          <w:tab w:val="clear" w:pos="8337"/>
          <w:tab w:val="clear" w:pos="8734"/>
          <w:tab w:val="clear" w:pos="9131"/>
          <w:tab w:val="clear" w:pos="9528"/>
        </w:tabs>
        <w:jc w:val="center"/>
      </w:pPr>
    </w:p>
    <w:p w14:paraId="4825D933" w14:textId="77777777" w:rsidR="00DC0B1F" w:rsidRPr="00D354AB" w:rsidRDefault="00D97BFA" w:rsidP="007E2C47">
      <w:pPr>
        <w:pStyle w:val="Textoindependiente"/>
        <w:widowControl w:val="0"/>
        <w:tabs>
          <w:tab w:val="clear" w:pos="397"/>
          <w:tab w:val="clear" w:pos="794"/>
          <w:tab w:val="clear" w:pos="1191"/>
          <w:tab w:val="clear" w:pos="1588"/>
          <w:tab w:val="clear" w:pos="1985"/>
          <w:tab w:val="clear" w:pos="2382"/>
          <w:tab w:val="clear" w:pos="2779"/>
          <w:tab w:val="clear" w:pos="3176"/>
          <w:tab w:val="clear" w:pos="3573"/>
          <w:tab w:val="clear" w:pos="3970"/>
          <w:tab w:val="clear" w:pos="4367"/>
          <w:tab w:val="clear" w:pos="4764"/>
          <w:tab w:val="clear" w:pos="5161"/>
          <w:tab w:val="clear" w:pos="5558"/>
          <w:tab w:val="clear" w:pos="5955"/>
          <w:tab w:val="clear" w:pos="6352"/>
          <w:tab w:val="clear" w:pos="6749"/>
          <w:tab w:val="clear" w:pos="7146"/>
          <w:tab w:val="clear" w:pos="7543"/>
          <w:tab w:val="clear" w:pos="7940"/>
          <w:tab w:val="clear" w:pos="8337"/>
          <w:tab w:val="clear" w:pos="8734"/>
          <w:tab w:val="clear" w:pos="9131"/>
          <w:tab w:val="clear" w:pos="9528"/>
        </w:tabs>
        <w:jc w:val="center"/>
        <w:rPr>
          <w:b/>
          <w:smallCaps/>
        </w:rPr>
      </w:pPr>
      <w:r w:rsidRPr="00D354AB">
        <w:rPr>
          <w:b/>
          <w:smallCaps/>
        </w:rPr>
        <w:t>Asesores Legales del Emisor</w:t>
      </w:r>
      <w:r w:rsidR="002320BE" w:rsidRPr="00D354AB">
        <w:rPr>
          <w:b/>
          <w:smallCaps/>
        </w:rPr>
        <w:t xml:space="preserve"> y</w:t>
      </w:r>
      <w:r w:rsidR="00DC0B1F" w:rsidRPr="00D354AB">
        <w:rPr>
          <w:b/>
          <w:smallCaps/>
        </w:rPr>
        <w:t xml:space="preserve"> de </w:t>
      </w:r>
      <w:r w:rsidR="00D9335F" w:rsidRPr="00D354AB">
        <w:rPr>
          <w:b/>
          <w:smallCaps/>
        </w:rPr>
        <w:t>los Colocadores</w:t>
      </w:r>
    </w:p>
    <w:p w14:paraId="6F0A54A3" w14:textId="77777777" w:rsidR="00DC0B1F" w:rsidRPr="00D354AB" w:rsidRDefault="00DC0B1F" w:rsidP="007E2C47">
      <w:pPr>
        <w:pStyle w:val="Textoindependiente"/>
        <w:widowControl w:val="0"/>
        <w:tabs>
          <w:tab w:val="clear" w:pos="397"/>
          <w:tab w:val="clear" w:pos="794"/>
          <w:tab w:val="clear" w:pos="1191"/>
          <w:tab w:val="clear" w:pos="1588"/>
          <w:tab w:val="clear" w:pos="1985"/>
          <w:tab w:val="clear" w:pos="2382"/>
          <w:tab w:val="clear" w:pos="2779"/>
          <w:tab w:val="clear" w:pos="3176"/>
          <w:tab w:val="clear" w:pos="3573"/>
          <w:tab w:val="clear" w:pos="3970"/>
          <w:tab w:val="clear" w:pos="4367"/>
          <w:tab w:val="clear" w:pos="4764"/>
          <w:tab w:val="clear" w:pos="5161"/>
          <w:tab w:val="clear" w:pos="5558"/>
          <w:tab w:val="clear" w:pos="5955"/>
          <w:tab w:val="clear" w:pos="6352"/>
          <w:tab w:val="clear" w:pos="6749"/>
          <w:tab w:val="clear" w:pos="7146"/>
          <w:tab w:val="clear" w:pos="7543"/>
          <w:tab w:val="clear" w:pos="7940"/>
          <w:tab w:val="clear" w:pos="8337"/>
          <w:tab w:val="clear" w:pos="8734"/>
          <w:tab w:val="clear" w:pos="9131"/>
          <w:tab w:val="clear" w:pos="9528"/>
        </w:tabs>
        <w:jc w:val="center"/>
        <w:rPr>
          <w:bCs/>
          <w:smallCaps/>
        </w:rPr>
      </w:pPr>
    </w:p>
    <w:p w14:paraId="7A5DEC9E" w14:textId="77777777" w:rsidR="00DC0B1F" w:rsidRPr="00D354AB" w:rsidRDefault="00DC0B1F" w:rsidP="007E2C47">
      <w:pPr>
        <w:pStyle w:val="Textoindependiente"/>
        <w:widowControl w:val="0"/>
        <w:tabs>
          <w:tab w:val="clear" w:pos="397"/>
          <w:tab w:val="clear" w:pos="794"/>
          <w:tab w:val="clear" w:pos="1191"/>
          <w:tab w:val="clear" w:pos="1588"/>
          <w:tab w:val="clear" w:pos="1985"/>
          <w:tab w:val="clear" w:pos="2382"/>
          <w:tab w:val="clear" w:pos="2779"/>
          <w:tab w:val="clear" w:pos="3176"/>
          <w:tab w:val="clear" w:pos="3573"/>
          <w:tab w:val="clear" w:pos="3970"/>
          <w:tab w:val="clear" w:pos="4367"/>
          <w:tab w:val="clear" w:pos="4764"/>
          <w:tab w:val="clear" w:pos="5161"/>
          <w:tab w:val="clear" w:pos="5558"/>
          <w:tab w:val="clear" w:pos="5955"/>
          <w:tab w:val="clear" w:pos="6352"/>
          <w:tab w:val="clear" w:pos="6749"/>
          <w:tab w:val="clear" w:pos="7146"/>
          <w:tab w:val="clear" w:pos="7543"/>
          <w:tab w:val="clear" w:pos="7940"/>
          <w:tab w:val="clear" w:pos="8337"/>
          <w:tab w:val="clear" w:pos="8734"/>
          <w:tab w:val="clear" w:pos="9131"/>
          <w:tab w:val="clear" w:pos="9528"/>
        </w:tabs>
        <w:jc w:val="center"/>
        <w:rPr>
          <w:b/>
        </w:rPr>
      </w:pPr>
      <w:r w:rsidRPr="00D354AB">
        <w:rPr>
          <w:b/>
        </w:rPr>
        <w:t>Beccar Varela</w:t>
      </w:r>
    </w:p>
    <w:p w14:paraId="004B6FE6" w14:textId="77777777" w:rsidR="00DC0B1F" w:rsidRPr="00D354AB" w:rsidRDefault="00DC0B1F" w:rsidP="007E2C47">
      <w:pPr>
        <w:pStyle w:val="Textoindependiente"/>
        <w:widowControl w:val="0"/>
        <w:tabs>
          <w:tab w:val="clear" w:pos="397"/>
          <w:tab w:val="clear" w:pos="794"/>
          <w:tab w:val="clear" w:pos="1191"/>
          <w:tab w:val="clear" w:pos="1588"/>
          <w:tab w:val="clear" w:pos="1985"/>
          <w:tab w:val="clear" w:pos="2382"/>
          <w:tab w:val="clear" w:pos="2779"/>
          <w:tab w:val="clear" w:pos="3176"/>
          <w:tab w:val="clear" w:pos="3573"/>
          <w:tab w:val="clear" w:pos="3970"/>
          <w:tab w:val="clear" w:pos="4367"/>
          <w:tab w:val="clear" w:pos="4764"/>
          <w:tab w:val="clear" w:pos="5161"/>
          <w:tab w:val="clear" w:pos="5558"/>
          <w:tab w:val="clear" w:pos="5955"/>
          <w:tab w:val="clear" w:pos="6352"/>
          <w:tab w:val="clear" w:pos="6749"/>
          <w:tab w:val="clear" w:pos="7146"/>
          <w:tab w:val="clear" w:pos="7543"/>
          <w:tab w:val="clear" w:pos="7940"/>
          <w:tab w:val="clear" w:pos="8337"/>
          <w:tab w:val="clear" w:pos="8734"/>
          <w:tab w:val="clear" w:pos="9131"/>
          <w:tab w:val="clear" w:pos="9528"/>
        </w:tabs>
        <w:jc w:val="center"/>
      </w:pPr>
      <w:r w:rsidRPr="00D354AB">
        <w:rPr>
          <w:bCs/>
        </w:rPr>
        <w:t>Tucumán 1, Piso 4º (C1049AAA)</w:t>
      </w:r>
    </w:p>
    <w:p w14:paraId="69107FD4" w14:textId="77777777" w:rsidR="00DC0B1F" w:rsidRPr="00D354AB" w:rsidRDefault="00DC0B1F" w:rsidP="007E2C47">
      <w:pPr>
        <w:pStyle w:val="Textoindependiente"/>
        <w:widowControl w:val="0"/>
        <w:tabs>
          <w:tab w:val="clear" w:pos="397"/>
          <w:tab w:val="clear" w:pos="794"/>
          <w:tab w:val="clear" w:pos="1191"/>
          <w:tab w:val="clear" w:pos="1588"/>
          <w:tab w:val="clear" w:pos="1985"/>
          <w:tab w:val="clear" w:pos="2382"/>
          <w:tab w:val="clear" w:pos="2779"/>
          <w:tab w:val="clear" w:pos="3176"/>
          <w:tab w:val="clear" w:pos="3573"/>
          <w:tab w:val="clear" w:pos="3970"/>
          <w:tab w:val="clear" w:pos="4367"/>
          <w:tab w:val="clear" w:pos="4764"/>
          <w:tab w:val="clear" w:pos="5161"/>
          <w:tab w:val="clear" w:pos="5558"/>
          <w:tab w:val="clear" w:pos="5955"/>
          <w:tab w:val="clear" w:pos="6352"/>
          <w:tab w:val="clear" w:pos="6749"/>
          <w:tab w:val="clear" w:pos="7146"/>
          <w:tab w:val="clear" w:pos="7543"/>
          <w:tab w:val="clear" w:pos="7940"/>
          <w:tab w:val="clear" w:pos="8337"/>
          <w:tab w:val="clear" w:pos="8734"/>
          <w:tab w:val="clear" w:pos="9131"/>
          <w:tab w:val="clear" w:pos="9528"/>
        </w:tabs>
        <w:jc w:val="center"/>
      </w:pPr>
      <w:r w:rsidRPr="00D354AB">
        <w:t>Ciudad Autónoma de Buenos Aires</w:t>
      </w:r>
    </w:p>
    <w:p w14:paraId="3904C77A" w14:textId="77777777" w:rsidR="00DC0B1F" w:rsidRPr="00D354AB" w:rsidRDefault="00D9335F" w:rsidP="00D9335F">
      <w:pPr>
        <w:pStyle w:val="Textoindependiente"/>
        <w:widowControl w:val="0"/>
        <w:tabs>
          <w:tab w:val="clear" w:pos="397"/>
          <w:tab w:val="clear" w:pos="794"/>
          <w:tab w:val="clear" w:pos="1191"/>
          <w:tab w:val="clear" w:pos="1588"/>
          <w:tab w:val="clear" w:pos="1985"/>
          <w:tab w:val="clear" w:pos="2382"/>
          <w:tab w:val="clear" w:pos="2779"/>
          <w:tab w:val="clear" w:pos="3176"/>
          <w:tab w:val="clear" w:pos="3573"/>
          <w:tab w:val="clear" w:pos="3970"/>
          <w:tab w:val="clear" w:pos="4367"/>
          <w:tab w:val="clear" w:pos="4764"/>
          <w:tab w:val="clear" w:pos="5161"/>
          <w:tab w:val="clear" w:pos="5558"/>
          <w:tab w:val="clear" w:pos="5955"/>
          <w:tab w:val="clear" w:pos="6352"/>
          <w:tab w:val="clear" w:pos="6749"/>
          <w:tab w:val="clear" w:pos="7146"/>
          <w:tab w:val="clear" w:pos="7543"/>
          <w:tab w:val="clear" w:pos="7940"/>
          <w:tab w:val="clear" w:pos="8337"/>
          <w:tab w:val="clear" w:pos="8734"/>
          <w:tab w:val="clear" w:pos="9131"/>
          <w:tab w:val="clear" w:pos="9528"/>
        </w:tabs>
        <w:rPr>
          <w:bCs/>
          <w:smallCaps/>
        </w:rPr>
      </w:pPr>
      <w:r w:rsidRPr="00D354AB">
        <w:rPr>
          <w:bCs/>
          <w:smallCaps/>
        </w:rPr>
        <w:t xml:space="preserve"> </w:t>
      </w:r>
    </w:p>
    <w:p w14:paraId="076564EC" w14:textId="77777777" w:rsidR="002320BE" w:rsidRPr="00D354AB" w:rsidRDefault="002320BE" w:rsidP="007E2C47">
      <w:pPr>
        <w:pStyle w:val="Textoindependiente"/>
        <w:widowControl w:val="0"/>
        <w:tabs>
          <w:tab w:val="clear" w:pos="397"/>
          <w:tab w:val="clear" w:pos="794"/>
          <w:tab w:val="clear" w:pos="1191"/>
          <w:tab w:val="clear" w:pos="1588"/>
          <w:tab w:val="clear" w:pos="1985"/>
          <w:tab w:val="clear" w:pos="2382"/>
          <w:tab w:val="clear" w:pos="2779"/>
          <w:tab w:val="clear" w:pos="3176"/>
          <w:tab w:val="clear" w:pos="3573"/>
          <w:tab w:val="clear" w:pos="3970"/>
          <w:tab w:val="clear" w:pos="4367"/>
          <w:tab w:val="clear" w:pos="4764"/>
          <w:tab w:val="clear" w:pos="5161"/>
          <w:tab w:val="clear" w:pos="5558"/>
          <w:tab w:val="clear" w:pos="5955"/>
          <w:tab w:val="clear" w:pos="6352"/>
          <w:tab w:val="clear" w:pos="6749"/>
          <w:tab w:val="clear" w:pos="7146"/>
          <w:tab w:val="clear" w:pos="7543"/>
          <w:tab w:val="clear" w:pos="7940"/>
          <w:tab w:val="clear" w:pos="8337"/>
          <w:tab w:val="clear" w:pos="8734"/>
          <w:tab w:val="clear" w:pos="9131"/>
          <w:tab w:val="clear" w:pos="9528"/>
        </w:tabs>
        <w:jc w:val="center"/>
        <w:rPr>
          <w:bCs/>
          <w:smallCaps/>
        </w:rPr>
      </w:pPr>
    </w:p>
    <w:p w14:paraId="57DD5DCB" w14:textId="77777777" w:rsidR="00DC0B1F" w:rsidRPr="00D354AB" w:rsidRDefault="00277D53" w:rsidP="007E2C47">
      <w:pPr>
        <w:pStyle w:val="Textoindependiente"/>
        <w:widowControl w:val="0"/>
        <w:tabs>
          <w:tab w:val="clear" w:pos="397"/>
          <w:tab w:val="clear" w:pos="794"/>
          <w:tab w:val="clear" w:pos="1191"/>
          <w:tab w:val="clear" w:pos="1588"/>
          <w:tab w:val="clear" w:pos="1985"/>
          <w:tab w:val="clear" w:pos="2382"/>
          <w:tab w:val="clear" w:pos="2779"/>
          <w:tab w:val="clear" w:pos="3176"/>
          <w:tab w:val="clear" w:pos="3573"/>
          <w:tab w:val="clear" w:pos="3970"/>
          <w:tab w:val="clear" w:pos="4367"/>
          <w:tab w:val="clear" w:pos="4764"/>
          <w:tab w:val="clear" w:pos="5161"/>
          <w:tab w:val="clear" w:pos="5558"/>
          <w:tab w:val="clear" w:pos="5955"/>
          <w:tab w:val="clear" w:pos="6352"/>
          <w:tab w:val="clear" w:pos="6749"/>
          <w:tab w:val="clear" w:pos="7146"/>
          <w:tab w:val="clear" w:pos="7543"/>
          <w:tab w:val="clear" w:pos="7940"/>
          <w:tab w:val="clear" w:pos="8337"/>
          <w:tab w:val="clear" w:pos="8734"/>
          <w:tab w:val="clear" w:pos="9131"/>
          <w:tab w:val="clear" w:pos="9528"/>
        </w:tabs>
        <w:jc w:val="center"/>
        <w:rPr>
          <w:b/>
          <w:smallCaps/>
        </w:rPr>
      </w:pPr>
      <w:r w:rsidRPr="00D354AB">
        <w:rPr>
          <w:b/>
          <w:smallCaps/>
        </w:rPr>
        <w:t>Ámbito de la Subasta Pública</w:t>
      </w:r>
    </w:p>
    <w:p w14:paraId="62640717" w14:textId="77777777" w:rsidR="00277D53" w:rsidRPr="00D354AB" w:rsidRDefault="00277D53" w:rsidP="007E2C47">
      <w:pPr>
        <w:pStyle w:val="Textoindependiente"/>
        <w:widowControl w:val="0"/>
        <w:tabs>
          <w:tab w:val="clear" w:pos="397"/>
          <w:tab w:val="clear" w:pos="794"/>
          <w:tab w:val="clear" w:pos="1191"/>
          <w:tab w:val="clear" w:pos="1588"/>
          <w:tab w:val="clear" w:pos="1985"/>
          <w:tab w:val="clear" w:pos="2382"/>
          <w:tab w:val="clear" w:pos="2779"/>
          <w:tab w:val="clear" w:pos="3176"/>
          <w:tab w:val="clear" w:pos="3573"/>
          <w:tab w:val="clear" w:pos="3970"/>
          <w:tab w:val="clear" w:pos="4367"/>
          <w:tab w:val="clear" w:pos="4764"/>
          <w:tab w:val="clear" w:pos="5161"/>
          <w:tab w:val="clear" w:pos="5558"/>
          <w:tab w:val="clear" w:pos="5955"/>
          <w:tab w:val="clear" w:pos="6352"/>
          <w:tab w:val="clear" w:pos="6749"/>
          <w:tab w:val="clear" w:pos="7146"/>
          <w:tab w:val="clear" w:pos="7543"/>
          <w:tab w:val="clear" w:pos="7940"/>
          <w:tab w:val="clear" w:pos="8337"/>
          <w:tab w:val="clear" w:pos="8734"/>
          <w:tab w:val="clear" w:pos="9131"/>
          <w:tab w:val="clear" w:pos="9528"/>
        </w:tabs>
        <w:jc w:val="center"/>
        <w:rPr>
          <w:bCs/>
          <w:smallCaps/>
        </w:rPr>
      </w:pPr>
    </w:p>
    <w:p w14:paraId="3270EF19" w14:textId="77777777" w:rsidR="00DC0B1F" w:rsidRPr="00D354AB" w:rsidRDefault="006D27E2" w:rsidP="007E2C47">
      <w:pPr>
        <w:pStyle w:val="Textoindependiente"/>
        <w:widowControl w:val="0"/>
        <w:tabs>
          <w:tab w:val="clear" w:pos="397"/>
          <w:tab w:val="clear" w:pos="794"/>
          <w:tab w:val="clear" w:pos="1191"/>
          <w:tab w:val="clear" w:pos="1588"/>
          <w:tab w:val="clear" w:pos="1985"/>
          <w:tab w:val="clear" w:pos="2382"/>
          <w:tab w:val="clear" w:pos="2779"/>
          <w:tab w:val="clear" w:pos="3176"/>
          <w:tab w:val="clear" w:pos="3573"/>
          <w:tab w:val="clear" w:pos="3970"/>
          <w:tab w:val="clear" w:pos="4367"/>
          <w:tab w:val="clear" w:pos="4764"/>
          <w:tab w:val="clear" w:pos="5161"/>
          <w:tab w:val="clear" w:pos="5558"/>
          <w:tab w:val="clear" w:pos="5955"/>
          <w:tab w:val="clear" w:pos="6352"/>
          <w:tab w:val="clear" w:pos="6749"/>
          <w:tab w:val="clear" w:pos="7146"/>
          <w:tab w:val="clear" w:pos="7543"/>
          <w:tab w:val="clear" w:pos="7940"/>
          <w:tab w:val="clear" w:pos="8337"/>
          <w:tab w:val="clear" w:pos="8734"/>
          <w:tab w:val="clear" w:pos="9131"/>
          <w:tab w:val="clear" w:pos="9528"/>
        </w:tabs>
        <w:jc w:val="center"/>
        <w:rPr>
          <w:b/>
        </w:rPr>
      </w:pPr>
      <w:r w:rsidRPr="00D354AB">
        <w:rPr>
          <w:b/>
        </w:rPr>
        <w:t>Mercado Abierto Electrónico S.A.</w:t>
      </w:r>
    </w:p>
    <w:p w14:paraId="31916195" w14:textId="77777777" w:rsidR="006D27E2" w:rsidRPr="00D354AB" w:rsidRDefault="006D27E2" w:rsidP="007E2C47">
      <w:pPr>
        <w:pStyle w:val="Textoindependiente"/>
        <w:widowControl w:val="0"/>
        <w:tabs>
          <w:tab w:val="clear" w:pos="397"/>
          <w:tab w:val="clear" w:pos="794"/>
          <w:tab w:val="clear" w:pos="1191"/>
          <w:tab w:val="clear" w:pos="1588"/>
          <w:tab w:val="clear" w:pos="1985"/>
          <w:tab w:val="clear" w:pos="2382"/>
          <w:tab w:val="clear" w:pos="2779"/>
          <w:tab w:val="clear" w:pos="3176"/>
          <w:tab w:val="clear" w:pos="3573"/>
          <w:tab w:val="clear" w:pos="3970"/>
          <w:tab w:val="clear" w:pos="4367"/>
          <w:tab w:val="clear" w:pos="4764"/>
          <w:tab w:val="clear" w:pos="5161"/>
          <w:tab w:val="clear" w:pos="5558"/>
          <w:tab w:val="clear" w:pos="5955"/>
          <w:tab w:val="clear" w:pos="6352"/>
          <w:tab w:val="clear" w:pos="6749"/>
          <w:tab w:val="clear" w:pos="7146"/>
          <w:tab w:val="clear" w:pos="7543"/>
          <w:tab w:val="clear" w:pos="7940"/>
          <w:tab w:val="clear" w:pos="8337"/>
          <w:tab w:val="clear" w:pos="8734"/>
          <w:tab w:val="clear" w:pos="9131"/>
          <w:tab w:val="clear" w:pos="9528"/>
        </w:tabs>
        <w:jc w:val="center"/>
        <w:rPr>
          <w:bCs/>
        </w:rPr>
      </w:pPr>
      <w:r w:rsidRPr="00D354AB">
        <w:rPr>
          <w:bCs/>
        </w:rPr>
        <w:t>San Martín 344, Piso 18° y 17° (C1004AAH)</w:t>
      </w:r>
    </w:p>
    <w:p w14:paraId="31596041" w14:textId="77777777" w:rsidR="00DC0B1F" w:rsidRPr="00D354AB" w:rsidRDefault="00DC0B1F" w:rsidP="007E2C47">
      <w:pPr>
        <w:widowControl w:val="0"/>
        <w:rPr>
          <w:sz w:val="20"/>
          <w:szCs w:val="20"/>
          <w:lang w:val="es-AR"/>
        </w:rPr>
      </w:pPr>
      <w:r w:rsidRPr="00D354AB">
        <w:rPr>
          <w:sz w:val="20"/>
          <w:szCs w:val="20"/>
          <w:lang w:val="es-AR"/>
        </w:rPr>
        <w:t>Ciudad Autónoma de Buenos Aires</w:t>
      </w:r>
    </w:p>
    <w:p w14:paraId="4CCE7042" w14:textId="77777777" w:rsidR="00B1644D" w:rsidRPr="00D354AB" w:rsidRDefault="00B1644D" w:rsidP="007E2C47">
      <w:pPr>
        <w:widowControl w:val="0"/>
        <w:rPr>
          <w:sz w:val="20"/>
          <w:szCs w:val="20"/>
          <w:lang w:val="es-AR"/>
        </w:rPr>
      </w:pPr>
    </w:p>
    <w:p w14:paraId="26B57B3B" w14:textId="77777777" w:rsidR="00B1644D" w:rsidRPr="00D354AB" w:rsidRDefault="00B1644D" w:rsidP="007E2C47">
      <w:pPr>
        <w:widowControl w:val="0"/>
        <w:rPr>
          <w:sz w:val="20"/>
          <w:szCs w:val="20"/>
          <w:lang w:val="es-AR"/>
        </w:rPr>
      </w:pPr>
    </w:p>
    <w:p w14:paraId="1B454573" w14:textId="77777777" w:rsidR="00337ACD" w:rsidRPr="00D354AB" w:rsidRDefault="00337ACD" w:rsidP="00337ACD">
      <w:pPr>
        <w:pStyle w:val="Textoindependiente"/>
        <w:widowControl w:val="0"/>
        <w:tabs>
          <w:tab w:val="clear" w:pos="397"/>
          <w:tab w:val="clear" w:pos="794"/>
          <w:tab w:val="clear" w:pos="1191"/>
          <w:tab w:val="clear" w:pos="1588"/>
          <w:tab w:val="clear" w:pos="1985"/>
          <w:tab w:val="clear" w:pos="2382"/>
          <w:tab w:val="clear" w:pos="2779"/>
          <w:tab w:val="clear" w:pos="3176"/>
          <w:tab w:val="clear" w:pos="3573"/>
          <w:tab w:val="clear" w:pos="3970"/>
          <w:tab w:val="clear" w:pos="4367"/>
          <w:tab w:val="clear" w:pos="4764"/>
          <w:tab w:val="clear" w:pos="5161"/>
          <w:tab w:val="clear" w:pos="5558"/>
          <w:tab w:val="clear" w:pos="5955"/>
          <w:tab w:val="clear" w:pos="6352"/>
          <w:tab w:val="clear" w:pos="6749"/>
          <w:tab w:val="clear" w:pos="7146"/>
          <w:tab w:val="clear" w:pos="7543"/>
          <w:tab w:val="clear" w:pos="7940"/>
          <w:tab w:val="clear" w:pos="8337"/>
          <w:tab w:val="clear" w:pos="8734"/>
          <w:tab w:val="clear" w:pos="9131"/>
          <w:tab w:val="clear" w:pos="9528"/>
        </w:tabs>
        <w:jc w:val="center"/>
        <w:rPr>
          <w:b/>
          <w:smallCaps/>
        </w:rPr>
      </w:pPr>
      <w:r w:rsidRPr="00D354AB">
        <w:rPr>
          <w:b/>
          <w:smallCaps/>
        </w:rPr>
        <w:t>Auditores del Emisor</w:t>
      </w:r>
    </w:p>
    <w:p w14:paraId="4B861D66" w14:textId="77777777" w:rsidR="00337ACD" w:rsidRPr="00D354AB" w:rsidRDefault="00337ACD" w:rsidP="00337ACD">
      <w:pPr>
        <w:widowControl w:val="0"/>
        <w:rPr>
          <w:b/>
          <w:sz w:val="20"/>
          <w:szCs w:val="20"/>
          <w:lang w:val="es-ES"/>
        </w:rPr>
      </w:pPr>
    </w:p>
    <w:p w14:paraId="7322BCF9" w14:textId="77777777" w:rsidR="00670898" w:rsidRPr="00D354AB" w:rsidRDefault="00670898" w:rsidP="00670898">
      <w:pPr>
        <w:pStyle w:val="Textoindependiente"/>
        <w:widowControl w:val="0"/>
        <w:tabs>
          <w:tab w:val="clear" w:pos="397"/>
          <w:tab w:val="clear" w:pos="794"/>
          <w:tab w:val="clear" w:pos="1191"/>
          <w:tab w:val="clear" w:pos="1588"/>
          <w:tab w:val="clear" w:pos="1985"/>
          <w:tab w:val="clear" w:pos="2382"/>
          <w:tab w:val="clear" w:pos="2779"/>
          <w:tab w:val="clear" w:pos="3176"/>
          <w:tab w:val="clear" w:pos="3573"/>
          <w:tab w:val="clear" w:pos="3970"/>
          <w:tab w:val="clear" w:pos="4367"/>
          <w:tab w:val="clear" w:pos="4764"/>
          <w:tab w:val="clear" w:pos="5161"/>
          <w:tab w:val="clear" w:pos="5558"/>
          <w:tab w:val="clear" w:pos="5955"/>
          <w:tab w:val="clear" w:pos="6352"/>
          <w:tab w:val="clear" w:pos="6749"/>
          <w:tab w:val="clear" w:pos="7146"/>
          <w:tab w:val="clear" w:pos="7543"/>
          <w:tab w:val="clear" w:pos="7940"/>
          <w:tab w:val="clear" w:pos="8337"/>
          <w:tab w:val="clear" w:pos="8734"/>
          <w:tab w:val="clear" w:pos="9131"/>
          <w:tab w:val="clear" w:pos="9528"/>
        </w:tabs>
        <w:jc w:val="center"/>
        <w:rPr>
          <w:b/>
        </w:rPr>
      </w:pPr>
      <w:r w:rsidRPr="00D354AB">
        <w:rPr>
          <w:b/>
        </w:rPr>
        <w:t>Estudio Pistrelli, Henry Martin y Asociados S.R.L.</w:t>
      </w:r>
    </w:p>
    <w:p w14:paraId="16B8A461" w14:textId="77777777" w:rsidR="00337ACD" w:rsidRPr="00D354AB" w:rsidRDefault="00337ACD" w:rsidP="007335DF">
      <w:pPr>
        <w:pStyle w:val="Textoindependiente"/>
        <w:widowControl w:val="0"/>
        <w:tabs>
          <w:tab w:val="clear" w:pos="397"/>
          <w:tab w:val="clear" w:pos="794"/>
          <w:tab w:val="clear" w:pos="1191"/>
          <w:tab w:val="clear" w:pos="1588"/>
          <w:tab w:val="clear" w:pos="1985"/>
          <w:tab w:val="clear" w:pos="2382"/>
          <w:tab w:val="clear" w:pos="2779"/>
          <w:tab w:val="clear" w:pos="3176"/>
          <w:tab w:val="clear" w:pos="3573"/>
          <w:tab w:val="clear" w:pos="3970"/>
          <w:tab w:val="clear" w:pos="4367"/>
          <w:tab w:val="clear" w:pos="4764"/>
          <w:tab w:val="clear" w:pos="5161"/>
          <w:tab w:val="clear" w:pos="5558"/>
          <w:tab w:val="clear" w:pos="5955"/>
          <w:tab w:val="clear" w:pos="6352"/>
          <w:tab w:val="clear" w:pos="6749"/>
          <w:tab w:val="clear" w:pos="7146"/>
          <w:tab w:val="clear" w:pos="7543"/>
          <w:tab w:val="clear" w:pos="7940"/>
          <w:tab w:val="clear" w:pos="8337"/>
          <w:tab w:val="clear" w:pos="8734"/>
          <w:tab w:val="clear" w:pos="9131"/>
          <w:tab w:val="clear" w:pos="9528"/>
        </w:tabs>
        <w:jc w:val="center"/>
      </w:pPr>
      <w:r w:rsidRPr="00D354AB">
        <w:t>25 de Mayo 487, Piso 1° (C1002ABI)</w:t>
      </w:r>
    </w:p>
    <w:p w14:paraId="4486E3E5" w14:textId="77777777" w:rsidR="00337ACD" w:rsidRPr="00D354AB" w:rsidRDefault="00337ACD" w:rsidP="007335DF">
      <w:pPr>
        <w:pStyle w:val="Textoindependiente"/>
        <w:widowControl w:val="0"/>
        <w:tabs>
          <w:tab w:val="clear" w:pos="397"/>
          <w:tab w:val="clear" w:pos="794"/>
          <w:tab w:val="clear" w:pos="1191"/>
          <w:tab w:val="clear" w:pos="1588"/>
          <w:tab w:val="clear" w:pos="1985"/>
          <w:tab w:val="clear" w:pos="2382"/>
          <w:tab w:val="clear" w:pos="2779"/>
          <w:tab w:val="clear" w:pos="3176"/>
          <w:tab w:val="clear" w:pos="3573"/>
          <w:tab w:val="clear" w:pos="3970"/>
          <w:tab w:val="clear" w:pos="4367"/>
          <w:tab w:val="clear" w:pos="4764"/>
          <w:tab w:val="clear" w:pos="5161"/>
          <w:tab w:val="clear" w:pos="5558"/>
          <w:tab w:val="clear" w:pos="5955"/>
          <w:tab w:val="clear" w:pos="6352"/>
          <w:tab w:val="clear" w:pos="6749"/>
          <w:tab w:val="clear" w:pos="7146"/>
          <w:tab w:val="clear" w:pos="7543"/>
          <w:tab w:val="clear" w:pos="7940"/>
          <w:tab w:val="clear" w:pos="8337"/>
          <w:tab w:val="clear" w:pos="8734"/>
          <w:tab w:val="clear" w:pos="9131"/>
          <w:tab w:val="clear" w:pos="9528"/>
        </w:tabs>
        <w:jc w:val="center"/>
        <w:rPr>
          <w:bCs/>
        </w:rPr>
      </w:pPr>
      <w:r w:rsidRPr="00D354AB">
        <w:t>Ciudad Autónoma de Buenos Aires</w:t>
      </w:r>
    </w:p>
    <w:p w14:paraId="05E1AD0C" w14:textId="77777777" w:rsidR="00B1644D" w:rsidRPr="00D354AB" w:rsidRDefault="00B1644D" w:rsidP="007E2C47">
      <w:pPr>
        <w:widowControl w:val="0"/>
        <w:rPr>
          <w:sz w:val="20"/>
          <w:szCs w:val="20"/>
          <w:lang w:val="es-AR"/>
        </w:rPr>
      </w:pPr>
    </w:p>
    <w:p w14:paraId="3DB86B91" w14:textId="77777777" w:rsidR="00B1644D" w:rsidRPr="00D354AB" w:rsidRDefault="00B1644D" w:rsidP="007E2C47">
      <w:pPr>
        <w:pStyle w:val="Textoindependiente"/>
        <w:widowControl w:val="0"/>
        <w:tabs>
          <w:tab w:val="clear" w:pos="397"/>
          <w:tab w:val="clear" w:pos="794"/>
          <w:tab w:val="clear" w:pos="1191"/>
          <w:tab w:val="clear" w:pos="1588"/>
          <w:tab w:val="clear" w:pos="1985"/>
          <w:tab w:val="clear" w:pos="2382"/>
          <w:tab w:val="clear" w:pos="2779"/>
          <w:tab w:val="clear" w:pos="3176"/>
          <w:tab w:val="clear" w:pos="3573"/>
          <w:tab w:val="clear" w:pos="3970"/>
          <w:tab w:val="clear" w:pos="4367"/>
          <w:tab w:val="clear" w:pos="4764"/>
          <w:tab w:val="clear" w:pos="5161"/>
          <w:tab w:val="clear" w:pos="5558"/>
          <w:tab w:val="clear" w:pos="5955"/>
          <w:tab w:val="clear" w:pos="6352"/>
          <w:tab w:val="clear" w:pos="6749"/>
          <w:tab w:val="clear" w:pos="7146"/>
          <w:tab w:val="clear" w:pos="7543"/>
          <w:tab w:val="clear" w:pos="7940"/>
          <w:tab w:val="clear" w:pos="8337"/>
          <w:tab w:val="clear" w:pos="8734"/>
          <w:tab w:val="clear" w:pos="9131"/>
          <w:tab w:val="clear" w:pos="9528"/>
        </w:tabs>
        <w:jc w:val="center"/>
        <w:rPr>
          <w:bCs/>
          <w:smallCaps/>
        </w:rPr>
      </w:pPr>
    </w:p>
    <w:p w14:paraId="67037B15" w14:textId="77777777" w:rsidR="00B1644D" w:rsidRPr="00D354AB" w:rsidRDefault="00B1644D" w:rsidP="007E2C47">
      <w:pPr>
        <w:pStyle w:val="Textoindependiente"/>
        <w:widowControl w:val="0"/>
        <w:tabs>
          <w:tab w:val="clear" w:pos="397"/>
          <w:tab w:val="clear" w:pos="794"/>
          <w:tab w:val="clear" w:pos="1191"/>
          <w:tab w:val="clear" w:pos="1588"/>
          <w:tab w:val="clear" w:pos="1985"/>
          <w:tab w:val="clear" w:pos="2382"/>
          <w:tab w:val="clear" w:pos="2779"/>
          <w:tab w:val="clear" w:pos="3176"/>
          <w:tab w:val="clear" w:pos="3573"/>
          <w:tab w:val="clear" w:pos="3970"/>
          <w:tab w:val="clear" w:pos="4367"/>
          <w:tab w:val="clear" w:pos="4764"/>
          <w:tab w:val="clear" w:pos="5161"/>
          <w:tab w:val="clear" w:pos="5558"/>
          <w:tab w:val="clear" w:pos="5955"/>
          <w:tab w:val="clear" w:pos="6352"/>
          <w:tab w:val="clear" w:pos="6749"/>
          <w:tab w:val="clear" w:pos="7146"/>
          <w:tab w:val="clear" w:pos="7543"/>
          <w:tab w:val="clear" w:pos="7940"/>
          <w:tab w:val="clear" w:pos="8337"/>
          <w:tab w:val="clear" w:pos="8734"/>
          <w:tab w:val="clear" w:pos="9131"/>
          <w:tab w:val="clear" w:pos="9528"/>
        </w:tabs>
        <w:jc w:val="center"/>
        <w:rPr>
          <w:b/>
          <w:smallCaps/>
        </w:rPr>
      </w:pPr>
      <w:r w:rsidRPr="00D354AB">
        <w:rPr>
          <w:b/>
          <w:smallCaps/>
        </w:rPr>
        <w:t>Depositaria</w:t>
      </w:r>
    </w:p>
    <w:p w14:paraId="0B95B391" w14:textId="77777777" w:rsidR="00B1644D" w:rsidRPr="00D354AB" w:rsidRDefault="00B1644D" w:rsidP="007E2C47">
      <w:pPr>
        <w:pStyle w:val="Textoindependiente"/>
        <w:widowControl w:val="0"/>
        <w:tabs>
          <w:tab w:val="clear" w:pos="397"/>
          <w:tab w:val="clear" w:pos="794"/>
          <w:tab w:val="clear" w:pos="1191"/>
          <w:tab w:val="clear" w:pos="1588"/>
          <w:tab w:val="clear" w:pos="1985"/>
          <w:tab w:val="clear" w:pos="2382"/>
          <w:tab w:val="clear" w:pos="2779"/>
          <w:tab w:val="clear" w:pos="3176"/>
          <w:tab w:val="clear" w:pos="3573"/>
          <w:tab w:val="clear" w:pos="3970"/>
          <w:tab w:val="clear" w:pos="4367"/>
          <w:tab w:val="clear" w:pos="4764"/>
          <w:tab w:val="clear" w:pos="5161"/>
          <w:tab w:val="clear" w:pos="5558"/>
          <w:tab w:val="clear" w:pos="5955"/>
          <w:tab w:val="clear" w:pos="6352"/>
          <w:tab w:val="clear" w:pos="6749"/>
          <w:tab w:val="clear" w:pos="7146"/>
          <w:tab w:val="clear" w:pos="7543"/>
          <w:tab w:val="clear" w:pos="7940"/>
          <w:tab w:val="clear" w:pos="8337"/>
          <w:tab w:val="clear" w:pos="8734"/>
          <w:tab w:val="clear" w:pos="9131"/>
          <w:tab w:val="clear" w:pos="9528"/>
        </w:tabs>
        <w:jc w:val="center"/>
        <w:rPr>
          <w:bCs/>
          <w:smallCaps/>
        </w:rPr>
      </w:pPr>
    </w:p>
    <w:p w14:paraId="09167A7A" w14:textId="77777777" w:rsidR="00B1644D" w:rsidRPr="00D354AB" w:rsidRDefault="00B1644D" w:rsidP="007E2C47">
      <w:pPr>
        <w:pStyle w:val="Textoindependiente"/>
        <w:widowControl w:val="0"/>
        <w:tabs>
          <w:tab w:val="clear" w:pos="397"/>
          <w:tab w:val="clear" w:pos="794"/>
          <w:tab w:val="clear" w:pos="1191"/>
          <w:tab w:val="clear" w:pos="1588"/>
          <w:tab w:val="clear" w:pos="1985"/>
          <w:tab w:val="clear" w:pos="2382"/>
          <w:tab w:val="clear" w:pos="2779"/>
          <w:tab w:val="clear" w:pos="3176"/>
          <w:tab w:val="clear" w:pos="3573"/>
          <w:tab w:val="clear" w:pos="3970"/>
          <w:tab w:val="clear" w:pos="4367"/>
          <w:tab w:val="clear" w:pos="4764"/>
          <w:tab w:val="clear" w:pos="5161"/>
          <w:tab w:val="clear" w:pos="5558"/>
          <w:tab w:val="clear" w:pos="5955"/>
          <w:tab w:val="clear" w:pos="6352"/>
          <w:tab w:val="clear" w:pos="6749"/>
          <w:tab w:val="clear" w:pos="7146"/>
          <w:tab w:val="clear" w:pos="7543"/>
          <w:tab w:val="clear" w:pos="7940"/>
          <w:tab w:val="clear" w:pos="8337"/>
          <w:tab w:val="clear" w:pos="8734"/>
          <w:tab w:val="clear" w:pos="9131"/>
          <w:tab w:val="clear" w:pos="9528"/>
        </w:tabs>
        <w:jc w:val="center"/>
        <w:rPr>
          <w:b/>
        </w:rPr>
      </w:pPr>
      <w:r w:rsidRPr="00D354AB">
        <w:rPr>
          <w:b/>
        </w:rPr>
        <w:t>Caja de Valores S.A.</w:t>
      </w:r>
    </w:p>
    <w:p w14:paraId="3E6541A8" w14:textId="77777777" w:rsidR="00B1644D" w:rsidRPr="00D354AB" w:rsidRDefault="00B1644D" w:rsidP="007E2C47">
      <w:pPr>
        <w:widowControl w:val="0"/>
        <w:rPr>
          <w:bCs/>
          <w:sz w:val="20"/>
          <w:szCs w:val="20"/>
          <w:lang w:val="es-AR"/>
        </w:rPr>
      </w:pPr>
      <w:r w:rsidRPr="00D354AB">
        <w:rPr>
          <w:bCs/>
          <w:sz w:val="20"/>
          <w:szCs w:val="20"/>
          <w:lang w:val="es-AR"/>
        </w:rPr>
        <w:t>25 de mayo 362 (C1002ABH)</w:t>
      </w:r>
    </w:p>
    <w:p w14:paraId="4D94B1BB" w14:textId="77777777" w:rsidR="00B1644D" w:rsidRPr="00D354AB" w:rsidRDefault="00B1644D" w:rsidP="007E2C47">
      <w:pPr>
        <w:widowControl w:val="0"/>
        <w:rPr>
          <w:bCs/>
          <w:sz w:val="20"/>
          <w:szCs w:val="20"/>
          <w:lang w:val="es-AR"/>
        </w:rPr>
      </w:pPr>
      <w:r w:rsidRPr="00D354AB">
        <w:rPr>
          <w:bCs/>
          <w:sz w:val="20"/>
          <w:szCs w:val="20"/>
          <w:lang w:val="es-AR"/>
        </w:rPr>
        <w:t>Ciudad Autónoma de Buenos Aires</w:t>
      </w:r>
    </w:p>
    <w:sectPr w:rsidR="00B1644D" w:rsidRPr="00D354AB" w:rsidSect="005451AF">
      <w:headerReference w:type="default" r:id="rId53"/>
      <w:footerReference w:type="even" r:id="rId54"/>
      <w:footerReference w:type="default" r:id="rId55"/>
      <w:headerReference w:type="first" r:id="rId56"/>
      <w:footerReference w:type="first" r:id="rId57"/>
      <w:pgSz w:w="11907" w:h="16839" w:code="9"/>
      <w:pgMar w:top="851" w:right="1134" w:bottom="851" w:left="1134" w:header="567" w:footer="567"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50D7D01" w14:textId="77777777" w:rsidR="00AE77EE" w:rsidRDefault="00AE77EE">
      <w:r>
        <w:separator/>
      </w:r>
    </w:p>
  </w:endnote>
  <w:endnote w:type="continuationSeparator" w:id="0">
    <w:p w14:paraId="604B57EB" w14:textId="77777777" w:rsidR="00AE77EE" w:rsidRDefault="00AE77EE">
      <w:r>
        <w:continuationSeparator/>
      </w:r>
    </w:p>
  </w:endnote>
  <w:endnote w:type="continuationNotice" w:id="1">
    <w:p w14:paraId="43BDD65F" w14:textId="77777777" w:rsidR="00AE77EE" w:rsidRDefault="00AE77E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0000000000000000000"/>
    <w:charset w:val="00"/>
    <w:family w:val="roman"/>
    <w:notTrueType/>
    <w:pitch w:val="variable"/>
    <w:sig w:usb0="00000003" w:usb1="00000000" w:usb2="00000000" w:usb3="00000000" w:csb0="00000001" w:csb1="00000000"/>
  </w:font>
  <w:font w:name="Palatino">
    <w:altName w:val="Palatino Linotype"/>
    <w:panose1 w:val="00000000000000000000"/>
    <w:charset w:val="00"/>
    <w:family w:val="roman"/>
    <w:notTrueType/>
    <w:pitch w:val="variable"/>
    <w:sig w:usb0="00000003" w:usb1="00000000" w:usb2="00000000" w:usb3="00000000" w:csb0="00000001" w:csb1="00000000"/>
  </w:font>
  <w:font w:name="New York">
    <w:panose1 w:val="02040503060506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urier">
    <w:panose1 w:val="02070409020205020404"/>
    <w:charset w:val="00"/>
    <w:family w:val="modern"/>
    <w:notTrueType/>
    <w:pitch w:val="fixed"/>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F374A3" w14:textId="77777777" w:rsidR="008F6386" w:rsidRDefault="008F6386">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72CE3960" w14:textId="77777777" w:rsidR="008F6386" w:rsidRDefault="008F6386">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05B36E" w14:textId="77777777" w:rsidR="008F6386" w:rsidRDefault="008F6386">
    <w:pPr>
      <w:pStyle w:val="Piedepgina"/>
      <w:tabs>
        <w:tab w:val="clear" w:pos="4320"/>
        <w:tab w:val="clear" w:pos="8640"/>
      </w:tabs>
      <w:rPr>
        <w:rFonts w:ascii="Times New Roman" w:hAnsi="Times New Roman"/>
      </w:rPr>
    </w:pPr>
    <w:r>
      <w:rPr>
        <w:rFonts w:ascii="Times New Roman" w:hAnsi="Times New Roman"/>
      </w:rPr>
      <w:fldChar w:fldCharType="begin"/>
    </w:r>
    <w:r>
      <w:rPr>
        <w:rFonts w:ascii="Times New Roman" w:hAnsi="Times New Roman"/>
      </w:rPr>
      <w:instrText xml:space="preserve"> PAGE   \* MERGEFORMAT </w:instrText>
    </w:r>
    <w:r>
      <w:rPr>
        <w:rFonts w:ascii="Times New Roman" w:hAnsi="Times New Roman"/>
      </w:rPr>
      <w:fldChar w:fldCharType="separate"/>
    </w:r>
    <w:r>
      <w:rPr>
        <w:rFonts w:ascii="Times New Roman" w:hAnsi="Times New Roman"/>
        <w:noProof/>
      </w:rPr>
      <w:t>9</w:t>
    </w:r>
    <w:r>
      <w:rPr>
        <w:rFonts w:ascii="Times New Roman" w:hAnsi="Times New Roman"/>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B2C7AC" w14:textId="77777777" w:rsidR="008F6386" w:rsidRDefault="008F6386">
    <w:pPr>
      <w:pStyle w:val="Encabezado"/>
      <w:tabs>
        <w:tab w:val="clear" w:pos="4419"/>
        <w:tab w:val="clear" w:pos="8838"/>
      </w:tabs>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F778A8" w14:textId="77777777" w:rsidR="00AE77EE" w:rsidRDefault="00AE77EE">
      <w:r>
        <w:separator/>
      </w:r>
    </w:p>
  </w:footnote>
  <w:footnote w:type="continuationSeparator" w:id="0">
    <w:p w14:paraId="6A8353D3" w14:textId="77777777" w:rsidR="00AE77EE" w:rsidRDefault="00AE77EE">
      <w:r>
        <w:continuationSeparator/>
      </w:r>
    </w:p>
  </w:footnote>
  <w:footnote w:type="continuationNotice" w:id="1">
    <w:p w14:paraId="1B2080E8" w14:textId="77777777" w:rsidR="00AE77EE" w:rsidRDefault="00AE77EE"/>
  </w:footnote>
  <w:footnote w:id="2">
    <w:p w14:paraId="494845DB" w14:textId="77777777" w:rsidR="008F6386" w:rsidRPr="00F82952" w:rsidRDefault="008F6386" w:rsidP="00D354AB">
      <w:pPr>
        <w:pStyle w:val="Textonotapie"/>
        <w:rPr>
          <w:sz w:val="16"/>
          <w:szCs w:val="16"/>
          <w:lang w:val="es-ES"/>
        </w:rPr>
      </w:pPr>
      <w:r w:rsidRPr="00F82952">
        <w:rPr>
          <w:rStyle w:val="Refdenotaalpie"/>
          <w:sz w:val="16"/>
          <w:szCs w:val="16"/>
        </w:rPr>
        <w:footnoteRef/>
      </w:r>
      <w:r w:rsidRPr="00E475BB">
        <w:rPr>
          <w:sz w:val="16"/>
          <w:szCs w:val="16"/>
          <w:lang w:val="es-MX"/>
        </w:rPr>
        <w:t xml:space="preserve"> </w:t>
      </w:r>
      <w:r w:rsidRPr="00E475BB">
        <w:rPr>
          <w:bCs/>
          <w:sz w:val="16"/>
          <w:szCs w:val="16"/>
          <w:lang w:val="es-MX" w:eastAsia="x-none"/>
        </w:rPr>
        <w:t>$2.000.000, en general y $18.000.000 para el caso de inmuebles que constituyan casa-habitación.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84988B" w14:textId="77777777" w:rsidR="008F6386" w:rsidRPr="00F42BCE" w:rsidRDefault="008F6386">
    <w:pPr>
      <w:pStyle w:val="Encabezado"/>
      <w:tabs>
        <w:tab w:val="clear" w:pos="4419"/>
        <w:tab w:val="clear" w:pos="8838"/>
      </w:tabs>
      <w:rPr>
        <w:sz w:val="20"/>
        <w:szCs w:val="20"/>
        <w:lang w:val="es-MX"/>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67DB51" w14:textId="77777777" w:rsidR="008F6386" w:rsidRDefault="008F6386">
    <w:pPr>
      <w:pStyle w:val="Encabezado"/>
      <w:tabs>
        <w:tab w:val="clear" w:pos="4419"/>
        <w:tab w:val="clear" w:pos="8838"/>
      </w:tabs>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8120AB42"/>
    <w:multiLevelType w:val="hybridMultilevel"/>
    <w:tmpl w:val="7452E4B3"/>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88B20500"/>
    <w:multiLevelType w:val="hybridMultilevel"/>
    <w:tmpl w:val="8B5D1C13"/>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E54D9F16"/>
    <w:multiLevelType w:val="hybridMultilevel"/>
    <w:tmpl w:val="CF6DD87D"/>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17A4CCB"/>
    <w:multiLevelType w:val="hybridMultilevel"/>
    <w:tmpl w:val="19D68BCA"/>
    <w:lvl w:ilvl="0" w:tplc="3F505432">
      <w:start w:val="1"/>
      <w:numFmt w:val="upperRoman"/>
      <w:lvlText w:val="%1."/>
      <w:lvlJc w:val="left"/>
      <w:pPr>
        <w:ind w:left="1080" w:hanging="720"/>
      </w:pPr>
      <w:rPr>
        <w:rFonts w:hint="default"/>
        <w:b/>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 w15:restartNumberingAfterBreak="0">
    <w:nsid w:val="05716E40"/>
    <w:multiLevelType w:val="hybridMultilevel"/>
    <w:tmpl w:val="97A42B01"/>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9B638AF"/>
    <w:multiLevelType w:val="hybridMultilevel"/>
    <w:tmpl w:val="FE4AF66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0A1A3A5F"/>
    <w:multiLevelType w:val="hybridMultilevel"/>
    <w:tmpl w:val="6B82FD18"/>
    <w:lvl w:ilvl="0" w:tplc="4E60227C">
      <w:start w:val="1"/>
      <w:numFmt w:val="bullet"/>
      <w:lvlText w:val="-"/>
      <w:lvlJc w:val="left"/>
      <w:pPr>
        <w:ind w:left="720" w:hanging="360"/>
      </w:pPr>
      <w:rPr>
        <w:rFonts w:ascii="Times New Roman" w:eastAsia="Times New Roman"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7" w15:restartNumberingAfterBreak="0">
    <w:nsid w:val="0B7370D6"/>
    <w:multiLevelType w:val="hybridMultilevel"/>
    <w:tmpl w:val="87AC4C74"/>
    <w:lvl w:ilvl="0" w:tplc="37F2A5AE">
      <w:numFmt w:val="bullet"/>
      <w:lvlText w:val="-"/>
      <w:lvlJc w:val="left"/>
      <w:pPr>
        <w:ind w:left="360" w:hanging="360"/>
      </w:pPr>
      <w:rPr>
        <w:rFonts w:ascii="Times New Roman" w:eastAsia="Times New Roman" w:hAnsi="Times New Roman" w:cs="Times New Roman"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8" w15:restartNumberingAfterBreak="0">
    <w:nsid w:val="0CEF539E"/>
    <w:multiLevelType w:val="hybridMultilevel"/>
    <w:tmpl w:val="352C4EC4"/>
    <w:lvl w:ilvl="0" w:tplc="0E5E7DC2">
      <w:start w:val="1"/>
      <w:numFmt w:val="lowerRoman"/>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0DD2658F"/>
    <w:multiLevelType w:val="multilevel"/>
    <w:tmpl w:val="10168BF2"/>
    <w:lvl w:ilvl="0">
      <w:start w:val="1"/>
      <w:numFmt w:val="bullet"/>
      <w:pStyle w:val="DPWNormal"/>
      <w:lvlText w:val=""/>
      <w:lvlJc w:val="left"/>
      <w:pPr>
        <w:tabs>
          <w:tab w:val="num" w:pos="1080"/>
        </w:tabs>
        <w:ind w:left="1080" w:hanging="360"/>
      </w:pPr>
      <w:rPr>
        <w:rFonts w:ascii="Wingdings" w:hAnsi="Wingdings" w:cs="Wingdings" w:hint="default"/>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cs="Wingdings" w:hint="default"/>
      </w:rPr>
    </w:lvl>
    <w:lvl w:ilvl="3">
      <w:start w:val="1"/>
      <w:numFmt w:val="bullet"/>
      <w:lvlText w:val=""/>
      <w:lvlJc w:val="left"/>
      <w:pPr>
        <w:tabs>
          <w:tab w:val="num" w:pos="3240"/>
        </w:tabs>
        <w:ind w:left="3240" w:hanging="360"/>
      </w:pPr>
      <w:rPr>
        <w:rFonts w:ascii="Symbol" w:hAnsi="Symbol" w:cs="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cs="Wingdings" w:hint="default"/>
      </w:rPr>
    </w:lvl>
    <w:lvl w:ilvl="6">
      <w:start w:val="1"/>
      <w:numFmt w:val="bullet"/>
      <w:lvlText w:val=""/>
      <w:lvlJc w:val="left"/>
      <w:pPr>
        <w:tabs>
          <w:tab w:val="num" w:pos="5400"/>
        </w:tabs>
        <w:ind w:left="5400" w:hanging="360"/>
      </w:pPr>
      <w:rPr>
        <w:rFonts w:ascii="Symbol" w:hAnsi="Symbol" w:cs="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cs="Wingdings" w:hint="default"/>
      </w:rPr>
    </w:lvl>
  </w:abstractNum>
  <w:abstractNum w:abstractNumId="10" w15:restartNumberingAfterBreak="0">
    <w:nsid w:val="0F3F05FE"/>
    <w:multiLevelType w:val="hybridMultilevel"/>
    <w:tmpl w:val="3782F360"/>
    <w:lvl w:ilvl="0" w:tplc="74F67E48">
      <w:start w:val="1"/>
      <w:numFmt w:val="lowerLetter"/>
      <w:lvlText w:val="(%1)"/>
      <w:lvlJc w:val="left"/>
      <w:pPr>
        <w:tabs>
          <w:tab w:val="num" w:pos="1860"/>
        </w:tabs>
        <w:ind w:left="1860" w:hanging="360"/>
      </w:pPr>
      <w:rPr>
        <w:rFonts w:hint="default"/>
      </w:rPr>
    </w:lvl>
    <w:lvl w:ilvl="1" w:tplc="04090019" w:tentative="1">
      <w:start w:val="1"/>
      <w:numFmt w:val="lowerLetter"/>
      <w:lvlText w:val="%2."/>
      <w:lvlJc w:val="left"/>
      <w:pPr>
        <w:tabs>
          <w:tab w:val="num" w:pos="1860"/>
        </w:tabs>
        <w:ind w:left="1860" w:hanging="360"/>
      </w:pPr>
    </w:lvl>
    <w:lvl w:ilvl="2" w:tplc="0409001B" w:tentative="1">
      <w:start w:val="1"/>
      <w:numFmt w:val="lowerRoman"/>
      <w:lvlText w:val="%3."/>
      <w:lvlJc w:val="right"/>
      <w:pPr>
        <w:tabs>
          <w:tab w:val="num" w:pos="2580"/>
        </w:tabs>
        <w:ind w:left="2580" w:hanging="180"/>
      </w:pPr>
    </w:lvl>
    <w:lvl w:ilvl="3" w:tplc="0409000F" w:tentative="1">
      <w:start w:val="1"/>
      <w:numFmt w:val="decimal"/>
      <w:lvlText w:val="%4."/>
      <w:lvlJc w:val="left"/>
      <w:pPr>
        <w:tabs>
          <w:tab w:val="num" w:pos="3300"/>
        </w:tabs>
        <w:ind w:left="3300" w:hanging="360"/>
      </w:pPr>
    </w:lvl>
    <w:lvl w:ilvl="4" w:tplc="04090019" w:tentative="1">
      <w:start w:val="1"/>
      <w:numFmt w:val="lowerLetter"/>
      <w:lvlText w:val="%5."/>
      <w:lvlJc w:val="left"/>
      <w:pPr>
        <w:tabs>
          <w:tab w:val="num" w:pos="4020"/>
        </w:tabs>
        <w:ind w:left="4020" w:hanging="360"/>
      </w:pPr>
    </w:lvl>
    <w:lvl w:ilvl="5" w:tplc="0409001B" w:tentative="1">
      <w:start w:val="1"/>
      <w:numFmt w:val="lowerRoman"/>
      <w:lvlText w:val="%6."/>
      <w:lvlJc w:val="right"/>
      <w:pPr>
        <w:tabs>
          <w:tab w:val="num" w:pos="4740"/>
        </w:tabs>
        <w:ind w:left="4740" w:hanging="180"/>
      </w:pPr>
    </w:lvl>
    <w:lvl w:ilvl="6" w:tplc="0409000F" w:tentative="1">
      <w:start w:val="1"/>
      <w:numFmt w:val="decimal"/>
      <w:lvlText w:val="%7."/>
      <w:lvlJc w:val="left"/>
      <w:pPr>
        <w:tabs>
          <w:tab w:val="num" w:pos="5460"/>
        </w:tabs>
        <w:ind w:left="5460" w:hanging="360"/>
      </w:pPr>
    </w:lvl>
    <w:lvl w:ilvl="7" w:tplc="04090019" w:tentative="1">
      <w:start w:val="1"/>
      <w:numFmt w:val="lowerLetter"/>
      <w:lvlText w:val="%8."/>
      <w:lvlJc w:val="left"/>
      <w:pPr>
        <w:tabs>
          <w:tab w:val="num" w:pos="6180"/>
        </w:tabs>
        <w:ind w:left="6180" w:hanging="360"/>
      </w:pPr>
    </w:lvl>
    <w:lvl w:ilvl="8" w:tplc="0409001B" w:tentative="1">
      <w:start w:val="1"/>
      <w:numFmt w:val="lowerRoman"/>
      <w:lvlText w:val="%9."/>
      <w:lvlJc w:val="right"/>
      <w:pPr>
        <w:tabs>
          <w:tab w:val="num" w:pos="6900"/>
        </w:tabs>
        <w:ind w:left="6900" w:hanging="180"/>
      </w:pPr>
    </w:lvl>
  </w:abstractNum>
  <w:abstractNum w:abstractNumId="11" w15:restartNumberingAfterBreak="0">
    <w:nsid w:val="12E05862"/>
    <w:multiLevelType w:val="hybridMultilevel"/>
    <w:tmpl w:val="9D622F74"/>
    <w:lvl w:ilvl="0" w:tplc="0409000F">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4E1347B"/>
    <w:multiLevelType w:val="hybridMultilevel"/>
    <w:tmpl w:val="B894B40C"/>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15E40DE4"/>
    <w:multiLevelType w:val="hybridMultilevel"/>
    <w:tmpl w:val="17D47178"/>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16754B68"/>
    <w:multiLevelType w:val="hybridMultilevel"/>
    <w:tmpl w:val="3DCACF2E"/>
    <w:lvl w:ilvl="0" w:tplc="04090005">
      <w:start w:val="1"/>
      <w:numFmt w:val="bullet"/>
      <w:lvlText w:val=""/>
      <w:lvlJc w:val="left"/>
      <w:pPr>
        <w:tabs>
          <w:tab w:val="num" w:pos="720"/>
        </w:tabs>
        <w:ind w:left="720" w:hanging="360"/>
      </w:pPr>
      <w:rPr>
        <w:rFonts w:ascii="Wingdings" w:hAnsi="Wingdings" w:hint="default"/>
      </w:rPr>
    </w:lvl>
    <w:lvl w:ilvl="1" w:tplc="B6345E4A">
      <w:start w:val="4"/>
      <w:numFmt w:val="bullet"/>
      <w:lvlText w:val="-"/>
      <w:lvlJc w:val="left"/>
      <w:pPr>
        <w:tabs>
          <w:tab w:val="num" w:pos="1440"/>
        </w:tabs>
        <w:ind w:left="1440" w:hanging="360"/>
      </w:pPr>
      <w:rPr>
        <w:rFonts w:ascii="Times New Roman" w:eastAsia="Times New Roman" w:hAnsi="Times New Roman"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7C62AEE"/>
    <w:multiLevelType w:val="hybridMultilevel"/>
    <w:tmpl w:val="2F3457C8"/>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6" w15:restartNumberingAfterBreak="0">
    <w:nsid w:val="17F54A4E"/>
    <w:multiLevelType w:val="hybridMultilevel"/>
    <w:tmpl w:val="6B66859E"/>
    <w:lvl w:ilvl="0" w:tplc="C97888B6">
      <w:start w:val="1"/>
      <w:numFmt w:val="lowerLetter"/>
      <w:lvlText w:val="%1)"/>
      <w:lvlJc w:val="left"/>
      <w:pPr>
        <w:tabs>
          <w:tab w:val="num" w:pos="720"/>
        </w:tabs>
        <w:ind w:left="720" w:hanging="360"/>
      </w:pPr>
      <w:rPr>
        <w:rFonts w:eastAsia="Times New Roman" w:hint="default"/>
      </w:rPr>
    </w:lvl>
    <w:lvl w:ilvl="1" w:tplc="85AEF33E">
      <w:start w:val="1"/>
      <w:numFmt w:val="lowerRoman"/>
      <w:lvlText w:val="(%2)"/>
      <w:lvlJc w:val="left"/>
      <w:pPr>
        <w:tabs>
          <w:tab w:val="num" w:pos="1800"/>
        </w:tabs>
        <w:ind w:left="1800" w:hanging="72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1EA25FF6"/>
    <w:multiLevelType w:val="hybridMultilevel"/>
    <w:tmpl w:val="7D98945E"/>
    <w:lvl w:ilvl="0" w:tplc="2C0A0001">
      <w:numFmt w:val="bullet"/>
      <w:lvlText w:val=""/>
      <w:lvlJc w:val="left"/>
      <w:pPr>
        <w:ind w:left="720" w:hanging="360"/>
      </w:pPr>
      <w:rPr>
        <w:rFonts w:ascii="Symbol" w:eastAsia="Times New Roman" w:hAnsi="Symbol"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8" w15:restartNumberingAfterBreak="0">
    <w:nsid w:val="223172DE"/>
    <w:multiLevelType w:val="hybridMultilevel"/>
    <w:tmpl w:val="FE56F5AA"/>
    <w:lvl w:ilvl="0" w:tplc="0C0A0001">
      <w:numFmt w:val="decimal"/>
      <w:lvlText w:val=""/>
      <w:lvlJc w:val="left"/>
      <w:pPr>
        <w:tabs>
          <w:tab w:val="num" w:pos="720"/>
        </w:tabs>
        <w:ind w:left="720" w:hanging="360"/>
      </w:pPr>
      <w:rPr>
        <w:rFonts w:ascii="Symbol" w:hAnsi="Symbol" w:hint="default"/>
        <w:spacing w:val="0"/>
      </w:rPr>
    </w:lvl>
    <w:lvl w:ilvl="1" w:tplc="0C0A0003">
      <w:start w:val="1"/>
      <w:numFmt w:val="decimal"/>
      <w:lvlText w:val="%2."/>
      <w:lvlJc w:val="left"/>
      <w:pPr>
        <w:tabs>
          <w:tab w:val="num" w:pos="1440"/>
        </w:tabs>
        <w:ind w:left="1440" w:hanging="360"/>
      </w:pPr>
      <w:rPr>
        <w:rFonts w:cs="Times New Roman"/>
        <w:spacing w:val="0"/>
      </w:rPr>
    </w:lvl>
    <w:lvl w:ilvl="2" w:tplc="0C0A0005">
      <w:start w:val="1"/>
      <w:numFmt w:val="decimal"/>
      <w:lvlText w:val="%3."/>
      <w:lvlJc w:val="left"/>
      <w:pPr>
        <w:tabs>
          <w:tab w:val="num" w:pos="2160"/>
        </w:tabs>
        <w:ind w:left="2160" w:hanging="360"/>
      </w:pPr>
      <w:rPr>
        <w:rFonts w:cs="Times New Roman"/>
        <w:spacing w:val="0"/>
      </w:rPr>
    </w:lvl>
    <w:lvl w:ilvl="3" w:tplc="0C0A0001">
      <w:start w:val="1"/>
      <w:numFmt w:val="decimal"/>
      <w:lvlText w:val="%4."/>
      <w:lvlJc w:val="left"/>
      <w:pPr>
        <w:tabs>
          <w:tab w:val="num" w:pos="2880"/>
        </w:tabs>
        <w:ind w:left="2880" w:hanging="360"/>
      </w:pPr>
      <w:rPr>
        <w:rFonts w:cs="Times New Roman"/>
        <w:spacing w:val="0"/>
      </w:rPr>
    </w:lvl>
    <w:lvl w:ilvl="4" w:tplc="0C0A0003">
      <w:start w:val="1"/>
      <w:numFmt w:val="decimal"/>
      <w:lvlText w:val="%5."/>
      <w:lvlJc w:val="left"/>
      <w:pPr>
        <w:tabs>
          <w:tab w:val="num" w:pos="3600"/>
        </w:tabs>
        <w:ind w:left="3600" w:hanging="360"/>
      </w:pPr>
      <w:rPr>
        <w:rFonts w:cs="Times New Roman"/>
        <w:spacing w:val="0"/>
      </w:rPr>
    </w:lvl>
    <w:lvl w:ilvl="5" w:tplc="0C0A0005">
      <w:start w:val="1"/>
      <w:numFmt w:val="decimal"/>
      <w:lvlText w:val="%6."/>
      <w:lvlJc w:val="left"/>
      <w:pPr>
        <w:tabs>
          <w:tab w:val="num" w:pos="4320"/>
        </w:tabs>
        <w:ind w:left="4320" w:hanging="360"/>
      </w:pPr>
      <w:rPr>
        <w:rFonts w:cs="Times New Roman"/>
        <w:spacing w:val="0"/>
      </w:rPr>
    </w:lvl>
    <w:lvl w:ilvl="6" w:tplc="0C0A0001">
      <w:start w:val="1"/>
      <w:numFmt w:val="decimal"/>
      <w:lvlText w:val="%7."/>
      <w:lvlJc w:val="left"/>
      <w:pPr>
        <w:tabs>
          <w:tab w:val="num" w:pos="5040"/>
        </w:tabs>
        <w:ind w:left="5040" w:hanging="360"/>
      </w:pPr>
      <w:rPr>
        <w:rFonts w:cs="Times New Roman"/>
        <w:spacing w:val="0"/>
      </w:rPr>
    </w:lvl>
    <w:lvl w:ilvl="7" w:tplc="0C0A0003">
      <w:start w:val="1"/>
      <w:numFmt w:val="decimal"/>
      <w:lvlText w:val="%8."/>
      <w:lvlJc w:val="left"/>
      <w:pPr>
        <w:tabs>
          <w:tab w:val="num" w:pos="5760"/>
        </w:tabs>
        <w:ind w:left="5760" w:hanging="360"/>
      </w:pPr>
      <w:rPr>
        <w:rFonts w:cs="Times New Roman"/>
        <w:spacing w:val="0"/>
      </w:rPr>
    </w:lvl>
    <w:lvl w:ilvl="8" w:tplc="0C0A0005">
      <w:start w:val="1"/>
      <w:numFmt w:val="decimal"/>
      <w:lvlText w:val="%9."/>
      <w:lvlJc w:val="left"/>
      <w:pPr>
        <w:tabs>
          <w:tab w:val="num" w:pos="6480"/>
        </w:tabs>
        <w:ind w:left="6480" w:hanging="360"/>
      </w:pPr>
      <w:rPr>
        <w:rFonts w:cs="Times New Roman"/>
        <w:spacing w:val="0"/>
      </w:rPr>
    </w:lvl>
  </w:abstractNum>
  <w:abstractNum w:abstractNumId="19" w15:restartNumberingAfterBreak="0">
    <w:nsid w:val="242A1224"/>
    <w:multiLevelType w:val="hybridMultilevel"/>
    <w:tmpl w:val="2E74A470"/>
    <w:lvl w:ilvl="0" w:tplc="9F40000A">
      <w:start w:val="1"/>
      <w:numFmt w:val="lowerRoman"/>
      <w:lvlText w:val="(%1)"/>
      <w:lvlJc w:val="left"/>
      <w:pPr>
        <w:tabs>
          <w:tab w:val="num" w:pos="1620"/>
        </w:tabs>
        <w:ind w:left="1620" w:hanging="720"/>
      </w:pPr>
      <w:rPr>
        <w:rFonts w:hint="default"/>
      </w:rPr>
    </w:lvl>
    <w:lvl w:ilvl="1" w:tplc="DB4A6808">
      <w:numFmt w:val="bullet"/>
      <w:lvlText w:val="•"/>
      <w:lvlJc w:val="left"/>
      <w:pPr>
        <w:ind w:left="2190" w:hanging="570"/>
      </w:pPr>
      <w:rPr>
        <w:rFonts w:ascii="Times New Roman" w:eastAsia="Times New Roman" w:hAnsi="Times New Roman" w:cs="Times New Roman" w:hint="default"/>
      </w:r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20" w15:restartNumberingAfterBreak="0">
    <w:nsid w:val="259337C4"/>
    <w:multiLevelType w:val="hybridMultilevel"/>
    <w:tmpl w:val="56E04494"/>
    <w:lvl w:ilvl="0" w:tplc="0C0A0001">
      <w:start w:val="1"/>
      <w:numFmt w:val="bullet"/>
      <w:lvlText w:val=""/>
      <w:lvlJc w:val="left"/>
      <w:pPr>
        <w:ind w:left="765" w:hanging="405"/>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2796674B"/>
    <w:multiLevelType w:val="hybridMultilevel"/>
    <w:tmpl w:val="91AE292E"/>
    <w:lvl w:ilvl="0" w:tplc="D2E40484">
      <w:start w:val="1"/>
      <w:numFmt w:val="decimal"/>
      <w:pStyle w:val="Text1"/>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2" w15:restartNumberingAfterBreak="0">
    <w:nsid w:val="28DF3153"/>
    <w:multiLevelType w:val="hybridMultilevel"/>
    <w:tmpl w:val="1CDC9624"/>
    <w:lvl w:ilvl="0" w:tplc="8CCAAB38">
      <w:start w:val="1"/>
      <w:numFmt w:val="low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2F5D3A3C"/>
    <w:multiLevelType w:val="hybridMultilevel"/>
    <w:tmpl w:val="5B0E95C0"/>
    <w:lvl w:ilvl="0" w:tplc="0E5E7DC2">
      <w:start w:val="1"/>
      <w:numFmt w:val="lowerRoman"/>
      <w:lvlText w:val="(%1)"/>
      <w:lvlJc w:val="left"/>
      <w:pPr>
        <w:tabs>
          <w:tab w:val="num" w:pos="2940"/>
        </w:tabs>
        <w:ind w:left="2940" w:hanging="1440"/>
      </w:pPr>
      <w:rPr>
        <w:rFonts w:hint="default"/>
      </w:rPr>
    </w:lvl>
    <w:lvl w:ilvl="1" w:tplc="777A2664">
      <w:start w:val="1"/>
      <w:numFmt w:val="lowerLetter"/>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2F947292"/>
    <w:multiLevelType w:val="hybridMultilevel"/>
    <w:tmpl w:val="F4D4021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325B78B0"/>
    <w:multiLevelType w:val="hybridMultilevel"/>
    <w:tmpl w:val="6BBA3E38"/>
    <w:lvl w:ilvl="0" w:tplc="0E5E7DC2">
      <w:start w:val="1"/>
      <w:numFmt w:val="lowerRoman"/>
      <w:lvlText w:val="(%1)"/>
      <w:lvlJc w:val="left"/>
      <w:pPr>
        <w:tabs>
          <w:tab w:val="num" w:pos="2640"/>
        </w:tabs>
        <w:ind w:left="2640" w:hanging="1440"/>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7114647"/>
    <w:multiLevelType w:val="hybridMultilevel"/>
    <w:tmpl w:val="67860BA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39455AB2"/>
    <w:multiLevelType w:val="multilevel"/>
    <w:tmpl w:val="CAF255AA"/>
    <w:name w:val="2"/>
    <w:lvl w:ilvl="0">
      <w:start w:val="1"/>
      <w:numFmt w:val="decimal"/>
      <w:lvlText w:val="Libro %1:  "/>
      <w:lvlJc w:val="left"/>
      <w:pPr>
        <w:tabs>
          <w:tab w:val="num" w:pos="2520"/>
        </w:tabs>
        <w:ind w:left="432" w:hanging="432"/>
      </w:pPr>
    </w:lvl>
    <w:lvl w:ilvl="1">
      <w:start w:val="1"/>
      <w:numFmt w:val="upperRoman"/>
      <w:lvlRestart w:val="0"/>
      <w:lvlText w:val="Capítulo %2 "/>
      <w:lvlJc w:val="left"/>
      <w:pPr>
        <w:tabs>
          <w:tab w:val="num" w:pos="1800"/>
        </w:tabs>
        <w:ind w:left="576" w:hanging="576"/>
      </w:pPr>
    </w:lvl>
    <w:lvl w:ilvl="2">
      <w:start w:val="1"/>
      <w:numFmt w:val="decimal"/>
      <w:lvlText w:val="%1.%2.%3"/>
      <w:lvlJc w:val="left"/>
      <w:pPr>
        <w:tabs>
          <w:tab w:val="num" w:pos="1418"/>
        </w:tabs>
        <w:ind w:left="1418" w:hanging="1418"/>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suff w:val="nothing"/>
      <w:lvlText w:val="Artículo %6"/>
      <w:lvlJc w:val="left"/>
      <w:pPr>
        <w:ind w:left="1152" w:hanging="1152"/>
      </w:pPr>
      <w:rPr>
        <w:rFonts w:ascii="Arial" w:hAnsi="Arial" w:cs="Times New Roman" w:hint="default"/>
        <w:b w:val="0"/>
        <w:i w:val="0"/>
        <w:caps/>
      </w:r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8" w15:restartNumberingAfterBreak="0">
    <w:nsid w:val="3A800A1F"/>
    <w:multiLevelType w:val="hybridMultilevel"/>
    <w:tmpl w:val="1118098A"/>
    <w:lvl w:ilvl="0" w:tplc="9B1C20C8">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42347783"/>
    <w:multiLevelType w:val="hybridMultilevel"/>
    <w:tmpl w:val="A064C14E"/>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424340F1"/>
    <w:multiLevelType w:val="hybridMultilevel"/>
    <w:tmpl w:val="38DEF1DE"/>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431002E1"/>
    <w:multiLevelType w:val="multilevel"/>
    <w:tmpl w:val="DF2066CE"/>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480709AA"/>
    <w:multiLevelType w:val="hybridMultilevel"/>
    <w:tmpl w:val="69C0593A"/>
    <w:lvl w:ilvl="0" w:tplc="10447838">
      <w:start w:val="1"/>
      <w:numFmt w:val="low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15:restartNumberingAfterBreak="0">
    <w:nsid w:val="48D30E48"/>
    <w:multiLevelType w:val="hybridMultilevel"/>
    <w:tmpl w:val="D090BF84"/>
    <w:lvl w:ilvl="0" w:tplc="53484BEA">
      <w:numFmt w:val="bullet"/>
      <w:lvlText w:val="•"/>
      <w:lvlJc w:val="left"/>
      <w:pPr>
        <w:ind w:left="765" w:hanging="405"/>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4" w15:restartNumberingAfterBreak="0">
    <w:nsid w:val="4F9F5DBD"/>
    <w:multiLevelType w:val="hybridMultilevel"/>
    <w:tmpl w:val="59D01ABA"/>
    <w:lvl w:ilvl="0" w:tplc="0C0A0001">
      <w:start w:val="71"/>
      <w:numFmt w:val="bullet"/>
      <w:lvlText w:val=""/>
      <w:lvlJc w:val="left"/>
      <w:pPr>
        <w:ind w:left="720" w:hanging="360"/>
      </w:pPr>
      <w:rPr>
        <w:rFonts w:ascii="Symbol" w:eastAsia="Times New Roman" w:hAnsi="Symbol"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 w15:restartNumberingAfterBreak="0">
    <w:nsid w:val="5093631A"/>
    <w:multiLevelType w:val="hybridMultilevel"/>
    <w:tmpl w:val="41CEFB22"/>
    <w:lvl w:ilvl="0" w:tplc="0C0A000F">
      <w:start w:val="1"/>
      <w:numFmt w:val="decimal"/>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36" w15:restartNumberingAfterBreak="0">
    <w:nsid w:val="56EE1DB7"/>
    <w:multiLevelType w:val="hybridMultilevel"/>
    <w:tmpl w:val="7D0EE8A0"/>
    <w:lvl w:ilvl="0" w:tplc="5F74833E">
      <w:start w:val="1"/>
      <w:numFmt w:val="lowerRoman"/>
      <w:lvlText w:val="%1)"/>
      <w:lvlJc w:val="left"/>
      <w:pPr>
        <w:ind w:left="1003" w:hanging="720"/>
      </w:pPr>
      <w:rPr>
        <w:rFonts w:hint="default"/>
      </w:rPr>
    </w:lvl>
    <w:lvl w:ilvl="1" w:tplc="0C0A0019" w:tentative="1">
      <w:start w:val="1"/>
      <w:numFmt w:val="lowerLetter"/>
      <w:lvlText w:val="%2."/>
      <w:lvlJc w:val="left"/>
      <w:pPr>
        <w:ind w:left="1363" w:hanging="360"/>
      </w:pPr>
    </w:lvl>
    <w:lvl w:ilvl="2" w:tplc="0C0A001B" w:tentative="1">
      <w:start w:val="1"/>
      <w:numFmt w:val="lowerRoman"/>
      <w:lvlText w:val="%3."/>
      <w:lvlJc w:val="right"/>
      <w:pPr>
        <w:ind w:left="2083" w:hanging="180"/>
      </w:pPr>
    </w:lvl>
    <w:lvl w:ilvl="3" w:tplc="0C0A000F" w:tentative="1">
      <w:start w:val="1"/>
      <w:numFmt w:val="decimal"/>
      <w:lvlText w:val="%4."/>
      <w:lvlJc w:val="left"/>
      <w:pPr>
        <w:ind w:left="2803" w:hanging="360"/>
      </w:pPr>
    </w:lvl>
    <w:lvl w:ilvl="4" w:tplc="0C0A0019" w:tentative="1">
      <w:start w:val="1"/>
      <w:numFmt w:val="lowerLetter"/>
      <w:lvlText w:val="%5."/>
      <w:lvlJc w:val="left"/>
      <w:pPr>
        <w:ind w:left="3523" w:hanging="360"/>
      </w:pPr>
    </w:lvl>
    <w:lvl w:ilvl="5" w:tplc="0C0A001B" w:tentative="1">
      <w:start w:val="1"/>
      <w:numFmt w:val="lowerRoman"/>
      <w:lvlText w:val="%6."/>
      <w:lvlJc w:val="right"/>
      <w:pPr>
        <w:ind w:left="4243" w:hanging="180"/>
      </w:pPr>
    </w:lvl>
    <w:lvl w:ilvl="6" w:tplc="0C0A000F" w:tentative="1">
      <w:start w:val="1"/>
      <w:numFmt w:val="decimal"/>
      <w:lvlText w:val="%7."/>
      <w:lvlJc w:val="left"/>
      <w:pPr>
        <w:ind w:left="4963" w:hanging="360"/>
      </w:pPr>
    </w:lvl>
    <w:lvl w:ilvl="7" w:tplc="0C0A0019" w:tentative="1">
      <w:start w:val="1"/>
      <w:numFmt w:val="lowerLetter"/>
      <w:lvlText w:val="%8."/>
      <w:lvlJc w:val="left"/>
      <w:pPr>
        <w:ind w:left="5683" w:hanging="360"/>
      </w:pPr>
    </w:lvl>
    <w:lvl w:ilvl="8" w:tplc="0C0A001B" w:tentative="1">
      <w:start w:val="1"/>
      <w:numFmt w:val="lowerRoman"/>
      <w:lvlText w:val="%9."/>
      <w:lvlJc w:val="right"/>
      <w:pPr>
        <w:ind w:left="6403" w:hanging="180"/>
      </w:pPr>
    </w:lvl>
  </w:abstractNum>
  <w:abstractNum w:abstractNumId="37" w15:restartNumberingAfterBreak="0">
    <w:nsid w:val="5CBEDCAD"/>
    <w:multiLevelType w:val="hybridMultilevel"/>
    <w:tmpl w:val="A78C649B"/>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8" w15:restartNumberingAfterBreak="0">
    <w:nsid w:val="665D4120"/>
    <w:multiLevelType w:val="hybridMultilevel"/>
    <w:tmpl w:val="2536E0D0"/>
    <w:lvl w:ilvl="0" w:tplc="EFB8039E">
      <w:start w:val="1"/>
      <w:numFmt w:val="decimal"/>
      <w:lvlText w:val="%1."/>
      <w:lvlJc w:val="left"/>
      <w:pPr>
        <w:ind w:left="720" w:hanging="360"/>
      </w:pPr>
      <w:rPr>
        <w:rFonts w:ascii="Arial" w:hAnsi="Arial" w:cs="Arial" w:hint="default"/>
        <w:color w:val="000000"/>
        <w:sz w:val="2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 w15:restartNumberingAfterBreak="0">
    <w:nsid w:val="6B206BA7"/>
    <w:multiLevelType w:val="hybridMultilevel"/>
    <w:tmpl w:val="C4708784"/>
    <w:lvl w:ilvl="0" w:tplc="7BE694C4">
      <w:start w:val="1"/>
      <w:numFmt w:val="lowerLetter"/>
      <w:lvlText w:val="%1)"/>
      <w:lvlJc w:val="left"/>
      <w:pPr>
        <w:ind w:left="720" w:hanging="360"/>
      </w:pPr>
      <w:rPr>
        <w:rFonts w:hint="default"/>
        <w:i/>
        <w:sz w:val="2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0" w15:restartNumberingAfterBreak="0">
    <w:nsid w:val="6B962B65"/>
    <w:multiLevelType w:val="hybridMultilevel"/>
    <w:tmpl w:val="13642FA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1" w15:restartNumberingAfterBreak="0">
    <w:nsid w:val="6BCE123C"/>
    <w:multiLevelType w:val="hybridMultilevel"/>
    <w:tmpl w:val="7B641DCA"/>
    <w:lvl w:ilvl="0" w:tplc="BE26369C">
      <w:numFmt w:val="bullet"/>
      <w:lvlText w:val="-"/>
      <w:lvlJc w:val="left"/>
      <w:pPr>
        <w:ind w:left="720" w:hanging="360"/>
      </w:pPr>
      <w:rPr>
        <w:rFonts w:ascii="Times New Roman" w:eastAsia="Calibri" w:hAnsi="Times New Roman" w:cs="Times New Roman" w:hint="default"/>
      </w:rPr>
    </w:lvl>
    <w:lvl w:ilvl="1" w:tplc="0C0A0003" w:tentative="1">
      <w:start w:val="1"/>
      <w:numFmt w:val="bullet"/>
      <w:lvlText w:val="o"/>
      <w:lvlJc w:val="left"/>
      <w:pPr>
        <w:ind w:left="1440" w:hanging="360"/>
      </w:pPr>
      <w:rPr>
        <w:rFonts w:ascii="Courier New" w:hAnsi="Courier New" w:cs="Arial"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Arial"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Arial" w:hint="default"/>
      </w:rPr>
    </w:lvl>
    <w:lvl w:ilvl="8" w:tplc="0C0A0005" w:tentative="1">
      <w:start w:val="1"/>
      <w:numFmt w:val="bullet"/>
      <w:lvlText w:val=""/>
      <w:lvlJc w:val="left"/>
      <w:pPr>
        <w:ind w:left="6480" w:hanging="360"/>
      </w:pPr>
      <w:rPr>
        <w:rFonts w:ascii="Wingdings" w:hAnsi="Wingdings" w:hint="default"/>
      </w:rPr>
    </w:lvl>
  </w:abstractNum>
  <w:abstractNum w:abstractNumId="42" w15:restartNumberingAfterBreak="0">
    <w:nsid w:val="771E1509"/>
    <w:multiLevelType w:val="hybridMultilevel"/>
    <w:tmpl w:val="7ED6374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3" w15:restartNumberingAfterBreak="0">
    <w:nsid w:val="77AC4F13"/>
    <w:multiLevelType w:val="hybridMultilevel"/>
    <w:tmpl w:val="C9E276B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4" w15:restartNumberingAfterBreak="0">
    <w:nsid w:val="7AC82B43"/>
    <w:multiLevelType w:val="hybridMultilevel"/>
    <w:tmpl w:val="9DE256EA"/>
    <w:lvl w:ilvl="0" w:tplc="B704CC06">
      <w:start w:val="1"/>
      <w:numFmt w:val="decimal"/>
      <w:lvlText w:val="%1."/>
      <w:lvlJc w:val="left"/>
      <w:pPr>
        <w:ind w:left="720" w:hanging="360"/>
      </w:pPr>
      <w:rPr>
        <w:rFonts w:hint="default"/>
        <w:b/>
        <w:sz w:val="2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5" w15:restartNumberingAfterBreak="0">
    <w:nsid w:val="7AFF5C54"/>
    <w:multiLevelType w:val="hybridMultilevel"/>
    <w:tmpl w:val="87288A1C"/>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6" w15:restartNumberingAfterBreak="0">
    <w:nsid w:val="7D713569"/>
    <w:multiLevelType w:val="multilevel"/>
    <w:tmpl w:val="35FA17B8"/>
    <w:name w:val="ASAMBLEA"/>
    <w:lvl w:ilvl="0">
      <w:start w:val="1"/>
      <w:numFmt w:val="decimal"/>
      <w:lvlText w:val="Libro %1:  "/>
      <w:lvlJc w:val="left"/>
      <w:pPr>
        <w:tabs>
          <w:tab w:val="num" w:pos="2520"/>
        </w:tabs>
        <w:ind w:left="432" w:hanging="432"/>
      </w:pPr>
    </w:lvl>
    <w:lvl w:ilvl="1">
      <w:start w:val="1"/>
      <w:numFmt w:val="upperRoman"/>
      <w:lvlRestart w:val="0"/>
      <w:lvlText w:val="Capítulo %2 "/>
      <w:lvlJc w:val="left"/>
      <w:pPr>
        <w:tabs>
          <w:tab w:val="num" w:pos="1800"/>
        </w:tabs>
        <w:ind w:left="576" w:hanging="576"/>
      </w:pPr>
    </w:lvl>
    <w:lvl w:ilvl="2">
      <w:start w:val="1"/>
      <w:numFmt w:val="decimal"/>
      <w:lvlText w:val="%1.%2.%3"/>
      <w:lvlJc w:val="left"/>
      <w:pPr>
        <w:tabs>
          <w:tab w:val="num" w:pos="1418"/>
        </w:tabs>
        <w:ind w:left="1418" w:hanging="1418"/>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suff w:val="nothing"/>
      <w:lvlText w:val="Artículo %6"/>
      <w:lvlJc w:val="left"/>
      <w:pPr>
        <w:ind w:left="1152" w:hanging="1152"/>
      </w:pPr>
      <w:rPr>
        <w:rFonts w:ascii="Arial" w:hAnsi="Arial" w:cs="Times New Roman" w:hint="default"/>
        <w:b w:val="0"/>
        <w:i w:val="0"/>
        <w:caps/>
      </w:r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7" w15:restartNumberingAfterBreak="0">
    <w:nsid w:val="7F45466C"/>
    <w:multiLevelType w:val="multilevel"/>
    <w:tmpl w:val="3EB40196"/>
    <w:name w:val="Scheme 10"/>
    <w:lvl w:ilvl="0">
      <w:start w:val="1"/>
      <w:numFmt w:val="upperRoman"/>
      <w:suff w:val="nothing"/>
      <w:lvlText w:val="ARTICLE %1"/>
      <w:lvlJc w:val="left"/>
      <w:pPr>
        <w:ind w:left="0" w:firstLine="0"/>
      </w:pPr>
      <w:rPr>
        <w:rFonts w:hint="default"/>
        <w:b/>
        <w:caps/>
        <w:smallCaps w:val="0"/>
        <w:vanish w:val="0"/>
        <w:color w:val="auto"/>
        <w:u w:val="none"/>
      </w:rPr>
    </w:lvl>
    <w:lvl w:ilvl="1">
      <w:start w:val="1"/>
      <w:numFmt w:val="decimal"/>
      <w:isLgl/>
      <w:suff w:val="space"/>
      <w:lvlText w:val="SECTION %1.%2.  "/>
      <w:lvlJc w:val="left"/>
      <w:pPr>
        <w:ind w:left="0" w:firstLine="1440"/>
      </w:pPr>
      <w:rPr>
        <w:rFonts w:hint="default"/>
        <w:vanish w:val="0"/>
        <w:color w:val="000000"/>
        <w:u w:val="none"/>
      </w:rPr>
    </w:lvl>
    <w:lvl w:ilvl="2">
      <w:start w:val="1"/>
      <w:numFmt w:val="lowerLetter"/>
      <w:lvlText w:val="(%3)"/>
      <w:lvlJc w:val="left"/>
      <w:pPr>
        <w:tabs>
          <w:tab w:val="num" w:pos="1800"/>
        </w:tabs>
        <w:ind w:left="0" w:firstLine="1440"/>
      </w:pPr>
      <w:rPr>
        <w:rFonts w:hint="default"/>
        <w:vanish w:val="0"/>
        <w:color w:val="auto"/>
        <w:u w:val="none"/>
      </w:rPr>
    </w:lvl>
    <w:lvl w:ilvl="3">
      <w:start w:val="1"/>
      <w:numFmt w:val="lowerRoman"/>
      <w:lvlText w:val="(%4)"/>
      <w:lvlJc w:val="left"/>
      <w:pPr>
        <w:tabs>
          <w:tab w:val="num" w:pos="1440"/>
        </w:tabs>
        <w:ind w:left="2160" w:hanging="720"/>
      </w:pPr>
      <w:rPr>
        <w:rFonts w:hint="default"/>
        <w:vanish w:val="0"/>
        <w:color w:val="auto"/>
        <w:u w:val="none"/>
      </w:rPr>
    </w:lvl>
    <w:lvl w:ilvl="4">
      <w:start w:val="1"/>
      <w:numFmt w:val="lowerLetter"/>
      <w:lvlText w:val="(%5)"/>
      <w:lvlJc w:val="left"/>
      <w:pPr>
        <w:tabs>
          <w:tab w:val="num" w:pos="1800"/>
        </w:tabs>
        <w:ind w:left="720" w:firstLine="720"/>
      </w:pPr>
      <w:rPr>
        <w:rFonts w:hint="default"/>
        <w:vanish w:val="0"/>
        <w:color w:val="auto"/>
        <w:u w:val="none"/>
      </w:rPr>
    </w:lvl>
    <w:lvl w:ilvl="5">
      <w:start w:val="1"/>
      <w:numFmt w:val="lowerRoman"/>
      <w:lvlText w:val="(%6)"/>
      <w:lvlJc w:val="left"/>
      <w:pPr>
        <w:tabs>
          <w:tab w:val="num" w:pos="2160"/>
        </w:tabs>
        <w:ind w:left="720" w:firstLine="720"/>
      </w:pPr>
      <w:rPr>
        <w:rFonts w:hint="default"/>
        <w:vanish w:val="0"/>
        <w:color w:val="auto"/>
        <w:u w:val="none"/>
      </w:rPr>
    </w:lvl>
    <w:lvl w:ilvl="6">
      <w:start w:val="1"/>
      <w:numFmt w:val="decimal"/>
      <w:lvlText w:val="(%7)"/>
      <w:lvlJc w:val="left"/>
      <w:pPr>
        <w:tabs>
          <w:tab w:val="num" w:pos="1800"/>
        </w:tabs>
        <w:ind w:left="720" w:firstLine="720"/>
      </w:pPr>
      <w:rPr>
        <w:rFonts w:hint="default"/>
        <w:vanish w:val="0"/>
        <w:color w:val="auto"/>
        <w:u w:val="none"/>
      </w:rPr>
    </w:lvl>
    <w:lvl w:ilvl="7">
      <w:start w:val="1"/>
      <w:numFmt w:val="lowerLetter"/>
      <w:lvlText w:val="(%8)"/>
      <w:lvlJc w:val="left"/>
      <w:pPr>
        <w:tabs>
          <w:tab w:val="num" w:pos="2520"/>
        </w:tabs>
        <w:ind w:left="1440" w:firstLine="720"/>
      </w:pPr>
      <w:rPr>
        <w:rFonts w:hint="default"/>
        <w:vanish w:val="0"/>
        <w:color w:val="auto"/>
        <w:u w:val="none"/>
      </w:rPr>
    </w:lvl>
    <w:lvl w:ilvl="8">
      <w:start w:val="1"/>
      <w:numFmt w:val="lowerRoman"/>
      <w:lvlText w:val="(%9)"/>
      <w:lvlJc w:val="left"/>
      <w:pPr>
        <w:tabs>
          <w:tab w:val="num" w:pos="3600"/>
        </w:tabs>
        <w:ind w:left="2160" w:firstLine="720"/>
      </w:pPr>
      <w:rPr>
        <w:rFonts w:hint="default"/>
        <w:vanish w:val="0"/>
        <w:color w:val="auto"/>
        <w:u w:val="none"/>
      </w:rPr>
    </w:lvl>
  </w:abstractNum>
  <w:abstractNum w:abstractNumId="48" w15:restartNumberingAfterBreak="0">
    <w:nsid w:val="7FF11FD1"/>
    <w:multiLevelType w:val="hybridMultilevel"/>
    <w:tmpl w:val="465E030A"/>
    <w:lvl w:ilvl="0" w:tplc="080A0011">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4"/>
  </w:num>
  <w:num w:numId="2">
    <w:abstractNumId w:val="36"/>
  </w:num>
  <w:num w:numId="3">
    <w:abstractNumId w:val="35"/>
  </w:num>
  <w:num w:numId="4">
    <w:abstractNumId w:val="23"/>
  </w:num>
  <w:num w:numId="5">
    <w:abstractNumId w:val="9"/>
  </w:num>
  <w:num w:numId="6">
    <w:abstractNumId w:val="12"/>
  </w:num>
  <w:num w:numId="7">
    <w:abstractNumId w:val="45"/>
  </w:num>
  <w:num w:numId="8">
    <w:abstractNumId w:val="10"/>
  </w:num>
  <w:num w:numId="9">
    <w:abstractNumId w:val="21"/>
  </w:num>
  <w:num w:numId="10">
    <w:abstractNumId w:val="6"/>
  </w:num>
  <w:num w:numId="11">
    <w:abstractNumId w:val="32"/>
  </w:num>
  <w:num w:numId="12">
    <w:abstractNumId w:val="13"/>
  </w:num>
  <w:num w:numId="13">
    <w:abstractNumId w:val="7"/>
  </w:num>
  <w:num w:numId="14">
    <w:abstractNumId w:val="42"/>
  </w:num>
  <w:num w:numId="15">
    <w:abstractNumId w:val="24"/>
  </w:num>
  <w:num w:numId="16">
    <w:abstractNumId w:val="40"/>
  </w:num>
  <w:num w:numId="17">
    <w:abstractNumId w:val="33"/>
  </w:num>
  <w:num w:numId="18">
    <w:abstractNumId w:val="20"/>
  </w:num>
  <w:num w:numId="19">
    <w:abstractNumId w:val="34"/>
  </w:num>
  <w:num w:numId="20">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num>
  <w:num w:numId="22">
    <w:abstractNumId w:val="11"/>
  </w:num>
  <w:num w:numId="23">
    <w:abstractNumId w:val="5"/>
  </w:num>
  <w:num w:numId="24">
    <w:abstractNumId w:val="4"/>
  </w:num>
  <w:num w:numId="25">
    <w:abstractNumId w:val="1"/>
  </w:num>
  <w:num w:numId="26">
    <w:abstractNumId w:val="37"/>
  </w:num>
  <w:num w:numId="27">
    <w:abstractNumId w:val="0"/>
  </w:num>
  <w:num w:numId="28">
    <w:abstractNumId w:val="2"/>
  </w:num>
  <w:num w:numId="29">
    <w:abstractNumId w:val="22"/>
  </w:num>
  <w:num w:numId="30">
    <w:abstractNumId w:val="44"/>
  </w:num>
  <w:num w:numId="31">
    <w:abstractNumId w:val="43"/>
  </w:num>
  <w:num w:numId="32">
    <w:abstractNumId w:val="39"/>
  </w:num>
  <w:num w:numId="33">
    <w:abstractNumId w:val="30"/>
  </w:num>
  <w:num w:numId="34">
    <w:abstractNumId w:val="41"/>
  </w:num>
  <w:num w:numId="35">
    <w:abstractNumId w:val="29"/>
  </w:num>
  <w:num w:numId="36">
    <w:abstractNumId w:val="38"/>
  </w:num>
  <w:num w:numId="37">
    <w:abstractNumId w:val="26"/>
  </w:num>
  <w:num w:numId="38">
    <w:abstractNumId w:val="41"/>
  </w:num>
  <w:num w:numId="39">
    <w:abstractNumId w:val="25"/>
  </w:num>
  <w:num w:numId="40">
    <w:abstractNumId w:val="28"/>
  </w:num>
  <w:num w:numId="41">
    <w:abstractNumId w:val="19"/>
  </w:num>
  <w:num w:numId="42">
    <w:abstractNumId w:val="16"/>
  </w:num>
  <w:num w:numId="43">
    <w:abstractNumId w:val="31"/>
  </w:num>
  <w:num w:numId="44">
    <w:abstractNumId w:val="8"/>
  </w:num>
  <w:num w:numId="45">
    <w:abstractNumId w:val="48"/>
  </w:num>
  <w:num w:numId="46">
    <w:abstractNumId w:val="3"/>
  </w:num>
  <w:num w:numId="47">
    <w:abstractNumId w:val="15"/>
  </w:num>
  <w:num w:numId="48">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removePersonalInformation/>
  <w:mirrorMargins/>
  <w:proofState w:spelling="clean" w:grammar="clean"/>
  <w:defaultTabStop w:val="720"/>
  <w:hyphenationZone w:val="425"/>
  <w:drawingGridHorizontalSpacing w:val="120"/>
  <w:displayHorizontalDrawingGridEvery w:val="2"/>
  <w:displayVerticalDrawingGridEvery w:val="2"/>
  <w:noPunctuationKerning/>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4E2E"/>
    <w:rsid w:val="0000001F"/>
    <w:rsid w:val="00001767"/>
    <w:rsid w:val="00001848"/>
    <w:rsid w:val="00002421"/>
    <w:rsid w:val="000031F8"/>
    <w:rsid w:val="0000369D"/>
    <w:rsid w:val="000044BA"/>
    <w:rsid w:val="00004F5D"/>
    <w:rsid w:val="000061E9"/>
    <w:rsid w:val="00006608"/>
    <w:rsid w:val="0000726C"/>
    <w:rsid w:val="00007293"/>
    <w:rsid w:val="000073CD"/>
    <w:rsid w:val="00007889"/>
    <w:rsid w:val="000117E7"/>
    <w:rsid w:val="00011D98"/>
    <w:rsid w:val="00012363"/>
    <w:rsid w:val="00013698"/>
    <w:rsid w:val="00013E0E"/>
    <w:rsid w:val="00013F55"/>
    <w:rsid w:val="000141AB"/>
    <w:rsid w:val="000145F2"/>
    <w:rsid w:val="00014742"/>
    <w:rsid w:val="0001495A"/>
    <w:rsid w:val="000149D7"/>
    <w:rsid w:val="00015367"/>
    <w:rsid w:val="000157B0"/>
    <w:rsid w:val="00015CF2"/>
    <w:rsid w:val="00016ACA"/>
    <w:rsid w:val="00017E00"/>
    <w:rsid w:val="00020D75"/>
    <w:rsid w:val="00021619"/>
    <w:rsid w:val="000216BA"/>
    <w:rsid w:val="00021A89"/>
    <w:rsid w:val="00021F28"/>
    <w:rsid w:val="00022FC0"/>
    <w:rsid w:val="00023003"/>
    <w:rsid w:val="000235C2"/>
    <w:rsid w:val="0002389C"/>
    <w:rsid w:val="00023EE6"/>
    <w:rsid w:val="00024B3A"/>
    <w:rsid w:val="00024E11"/>
    <w:rsid w:val="00025406"/>
    <w:rsid w:val="00025EE4"/>
    <w:rsid w:val="00027313"/>
    <w:rsid w:val="0002753C"/>
    <w:rsid w:val="0002768D"/>
    <w:rsid w:val="00027752"/>
    <w:rsid w:val="0003121C"/>
    <w:rsid w:val="00031AED"/>
    <w:rsid w:val="00032B1C"/>
    <w:rsid w:val="00034170"/>
    <w:rsid w:val="00034BBC"/>
    <w:rsid w:val="00035F39"/>
    <w:rsid w:val="000361DF"/>
    <w:rsid w:val="00036B92"/>
    <w:rsid w:val="00037622"/>
    <w:rsid w:val="000401A4"/>
    <w:rsid w:val="000401B7"/>
    <w:rsid w:val="00040F88"/>
    <w:rsid w:val="000418D0"/>
    <w:rsid w:val="000422E9"/>
    <w:rsid w:val="00042CF4"/>
    <w:rsid w:val="000434D5"/>
    <w:rsid w:val="00043E1C"/>
    <w:rsid w:val="00044B4D"/>
    <w:rsid w:val="000467BE"/>
    <w:rsid w:val="00046873"/>
    <w:rsid w:val="0005150E"/>
    <w:rsid w:val="00052015"/>
    <w:rsid w:val="00052BAF"/>
    <w:rsid w:val="000530B9"/>
    <w:rsid w:val="000542BD"/>
    <w:rsid w:val="000546A6"/>
    <w:rsid w:val="00054DD2"/>
    <w:rsid w:val="00054ED9"/>
    <w:rsid w:val="00054EFF"/>
    <w:rsid w:val="00055A19"/>
    <w:rsid w:val="00056B69"/>
    <w:rsid w:val="00056DA1"/>
    <w:rsid w:val="00057234"/>
    <w:rsid w:val="000604AB"/>
    <w:rsid w:val="00060FB5"/>
    <w:rsid w:val="00061683"/>
    <w:rsid w:val="00061AF8"/>
    <w:rsid w:val="00062135"/>
    <w:rsid w:val="00063174"/>
    <w:rsid w:val="00063C81"/>
    <w:rsid w:val="00063CE6"/>
    <w:rsid w:val="00064783"/>
    <w:rsid w:val="00064F5D"/>
    <w:rsid w:val="00065A74"/>
    <w:rsid w:val="00065F2E"/>
    <w:rsid w:val="00065F98"/>
    <w:rsid w:val="00067D70"/>
    <w:rsid w:val="00071E28"/>
    <w:rsid w:val="000722C2"/>
    <w:rsid w:val="000726F6"/>
    <w:rsid w:val="00073BE1"/>
    <w:rsid w:val="00074612"/>
    <w:rsid w:val="00074BA5"/>
    <w:rsid w:val="000751E6"/>
    <w:rsid w:val="00076B41"/>
    <w:rsid w:val="00077442"/>
    <w:rsid w:val="000774F4"/>
    <w:rsid w:val="00077876"/>
    <w:rsid w:val="00080580"/>
    <w:rsid w:val="00080EC7"/>
    <w:rsid w:val="00081772"/>
    <w:rsid w:val="00081AF6"/>
    <w:rsid w:val="00081EE1"/>
    <w:rsid w:val="00082D85"/>
    <w:rsid w:val="000838BB"/>
    <w:rsid w:val="00083FF8"/>
    <w:rsid w:val="00084F66"/>
    <w:rsid w:val="0008697C"/>
    <w:rsid w:val="0009047E"/>
    <w:rsid w:val="00091332"/>
    <w:rsid w:val="00091808"/>
    <w:rsid w:val="00091AC5"/>
    <w:rsid w:val="00092800"/>
    <w:rsid w:val="00093236"/>
    <w:rsid w:val="000936C8"/>
    <w:rsid w:val="00093A9F"/>
    <w:rsid w:val="00094491"/>
    <w:rsid w:val="00094877"/>
    <w:rsid w:val="00094ADF"/>
    <w:rsid w:val="00095146"/>
    <w:rsid w:val="00095501"/>
    <w:rsid w:val="00095603"/>
    <w:rsid w:val="00095D70"/>
    <w:rsid w:val="000962BE"/>
    <w:rsid w:val="00096FE2"/>
    <w:rsid w:val="000976AF"/>
    <w:rsid w:val="000A00D6"/>
    <w:rsid w:val="000A0531"/>
    <w:rsid w:val="000A0BE4"/>
    <w:rsid w:val="000A1254"/>
    <w:rsid w:val="000A2037"/>
    <w:rsid w:val="000A34A8"/>
    <w:rsid w:val="000A3AA0"/>
    <w:rsid w:val="000A41D4"/>
    <w:rsid w:val="000A450F"/>
    <w:rsid w:val="000A4AC0"/>
    <w:rsid w:val="000A57BB"/>
    <w:rsid w:val="000A64E7"/>
    <w:rsid w:val="000A669E"/>
    <w:rsid w:val="000A6F2A"/>
    <w:rsid w:val="000B05D5"/>
    <w:rsid w:val="000B10EF"/>
    <w:rsid w:val="000B139B"/>
    <w:rsid w:val="000B19BE"/>
    <w:rsid w:val="000B2C3D"/>
    <w:rsid w:val="000B38D3"/>
    <w:rsid w:val="000B446B"/>
    <w:rsid w:val="000B5223"/>
    <w:rsid w:val="000B543B"/>
    <w:rsid w:val="000B6787"/>
    <w:rsid w:val="000B6C9A"/>
    <w:rsid w:val="000B6EAC"/>
    <w:rsid w:val="000B75F7"/>
    <w:rsid w:val="000B7FEB"/>
    <w:rsid w:val="000C09FD"/>
    <w:rsid w:val="000C0CB1"/>
    <w:rsid w:val="000C0D7F"/>
    <w:rsid w:val="000C0FD7"/>
    <w:rsid w:val="000C20E6"/>
    <w:rsid w:val="000C258A"/>
    <w:rsid w:val="000C2BD2"/>
    <w:rsid w:val="000C2FEF"/>
    <w:rsid w:val="000C303C"/>
    <w:rsid w:val="000C35AB"/>
    <w:rsid w:val="000C3CEE"/>
    <w:rsid w:val="000C44FA"/>
    <w:rsid w:val="000C4E0B"/>
    <w:rsid w:val="000C6592"/>
    <w:rsid w:val="000C675B"/>
    <w:rsid w:val="000C6995"/>
    <w:rsid w:val="000C6B0A"/>
    <w:rsid w:val="000C6EE9"/>
    <w:rsid w:val="000C74A2"/>
    <w:rsid w:val="000D0CA9"/>
    <w:rsid w:val="000D1413"/>
    <w:rsid w:val="000D1D68"/>
    <w:rsid w:val="000D201A"/>
    <w:rsid w:val="000D279A"/>
    <w:rsid w:val="000D34F9"/>
    <w:rsid w:val="000D411F"/>
    <w:rsid w:val="000D418B"/>
    <w:rsid w:val="000D454E"/>
    <w:rsid w:val="000D48AC"/>
    <w:rsid w:val="000D76F1"/>
    <w:rsid w:val="000E07FC"/>
    <w:rsid w:val="000E0D29"/>
    <w:rsid w:val="000E0FC9"/>
    <w:rsid w:val="000E260A"/>
    <w:rsid w:val="000E2E23"/>
    <w:rsid w:val="000E2FA8"/>
    <w:rsid w:val="000E51F8"/>
    <w:rsid w:val="000E5BD8"/>
    <w:rsid w:val="000E636A"/>
    <w:rsid w:val="000E7187"/>
    <w:rsid w:val="000E7C63"/>
    <w:rsid w:val="000F01D0"/>
    <w:rsid w:val="000F2D71"/>
    <w:rsid w:val="000F3F47"/>
    <w:rsid w:val="000F4F5A"/>
    <w:rsid w:val="000F6296"/>
    <w:rsid w:val="000F6A74"/>
    <w:rsid w:val="00100214"/>
    <w:rsid w:val="00100A02"/>
    <w:rsid w:val="00101158"/>
    <w:rsid w:val="0010182B"/>
    <w:rsid w:val="00101B6D"/>
    <w:rsid w:val="00101D21"/>
    <w:rsid w:val="00102107"/>
    <w:rsid w:val="001030C8"/>
    <w:rsid w:val="001035F4"/>
    <w:rsid w:val="00103E0F"/>
    <w:rsid w:val="001042BA"/>
    <w:rsid w:val="00105243"/>
    <w:rsid w:val="00106DFC"/>
    <w:rsid w:val="00106E32"/>
    <w:rsid w:val="001074F2"/>
    <w:rsid w:val="00107605"/>
    <w:rsid w:val="001078B7"/>
    <w:rsid w:val="00107DF4"/>
    <w:rsid w:val="00111736"/>
    <w:rsid w:val="00111861"/>
    <w:rsid w:val="00116C32"/>
    <w:rsid w:val="0012104D"/>
    <w:rsid w:val="0012413C"/>
    <w:rsid w:val="00126792"/>
    <w:rsid w:val="00126A08"/>
    <w:rsid w:val="001276D1"/>
    <w:rsid w:val="001322DC"/>
    <w:rsid w:val="00133093"/>
    <w:rsid w:val="00133199"/>
    <w:rsid w:val="00133462"/>
    <w:rsid w:val="00133746"/>
    <w:rsid w:val="0013388A"/>
    <w:rsid w:val="00136520"/>
    <w:rsid w:val="001367BA"/>
    <w:rsid w:val="00136E54"/>
    <w:rsid w:val="00137814"/>
    <w:rsid w:val="00137B5D"/>
    <w:rsid w:val="00137E9F"/>
    <w:rsid w:val="00141E1F"/>
    <w:rsid w:val="00141F0A"/>
    <w:rsid w:val="001427CC"/>
    <w:rsid w:val="001433AE"/>
    <w:rsid w:val="00143D31"/>
    <w:rsid w:val="00143E6C"/>
    <w:rsid w:val="00144383"/>
    <w:rsid w:val="0014491C"/>
    <w:rsid w:val="00146752"/>
    <w:rsid w:val="001468EE"/>
    <w:rsid w:val="00147E46"/>
    <w:rsid w:val="0015046A"/>
    <w:rsid w:val="00150648"/>
    <w:rsid w:val="0015158E"/>
    <w:rsid w:val="001519A3"/>
    <w:rsid w:val="00151CD6"/>
    <w:rsid w:val="0015206D"/>
    <w:rsid w:val="0015302E"/>
    <w:rsid w:val="00154B2D"/>
    <w:rsid w:val="00154D4F"/>
    <w:rsid w:val="00154DC1"/>
    <w:rsid w:val="0015670A"/>
    <w:rsid w:val="00156B54"/>
    <w:rsid w:val="00157A27"/>
    <w:rsid w:val="001611CB"/>
    <w:rsid w:val="00161A82"/>
    <w:rsid w:val="00162868"/>
    <w:rsid w:val="00163373"/>
    <w:rsid w:val="0016359A"/>
    <w:rsid w:val="001647CA"/>
    <w:rsid w:val="00164834"/>
    <w:rsid w:val="00165BEA"/>
    <w:rsid w:val="001664A8"/>
    <w:rsid w:val="001715EB"/>
    <w:rsid w:val="00171899"/>
    <w:rsid w:val="00172E99"/>
    <w:rsid w:val="00173391"/>
    <w:rsid w:val="00173EDC"/>
    <w:rsid w:val="00174800"/>
    <w:rsid w:val="001748B3"/>
    <w:rsid w:val="00175940"/>
    <w:rsid w:val="00176196"/>
    <w:rsid w:val="00176D12"/>
    <w:rsid w:val="00177440"/>
    <w:rsid w:val="001776EC"/>
    <w:rsid w:val="00177A22"/>
    <w:rsid w:val="00180092"/>
    <w:rsid w:val="00180427"/>
    <w:rsid w:val="00180629"/>
    <w:rsid w:val="00182A06"/>
    <w:rsid w:val="001834DA"/>
    <w:rsid w:val="0018525E"/>
    <w:rsid w:val="00191C37"/>
    <w:rsid w:val="001953E1"/>
    <w:rsid w:val="001957FD"/>
    <w:rsid w:val="00196CB9"/>
    <w:rsid w:val="001977C2"/>
    <w:rsid w:val="00197825"/>
    <w:rsid w:val="001A0046"/>
    <w:rsid w:val="001A0687"/>
    <w:rsid w:val="001A09B2"/>
    <w:rsid w:val="001A0F7D"/>
    <w:rsid w:val="001A1293"/>
    <w:rsid w:val="001A19A5"/>
    <w:rsid w:val="001A2D77"/>
    <w:rsid w:val="001A39FF"/>
    <w:rsid w:val="001A4008"/>
    <w:rsid w:val="001A45C1"/>
    <w:rsid w:val="001A45DB"/>
    <w:rsid w:val="001A4800"/>
    <w:rsid w:val="001A4BB4"/>
    <w:rsid w:val="001A5D23"/>
    <w:rsid w:val="001A7F15"/>
    <w:rsid w:val="001B09C7"/>
    <w:rsid w:val="001B0B7E"/>
    <w:rsid w:val="001B1AD8"/>
    <w:rsid w:val="001B3477"/>
    <w:rsid w:val="001B3BB1"/>
    <w:rsid w:val="001B4035"/>
    <w:rsid w:val="001B4051"/>
    <w:rsid w:val="001B4A7B"/>
    <w:rsid w:val="001B4DB6"/>
    <w:rsid w:val="001B5D4F"/>
    <w:rsid w:val="001B600D"/>
    <w:rsid w:val="001B69DA"/>
    <w:rsid w:val="001B6AF8"/>
    <w:rsid w:val="001B6EF1"/>
    <w:rsid w:val="001B6F76"/>
    <w:rsid w:val="001C0B5C"/>
    <w:rsid w:val="001C1BBA"/>
    <w:rsid w:val="001C2553"/>
    <w:rsid w:val="001C267C"/>
    <w:rsid w:val="001C36E6"/>
    <w:rsid w:val="001C3829"/>
    <w:rsid w:val="001C4F41"/>
    <w:rsid w:val="001C4F48"/>
    <w:rsid w:val="001C502A"/>
    <w:rsid w:val="001C54FD"/>
    <w:rsid w:val="001C5DCA"/>
    <w:rsid w:val="001C6C9B"/>
    <w:rsid w:val="001C70CD"/>
    <w:rsid w:val="001C7D2E"/>
    <w:rsid w:val="001D01A9"/>
    <w:rsid w:val="001D0218"/>
    <w:rsid w:val="001D0290"/>
    <w:rsid w:val="001D0D88"/>
    <w:rsid w:val="001D1A5E"/>
    <w:rsid w:val="001D1B03"/>
    <w:rsid w:val="001D27E2"/>
    <w:rsid w:val="001D3B84"/>
    <w:rsid w:val="001D3D20"/>
    <w:rsid w:val="001D4F25"/>
    <w:rsid w:val="001D508E"/>
    <w:rsid w:val="001D7259"/>
    <w:rsid w:val="001D768C"/>
    <w:rsid w:val="001E053B"/>
    <w:rsid w:val="001E0C1D"/>
    <w:rsid w:val="001E0C7B"/>
    <w:rsid w:val="001E185C"/>
    <w:rsid w:val="001E312F"/>
    <w:rsid w:val="001E326F"/>
    <w:rsid w:val="001E39C8"/>
    <w:rsid w:val="001E518D"/>
    <w:rsid w:val="001E56AF"/>
    <w:rsid w:val="001E6111"/>
    <w:rsid w:val="001E6CAB"/>
    <w:rsid w:val="001E710D"/>
    <w:rsid w:val="001E7797"/>
    <w:rsid w:val="001E7843"/>
    <w:rsid w:val="001E7D39"/>
    <w:rsid w:val="001F0B54"/>
    <w:rsid w:val="001F2A8D"/>
    <w:rsid w:val="001F3046"/>
    <w:rsid w:val="001F33B1"/>
    <w:rsid w:val="001F3AA5"/>
    <w:rsid w:val="001F4CF5"/>
    <w:rsid w:val="001F500F"/>
    <w:rsid w:val="001F53E6"/>
    <w:rsid w:val="001F67DA"/>
    <w:rsid w:val="001F6B88"/>
    <w:rsid w:val="001F77B0"/>
    <w:rsid w:val="00202644"/>
    <w:rsid w:val="0020520A"/>
    <w:rsid w:val="002058A7"/>
    <w:rsid w:val="00207D7D"/>
    <w:rsid w:val="002102EB"/>
    <w:rsid w:val="002104FB"/>
    <w:rsid w:val="0021165D"/>
    <w:rsid w:val="00211D66"/>
    <w:rsid w:val="00211F9C"/>
    <w:rsid w:val="00212289"/>
    <w:rsid w:val="0021240D"/>
    <w:rsid w:val="002127D0"/>
    <w:rsid w:val="00214B83"/>
    <w:rsid w:val="002166E0"/>
    <w:rsid w:val="00217AC8"/>
    <w:rsid w:val="002201A9"/>
    <w:rsid w:val="0022093E"/>
    <w:rsid w:val="00220DF9"/>
    <w:rsid w:val="00221755"/>
    <w:rsid w:val="00222112"/>
    <w:rsid w:val="00223FF5"/>
    <w:rsid w:val="002248E1"/>
    <w:rsid w:val="00224A80"/>
    <w:rsid w:val="00224D94"/>
    <w:rsid w:val="00225316"/>
    <w:rsid w:val="00230D53"/>
    <w:rsid w:val="00230EF9"/>
    <w:rsid w:val="00231049"/>
    <w:rsid w:val="00231154"/>
    <w:rsid w:val="00231618"/>
    <w:rsid w:val="002316D2"/>
    <w:rsid w:val="00231D55"/>
    <w:rsid w:val="002320BE"/>
    <w:rsid w:val="00232D3C"/>
    <w:rsid w:val="002338FC"/>
    <w:rsid w:val="00233BD2"/>
    <w:rsid w:val="002355D0"/>
    <w:rsid w:val="002356C2"/>
    <w:rsid w:val="00236D49"/>
    <w:rsid w:val="00236EDF"/>
    <w:rsid w:val="0024078C"/>
    <w:rsid w:val="002410B5"/>
    <w:rsid w:val="00241F22"/>
    <w:rsid w:val="00242AF4"/>
    <w:rsid w:val="00243245"/>
    <w:rsid w:val="002435E7"/>
    <w:rsid w:val="002450B9"/>
    <w:rsid w:val="0024596E"/>
    <w:rsid w:val="002509B4"/>
    <w:rsid w:val="00251026"/>
    <w:rsid w:val="0025143D"/>
    <w:rsid w:val="002519DF"/>
    <w:rsid w:val="00251BC7"/>
    <w:rsid w:val="00252A3B"/>
    <w:rsid w:val="00253681"/>
    <w:rsid w:val="00253E07"/>
    <w:rsid w:val="002540A5"/>
    <w:rsid w:val="002543E5"/>
    <w:rsid w:val="0025486D"/>
    <w:rsid w:val="00255C3B"/>
    <w:rsid w:val="002566BB"/>
    <w:rsid w:val="002571DC"/>
    <w:rsid w:val="002579A8"/>
    <w:rsid w:val="00260139"/>
    <w:rsid w:val="002606DA"/>
    <w:rsid w:val="00260EA9"/>
    <w:rsid w:val="002615B2"/>
    <w:rsid w:val="0026183D"/>
    <w:rsid w:val="00261EB3"/>
    <w:rsid w:val="00262113"/>
    <w:rsid w:val="00263353"/>
    <w:rsid w:val="002649B4"/>
    <w:rsid w:val="002650DC"/>
    <w:rsid w:val="002652AF"/>
    <w:rsid w:val="0026621E"/>
    <w:rsid w:val="00266E38"/>
    <w:rsid w:val="00266EFE"/>
    <w:rsid w:val="00270D20"/>
    <w:rsid w:val="002721E1"/>
    <w:rsid w:val="00273B4B"/>
    <w:rsid w:val="002756E9"/>
    <w:rsid w:val="00276297"/>
    <w:rsid w:val="00277D53"/>
    <w:rsid w:val="00280150"/>
    <w:rsid w:val="002801E5"/>
    <w:rsid w:val="00282A11"/>
    <w:rsid w:val="00282ED8"/>
    <w:rsid w:val="00282FA9"/>
    <w:rsid w:val="00284669"/>
    <w:rsid w:val="002849DA"/>
    <w:rsid w:val="00287378"/>
    <w:rsid w:val="00287686"/>
    <w:rsid w:val="00292741"/>
    <w:rsid w:val="00292BEA"/>
    <w:rsid w:val="00293AC3"/>
    <w:rsid w:val="002954C9"/>
    <w:rsid w:val="00296C2A"/>
    <w:rsid w:val="00297533"/>
    <w:rsid w:val="00297729"/>
    <w:rsid w:val="002A0D29"/>
    <w:rsid w:val="002A2736"/>
    <w:rsid w:val="002A2A58"/>
    <w:rsid w:val="002A2CFD"/>
    <w:rsid w:val="002A410E"/>
    <w:rsid w:val="002A45BD"/>
    <w:rsid w:val="002A46D9"/>
    <w:rsid w:val="002A4709"/>
    <w:rsid w:val="002A4D48"/>
    <w:rsid w:val="002A5342"/>
    <w:rsid w:val="002A64C3"/>
    <w:rsid w:val="002A690C"/>
    <w:rsid w:val="002A70B0"/>
    <w:rsid w:val="002A7632"/>
    <w:rsid w:val="002B0058"/>
    <w:rsid w:val="002B0D51"/>
    <w:rsid w:val="002B4897"/>
    <w:rsid w:val="002B4FFD"/>
    <w:rsid w:val="002B521F"/>
    <w:rsid w:val="002B5413"/>
    <w:rsid w:val="002B5656"/>
    <w:rsid w:val="002B58D9"/>
    <w:rsid w:val="002B6307"/>
    <w:rsid w:val="002B73D5"/>
    <w:rsid w:val="002B7C75"/>
    <w:rsid w:val="002C038A"/>
    <w:rsid w:val="002C165C"/>
    <w:rsid w:val="002C22E1"/>
    <w:rsid w:val="002C2732"/>
    <w:rsid w:val="002C2B03"/>
    <w:rsid w:val="002C307E"/>
    <w:rsid w:val="002C3545"/>
    <w:rsid w:val="002C3C06"/>
    <w:rsid w:val="002C3CD1"/>
    <w:rsid w:val="002C40C6"/>
    <w:rsid w:val="002C4826"/>
    <w:rsid w:val="002C5E90"/>
    <w:rsid w:val="002C7C32"/>
    <w:rsid w:val="002D16B7"/>
    <w:rsid w:val="002D176C"/>
    <w:rsid w:val="002D1ECE"/>
    <w:rsid w:val="002D2C88"/>
    <w:rsid w:val="002D2E04"/>
    <w:rsid w:val="002D41F9"/>
    <w:rsid w:val="002D43F1"/>
    <w:rsid w:val="002D4691"/>
    <w:rsid w:val="002D4E14"/>
    <w:rsid w:val="002D5704"/>
    <w:rsid w:val="002D5883"/>
    <w:rsid w:val="002D6CFD"/>
    <w:rsid w:val="002E1518"/>
    <w:rsid w:val="002E2248"/>
    <w:rsid w:val="002E22E0"/>
    <w:rsid w:val="002E3F81"/>
    <w:rsid w:val="002E43DB"/>
    <w:rsid w:val="002E4668"/>
    <w:rsid w:val="002E55C2"/>
    <w:rsid w:val="002E650D"/>
    <w:rsid w:val="002E7220"/>
    <w:rsid w:val="002E7732"/>
    <w:rsid w:val="002E7C9C"/>
    <w:rsid w:val="002F09EC"/>
    <w:rsid w:val="002F0A5B"/>
    <w:rsid w:val="002F1473"/>
    <w:rsid w:val="002F199C"/>
    <w:rsid w:val="002F29FA"/>
    <w:rsid w:val="002F2CD6"/>
    <w:rsid w:val="002F3026"/>
    <w:rsid w:val="002F4393"/>
    <w:rsid w:val="002F6EA1"/>
    <w:rsid w:val="002F6EFB"/>
    <w:rsid w:val="002F6F26"/>
    <w:rsid w:val="002F7158"/>
    <w:rsid w:val="002F727F"/>
    <w:rsid w:val="002F7CB6"/>
    <w:rsid w:val="00300123"/>
    <w:rsid w:val="00300D08"/>
    <w:rsid w:val="00301353"/>
    <w:rsid w:val="00302541"/>
    <w:rsid w:val="00302BB2"/>
    <w:rsid w:val="00304045"/>
    <w:rsid w:val="00304859"/>
    <w:rsid w:val="003066AA"/>
    <w:rsid w:val="003066F0"/>
    <w:rsid w:val="0030681D"/>
    <w:rsid w:val="00306973"/>
    <w:rsid w:val="00307A43"/>
    <w:rsid w:val="00307F7F"/>
    <w:rsid w:val="0031109A"/>
    <w:rsid w:val="00311B69"/>
    <w:rsid w:val="00314041"/>
    <w:rsid w:val="0031445A"/>
    <w:rsid w:val="0031580B"/>
    <w:rsid w:val="003169C2"/>
    <w:rsid w:val="00317C90"/>
    <w:rsid w:val="003208B8"/>
    <w:rsid w:val="00320E4D"/>
    <w:rsid w:val="00321915"/>
    <w:rsid w:val="00322248"/>
    <w:rsid w:val="00322B93"/>
    <w:rsid w:val="00323109"/>
    <w:rsid w:val="00323D54"/>
    <w:rsid w:val="003241D1"/>
    <w:rsid w:val="00324A14"/>
    <w:rsid w:val="00324B50"/>
    <w:rsid w:val="00325504"/>
    <w:rsid w:val="00326E38"/>
    <w:rsid w:val="003305EF"/>
    <w:rsid w:val="00330717"/>
    <w:rsid w:val="00330920"/>
    <w:rsid w:val="00331EEF"/>
    <w:rsid w:val="00332CEE"/>
    <w:rsid w:val="0033454A"/>
    <w:rsid w:val="0033456A"/>
    <w:rsid w:val="00334B77"/>
    <w:rsid w:val="00335450"/>
    <w:rsid w:val="00335791"/>
    <w:rsid w:val="0033615B"/>
    <w:rsid w:val="00336967"/>
    <w:rsid w:val="003379E1"/>
    <w:rsid w:val="00337ACD"/>
    <w:rsid w:val="00337D96"/>
    <w:rsid w:val="003401C6"/>
    <w:rsid w:val="0034035D"/>
    <w:rsid w:val="00340DCD"/>
    <w:rsid w:val="003414A5"/>
    <w:rsid w:val="00341899"/>
    <w:rsid w:val="00341BC5"/>
    <w:rsid w:val="00343630"/>
    <w:rsid w:val="00344503"/>
    <w:rsid w:val="003468E3"/>
    <w:rsid w:val="00346EC6"/>
    <w:rsid w:val="00351532"/>
    <w:rsid w:val="003517E1"/>
    <w:rsid w:val="00351E10"/>
    <w:rsid w:val="003537E4"/>
    <w:rsid w:val="003550C4"/>
    <w:rsid w:val="0035611A"/>
    <w:rsid w:val="003561B3"/>
    <w:rsid w:val="00356D59"/>
    <w:rsid w:val="00357451"/>
    <w:rsid w:val="00357DA3"/>
    <w:rsid w:val="003605A0"/>
    <w:rsid w:val="00361884"/>
    <w:rsid w:val="003625DA"/>
    <w:rsid w:val="00362CED"/>
    <w:rsid w:val="00364E68"/>
    <w:rsid w:val="003656C7"/>
    <w:rsid w:val="00365B2F"/>
    <w:rsid w:val="00366A2F"/>
    <w:rsid w:val="00367FD7"/>
    <w:rsid w:val="00370348"/>
    <w:rsid w:val="003736FF"/>
    <w:rsid w:val="00374267"/>
    <w:rsid w:val="00376F72"/>
    <w:rsid w:val="0037722C"/>
    <w:rsid w:val="0038018E"/>
    <w:rsid w:val="003802B7"/>
    <w:rsid w:val="003804C4"/>
    <w:rsid w:val="00380506"/>
    <w:rsid w:val="00380F71"/>
    <w:rsid w:val="0038123E"/>
    <w:rsid w:val="0038130B"/>
    <w:rsid w:val="003821F9"/>
    <w:rsid w:val="00382A59"/>
    <w:rsid w:val="00384048"/>
    <w:rsid w:val="0038428A"/>
    <w:rsid w:val="0038478F"/>
    <w:rsid w:val="003866DD"/>
    <w:rsid w:val="00391174"/>
    <w:rsid w:val="00391807"/>
    <w:rsid w:val="00391E44"/>
    <w:rsid w:val="00392E55"/>
    <w:rsid w:val="003942C8"/>
    <w:rsid w:val="00395115"/>
    <w:rsid w:val="00395F73"/>
    <w:rsid w:val="00396C8F"/>
    <w:rsid w:val="00396E13"/>
    <w:rsid w:val="00396E1E"/>
    <w:rsid w:val="003975F2"/>
    <w:rsid w:val="0039764C"/>
    <w:rsid w:val="00397A2A"/>
    <w:rsid w:val="00397E5B"/>
    <w:rsid w:val="003A002F"/>
    <w:rsid w:val="003A0705"/>
    <w:rsid w:val="003A11D7"/>
    <w:rsid w:val="003A18EE"/>
    <w:rsid w:val="003A263E"/>
    <w:rsid w:val="003A3575"/>
    <w:rsid w:val="003A39F3"/>
    <w:rsid w:val="003A49E2"/>
    <w:rsid w:val="003A4EE4"/>
    <w:rsid w:val="003A5B30"/>
    <w:rsid w:val="003A5F43"/>
    <w:rsid w:val="003A636F"/>
    <w:rsid w:val="003A6971"/>
    <w:rsid w:val="003A7D43"/>
    <w:rsid w:val="003B00E0"/>
    <w:rsid w:val="003B079A"/>
    <w:rsid w:val="003B097A"/>
    <w:rsid w:val="003B1171"/>
    <w:rsid w:val="003B18AD"/>
    <w:rsid w:val="003B206D"/>
    <w:rsid w:val="003B3BB5"/>
    <w:rsid w:val="003B3CF2"/>
    <w:rsid w:val="003B40F4"/>
    <w:rsid w:val="003B436D"/>
    <w:rsid w:val="003B4435"/>
    <w:rsid w:val="003B4BAE"/>
    <w:rsid w:val="003B4E0F"/>
    <w:rsid w:val="003B508D"/>
    <w:rsid w:val="003B5EC3"/>
    <w:rsid w:val="003B6127"/>
    <w:rsid w:val="003B6C06"/>
    <w:rsid w:val="003B6C57"/>
    <w:rsid w:val="003B7E02"/>
    <w:rsid w:val="003C04D5"/>
    <w:rsid w:val="003C0D40"/>
    <w:rsid w:val="003C0DF5"/>
    <w:rsid w:val="003C1A88"/>
    <w:rsid w:val="003C1E3A"/>
    <w:rsid w:val="003C20D6"/>
    <w:rsid w:val="003C218D"/>
    <w:rsid w:val="003C21FC"/>
    <w:rsid w:val="003C3197"/>
    <w:rsid w:val="003C3CE7"/>
    <w:rsid w:val="003C3D7F"/>
    <w:rsid w:val="003C3E77"/>
    <w:rsid w:val="003C3F39"/>
    <w:rsid w:val="003C41B8"/>
    <w:rsid w:val="003C513E"/>
    <w:rsid w:val="003C54A6"/>
    <w:rsid w:val="003C6668"/>
    <w:rsid w:val="003C68DE"/>
    <w:rsid w:val="003C6F0E"/>
    <w:rsid w:val="003C7117"/>
    <w:rsid w:val="003C78C4"/>
    <w:rsid w:val="003C7F21"/>
    <w:rsid w:val="003D0796"/>
    <w:rsid w:val="003D142F"/>
    <w:rsid w:val="003D1C70"/>
    <w:rsid w:val="003D26D3"/>
    <w:rsid w:val="003D305F"/>
    <w:rsid w:val="003D3572"/>
    <w:rsid w:val="003D4084"/>
    <w:rsid w:val="003D4666"/>
    <w:rsid w:val="003D603A"/>
    <w:rsid w:val="003D615E"/>
    <w:rsid w:val="003D6948"/>
    <w:rsid w:val="003D6A0F"/>
    <w:rsid w:val="003D6BE1"/>
    <w:rsid w:val="003E17DF"/>
    <w:rsid w:val="003E1B31"/>
    <w:rsid w:val="003E2BFC"/>
    <w:rsid w:val="003E2D71"/>
    <w:rsid w:val="003E3BE2"/>
    <w:rsid w:val="003E3CA0"/>
    <w:rsid w:val="003E5791"/>
    <w:rsid w:val="003E64D9"/>
    <w:rsid w:val="003E73A1"/>
    <w:rsid w:val="003E78C5"/>
    <w:rsid w:val="003E7EB6"/>
    <w:rsid w:val="003F0529"/>
    <w:rsid w:val="003F12D7"/>
    <w:rsid w:val="003F1B37"/>
    <w:rsid w:val="003F246E"/>
    <w:rsid w:val="003F2647"/>
    <w:rsid w:val="003F29EE"/>
    <w:rsid w:val="003F2C77"/>
    <w:rsid w:val="003F32DE"/>
    <w:rsid w:val="003F52E5"/>
    <w:rsid w:val="003F5AFC"/>
    <w:rsid w:val="003F61DA"/>
    <w:rsid w:val="00400368"/>
    <w:rsid w:val="00400524"/>
    <w:rsid w:val="004006FD"/>
    <w:rsid w:val="00400D9D"/>
    <w:rsid w:val="00400EDC"/>
    <w:rsid w:val="0040190C"/>
    <w:rsid w:val="00402103"/>
    <w:rsid w:val="00403687"/>
    <w:rsid w:val="00403DE7"/>
    <w:rsid w:val="0040632B"/>
    <w:rsid w:val="00406927"/>
    <w:rsid w:val="00407DF9"/>
    <w:rsid w:val="004102E9"/>
    <w:rsid w:val="00410934"/>
    <w:rsid w:val="00410CAD"/>
    <w:rsid w:val="0041100C"/>
    <w:rsid w:val="00411BCB"/>
    <w:rsid w:val="00413507"/>
    <w:rsid w:val="00413532"/>
    <w:rsid w:val="004150D6"/>
    <w:rsid w:val="00415887"/>
    <w:rsid w:val="004167D5"/>
    <w:rsid w:val="00416A36"/>
    <w:rsid w:val="0041779D"/>
    <w:rsid w:val="00421442"/>
    <w:rsid w:val="0042325E"/>
    <w:rsid w:val="00423347"/>
    <w:rsid w:val="00423922"/>
    <w:rsid w:val="00424F18"/>
    <w:rsid w:val="00425767"/>
    <w:rsid w:val="00425BE5"/>
    <w:rsid w:val="00425EC2"/>
    <w:rsid w:val="0042685A"/>
    <w:rsid w:val="00430181"/>
    <w:rsid w:val="00430348"/>
    <w:rsid w:val="00430FC0"/>
    <w:rsid w:val="0043137B"/>
    <w:rsid w:val="00432404"/>
    <w:rsid w:val="004325C8"/>
    <w:rsid w:val="00432B4E"/>
    <w:rsid w:val="00432B96"/>
    <w:rsid w:val="0043374D"/>
    <w:rsid w:val="0043379F"/>
    <w:rsid w:val="004342E5"/>
    <w:rsid w:val="00434FC6"/>
    <w:rsid w:val="004353CE"/>
    <w:rsid w:val="00435D4D"/>
    <w:rsid w:val="00442852"/>
    <w:rsid w:val="0044292C"/>
    <w:rsid w:val="0044301A"/>
    <w:rsid w:val="004458D0"/>
    <w:rsid w:val="00447E3C"/>
    <w:rsid w:val="00447E45"/>
    <w:rsid w:val="00450513"/>
    <w:rsid w:val="00451235"/>
    <w:rsid w:val="00451338"/>
    <w:rsid w:val="00451B48"/>
    <w:rsid w:val="00453C56"/>
    <w:rsid w:val="00453F68"/>
    <w:rsid w:val="004553EB"/>
    <w:rsid w:val="00455AB3"/>
    <w:rsid w:val="00460782"/>
    <w:rsid w:val="00460D2A"/>
    <w:rsid w:val="00461641"/>
    <w:rsid w:val="00462E87"/>
    <w:rsid w:val="0046349E"/>
    <w:rsid w:val="00463D67"/>
    <w:rsid w:val="004644E9"/>
    <w:rsid w:val="00465D7F"/>
    <w:rsid w:val="00467E6A"/>
    <w:rsid w:val="004715B1"/>
    <w:rsid w:val="00471A64"/>
    <w:rsid w:val="00473813"/>
    <w:rsid w:val="00473BD7"/>
    <w:rsid w:val="00474483"/>
    <w:rsid w:val="00475352"/>
    <w:rsid w:val="00475811"/>
    <w:rsid w:val="00475946"/>
    <w:rsid w:val="00475978"/>
    <w:rsid w:val="0047671D"/>
    <w:rsid w:val="00477477"/>
    <w:rsid w:val="00477EC9"/>
    <w:rsid w:val="004803A4"/>
    <w:rsid w:val="004830AC"/>
    <w:rsid w:val="00485193"/>
    <w:rsid w:val="00485713"/>
    <w:rsid w:val="00485DA5"/>
    <w:rsid w:val="00485F20"/>
    <w:rsid w:val="0048679F"/>
    <w:rsid w:val="00486969"/>
    <w:rsid w:val="00487610"/>
    <w:rsid w:val="00487AC0"/>
    <w:rsid w:val="004908ED"/>
    <w:rsid w:val="00493F51"/>
    <w:rsid w:val="004944EB"/>
    <w:rsid w:val="00494AE1"/>
    <w:rsid w:val="00497442"/>
    <w:rsid w:val="004974D2"/>
    <w:rsid w:val="004A03A7"/>
    <w:rsid w:val="004A04D3"/>
    <w:rsid w:val="004A12B1"/>
    <w:rsid w:val="004A1410"/>
    <w:rsid w:val="004A14E6"/>
    <w:rsid w:val="004A2831"/>
    <w:rsid w:val="004A3840"/>
    <w:rsid w:val="004A7B63"/>
    <w:rsid w:val="004B017C"/>
    <w:rsid w:val="004B0960"/>
    <w:rsid w:val="004B0FF5"/>
    <w:rsid w:val="004B15BA"/>
    <w:rsid w:val="004B161F"/>
    <w:rsid w:val="004B228F"/>
    <w:rsid w:val="004B2BE0"/>
    <w:rsid w:val="004B3A3C"/>
    <w:rsid w:val="004B4B40"/>
    <w:rsid w:val="004B560E"/>
    <w:rsid w:val="004B57A6"/>
    <w:rsid w:val="004B655F"/>
    <w:rsid w:val="004B7835"/>
    <w:rsid w:val="004B7C53"/>
    <w:rsid w:val="004B7DDE"/>
    <w:rsid w:val="004B7EB4"/>
    <w:rsid w:val="004C06DD"/>
    <w:rsid w:val="004C0B67"/>
    <w:rsid w:val="004C170E"/>
    <w:rsid w:val="004C369A"/>
    <w:rsid w:val="004C3752"/>
    <w:rsid w:val="004C468E"/>
    <w:rsid w:val="004C4F1F"/>
    <w:rsid w:val="004C58B3"/>
    <w:rsid w:val="004C5A90"/>
    <w:rsid w:val="004C641D"/>
    <w:rsid w:val="004C673C"/>
    <w:rsid w:val="004C6C5D"/>
    <w:rsid w:val="004C7262"/>
    <w:rsid w:val="004D0106"/>
    <w:rsid w:val="004D0B14"/>
    <w:rsid w:val="004D1222"/>
    <w:rsid w:val="004D1583"/>
    <w:rsid w:val="004D16B9"/>
    <w:rsid w:val="004D2495"/>
    <w:rsid w:val="004D3F31"/>
    <w:rsid w:val="004D4241"/>
    <w:rsid w:val="004D454D"/>
    <w:rsid w:val="004D47BE"/>
    <w:rsid w:val="004D63A6"/>
    <w:rsid w:val="004D6A60"/>
    <w:rsid w:val="004E045A"/>
    <w:rsid w:val="004E0D13"/>
    <w:rsid w:val="004E3450"/>
    <w:rsid w:val="004E48BA"/>
    <w:rsid w:val="004E48E6"/>
    <w:rsid w:val="004E5620"/>
    <w:rsid w:val="004E644F"/>
    <w:rsid w:val="004E6913"/>
    <w:rsid w:val="004E6F0F"/>
    <w:rsid w:val="004E6F47"/>
    <w:rsid w:val="004E725F"/>
    <w:rsid w:val="004E7E65"/>
    <w:rsid w:val="004E7F2F"/>
    <w:rsid w:val="004F00F4"/>
    <w:rsid w:val="004F34D2"/>
    <w:rsid w:val="004F3AE1"/>
    <w:rsid w:val="004F4D6C"/>
    <w:rsid w:val="004F65E4"/>
    <w:rsid w:val="004F7374"/>
    <w:rsid w:val="004F7798"/>
    <w:rsid w:val="004F7E9A"/>
    <w:rsid w:val="0050135A"/>
    <w:rsid w:val="0050260E"/>
    <w:rsid w:val="00502E26"/>
    <w:rsid w:val="005042F1"/>
    <w:rsid w:val="00504662"/>
    <w:rsid w:val="005065F4"/>
    <w:rsid w:val="00506682"/>
    <w:rsid w:val="00506A48"/>
    <w:rsid w:val="00506DB6"/>
    <w:rsid w:val="00510450"/>
    <w:rsid w:val="00510F15"/>
    <w:rsid w:val="00510FC8"/>
    <w:rsid w:val="0051155F"/>
    <w:rsid w:val="005120FC"/>
    <w:rsid w:val="00513536"/>
    <w:rsid w:val="00513D4E"/>
    <w:rsid w:val="00514215"/>
    <w:rsid w:val="00514465"/>
    <w:rsid w:val="00514B56"/>
    <w:rsid w:val="00514DAA"/>
    <w:rsid w:val="005170BE"/>
    <w:rsid w:val="00517BCF"/>
    <w:rsid w:val="00517DBF"/>
    <w:rsid w:val="00520C69"/>
    <w:rsid w:val="0052125C"/>
    <w:rsid w:val="00521875"/>
    <w:rsid w:val="00521C08"/>
    <w:rsid w:val="005231E6"/>
    <w:rsid w:val="00523A1E"/>
    <w:rsid w:val="00525FC4"/>
    <w:rsid w:val="00526A36"/>
    <w:rsid w:val="00526B5A"/>
    <w:rsid w:val="00526D37"/>
    <w:rsid w:val="005276C8"/>
    <w:rsid w:val="00527D42"/>
    <w:rsid w:val="005311D4"/>
    <w:rsid w:val="00532956"/>
    <w:rsid w:val="005329A5"/>
    <w:rsid w:val="00533F1D"/>
    <w:rsid w:val="00535500"/>
    <w:rsid w:val="005355AF"/>
    <w:rsid w:val="0053727E"/>
    <w:rsid w:val="00537A68"/>
    <w:rsid w:val="0054061B"/>
    <w:rsid w:val="00544B6C"/>
    <w:rsid w:val="005451AF"/>
    <w:rsid w:val="005452D5"/>
    <w:rsid w:val="005462BF"/>
    <w:rsid w:val="00547BC6"/>
    <w:rsid w:val="00550C00"/>
    <w:rsid w:val="00550C6F"/>
    <w:rsid w:val="005513F3"/>
    <w:rsid w:val="00551A74"/>
    <w:rsid w:val="00552AF6"/>
    <w:rsid w:val="00553AF9"/>
    <w:rsid w:val="005567E3"/>
    <w:rsid w:val="00556A19"/>
    <w:rsid w:val="005578BA"/>
    <w:rsid w:val="00560AD9"/>
    <w:rsid w:val="00561371"/>
    <w:rsid w:val="00563630"/>
    <w:rsid w:val="0056640E"/>
    <w:rsid w:val="00566D6E"/>
    <w:rsid w:val="00570DB7"/>
    <w:rsid w:val="00570ECA"/>
    <w:rsid w:val="005710E1"/>
    <w:rsid w:val="00571FCA"/>
    <w:rsid w:val="00572272"/>
    <w:rsid w:val="005729A2"/>
    <w:rsid w:val="005732B5"/>
    <w:rsid w:val="005737AC"/>
    <w:rsid w:val="00573A0D"/>
    <w:rsid w:val="00573B33"/>
    <w:rsid w:val="00573EE0"/>
    <w:rsid w:val="0057437D"/>
    <w:rsid w:val="00574A0E"/>
    <w:rsid w:val="00574C88"/>
    <w:rsid w:val="00574D31"/>
    <w:rsid w:val="00574D7B"/>
    <w:rsid w:val="005754B4"/>
    <w:rsid w:val="00575C59"/>
    <w:rsid w:val="00575E80"/>
    <w:rsid w:val="0057705B"/>
    <w:rsid w:val="0057733C"/>
    <w:rsid w:val="0057764E"/>
    <w:rsid w:val="0057767B"/>
    <w:rsid w:val="005807FA"/>
    <w:rsid w:val="005827C4"/>
    <w:rsid w:val="005829CA"/>
    <w:rsid w:val="0058379F"/>
    <w:rsid w:val="00583AF9"/>
    <w:rsid w:val="00583F4D"/>
    <w:rsid w:val="00585C57"/>
    <w:rsid w:val="0058685A"/>
    <w:rsid w:val="005901F0"/>
    <w:rsid w:val="0059035E"/>
    <w:rsid w:val="0059047E"/>
    <w:rsid w:val="005906D9"/>
    <w:rsid w:val="005909A9"/>
    <w:rsid w:val="005911A3"/>
    <w:rsid w:val="005918BE"/>
    <w:rsid w:val="005918C5"/>
    <w:rsid w:val="0059270B"/>
    <w:rsid w:val="00592A8A"/>
    <w:rsid w:val="00593909"/>
    <w:rsid w:val="0059494A"/>
    <w:rsid w:val="00595B42"/>
    <w:rsid w:val="005966D8"/>
    <w:rsid w:val="00596D70"/>
    <w:rsid w:val="00596E74"/>
    <w:rsid w:val="00596F98"/>
    <w:rsid w:val="00597087"/>
    <w:rsid w:val="005973DA"/>
    <w:rsid w:val="00597704"/>
    <w:rsid w:val="005A0407"/>
    <w:rsid w:val="005A094A"/>
    <w:rsid w:val="005A3F02"/>
    <w:rsid w:val="005A4A33"/>
    <w:rsid w:val="005A5672"/>
    <w:rsid w:val="005A5EA4"/>
    <w:rsid w:val="005A641B"/>
    <w:rsid w:val="005A6B6A"/>
    <w:rsid w:val="005A75DF"/>
    <w:rsid w:val="005A7D79"/>
    <w:rsid w:val="005B0EF1"/>
    <w:rsid w:val="005B16C3"/>
    <w:rsid w:val="005B27A1"/>
    <w:rsid w:val="005B4867"/>
    <w:rsid w:val="005B48C8"/>
    <w:rsid w:val="005B4BA6"/>
    <w:rsid w:val="005B4E95"/>
    <w:rsid w:val="005B5508"/>
    <w:rsid w:val="005B5F96"/>
    <w:rsid w:val="005B62F4"/>
    <w:rsid w:val="005B694F"/>
    <w:rsid w:val="005B69AF"/>
    <w:rsid w:val="005B6F35"/>
    <w:rsid w:val="005C042F"/>
    <w:rsid w:val="005C088A"/>
    <w:rsid w:val="005C16C4"/>
    <w:rsid w:val="005C300C"/>
    <w:rsid w:val="005C3450"/>
    <w:rsid w:val="005C3AA3"/>
    <w:rsid w:val="005C3B1B"/>
    <w:rsid w:val="005C415C"/>
    <w:rsid w:val="005C4359"/>
    <w:rsid w:val="005C5026"/>
    <w:rsid w:val="005C62E7"/>
    <w:rsid w:val="005C7AD7"/>
    <w:rsid w:val="005C7C9B"/>
    <w:rsid w:val="005D1247"/>
    <w:rsid w:val="005D1374"/>
    <w:rsid w:val="005D19CA"/>
    <w:rsid w:val="005D2B5F"/>
    <w:rsid w:val="005D2D00"/>
    <w:rsid w:val="005D3158"/>
    <w:rsid w:val="005D3C84"/>
    <w:rsid w:val="005D3FF0"/>
    <w:rsid w:val="005D4619"/>
    <w:rsid w:val="005D49E3"/>
    <w:rsid w:val="005D5BD7"/>
    <w:rsid w:val="005D6317"/>
    <w:rsid w:val="005D65BC"/>
    <w:rsid w:val="005D7C79"/>
    <w:rsid w:val="005D7D02"/>
    <w:rsid w:val="005D7E18"/>
    <w:rsid w:val="005E09A3"/>
    <w:rsid w:val="005E198F"/>
    <w:rsid w:val="005E1E07"/>
    <w:rsid w:val="005E2380"/>
    <w:rsid w:val="005E27A7"/>
    <w:rsid w:val="005E3017"/>
    <w:rsid w:val="005E3169"/>
    <w:rsid w:val="005E544E"/>
    <w:rsid w:val="005E6545"/>
    <w:rsid w:val="005E6E19"/>
    <w:rsid w:val="005E71B6"/>
    <w:rsid w:val="005E75D5"/>
    <w:rsid w:val="005E7857"/>
    <w:rsid w:val="005F04F0"/>
    <w:rsid w:val="005F1402"/>
    <w:rsid w:val="005F31AD"/>
    <w:rsid w:val="005F3B1F"/>
    <w:rsid w:val="005F42A1"/>
    <w:rsid w:val="005F4A50"/>
    <w:rsid w:val="005F6086"/>
    <w:rsid w:val="005F682A"/>
    <w:rsid w:val="005F7F63"/>
    <w:rsid w:val="006008B4"/>
    <w:rsid w:val="00600AF9"/>
    <w:rsid w:val="00600CDA"/>
    <w:rsid w:val="006033AF"/>
    <w:rsid w:val="00603D59"/>
    <w:rsid w:val="00603E2E"/>
    <w:rsid w:val="0060409C"/>
    <w:rsid w:val="0060409F"/>
    <w:rsid w:val="0060536D"/>
    <w:rsid w:val="00605670"/>
    <w:rsid w:val="00605CB1"/>
    <w:rsid w:val="006060B2"/>
    <w:rsid w:val="006060D4"/>
    <w:rsid w:val="0060612A"/>
    <w:rsid w:val="006064D5"/>
    <w:rsid w:val="00606991"/>
    <w:rsid w:val="00606D22"/>
    <w:rsid w:val="00607D39"/>
    <w:rsid w:val="00607D86"/>
    <w:rsid w:val="00607F20"/>
    <w:rsid w:val="00610091"/>
    <w:rsid w:val="00610557"/>
    <w:rsid w:val="0061074C"/>
    <w:rsid w:val="006108E5"/>
    <w:rsid w:val="00610CF1"/>
    <w:rsid w:val="00610E1D"/>
    <w:rsid w:val="00611EFF"/>
    <w:rsid w:val="0061234D"/>
    <w:rsid w:val="00614320"/>
    <w:rsid w:val="00614A56"/>
    <w:rsid w:val="00615BDD"/>
    <w:rsid w:val="00617A2F"/>
    <w:rsid w:val="00621FF9"/>
    <w:rsid w:val="0062228C"/>
    <w:rsid w:val="00622399"/>
    <w:rsid w:val="006225A9"/>
    <w:rsid w:val="006237B8"/>
    <w:rsid w:val="00624502"/>
    <w:rsid w:val="006252F8"/>
    <w:rsid w:val="00627796"/>
    <w:rsid w:val="006329B9"/>
    <w:rsid w:val="00632A7A"/>
    <w:rsid w:val="00633CA2"/>
    <w:rsid w:val="00634294"/>
    <w:rsid w:val="00634B19"/>
    <w:rsid w:val="00635411"/>
    <w:rsid w:val="006356EC"/>
    <w:rsid w:val="00636175"/>
    <w:rsid w:val="0063762B"/>
    <w:rsid w:val="00641074"/>
    <w:rsid w:val="00641B13"/>
    <w:rsid w:val="00641D28"/>
    <w:rsid w:val="00643E18"/>
    <w:rsid w:val="0064518F"/>
    <w:rsid w:val="00645541"/>
    <w:rsid w:val="00646324"/>
    <w:rsid w:val="00646512"/>
    <w:rsid w:val="00646AEF"/>
    <w:rsid w:val="00646CBF"/>
    <w:rsid w:val="00647CDC"/>
    <w:rsid w:val="00650569"/>
    <w:rsid w:val="006516AE"/>
    <w:rsid w:val="00651E2E"/>
    <w:rsid w:val="0065221E"/>
    <w:rsid w:val="00652EEE"/>
    <w:rsid w:val="00653C76"/>
    <w:rsid w:val="0065446D"/>
    <w:rsid w:val="00654509"/>
    <w:rsid w:val="00654978"/>
    <w:rsid w:val="00654CE3"/>
    <w:rsid w:val="00655401"/>
    <w:rsid w:val="00655E50"/>
    <w:rsid w:val="00655EF2"/>
    <w:rsid w:val="00660172"/>
    <w:rsid w:val="00662588"/>
    <w:rsid w:val="006625FE"/>
    <w:rsid w:val="00663709"/>
    <w:rsid w:val="0066395E"/>
    <w:rsid w:val="00663CCD"/>
    <w:rsid w:val="00663EF4"/>
    <w:rsid w:val="00664067"/>
    <w:rsid w:val="00664092"/>
    <w:rsid w:val="006644C7"/>
    <w:rsid w:val="00665783"/>
    <w:rsid w:val="00665D96"/>
    <w:rsid w:val="00666A13"/>
    <w:rsid w:val="00667385"/>
    <w:rsid w:val="00667CD3"/>
    <w:rsid w:val="00667EE3"/>
    <w:rsid w:val="00670360"/>
    <w:rsid w:val="00670898"/>
    <w:rsid w:val="00670AF6"/>
    <w:rsid w:val="00670F44"/>
    <w:rsid w:val="0067237B"/>
    <w:rsid w:val="006723AC"/>
    <w:rsid w:val="006733EB"/>
    <w:rsid w:val="0067350D"/>
    <w:rsid w:val="00674E56"/>
    <w:rsid w:val="00675479"/>
    <w:rsid w:val="00675EE8"/>
    <w:rsid w:val="00676DC4"/>
    <w:rsid w:val="00680841"/>
    <w:rsid w:val="00681AE5"/>
    <w:rsid w:val="00682004"/>
    <w:rsid w:val="0068405B"/>
    <w:rsid w:val="00684D47"/>
    <w:rsid w:val="00684E56"/>
    <w:rsid w:val="00684EE7"/>
    <w:rsid w:val="00685581"/>
    <w:rsid w:val="006857D8"/>
    <w:rsid w:val="0068640B"/>
    <w:rsid w:val="0068654D"/>
    <w:rsid w:val="00686582"/>
    <w:rsid w:val="00686E28"/>
    <w:rsid w:val="00686FF3"/>
    <w:rsid w:val="006873F8"/>
    <w:rsid w:val="006874E0"/>
    <w:rsid w:val="00687ABB"/>
    <w:rsid w:val="00687AD9"/>
    <w:rsid w:val="00691A5B"/>
    <w:rsid w:val="00693679"/>
    <w:rsid w:val="00693930"/>
    <w:rsid w:val="00694163"/>
    <w:rsid w:val="006942F9"/>
    <w:rsid w:val="00694ADC"/>
    <w:rsid w:val="00696CE4"/>
    <w:rsid w:val="00697D4E"/>
    <w:rsid w:val="00697DE4"/>
    <w:rsid w:val="006A0C2D"/>
    <w:rsid w:val="006A21AD"/>
    <w:rsid w:val="006A2BD0"/>
    <w:rsid w:val="006A4BA9"/>
    <w:rsid w:val="006B0324"/>
    <w:rsid w:val="006B059E"/>
    <w:rsid w:val="006B0B18"/>
    <w:rsid w:val="006B0CFA"/>
    <w:rsid w:val="006B12A0"/>
    <w:rsid w:val="006B13DE"/>
    <w:rsid w:val="006B1EEC"/>
    <w:rsid w:val="006B230D"/>
    <w:rsid w:val="006B2401"/>
    <w:rsid w:val="006B42E6"/>
    <w:rsid w:val="006B5086"/>
    <w:rsid w:val="006B567A"/>
    <w:rsid w:val="006B7732"/>
    <w:rsid w:val="006B7C32"/>
    <w:rsid w:val="006B7EED"/>
    <w:rsid w:val="006C18EB"/>
    <w:rsid w:val="006C1989"/>
    <w:rsid w:val="006C1EFA"/>
    <w:rsid w:val="006C4172"/>
    <w:rsid w:val="006C5236"/>
    <w:rsid w:val="006C5751"/>
    <w:rsid w:val="006C6716"/>
    <w:rsid w:val="006C7FC3"/>
    <w:rsid w:val="006D0708"/>
    <w:rsid w:val="006D0C1A"/>
    <w:rsid w:val="006D17F2"/>
    <w:rsid w:val="006D19DE"/>
    <w:rsid w:val="006D25DA"/>
    <w:rsid w:val="006D25F2"/>
    <w:rsid w:val="006D2733"/>
    <w:rsid w:val="006D273B"/>
    <w:rsid w:val="006D27E2"/>
    <w:rsid w:val="006D3B5A"/>
    <w:rsid w:val="006D41C3"/>
    <w:rsid w:val="006D50D0"/>
    <w:rsid w:val="006D565D"/>
    <w:rsid w:val="006D6A94"/>
    <w:rsid w:val="006D6AD2"/>
    <w:rsid w:val="006D71B6"/>
    <w:rsid w:val="006D7259"/>
    <w:rsid w:val="006E06D9"/>
    <w:rsid w:val="006E11DA"/>
    <w:rsid w:val="006E2A34"/>
    <w:rsid w:val="006E2AB1"/>
    <w:rsid w:val="006E46C6"/>
    <w:rsid w:val="006E4D7F"/>
    <w:rsid w:val="006E4FFC"/>
    <w:rsid w:val="006E57B4"/>
    <w:rsid w:val="006E593E"/>
    <w:rsid w:val="006E5DA9"/>
    <w:rsid w:val="006E692A"/>
    <w:rsid w:val="006E6AF0"/>
    <w:rsid w:val="006E6F31"/>
    <w:rsid w:val="006E7D8B"/>
    <w:rsid w:val="006F0C4E"/>
    <w:rsid w:val="006F1BB6"/>
    <w:rsid w:val="006F2D65"/>
    <w:rsid w:val="006F3129"/>
    <w:rsid w:val="006F37ED"/>
    <w:rsid w:val="006F4D8B"/>
    <w:rsid w:val="006F4D9D"/>
    <w:rsid w:val="006F4F1F"/>
    <w:rsid w:val="006F594B"/>
    <w:rsid w:val="006F6EFB"/>
    <w:rsid w:val="00703405"/>
    <w:rsid w:val="007035DF"/>
    <w:rsid w:val="007039C3"/>
    <w:rsid w:val="007052F1"/>
    <w:rsid w:val="007060A5"/>
    <w:rsid w:val="00706AEB"/>
    <w:rsid w:val="00706D6B"/>
    <w:rsid w:val="007070CB"/>
    <w:rsid w:val="007100A6"/>
    <w:rsid w:val="00710AC8"/>
    <w:rsid w:val="00710F2C"/>
    <w:rsid w:val="00711B26"/>
    <w:rsid w:val="0071241B"/>
    <w:rsid w:val="00712861"/>
    <w:rsid w:val="00712B42"/>
    <w:rsid w:val="0071335F"/>
    <w:rsid w:val="00714650"/>
    <w:rsid w:val="007165E6"/>
    <w:rsid w:val="00717010"/>
    <w:rsid w:val="00717692"/>
    <w:rsid w:val="00720163"/>
    <w:rsid w:val="007218DF"/>
    <w:rsid w:val="00721DBA"/>
    <w:rsid w:val="00722F8E"/>
    <w:rsid w:val="0072382A"/>
    <w:rsid w:val="00723BFA"/>
    <w:rsid w:val="00724FD7"/>
    <w:rsid w:val="007253A8"/>
    <w:rsid w:val="00725571"/>
    <w:rsid w:val="00727A25"/>
    <w:rsid w:val="007309A3"/>
    <w:rsid w:val="0073161E"/>
    <w:rsid w:val="00732521"/>
    <w:rsid w:val="0073319B"/>
    <w:rsid w:val="007332D9"/>
    <w:rsid w:val="00733533"/>
    <w:rsid w:val="007335DF"/>
    <w:rsid w:val="00733E9C"/>
    <w:rsid w:val="00733FD3"/>
    <w:rsid w:val="007349AD"/>
    <w:rsid w:val="0073538E"/>
    <w:rsid w:val="00735911"/>
    <w:rsid w:val="00735A00"/>
    <w:rsid w:val="00736A0E"/>
    <w:rsid w:val="00736D1C"/>
    <w:rsid w:val="00737FCD"/>
    <w:rsid w:val="00740140"/>
    <w:rsid w:val="00740341"/>
    <w:rsid w:val="00740351"/>
    <w:rsid w:val="0074041A"/>
    <w:rsid w:val="007409C5"/>
    <w:rsid w:val="00742246"/>
    <w:rsid w:val="007433B4"/>
    <w:rsid w:val="00743780"/>
    <w:rsid w:val="00743936"/>
    <w:rsid w:val="00743F65"/>
    <w:rsid w:val="00744AED"/>
    <w:rsid w:val="00744BB5"/>
    <w:rsid w:val="00744D10"/>
    <w:rsid w:val="00745948"/>
    <w:rsid w:val="00745D4A"/>
    <w:rsid w:val="0074659B"/>
    <w:rsid w:val="00747BA6"/>
    <w:rsid w:val="007502A8"/>
    <w:rsid w:val="0075046A"/>
    <w:rsid w:val="00751BA8"/>
    <w:rsid w:val="007531DD"/>
    <w:rsid w:val="00753E05"/>
    <w:rsid w:val="00754A37"/>
    <w:rsid w:val="00755150"/>
    <w:rsid w:val="0075709E"/>
    <w:rsid w:val="00762AE7"/>
    <w:rsid w:val="00763EBE"/>
    <w:rsid w:val="007654FE"/>
    <w:rsid w:val="007672EE"/>
    <w:rsid w:val="00767C5A"/>
    <w:rsid w:val="0077031C"/>
    <w:rsid w:val="00770791"/>
    <w:rsid w:val="00770CC8"/>
    <w:rsid w:val="00775CC6"/>
    <w:rsid w:val="007771BE"/>
    <w:rsid w:val="00777BA0"/>
    <w:rsid w:val="00780C95"/>
    <w:rsid w:val="00780D7F"/>
    <w:rsid w:val="00781323"/>
    <w:rsid w:val="007817B6"/>
    <w:rsid w:val="00782601"/>
    <w:rsid w:val="00783418"/>
    <w:rsid w:val="0078493F"/>
    <w:rsid w:val="007853E6"/>
    <w:rsid w:val="0078658C"/>
    <w:rsid w:val="0079009E"/>
    <w:rsid w:val="007901F0"/>
    <w:rsid w:val="00790C93"/>
    <w:rsid w:val="0079166A"/>
    <w:rsid w:val="00791D78"/>
    <w:rsid w:val="007923BC"/>
    <w:rsid w:val="00792C63"/>
    <w:rsid w:val="00793C35"/>
    <w:rsid w:val="00794E96"/>
    <w:rsid w:val="007952BB"/>
    <w:rsid w:val="00795BDF"/>
    <w:rsid w:val="00796B09"/>
    <w:rsid w:val="0079727D"/>
    <w:rsid w:val="00797A05"/>
    <w:rsid w:val="007A0629"/>
    <w:rsid w:val="007A23EC"/>
    <w:rsid w:val="007A2A55"/>
    <w:rsid w:val="007A3F22"/>
    <w:rsid w:val="007A4422"/>
    <w:rsid w:val="007A50F6"/>
    <w:rsid w:val="007A5512"/>
    <w:rsid w:val="007A5CD8"/>
    <w:rsid w:val="007A66D4"/>
    <w:rsid w:val="007A7A9C"/>
    <w:rsid w:val="007A7B74"/>
    <w:rsid w:val="007B054E"/>
    <w:rsid w:val="007B2D1E"/>
    <w:rsid w:val="007B33BB"/>
    <w:rsid w:val="007B3AF2"/>
    <w:rsid w:val="007B3C8F"/>
    <w:rsid w:val="007B3D47"/>
    <w:rsid w:val="007B4A5B"/>
    <w:rsid w:val="007B71CF"/>
    <w:rsid w:val="007B7E88"/>
    <w:rsid w:val="007C06AE"/>
    <w:rsid w:val="007C1962"/>
    <w:rsid w:val="007C1C1E"/>
    <w:rsid w:val="007C1FCE"/>
    <w:rsid w:val="007C376A"/>
    <w:rsid w:val="007C5D73"/>
    <w:rsid w:val="007C5EB4"/>
    <w:rsid w:val="007C5FF6"/>
    <w:rsid w:val="007C78DE"/>
    <w:rsid w:val="007D0712"/>
    <w:rsid w:val="007D0F87"/>
    <w:rsid w:val="007D11B6"/>
    <w:rsid w:val="007D1CA9"/>
    <w:rsid w:val="007D26DE"/>
    <w:rsid w:val="007D3317"/>
    <w:rsid w:val="007D3825"/>
    <w:rsid w:val="007D3FB1"/>
    <w:rsid w:val="007D524F"/>
    <w:rsid w:val="007D69B2"/>
    <w:rsid w:val="007D6B28"/>
    <w:rsid w:val="007D7CDE"/>
    <w:rsid w:val="007E1717"/>
    <w:rsid w:val="007E1807"/>
    <w:rsid w:val="007E234D"/>
    <w:rsid w:val="007E24FA"/>
    <w:rsid w:val="007E285B"/>
    <w:rsid w:val="007E28F9"/>
    <w:rsid w:val="007E2A17"/>
    <w:rsid w:val="007E2C47"/>
    <w:rsid w:val="007E4590"/>
    <w:rsid w:val="007E4CAB"/>
    <w:rsid w:val="007E4D93"/>
    <w:rsid w:val="007E77EC"/>
    <w:rsid w:val="007F0B36"/>
    <w:rsid w:val="007F0C02"/>
    <w:rsid w:val="007F0D43"/>
    <w:rsid w:val="007F0D8D"/>
    <w:rsid w:val="007F0FDF"/>
    <w:rsid w:val="007F155F"/>
    <w:rsid w:val="007F162C"/>
    <w:rsid w:val="007F2A21"/>
    <w:rsid w:val="007F2B80"/>
    <w:rsid w:val="007F3184"/>
    <w:rsid w:val="007F3D26"/>
    <w:rsid w:val="007F3DC9"/>
    <w:rsid w:val="007F4955"/>
    <w:rsid w:val="007F593C"/>
    <w:rsid w:val="007F65FE"/>
    <w:rsid w:val="007F6917"/>
    <w:rsid w:val="007F6C56"/>
    <w:rsid w:val="007F709F"/>
    <w:rsid w:val="007F71D2"/>
    <w:rsid w:val="007F7C59"/>
    <w:rsid w:val="008007E0"/>
    <w:rsid w:val="0080120C"/>
    <w:rsid w:val="00801F89"/>
    <w:rsid w:val="00802741"/>
    <w:rsid w:val="00803864"/>
    <w:rsid w:val="00803D1E"/>
    <w:rsid w:val="00804549"/>
    <w:rsid w:val="00805746"/>
    <w:rsid w:val="00805BA7"/>
    <w:rsid w:val="00806D6A"/>
    <w:rsid w:val="008108FD"/>
    <w:rsid w:val="00811774"/>
    <w:rsid w:val="008122CE"/>
    <w:rsid w:val="00812717"/>
    <w:rsid w:val="00815217"/>
    <w:rsid w:val="00815CD8"/>
    <w:rsid w:val="00816EF1"/>
    <w:rsid w:val="00820A7A"/>
    <w:rsid w:val="0082241A"/>
    <w:rsid w:val="00822ECD"/>
    <w:rsid w:val="008231BC"/>
    <w:rsid w:val="008235EF"/>
    <w:rsid w:val="008253BD"/>
    <w:rsid w:val="00826529"/>
    <w:rsid w:val="008266FE"/>
    <w:rsid w:val="00827446"/>
    <w:rsid w:val="00827DAE"/>
    <w:rsid w:val="00827F03"/>
    <w:rsid w:val="008308AC"/>
    <w:rsid w:val="00831FE2"/>
    <w:rsid w:val="00831FEF"/>
    <w:rsid w:val="0083201A"/>
    <w:rsid w:val="008335D9"/>
    <w:rsid w:val="008337AB"/>
    <w:rsid w:val="00834DB2"/>
    <w:rsid w:val="00834F85"/>
    <w:rsid w:val="00835F31"/>
    <w:rsid w:val="0083611E"/>
    <w:rsid w:val="008366EE"/>
    <w:rsid w:val="00840433"/>
    <w:rsid w:val="00840589"/>
    <w:rsid w:val="00841354"/>
    <w:rsid w:val="00841546"/>
    <w:rsid w:val="0084196B"/>
    <w:rsid w:val="008427D6"/>
    <w:rsid w:val="00842CF3"/>
    <w:rsid w:val="00842FED"/>
    <w:rsid w:val="008459E9"/>
    <w:rsid w:val="008501F2"/>
    <w:rsid w:val="00852638"/>
    <w:rsid w:val="008529E9"/>
    <w:rsid w:val="008531CC"/>
    <w:rsid w:val="0085367D"/>
    <w:rsid w:val="00854DDB"/>
    <w:rsid w:val="0085506B"/>
    <w:rsid w:val="008558FF"/>
    <w:rsid w:val="00855BB7"/>
    <w:rsid w:val="00855E16"/>
    <w:rsid w:val="00856265"/>
    <w:rsid w:val="008606FB"/>
    <w:rsid w:val="00861259"/>
    <w:rsid w:val="00862107"/>
    <w:rsid w:val="008623CA"/>
    <w:rsid w:val="008627F7"/>
    <w:rsid w:val="00863138"/>
    <w:rsid w:val="0086408F"/>
    <w:rsid w:val="00864804"/>
    <w:rsid w:val="00864D13"/>
    <w:rsid w:val="00864E7D"/>
    <w:rsid w:val="00865A22"/>
    <w:rsid w:val="0086608C"/>
    <w:rsid w:val="00866284"/>
    <w:rsid w:val="008664C4"/>
    <w:rsid w:val="00866B4C"/>
    <w:rsid w:val="00866EFC"/>
    <w:rsid w:val="00866FE6"/>
    <w:rsid w:val="008676F8"/>
    <w:rsid w:val="008679BC"/>
    <w:rsid w:val="00867B1C"/>
    <w:rsid w:val="00867E68"/>
    <w:rsid w:val="00867EA4"/>
    <w:rsid w:val="00867FFB"/>
    <w:rsid w:val="008702C1"/>
    <w:rsid w:val="00870BFC"/>
    <w:rsid w:val="00871BAC"/>
    <w:rsid w:val="00872E43"/>
    <w:rsid w:val="00873C78"/>
    <w:rsid w:val="008748F3"/>
    <w:rsid w:val="00875051"/>
    <w:rsid w:val="00875204"/>
    <w:rsid w:val="008756CB"/>
    <w:rsid w:val="008763B9"/>
    <w:rsid w:val="00876656"/>
    <w:rsid w:val="00877335"/>
    <w:rsid w:val="008773C7"/>
    <w:rsid w:val="00877CD3"/>
    <w:rsid w:val="00882281"/>
    <w:rsid w:val="008823CC"/>
    <w:rsid w:val="00882C22"/>
    <w:rsid w:val="00884161"/>
    <w:rsid w:val="00884DED"/>
    <w:rsid w:val="008851E0"/>
    <w:rsid w:val="008855AD"/>
    <w:rsid w:val="00886C48"/>
    <w:rsid w:val="0089069E"/>
    <w:rsid w:val="00891175"/>
    <w:rsid w:val="00891D30"/>
    <w:rsid w:val="0089206F"/>
    <w:rsid w:val="008926E6"/>
    <w:rsid w:val="00892750"/>
    <w:rsid w:val="008931A8"/>
    <w:rsid w:val="00893D3E"/>
    <w:rsid w:val="00893F1D"/>
    <w:rsid w:val="00894C53"/>
    <w:rsid w:val="00894D00"/>
    <w:rsid w:val="00894FCC"/>
    <w:rsid w:val="00894FF1"/>
    <w:rsid w:val="0089528B"/>
    <w:rsid w:val="00896ADF"/>
    <w:rsid w:val="008A0805"/>
    <w:rsid w:val="008A0882"/>
    <w:rsid w:val="008A0ED1"/>
    <w:rsid w:val="008A215F"/>
    <w:rsid w:val="008A24D6"/>
    <w:rsid w:val="008A24D9"/>
    <w:rsid w:val="008A2A1F"/>
    <w:rsid w:val="008A2F77"/>
    <w:rsid w:val="008A5498"/>
    <w:rsid w:val="008A667A"/>
    <w:rsid w:val="008B06B1"/>
    <w:rsid w:val="008B19A4"/>
    <w:rsid w:val="008B1DA7"/>
    <w:rsid w:val="008B303B"/>
    <w:rsid w:val="008B3627"/>
    <w:rsid w:val="008B38E2"/>
    <w:rsid w:val="008B50E2"/>
    <w:rsid w:val="008B53CD"/>
    <w:rsid w:val="008B5A8D"/>
    <w:rsid w:val="008B5DAB"/>
    <w:rsid w:val="008B65AF"/>
    <w:rsid w:val="008B65B9"/>
    <w:rsid w:val="008C0775"/>
    <w:rsid w:val="008C0DBA"/>
    <w:rsid w:val="008C19CC"/>
    <w:rsid w:val="008C1A82"/>
    <w:rsid w:val="008C1C25"/>
    <w:rsid w:val="008C3248"/>
    <w:rsid w:val="008C3262"/>
    <w:rsid w:val="008C45BB"/>
    <w:rsid w:val="008C45EB"/>
    <w:rsid w:val="008C4CD8"/>
    <w:rsid w:val="008C5F3B"/>
    <w:rsid w:val="008C62DF"/>
    <w:rsid w:val="008C7663"/>
    <w:rsid w:val="008C77E2"/>
    <w:rsid w:val="008D1503"/>
    <w:rsid w:val="008D3317"/>
    <w:rsid w:val="008D75AE"/>
    <w:rsid w:val="008E0673"/>
    <w:rsid w:val="008E0803"/>
    <w:rsid w:val="008E0CDE"/>
    <w:rsid w:val="008E140E"/>
    <w:rsid w:val="008E1F00"/>
    <w:rsid w:val="008E252E"/>
    <w:rsid w:val="008E322D"/>
    <w:rsid w:val="008E3AE1"/>
    <w:rsid w:val="008E44EC"/>
    <w:rsid w:val="008E4C28"/>
    <w:rsid w:val="008E50B7"/>
    <w:rsid w:val="008E60E3"/>
    <w:rsid w:val="008E72C3"/>
    <w:rsid w:val="008E76CF"/>
    <w:rsid w:val="008E7B3C"/>
    <w:rsid w:val="008F0EBB"/>
    <w:rsid w:val="008F1A40"/>
    <w:rsid w:val="008F2903"/>
    <w:rsid w:val="008F3AF6"/>
    <w:rsid w:val="008F403B"/>
    <w:rsid w:val="008F4AA2"/>
    <w:rsid w:val="008F513A"/>
    <w:rsid w:val="008F533A"/>
    <w:rsid w:val="008F6386"/>
    <w:rsid w:val="008F7032"/>
    <w:rsid w:val="008F7CB8"/>
    <w:rsid w:val="0090095E"/>
    <w:rsid w:val="00900BC4"/>
    <w:rsid w:val="00900D2A"/>
    <w:rsid w:val="00900E80"/>
    <w:rsid w:val="00900EEA"/>
    <w:rsid w:val="00901FE0"/>
    <w:rsid w:val="00901FF1"/>
    <w:rsid w:val="009028EC"/>
    <w:rsid w:val="00903198"/>
    <w:rsid w:val="009031CD"/>
    <w:rsid w:val="00903855"/>
    <w:rsid w:val="00903D56"/>
    <w:rsid w:val="0090406B"/>
    <w:rsid w:val="00904842"/>
    <w:rsid w:val="009051C0"/>
    <w:rsid w:val="0090560E"/>
    <w:rsid w:val="0090705D"/>
    <w:rsid w:val="0090795C"/>
    <w:rsid w:val="00907A86"/>
    <w:rsid w:val="00907F6A"/>
    <w:rsid w:val="00911CCA"/>
    <w:rsid w:val="00912173"/>
    <w:rsid w:val="00912A7D"/>
    <w:rsid w:val="00912F5C"/>
    <w:rsid w:val="00913A47"/>
    <w:rsid w:val="00915AB8"/>
    <w:rsid w:val="009164A6"/>
    <w:rsid w:val="00916551"/>
    <w:rsid w:val="009166BF"/>
    <w:rsid w:val="00916CB3"/>
    <w:rsid w:val="00917118"/>
    <w:rsid w:val="00917780"/>
    <w:rsid w:val="00921206"/>
    <w:rsid w:val="009213CC"/>
    <w:rsid w:val="00921F46"/>
    <w:rsid w:val="009233AB"/>
    <w:rsid w:val="00925A62"/>
    <w:rsid w:val="00926130"/>
    <w:rsid w:val="009318C9"/>
    <w:rsid w:val="00932076"/>
    <w:rsid w:val="00933F13"/>
    <w:rsid w:val="00933FFD"/>
    <w:rsid w:val="00934446"/>
    <w:rsid w:val="00934D21"/>
    <w:rsid w:val="00934E93"/>
    <w:rsid w:val="0093504B"/>
    <w:rsid w:val="00935BF4"/>
    <w:rsid w:val="00936034"/>
    <w:rsid w:val="00937B2C"/>
    <w:rsid w:val="00941B46"/>
    <w:rsid w:val="0094320E"/>
    <w:rsid w:val="00944C66"/>
    <w:rsid w:val="00946514"/>
    <w:rsid w:val="0094712C"/>
    <w:rsid w:val="00947251"/>
    <w:rsid w:val="0095006F"/>
    <w:rsid w:val="009535DF"/>
    <w:rsid w:val="009542CD"/>
    <w:rsid w:val="00955CBE"/>
    <w:rsid w:val="0095685E"/>
    <w:rsid w:val="00956BA1"/>
    <w:rsid w:val="00957018"/>
    <w:rsid w:val="00957BA3"/>
    <w:rsid w:val="00960615"/>
    <w:rsid w:val="00960B88"/>
    <w:rsid w:val="00962D3D"/>
    <w:rsid w:val="00963728"/>
    <w:rsid w:val="009637A8"/>
    <w:rsid w:val="00963EB5"/>
    <w:rsid w:val="00964AD9"/>
    <w:rsid w:val="00965662"/>
    <w:rsid w:val="00965727"/>
    <w:rsid w:val="00965946"/>
    <w:rsid w:val="00966486"/>
    <w:rsid w:val="009672E8"/>
    <w:rsid w:val="009677F9"/>
    <w:rsid w:val="009703A3"/>
    <w:rsid w:val="00970F66"/>
    <w:rsid w:val="00971253"/>
    <w:rsid w:val="0097165A"/>
    <w:rsid w:val="00971A04"/>
    <w:rsid w:val="00971CFD"/>
    <w:rsid w:val="009734FD"/>
    <w:rsid w:val="0097436F"/>
    <w:rsid w:val="00974E72"/>
    <w:rsid w:val="00975874"/>
    <w:rsid w:val="009768D7"/>
    <w:rsid w:val="00976FEE"/>
    <w:rsid w:val="00977834"/>
    <w:rsid w:val="0098096A"/>
    <w:rsid w:val="0098119F"/>
    <w:rsid w:val="00981C93"/>
    <w:rsid w:val="00981E4C"/>
    <w:rsid w:val="009824E9"/>
    <w:rsid w:val="0098316E"/>
    <w:rsid w:val="00983F70"/>
    <w:rsid w:val="00984EC3"/>
    <w:rsid w:val="00984F44"/>
    <w:rsid w:val="009856DE"/>
    <w:rsid w:val="00986CC1"/>
    <w:rsid w:val="00987FE3"/>
    <w:rsid w:val="0099036D"/>
    <w:rsid w:val="009907B9"/>
    <w:rsid w:val="0099423B"/>
    <w:rsid w:val="009951AE"/>
    <w:rsid w:val="0099583E"/>
    <w:rsid w:val="00995CBC"/>
    <w:rsid w:val="0099608F"/>
    <w:rsid w:val="00996407"/>
    <w:rsid w:val="00996776"/>
    <w:rsid w:val="00996B85"/>
    <w:rsid w:val="0099733D"/>
    <w:rsid w:val="009977C3"/>
    <w:rsid w:val="009A0002"/>
    <w:rsid w:val="009A0123"/>
    <w:rsid w:val="009A0334"/>
    <w:rsid w:val="009A0552"/>
    <w:rsid w:val="009A07EB"/>
    <w:rsid w:val="009A0976"/>
    <w:rsid w:val="009A0EC1"/>
    <w:rsid w:val="009A2092"/>
    <w:rsid w:val="009A2423"/>
    <w:rsid w:val="009A2977"/>
    <w:rsid w:val="009A2F21"/>
    <w:rsid w:val="009A3393"/>
    <w:rsid w:val="009A367D"/>
    <w:rsid w:val="009A413E"/>
    <w:rsid w:val="009A4BD2"/>
    <w:rsid w:val="009A543B"/>
    <w:rsid w:val="009A63F4"/>
    <w:rsid w:val="009A78D5"/>
    <w:rsid w:val="009B0681"/>
    <w:rsid w:val="009B0875"/>
    <w:rsid w:val="009B2459"/>
    <w:rsid w:val="009B25DC"/>
    <w:rsid w:val="009B2830"/>
    <w:rsid w:val="009B2A07"/>
    <w:rsid w:val="009B369A"/>
    <w:rsid w:val="009B3905"/>
    <w:rsid w:val="009B642A"/>
    <w:rsid w:val="009B7128"/>
    <w:rsid w:val="009B72E6"/>
    <w:rsid w:val="009B73D3"/>
    <w:rsid w:val="009C14BF"/>
    <w:rsid w:val="009C2F93"/>
    <w:rsid w:val="009C5796"/>
    <w:rsid w:val="009C5B98"/>
    <w:rsid w:val="009C6971"/>
    <w:rsid w:val="009C72C0"/>
    <w:rsid w:val="009C7641"/>
    <w:rsid w:val="009C7F05"/>
    <w:rsid w:val="009D05FF"/>
    <w:rsid w:val="009D3FAA"/>
    <w:rsid w:val="009D7034"/>
    <w:rsid w:val="009D7B5B"/>
    <w:rsid w:val="009E0ED5"/>
    <w:rsid w:val="009E1A42"/>
    <w:rsid w:val="009E2150"/>
    <w:rsid w:val="009E3AEA"/>
    <w:rsid w:val="009E561D"/>
    <w:rsid w:val="009E5BB9"/>
    <w:rsid w:val="009E5D2A"/>
    <w:rsid w:val="009E62E8"/>
    <w:rsid w:val="009E69DA"/>
    <w:rsid w:val="009E6C72"/>
    <w:rsid w:val="009E7A27"/>
    <w:rsid w:val="009F01C7"/>
    <w:rsid w:val="009F1E85"/>
    <w:rsid w:val="009F222C"/>
    <w:rsid w:val="009F23A8"/>
    <w:rsid w:val="009F2463"/>
    <w:rsid w:val="009F2BFD"/>
    <w:rsid w:val="009F3942"/>
    <w:rsid w:val="009F3F45"/>
    <w:rsid w:val="009F4A0E"/>
    <w:rsid w:val="009F50D2"/>
    <w:rsid w:val="009F533A"/>
    <w:rsid w:val="009F5751"/>
    <w:rsid w:val="009F6215"/>
    <w:rsid w:val="009F6335"/>
    <w:rsid w:val="009F6444"/>
    <w:rsid w:val="009F69E4"/>
    <w:rsid w:val="009F6EEF"/>
    <w:rsid w:val="009F72DC"/>
    <w:rsid w:val="00A00CCA"/>
    <w:rsid w:val="00A02031"/>
    <w:rsid w:val="00A02EE6"/>
    <w:rsid w:val="00A02F42"/>
    <w:rsid w:val="00A039BC"/>
    <w:rsid w:val="00A039C9"/>
    <w:rsid w:val="00A0487A"/>
    <w:rsid w:val="00A055CC"/>
    <w:rsid w:val="00A05A8A"/>
    <w:rsid w:val="00A06AE4"/>
    <w:rsid w:val="00A06BD0"/>
    <w:rsid w:val="00A10E79"/>
    <w:rsid w:val="00A13ED9"/>
    <w:rsid w:val="00A142FB"/>
    <w:rsid w:val="00A154A5"/>
    <w:rsid w:val="00A15657"/>
    <w:rsid w:val="00A1584A"/>
    <w:rsid w:val="00A16906"/>
    <w:rsid w:val="00A16A33"/>
    <w:rsid w:val="00A20166"/>
    <w:rsid w:val="00A212B0"/>
    <w:rsid w:val="00A22160"/>
    <w:rsid w:val="00A22870"/>
    <w:rsid w:val="00A2294C"/>
    <w:rsid w:val="00A229E1"/>
    <w:rsid w:val="00A235AF"/>
    <w:rsid w:val="00A23FC3"/>
    <w:rsid w:val="00A24413"/>
    <w:rsid w:val="00A256CF"/>
    <w:rsid w:val="00A25D8C"/>
    <w:rsid w:val="00A26DA9"/>
    <w:rsid w:val="00A278F6"/>
    <w:rsid w:val="00A27DE9"/>
    <w:rsid w:val="00A30373"/>
    <w:rsid w:val="00A311F7"/>
    <w:rsid w:val="00A318F4"/>
    <w:rsid w:val="00A31919"/>
    <w:rsid w:val="00A31A61"/>
    <w:rsid w:val="00A32A14"/>
    <w:rsid w:val="00A335A0"/>
    <w:rsid w:val="00A339A4"/>
    <w:rsid w:val="00A34BCC"/>
    <w:rsid w:val="00A36219"/>
    <w:rsid w:val="00A36564"/>
    <w:rsid w:val="00A3752F"/>
    <w:rsid w:val="00A37565"/>
    <w:rsid w:val="00A40071"/>
    <w:rsid w:val="00A40247"/>
    <w:rsid w:val="00A406FA"/>
    <w:rsid w:val="00A424F5"/>
    <w:rsid w:val="00A42809"/>
    <w:rsid w:val="00A43243"/>
    <w:rsid w:val="00A43A15"/>
    <w:rsid w:val="00A444C7"/>
    <w:rsid w:val="00A44CF8"/>
    <w:rsid w:val="00A44EF8"/>
    <w:rsid w:val="00A44FC3"/>
    <w:rsid w:val="00A466DB"/>
    <w:rsid w:val="00A47D95"/>
    <w:rsid w:val="00A504D4"/>
    <w:rsid w:val="00A526A3"/>
    <w:rsid w:val="00A53366"/>
    <w:rsid w:val="00A535A9"/>
    <w:rsid w:val="00A53977"/>
    <w:rsid w:val="00A5405C"/>
    <w:rsid w:val="00A54633"/>
    <w:rsid w:val="00A54F1E"/>
    <w:rsid w:val="00A5660F"/>
    <w:rsid w:val="00A57172"/>
    <w:rsid w:val="00A6046F"/>
    <w:rsid w:val="00A62887"/>
    <w:rsid w:val="00A70205"/>
    <w:rsid w:val="00A704E5"/>
    <w:rsid w:val="00A70610"/>
    <w:rsid w:val="00A70E64"/>
    <w:rsid w:val="00A724B3"/>
    <w:rsid w:val="00A73AD5"/>
    <w:rsid w:val="00A744BB"/>
    <w:rsid w:val="00A7486F"/>
    <w:rsid w:val="00A76E6A"/>
    <w:rsid w:val="00A77D36"/>
    <w:rsid w:val="00A8246B"/>
    <w:rsid w:val="00A84D54"/>
    <w:rsid w:val="00A8535A"/>
    <w:rsid w:val="00A85648"/>
    <w:rsid w:val="00A85C85"/>
    <w:rsid w:val="00A86B36"/>
    <w:rsid w:val="00A87595"/>
    <w:rsid w:val="00A879E1"/>
    <w:rsid w:val="00A90135"/>
    <w:rsid w:val="00A90E92"/>
    <w:rsid w:val="00A9206A"/>
    <w:rsid w:val="00A931E9"/>
    <w:rsid w:val="00A932E1"/>
    <w:rsid w:val="00A93BD2"/>
    <w:rsid w:val="00A947D8"/>
    <w:rsid w:val="00A952EB"/>
    <w:rsid w:val="00A95AA8"/>
    <w:rsid w:val="00A969DB"/>
    <w:rsid w:val="00A97495"/>
    <w:rsid w:val="00A977FB"/>
    <w:rsid w:val="00A97F6F"/>
    <w:rsid w:val="00AA141D"/>
    <w:rsid w:val="00AA1B75"/>
    <w:rsid w:val="00AA31B7"/>
    <w:rsid w:val="00AA3A98"/>
    <w:rsid w:val="00AA3B99"/>
    <w:rsid w:val="00AA5150"/>
    <w:rsid w:val="00AA56A2"/>
    <w:rsid w:val="00AA5708"/>
    <w:rsid w:val="00AA60F7"/>
    <w:rsid w:val="00AA6539"/>
    <w:rsid w:val="00AA7331"/>
    <w:rsid w:val="00AB038E"/>
    <w:rsid w:val="00AB0D4D"/>
    <w:rsid w:val="00AB1663"/>
    <w:rsid w:val="00AB1B43"/>
    <w:rsid w:val="00AB33E8"/>
    <w:rsid w:val="00AB45BE"/>
    <w:rsid w:val="00AB5106"/>
    <w:rsid w:val="00AB5284"/>
    <w:rsid w:val="00AB6EEF"/>
    <w:rsid w:val="00AB77BE"/>
    <w:rsid w:val="00AC063D"/>
    <w:rsid w:val="00AC15A4"/>
    <w:rsid w:val="00AC1F08"/>
    <w:rsid w:val="00AC387E"/>
    <w:rsid w:val="00AC3AB4"/>
    <w:rsid w:val="00AC4407"/>
    <w:rsid w:val="00AC49F2"/>
    <w:rsid w:val="00AC4B82"/>
    <w:rsid w:val="00AC4EB7"/>
    <w:rsid w:val="00AC5E02"/>
    <w:rsid w:val="00AC64E8"/>
    <w:rsid w:val="00AC7152"/>
    <w:rsid w:val="00AD06B5"/>
    <w:rsid w:val="00AD179F"/>
    <w:rsid w:val="00AD1868"/>
    <w:rsid w:val="00AD2B67"/>
    <w:rsid w:val="00AD349E"/>
    <w:rsid w:val="00AD3A7A"/>
    <w:rsid w:val="00AD4048"/>
    <w:rsid w:val="00AD42AB"/>
    <w:rsid w:val="00AD48F7"/>
    <w:rsid w:val="00AD4AB4"/>
    <w:rsid w:val="00AD59D5"/>
    <w:rsid w:val="00AD64A3"/>
    <w:rsid w:val="00AD6E8A"/>
    <w:rsid w:val="00AD7D6C"/>
    <w:rsid w:val="00AE1224"/>
    <w:rsid w:val="00AE13D4"/>
    <w:rsid w:val="00AE151F"/>
    <w:rsid w:val="00AE185F"/>
    <w:rsid w:val="00AE1A1A"/>
    <w:rsid w:val="00AE1A74"/>
    <w:rsid w:val="00AE2096"/>
    <w:rsid w:val="00AE4311"/>
    <w:rsid w:val="00AE4944"/>
    <w:rsid w:val="00AE5308"/>
    <w:rsid w:val="00AE58CE"/>
    <w:rsid w:val="00AE601C"/>
    <w:rsid w:val="00AE63CF"/>
    <w:rsid w:val="00AE77EE"/>
    <w:rsid w:val="00AE7C66"/>
    <w:rsid w:val="00AE7DA2"/>
    <w:rsid w:val="00AF0BE3"/>
    <w:rsid w:val="00AF21DF"/>
    <w:rsid w:val="00AF229E"/>
    <w:rsid w:val="00AF522A"/>
    <w:rsid w:val="00AF5281"/>
    <w:rsid w:val="00AF57BB"/>
    <w:rsid w:val="00AF5D0A"/>
    <w:rsid w:val="00AF60E7"/>
    <w:rsid w:val="00AF667E"/>
    <w:rsid w:val="00AF7B5B"/>
    <w:rsid w:val="00B004E7"/>
    <w:rsid w:val="00B00901"/>
    <w:rsid w:val="00B010A6"/>
    <w:rsid w:val="00B01259"/>
    <w:rsid w:val="00B022F0"/>
    <w:rsid w:val="00B03264"/>
    <w:rsid w:val="00B03866"/>
    <w:rsid w:val="00B039F9"/>
    <w:rsid w:val="00B042FA"/>
    <w:rsid w:val="00B05A48"/>
    <w:rsid w:val="00B05B7E"/>
    <w:rsid w:val="00B05CFB"/>
    <w:rsid w:val="00B0617D"/>
    <w:rsid w:val="00B0652F"/>
    <w:rsid w:val="00B07591"/>
    <w:rsid w:val="00B079F7"/>
    <w:rsid w:val="00B100E0"/>
    <w:rsid w:val="00B101B0"/>
    <w:rsid w:val="00B1061F"/>
    <w:rsid w:val="00B106A2"/>
    <w:rsid w:val="00B10A87"/>
    <w:rsid w:val="00B10C08"/>
    <w:rsid w:val="00B10FEE"/>
    <w:rsid w:val="00B11ADB"/>
    <w:rsid w:val="00B12C3C"/>
    <w:rsid w:val="00B12DF1"/>
    <w:rsid w:val="00B14841"/>
    <w:rsid w:val="00B14C84"/>
    <w:rsid w:val="00B1644D"/>
    <w:rsid w:val="00B1693E"/>
    <w:rsid w:val="00B16F1B"/>
    <w:rsid w:val="00B16FF5"/>
    <w:rsid w:val="00B1728B"/>
    <w:rsid w:val="00B20231"/>
    <w:rsid w:val="00B2028A"/>
    <w:rsid w:val="00B20512"/>
    <w:rsid w:val="00B20D76"/>
    <w:rsid w:val="00B2101C"/>
    <w:rsid w:val="00B22821"/>
    <w:rsid w:val="00B2297E"/>
    <w:rsid w:val="00B2338A"/>
    <w:rsid w:val="00B245F7"/>
    <w:rsid w:val="00B246C3"/>
    <w:rsid w:val="00B24DF2"/>
    <w:rsid w:val="00B25880"/>
    <w:rsid w:val="00B25BE7"/>
    <w:rsid w:val="00B25FAA"/>
    <w:rsid w:val="00B26B93"/>
    <w:rsid w:val="00B26DB3"/>
    <w:rsid w:val="00B27E00"/>
    <w:rsid w:val="00B32C0D"/>
    <w:rsid w:val="00B33739"/>
    <w:rsid w:val="00B337F5"/>
    <w:rsid w:val="00B34052"/>
    <w:rsid w:val="00B34AA7"/>
    <w:rsid w:val="00B34F43"/>
    <w:rsid w:val="00B35700"/>
    <w:rsid w:val="00B376EA"/>
    <w:rsid w:val="00B40A49"/>
    <w:rsid w:val="00B40ACB"/>
    <w:rsid w:val="00B421F1"/>
    <w:rsid w:val="00B42877"/>
    <w:rsid w:val="00B43687"/>
    <w:rsid w:val="00B4397C"/>
    <w:rsid w:val="00B44185"/>
    <w:rsid w:val="00B443C0"/>
    <w:rsid w:val="00B443C3"/>
    <w:rsid w:val="00B4451B"/>
    <w:rsid w:val="00B45451"/>
    <w:rsid w:val="00B45590"/>
    <w:rsid w:val="00B4601C"/>
    <w:rsid w:val="00B46684"/>
    <w:rsid w:val="00B4741E"/>
    <w:rsid w:val="00B47A56"/>
    <w:rsid w:val="00B50359"/>
    <w:rsid w:val="00B50D7F"/>
    <w:rsid w:val="00B511E0"/>
    <w:rsid w:val="00B51503"/>
    <w:rsid w:val="00B51650"/>
    <w:rsid w:val="00B534F8"/>
    <w:rsid w:val="00B537F5"/>
    <w:rsid w:val="00B54F42"/>
    <w:rsid w:val="00B552A2"/>
    <w:rsid w:val="00B55896"/>
    <w:rsid w:val="00B561E7"/>
    <w:rsid w:val="00B56285"/>
    <w:rsid w:val="00B565A6"/>
    <w:rsid w:val="00B60184"/>
    <w:rsid w:val="00B601CF"/>
    <w:rsid w:val="00B619B0"/>
    <w:rsid w:val="00B61A31"/>
    <w:rsid w:val="00B6267E"/>
    <w:rsid w:val="00B636A2"/>
    <w:rsid w:val="00B64B9B"/>
    <w:rsid w:val="00B64E0E"/>
    <w:rsid w:val="00B6774E"/>
    <w:rsid w:val="00B67A14"/>
    <w:rsid w:val="00B67EF6"/>
    <w:rsid w:val="00B703CC"/>
    <w:rsid w:val="00B70418"/>
    <w:rsid w:val="00B716E6"/>
    <w:rsid w:val="00B718B6"/>
    <w:rsid w:val="00B71CB7"/>
    <w:rsid w:val="00B71DBE"/>
    <w:rsid w:val="00B71E59"/>
    <w:rsid w:val="00B720C7"/>
    <w:rsid w:val="00B72882"/>
    <w:rsid w:val="00B7351F"/>
    <w:rsid w:val="00B767FA"/>
    <w:rsid w:val="00B76848"/>
    <w:rsid w:val="00B77749"/>
    <w:rsid w:val="00B77E2E"/>
    <w:rsid w:val="00B80472"/>
    <w:rsid w:val="00B80640"/>
    <w:rsid w:val="00B80AF8"/>
    <w:rsid w:val="00B816D6"/>
    <w:rsid w:val="00B81B75"/>
    <w:rsid w:val="00B82165"/>
    <w:rsid w:val="00B824F7"/>
    <w:rsid w:val="00B82A24"/>
    <w:rsid w:val="00B82B50"/>
    <w:rsid w:val="00B833F9"/>
    <w:rsid w:val="00B83616"/>
    <w:rsid w:val="00B84392"/>
    <w:rsid w:val="00B8507F"/>
    <w:rsid w:val="00B90C22"/>
    <w:rsid w:val="00B90CCF"/>
    <w:rsid w:val="00B92436"/>
    <w:rsid w:val="00B92B92"/>
    <w:rsid w:val="00B93493"/>
    <w:rsid w:val="00B95C8C"/>
    <w:rsid w:val="00B963E7"/>
    <w:rsid w:val="00B96447"/>
    <w:rsid w:val="00B967A3"/>
    <w:rsid w:val="00B96E80"/>
    <w:rsid w:val="00B97904"/>
    <w:rsid w:val="00B97F1B"/>
    <w:rsid w:val="00BA0D2F"/>
    <w:rsid w:val="00BA2325"/>
    <w:rsid w:val="00BA373A"/>
    <w:rsid w:val="00BA4BC1"/>
    <w:rsid w:val="00BA5D62"/>
    <w:rsid w:val="00BA6FB1"/>
    <w:rsid w:val="00BA74F2"/>
    <w:rsid w:val="00BA751D"/>
    <w:rsid w:val="00BB0A2C"/>
    <w:rsid w:val="00BB1F10"/>
    <w:rsid w:val="00BB2DA6"/>
    <w:rsid w:val="00BB47DE"/>
    <w:rsid w:val="00BB489D"/>
    <w:rsid w:val="00BB4BEF"/>
    <w:rsid w:val="00BB5A75"/>
    <w:rsid w:val="00BB5BC0"/>
    <w:rsid w:val="00BB6269"/>
    <w:rsid w:val="00BB6360"/>
    <w:rsid w:val="00BB69D4"/>
    <w:rsid w:val="00BB77E5"/>
    <w:rsid w:val="00BC0001"/>
    <w:rsid w:val="00BC1156"/>
    <w:rsid w:val="00BC134C"/>
    <w:rsid w:val="00BC13F2"/>
    <w:rsid w:val="00BC2211"/>
    <w:rsid w:val="00BC27EE"/>
    <w:rsid w:val="00BC280E"/>
    <w:rsid w:val="00BC3DEE"/>
    <w:rsid w:val="00BC3F20"/>
    <w:rsid w:val="00BC3FDB"/>
    <w:rsid w:val="00BC4171"/>
    <w:rsid w:val="00BC4629"/>
    <w:rsid w:val="00BC4C57"/>
    <w:rsid w:val="00BC5768"/>
    <w:rsid w:val="00BC67CF"/>
    <w:rsid w:val="00BC7726"/>
    <w:rsid w:val="00BC7ED4"/>
    <w:rsid w:val="00BD04C9"/>
    <w:rsid w:val="00BD04F1"/>
    <w:rsid w:val="00BD0CE4"/>
    <w:rsid w:val="00BD0D3E"/>
    <w:rsid w:val="00BD1409"/>
    <w:rsid w:val="00BD1720"/>
    <w:rsid w:val="00BD1817"/>
    <w:rsid w:val="00BD1CFE"/>
    <w:rsid w:val="00BD26A1"/>
    <w:rsid w:val="00BD38EA"/>
    <w:rsid w:val="00BD48BE"/>
    <w:rsid w:val="00BD5737"/>
    <w:rsid w:val="00BD5831"/>
    <w:rsid w:val="00BD6375"/>
    <w:rsid w:val="00BD7F28"/>
    <w:rsid w:val="00BE1600"/>
    <w:rsid w:val="00BE1E2D"/>
    <w:rsid w:val="00BE1EBC"/>
    <w:rsid w:val="00BE3D0D"/>
    <w:rsid w:val="00BE4591"/>
    <w:rsid w:val="00BE469C"/>
    <w:rsid w:val="00BE4808"/>
    <w:rsid w:val="00BE4C46"/>
    <w:rsid w:val="00BE5130"/>
    <w:rsid w:val="00BE5CD5"/>
    <w:rsid w:val="00BE64A6"/>
    <w:rsid w:val="00BE6E13"/>
    <w:rsid w:val="00BE73C2"/>
    <w:rsid w:val="00BF09C4"/>
    <w:rsid w:val="00BF0C1C"/>
    <w:rsid w:val="00BF1ACD"/>
    <w:rsid w:val="00BF2282"/>
    <w:rsid w:val="00BF2A71"/>
    <w:rsid w:val="00BF2DBD"/>
    <w:rsid w:val="00BF3A12"/>
    <w:rsid w:val="00BF3DBB"/>
    <w:rsid w:val="00BF45CA"/>
    <w:rsid w:val="00BF4C09"/>
    <w:rsid w:val="00BF6A57"/>
    <w:rsid w:val="00C00FF7"/>
    <w:rsid w:val="00C01871"/>
    <w:rsid w:val="00C0386C"/>
    <w:rsid w:val="00C03DDD"/>
    <w:rsid w:val="00C03E3D"/>
    <w:rsid w:val="00C043F1"/>
    <w:rsid w:val="00C044ED"/>
    <w:rsid w:val="00C0642F"/>
    <w:rsid w:val="00C07169"/>
    <w:rsid w:val="00C10825"/>
    <w:rsid w:val="00C10C08"/>
    <w:rsid w:val="00C117D5"/>
    <w:rsid w:val="00C12606"/>
    <w:rsid w:val="00C14CEC"/>
    <w:rsid w:val="00C15999"/>
    <w:rsid w:val="00C15E22"/>
    <w:rsid w:val="00C166AD"/>
    <w:rsid w:val="00C168FD"/>
    <w:rsid w:val="00C1748B"/>
    <w:rsid w:val="00C178CF"/>
    <w:rsid w:val="00C17F72"/>
    <w:rsid w:val="00C20928"/>
    <w:rsid w:val="00C20B09"/>
    <w:rsid w:val="00C21C19"/>
    <w:rsid w:val="00C230CC"/>
    <w:rsid w:val="00C2339F"/>
    <w:rsid w:val="00C2418F"/>
    <w:rsid w:val="00C24E2E"/>
    <w:rsid w:val="00C3098C"/>
    <w:rsid w:val="00C30D58"/>
    <w:rsid w:val="00C3101F"/>
    <w:rsid w:val="00C320ED"/>
    <w:rsid w:val="00C335A0"/>
    <w:rsid w:val="00C34ADD"/>
    <w:rsid w:val="00C352AB"/>
    <w:rsid w:val="00C361C6"/>
    <w:rsid w:val="00C36248"/>
    <w:rsid w:val="00C36B15"/>
    <w:rsid w:val="00C36D3B"/>
    <w:rsid w:val="00C37224"/>
    <w:rsid w:val="00C40B9C"/>
    <w:rsid w:val="00C40FE7"/>
    <w:rsid w:val="00C41081"/>
    <w:rsid w:val="00C411C6"/>
    <w:rsid w:val="00C4135C"/>
    <w:rsid w:val="00C4158F"/>
    <w:rsid w:val="00C41625"/>
    <w:rsid w:val="00C4172F"/>
    <w:rsid w:val="00C42A8C"/>
    <w:rsid w:val="00C42D03"/>
    <w:rsid w:val="00C436CD"/>
    <w:rsid w:val="00C43C72"/>
    <w:rsid w:val="00C4496B"/>
    <w:rsid w:val="00C44F6F"/>
    <w:rsid w:val="00C45593"/>
    <w:rsid w:val="00C46439"/>
    <w:rsid w:val="00C4645C"/>
    <w:rsid w:val="00C467B5"/>
    <w:rsid w:val="00C46AFF"/>
    <w:rsid w:val="00C475A7"/>
    <w:rsid w:val="00C478AE"/>
    <w:rsid w:val="00C50594"/>
    <w:rsid w:val="00C50795"/>
    <w:rsid w:val="00C515A6"/>
    <w:rsid w:val="00C51694"/>
    <w:rsid w:val="00C51E51"/>
    <w:rsid w:val="00C5334B"/>
    <w:rsid w:val="00C53512"/>
    <w:rsid w:val="00C53B41"/>
    <w:rsid w:val="00C53B92"/>
    <w:rsid w:val="00C540C1"/>
    <w:rsid w:val="00C542FB"/>
    <w:rsid w:val="00C548ED"/>
    <w:rsid w:val="00C55756"/>
    <w:rsid w:val="00C5640B"/>
    <w:rsid w:val="00C56709"/>
    <w:rsid w:val="00C56D57"/>
    <w:rsid w:val="00C56F01"/>
    <w:rsid w:val="00C57C61"/>
    <w:rsid w:val="00C6259E"/>
    <w:rsid w:val="00C62BCF"/>
    <w:rsid w:val="00C64D6B"/>
    <w:rsid w:val="00C65B77"/>
    <w:rsid w:val="00C66492"/>
    <w:rsid w:val="00C665F4"/>
    <w:rsid w:val="00C706A2"/>
    <w:rsid w:val="00C70CBE"/>
    <w:rsid w:val="00C70F09"/>
    <w:rsid w:val="00C71DDD"/>
    <w:rsid w:val="00C72C4E"/>
    <w:rsid w:val="00C73CE0"/>
    <w:rsid w:val="00C74219"/>
    <w:rsid w:val="00C74582"/>
    <w:rsid w:val="00C74C91"/>
    <w:rsid w:val="00C74E6D"/>
    <w:rsid w:val="00C7556B"/>
    <w:rsid w:val="00C75ACC"/>
    <w:rsid w:val="00C76FD6"/>
    <w:rsid w:val="00C770BB"/>
    <w:rsid w:val="00C77DB7"/>
    <w:rsid w:val="00C80FB4"/>
    <w:rsid w:val="00C816F7"/>
    <w:rsid w:val="00C83690"/>
    <w:rsid w:val="00C84AD7"/>
    <w:rsid w:val="00C874B7"/>
    <w:rsid w:val="00C912BF"/>
    <w:rsid w:val="00C91D47"/>
    <w:rsid w:val="00C92B91"/>
    <w:rsid w:val="00C93536"/>
    <w:rsid w:val="00C935CE"/>
    <w:rsid w:val="00C93680"/>
    <w:rsid w:val="00C9497D"/>
    <w:rsid w:val="00C94F7C"/>
    <w:rsid w:val="00C950FC"/>
    <w:rsid w:val="00C9739F"/>
    <w:rsid w:val="00C9750C"/>
    <w:rsid w:val="00C975CF"/>
    <w:rsid w:val="00C97819"/>
    <w:rsid w:val="00C97B60"/>
    <w:rsid w:val="00CA01A8"/>
    <w:rsid w:val="00CA0214"/>
    <w:rsid w:val="00CA166C"/>
    <w:rsid w:val="00CA1F52"/>
    <w:rsid w:val="00CA2F37"/>
    <w:rsid w:val="00CA32F5"/>
    <w:rsid w:val="00CA447F"/>
    <w:rsid w:val="00CA46AA"/>
    <w:rsid w:val="00CA4D6B"/>
    <w:rsid w:val="00CA511C"/>
    <w:rsid w:val="00CA5419"/>
    <w:rsid w:val="00CA5524"/>
    <w:rsid w:val="00CA64FE"/>
    <w:rsid w:val="00CA6F4E"/>
    <w:rsid w:val="00CA72B8"/>
    <w:rsid w:val="00CA76AD"/>
    <w:rsid w:val="00CA7DA0"/>
    <w:rsid w:val="00CB025B"/>
    <w:rsid w:val="00CB1A3E"/>
    <w:rsid w:val="00CB1BEB"/>
    <w:rsid w:val="00CB26EA"/>
    <w:rsid w:val="00CB3EF4"/>
    <w:rsid w:val="00CB4307"/>
    <w:rsid w:val="00CB631E"/>
    <w:rsid w:val="00CC04BD"/>
    <w:rsid w:val="00CC1663"/>
    <w:rsid w:val="00CC2B4B"/>
    <w:rsid w:val="00CC4529"/>
    <w:rsid w:val="00CC604B"/>
    <w:rsid w:val="00CC6B6E"/>
    <w:rsid w:val="00CC74CF"/>
    <w:rsid w:val="00CD041B"/>
    <w:rsid w:val="00CD060C"/>
    <w:rsid w:val="00CD089E"/>
    <w:rsid w:val="00CD35EF"/>
    <w:rsid w:val="00CD3692"/>
    <w:rsid w:val="00CD4B3B"/>
    <w:rsid w:val="00CD4C99"/>
    <w:rsid w:val="00CD5C46"/>
    <w:rsid w:val="00CD62D2"/>
    <w:rsid w:val="00CD6AAC"/>
    <w:rsid w:val="00CD6ED9"/>
    <w:rsid w:val="00CE0189"/>
    <w:rsid w:val="00CE09C6"/>
    <w:rsid w:val="00CE10D5"/>
    <w:rsid w:val="00CE1208"/>
    <w:rsid w:val="00CE1742"/>
    <w:rsid w:val="00CE2A0A"/>
    <w:rsid w:val="00CE34BB"/>
    <w:rsid w:val="00CE4503"/>
    <w:rsid w:val="00CE45A5"/>
    <w:rsid w:val="00CE4989"/>
    <w:rsid w:val="00CE4C53"/>
    <w:rsid w:val="00CE5603"/>
    <w:rsid w:val="00CE57A3"/>
    <w:rsid w:val="00CE5B96"/>
    <w:rsid w:val="00CE5E40"/>
    <w:rsid w:val="00CE64BD"/>
    <w:rsid w:val="00CE6FCB"/>
    <w:rsid w:val="00CE7049"/>
    <w:rsid w:val="00CE7787"/>
    <w:rsid w:val="00CF0101"/>
    <w:rsid w:val="00CF0231"/>
    <w:rsid w:val="00CF0676"/>
    <w:rsid w:val="00CF0DE2"/>
    <w:rsid w:val="00CF1644"/>
    <w:rsid w:val="00CF19BA"/>
    <w:rsid w:val="00CF4090"/>
    <w:rsid w:val="00CF4493"/>
    <w:rsid w:val="00CF4AC7"/>
    <w:rsid w:val="00CF53C4"/>
    <w:rsid w:val="00CF5A68"/>
    <w:rsid w:val="00CF5CCC"/>
    <w:rsid w:val="00CF6917"/>
    <w:rsid w:val="00CF6A55"/>
    <w:rsid w:val="00CF6C7E"/>
    <w:rsid w:val="00CF77B5"/>
    <w:rsid w:val="00D0029E"/>
    <w:rsid w:val="00D0054E"/>
    <w:rsid w:val="00D00F13"/>
    <w:rsid w:val="00D01C00"/>
    <w:rsid w:val="00D02B47"/>
    <w:rsid w:val="00D038FA"/>
    <w:rsid w:val="00D0495F"/>
    <w:rsid w:val="00D04FB5"/>
    <w:rsid w:val="00D05C02"/>
    <w:rsid w:val="00D06036"/>
    <w:rsid w:val="00D06997"/>
    <w:rsid w:val="00D07F90"/>
    <w:rsid w:val="00D10B59"/>
    <w:rsid w:val="00D1148F"/>
    <w:rsid w:val="00D11B7A"/>
    <w:rsid w:val="00D12B04"/>
    <w:rsid w:val="00D13764"/>
    <w:rsid w:val="00D13A0D"/>
    <w:rsid w:val="00D13A57"/>
    <w:rsid w:val="00D151EE"/>
    <w:rsid w:val="00D15FE7"/>
    <w:rsid w:val="00D16901"/>
    <w:rsid w:val="00D17096"/>
    <w:rsid w:val="00D175FB"/>
    <w:rsid w:val="00D20C68"/>
    <w:rsid w:val="00D20D07"/>
    <w:rsid w:val="00D22975"/>
    <w:rsid w:val="00D230AB"/>
    <w:rsid w:val="00D23789"/>
    <w:rsid w:val="00D23C73"/>
    <w:rsid w:val="00D24B2D"/>
    <w:rsid w:val="00D24FE3"/>
    <w:rsid w:val="00D2629D"/>
    <w:rsid w:val="00D30B1F"/>
    <w:rsid w:val="00D31243"/>
    <w:rsid w:val="00D31E82"/>
    <w:rsid w:val="00D31F51"/>
    <w:rsid w:val="00D32358"/>
    <w:rsid w:val="00D326FF"/>
    <w:rsid w:val="00D32855"/>
    <w:rsid w:val="00D32EE8"/>
    <w:rsid w:val="00D32F5B"/>
    <w:rsid w:val="00D339E4"/>
    <w:rsid w:val="00D340CC"/>
    <w:rsid w:val="00D34269"/>
    <w:rsid w:val="00D34E86"/>
    <w:rsid w:val="00D34F8E"/>
    <w:rsid w:val="00D35484"/>
    <w:rsid w:val="00D354AB"/>
    <w:rsid w:val="00D37A4B"/>
    <w:rsid w:val="00D37B9B"/>
    <w:rsid w:val="00D41B46"/>
    <w:rsid w:val="00D41C49"/>
    <w:rsid w:val="00D4224D"/>
    <w:rsid w:val="00D43C8E"/>
    <w:rsid w:val="00D43E50"/>
    <w:rsid w:val="00D4454F"/>
    <w:rsid w:val="00D45FEA"/>
    <w:rsid w:val="00D46A1D"/>
    <w:rsid w:val="00D46E3A"/>
    <w:rsid w:val="00D47113"/>
    <w:rsid w:val="00D472DD"/>
    <w:rsid w:val="00D506D9"/>
    <w:rsid w:val="00D51410"/>
    <w:rsid w:val="00D51652"/>
    <w:rsid w:val="00D51739"/>
    <w:rsid w:val="00D53133"/>
    <w:rsid w:val="00D5343C"/>
    <w:rsid w:val="00D5345D"/>
    <w:rsid w:val="00D5434F"/>
    <w:rsid w:val="00D549E3"/>
    <w:rsid w:val="00D55649"/>
    <w:rsid w:val="00D55CCB"/>
    <w:rsid w:val="00D56223"/>
    <w:rsid w:val="00D5670A"/>
    <w:rsid w:val="00D56E41"/>
    <w:rsid w:val="00D57120"/>
    <w:rsid w:val="00D577BE"/>
    <w:rsid w:val="00D578CE"/>
    <w:rsid w:val="00D57A83"/>
    <w:rsid w:val="00D61147"/>
    <w:rsid w:val="00D61C24"/>
    <w:rsid w:val="00D629E1"/>
    <w:rsid w:val="00D63009"/>
    <w:rsid w:val="00D649C0"/>
    <w:rsid w:val="00D64EFB"/>
    <w:rsid w:val="00D64F7F"/>
    <w:rsid w:val="00D65A1A"/>
    <w:rsid w:val="00D66A02"/>
    <w:rsid w:val="00D6751D"/>
    <w:rsid w:val="00D6754D"/>
    <w:rsid w:val="00D67660"/>
    <w:rsid w:val="00D70ADC"/>
    <w:rsid w:val="00D72876"/>
    <w:rsid w:val="00D72CB0"/>
    <w:rsid w:val="00D740C6"/>
    <w:rsid w:val="00D7457D"/>
    <w:rsid w:val="00D746FB"/>
    <w:rsid w:val="00D75263"/>
    <w:rsid w:val="00D7554F"/>
    <w:rsid w:val="00D75572"/>
    <w:rsid w:val="00D75A96"/>
    <w:rsid w:val="00D763ED"/>
    <w:rsid w:val="00D76F57"/>
    <w:rsid w:val="00D77F9C"/>
    <w:rsid w:val="00D800E5"/>
    <w:rsid w:val="00D804B1"/>
    <w:rsid w:val="00D84916"/>
    <w:rsid w:val="00D85D4E"/>
    <w:rsid w:val="00D86D3C"/>
    <w:rsid w:val="00D8724C"/>
    <w:rsid w:val="00D87628"/>
    <w:rsid w:val="00D87650"/>
    <w:rsid w:val="00D87A62"/>
    <w:rsid w:val="00D9030E"/>
    <w:rsid w:val="00D918A8"/>
    <w:rsid w:val="00D91BEC"/>
    <w:rsid w:val="00D920F3"/>
    <w:rsid w:val="00D92B57"/>
    <w:rsid w:val="00D9335F"/>
    <w:rsid w:val="00D93E9B"/>
    <w:rsid w:val="00D942A5"/>
    <w:rsid w:val="00D95C25"/>
    <w:rsid w:val="00D9639F"/>
    <w:rsid w:val="00D963CD"/>
    <w:rsid w:val="00D97BFA"/>
    <w:rsid w:val="00DA0623"/>
    <w:rsid w:val="00DA07CE"/>
    <w:rsid w:val="00DA0E9B"/>
    <w:rsid w:val="00DA1AC2"/>
    <w:rsid w:val="00DA3187"/>
    <w:rsid w:val="00DA353E"/>
    <w:rsid w:val="00DA379F"/>
    <w:rsid w:val="00DA390E"/>
    <w:rsid w:val="00DA3968"/>
    <w:rsid w:val="00DA435F"/>
    <w:rsid w:val="00DA4461"/>
    <w:rsid w:val="00DA4649"/>
    <w:rsid w:val="00DA4D07"/>
    <w:rsid w:val="00DA4FB9"/>
    <w:rsid w:val="00DA5BF1"/>
    <w:rsid w:val="00DA5C89"/>
    <w:rsid w:val="00DA612F"/>
    <w:rsid w:val="00DA6406"/>
    <w:rsid w:val="00DA79C6"/>
    <w:rsid w:val="00DA7CC4"/>
    <w:rsid w:val="00DA7F2E"/>
    <w:rsid w:val="00DB3626"/>
    <w:rsid w:val="00DB48D2"/>
    <w:rsid w:val="00DB50EB"/>
    <w:rsid w:val="00DB5829"/>
    <w:rsid w:val="00DB615A"/>
    <w:rsid w:val="00DB61BD"/>
    <w:rsid w:val="00DC073E"/>
    <w:rsid w:val="00DC078A"/>
    <w:rsid w:val="00DC0B1F"/>
    <w:rsid w:val="00DC2830"/>
    <w:rsid w:val="00DC2E9E"/>
    <w:rsid w:val="00DC3542"/>
    <w:rsid w:val="00DC3E86"/>
    <w:rsid w:val="00DC52AE"/>
    <w:rsid w:val="00DC5954"/>
    <w:rsid w:val="00DC79E8"/>
    <w:rsid w:val="00DD0420"/>
    <w:rsid w:val="00DD0B6E"/>
    <w:rsid w:val="00DD0BBB"/>
    <w:rsid w:val="00DD0F1E"/>
    <w:rsid w:val="00DD10FE"/>
    <w:rsid w:val="00DD2909"/>
    <w:rsid w:val="00DD3480"/>
    <w:rsid w:val="00DD34EC"/>
    <w:rsid w:val="00DD414E"/>
    <w:rsid w:val="00DD4288"/>
    <w:rsid w:val="00DD4936"/>
    <w:rsid w:val="00DD585B"/>
    <w:rsid w:val="00DD6211"/>
    <w:rsid w:val="00DD651A"/>
    <w:rsid w:val="00DD6624"/>
    <w:rsid w:val="00DD6CAC"/>
    <w:rsid w:val="00DE0350"/>
    <w:rsid w:val="00DE1F67"/>
    <w:rsid w:val="00DE22A3"/>
    <w:rsid w:val="00DE2CCC"/>
    <w:rsid w:val="00DE3BC3"/>
    <w:rsid w:val="00DE4E7A"/>
    <w:rsid w:val="00DE4EE6"/>
    <w:rsid w:val="00DE4F36"/>
    <w:rsid w:val="00DE5658"/>
    <w:rsid w:val="00DE5710"/>
    <w:rsid w:val="00DE5C2B"/>
    <w:rsid w:val="00DE6F6F"/>
    <w:rsid w:val="00DE71BD"/>
    <w:rsid w:val="00DE763E"/>
    <w:rsid w:val="00DE76B6"/>
    <w:rsid w:val="00DE7700"/>
    <w:rsid w:val="00DE7D81"/>
    <w:rsid w:val="00DF02DC"/>
    <w:rsid w:val="00DF0645"/>
    <w:rsid w:val="00DF29D2"/>
    <w:rsid w:val="00DF2C94"/>
    <w:rsid w:val="00DF32AC"/>
    <w:rsid w:val="00DF3365"/>
    <w:rsid w:val="00DF43A4"/>
    <w:rsid w:val="00DF455D"/>
    <w:rsid w:val="00DF4F71"/>
    <w:rsid w:val="00DF55FD"/>
    <w:rsid w:val="00DF5641"/>
    <w:rsid w:val="00DF63B4"/>
    <w:rsid w:val="00DF71CB"/>
    <w:rsid w:val="00E00781"/>
    <w:rsid w:val="00E00801"/>
    <w:rsid w:val="00E00D71"/>
    <w:rsid w:val="00E015F4"/>
    <w:rsid w:val="00E02A3D"/>
    <w:rsid w:val="00E03951"/>
    <w:rsid w:val="00E0478D"/>
    <w:rsid w:val="00E052C8"/>
    <w:rsid w:val="00E05937"/>
    <w:rsid w:val="00E06E35"/>
    <w:rsid w:val="00E10DAE"/>
    <w:rsid w:val="00E11546"/>
    <w:rsid w:val="00E12356"/>
    <w:rsid w:val="00E12E5C"/>
    <w:rsid w:val="00E15D11"/>
    <w:rsid w:val="00E163AF"/>
    <w:rsid w:val="00E166AC"/>
    <w:rsid w:val="00E16A95"/>
    <w:rsid w:val="00E17CF5"/>
    <w:rsid w:val="00E21082"/>
    <w:rsid w:val="00E2194D"/>
    <w:rsid w:val="00E221BA"/>
    <w:rsid w:val="00E2381A"/>
    <w:rsid w:val="00E23BC6"/>
    <w:rsid w:val="00E24877"/>
    <w:rsid w:val="00E25184"/>
    <w:rsid w:val="00E2617D"/>
    <w:rsid w:val="00E26A32"/>
    <w:rsid w:val="00E26A38"/>
    <w:rsid w:val="00E2796B"/>
    <w:rsid w:val="00E27D94"/>
    <w:rsid w:val="00E3054F"/>
    <w:rsid w:val="00E311B3"/>
    <w:rsid w:val="00E315D1"/>
    <w:rsid w:val="00E320C9"/>
    <w:rsid w:val="00E32287"/>
    <w:rsid w:val="00E32948"/>
    <w:rsid w:val="00E33ACE"/>
    <w:rsid w:val="00E33D63"/>
    <w:rsid w:val="00E33DFD"/>
    <w:rsid w:val="00E340E6"/>
    <w:rsid w:val="00E34538"/>
    <w:rsid w:val="00E34713"/>
    <w:rsid w:val="00E35259"/>
    <w:rsid w:val="00E3562A"/>
    <w:rsid w:val="00E35641"/>
    <w:rsid w:val="00E377C8"/>
    <w:rsid w:val="00E37889"/>
    <w:rsid w:val="00E37D41"/>
    <w:rsid w:val="00E40837"/>
    <w:rsid w:val="00E40B09"/>
    <w:rsid w:val="00E4184C"/>
    <w:rsid w:val="00E421B8"/>
    <w:rsid w:val="00E42A93"/>
    <w:rsid w:val="00E43C65"/>
    <w:rsid w:val="00E43D3C"/>
    <w:rsid w:val="00E443BA"/>
    <w:rsid w:val="00E44EC0"/>
    <w:rsid w:val="00E45D99"/>
    <w:rsid w:val="00E462C0"/>
    <w:rsid w:val="00E465B0"/>
    <w:rsid w:val="00E46641"/>
    <w:rsid w:val="00E468F6"/>
    <w:rsid w:val="00E469FB"/>
    <w:rsid w:val="00E46E57"/>
    <w:rsid w:val="00E46EFC"/>
    <w:rsid w:val="00E475BB"/>
    <w:rsid w:val="00E50537"/>
    <w:rsid w:val="00E50AAD"/>
    <w:rsid w:val="00E50CFB"/>
    <w:rsid w:val="00E50F59"/>
    <w:rsid w:val="00E51146"/>
    <w:rsid w:val="00E53218"/>
    <w:rsid w:val="00E54A6C"/>
    <w:rsid w:val="00E55429"/>
    <w:rsid w:val="00E558D9"/>
    <w:rsid w:val="00E56948"/>
    <w:rsid w:val="00E56C94"/>
    <w:rsid w:val="00E576C2"/>
    <w:rsid w:val="00E60489"/>
    <w:rsid w:val="00E60574"/>
    <w:rsid w:val="00E60604"/>
    <w:rsid w:val="00E60ECF"/>
    <w:rsid w:val="00E6135A"/>
    <w:rsid w:val="00E61E3D"/>
    <w:rsid w:val="00E62001"/>
    <w:rsid w:val="00E62B4E"/>
    <w:rsid w:val="00E63054"/>
    <w:rsid w:val="00E63D29"/>
    <w:rsid w:val="00E641E1"/>
    <w:rsid w:val="00E643C7"/>
    <w:rsid w:val="00E64454"/>
    <w:rsid w:val="00E647A9"/>
    <w:rsid w:val="00E65B2F"/>
    <w:rsid w:val="00E67445"/>
    <w:rsid w:val="00E707D9"/>
    <w:rsid w:val="00E71A2F"/>
    <w:rsid w:val="00E72EDF"/>
    <w:rsid w:val="00E72F3C"/>
    <w:rsid w:val="00E73700"/>
    <w:rsid w:val="00E7423C"/>
    <w:rsid w:val="00E7425D"/>
    <w:rsid w:val="00E751AE"/>
    <w:rsid w:val="00E7539B"/>
    <w:rsid w:val="00E75966"/>
    <w:rsid w:val="00E75A1E"/>
    <w:rsid w:val="00E75A23"/>
    <w:rsid w:val="00E75E67"/>
    <w:rsid w:val="00E76744"/>
    <w:rsid w:val="00E76ABF"/>
    <w:rsid w:val="00E76D84"/>
    <w:rsid w:val="00E7712C"/>
    <w:rsid w:val="00E81DB4"/>
    <w:rsid w:val="00E8213C"/>
    <w:rsid w:val="00E836CA"/>
    <w:rsid w:val="00E84AC5"/>
    <w:rsid w:val="00E850CA"/>
    <w:rsid w:val="00E85DCD"/>
    <w:rsid w:val="00E86986"/>
    <w:rsid w:val="00E8706D"/>
    <w:rsid w:val="00E87CDE"/>
    <w:rsid w:val="00E912B5"/>
    <w:rsid w:val="00E91427"/>
    <w:rsid w:val="00E92032"/>
    <w:rsid w:val="00E9219C"/>
    <w:rsid w:val="00E953FC"/>
    <w:rsid w:val="00E9576C"/>
    <w:rsid w:val="00E96A5B"/>
    <w:rsid w:val="00E96FCB"/>
    <w:rsid w:val="00E97C53"/>
    <w:rsid w:val="00EA04D0"/>
    <w:rsid w:val="00EA1969"/>
    <w:rsid w:val="00EA24B1"/>
    <w:rsid w:val="00EA299B"/>
    <w:rsid w:val="00EA3163"/>
    <w:rsid w:val="00EA3577"/>
    <w:rsid w:val="00EA35C6"/>
    <w:rsid w:val="00EA3B2A"/>
    <w:rsid w:val="00EA4136"/>
    <w:rsid w:val="00EA5AF5"/>
    <w:rsid w:val="00EA6263"/>
    <w:rsid w:val="00EA6C3D"/>
    <w:rsid w:val="00EA6EB6"/>
    <w:rsid w:val="00EA74D5"/>
    <w:rsid w:val="00EA7AB2"/>
    <w:rsid w:val="00EA7B50"/>
    <w:rsid w:val="00EB0425"/>
    <w:rsid w:val="00EB0B79"/>
    <w:rsid w:val="00EB0FFB"/>
    <w:rsid w:val="00EB15F9"/>
    <w:rsid w:val="00EB1B7B"/>
    <w:rsid w:val="00EB2B88"/>
    <w:rsid w:val="00EB396C"/>
    <w:rsid w:val="00EB3F89"/>
    <w:rsid w:val="00EB47FA"/>
    <w:rsid w:val="00EB51DB"/>
    <w:rsid w:val="00EB6550"/>
    <w:rsid w:val="00EC0853"/>
    <w:rsid w:val="00EC08F4"/>
    <w:rsid w:val="00EC0B06"/>
    <w:rsid w:val="00EC1142"/>
    <w:rsid w:val="00EC3EC8"/>
    <w:rsid w:val="00EC6358"/>
    <w:rsid w:val="00EC712B"/>
    <w:rsid w:val="00ED036E"/>
    <w:rsid w:val="00ED0B13"/>
    <w:rsid w:val="00ED2DED"/>
    <w:rsid w:val="00ED310B"/>
    <w:rsid w:val="00ED33DF"/>
    <w:rsid w:val="00ED481E"/>
    <w:rsid w:val="00ED524C"/>
    <w:rsid w:val="00ED55A0"/>
    <w:rsid w:val="00ED5F28"/>
    <w:rsid w:val="00ED67D9"/>
    <w:rsid w:val="00EE0271"/>
    <w:rsid w:val="00EE114E"/>
    <w:rsid w:val="00EE1457"/>
    <w:rsid w:val="00EE2CAB"/>
    <w:rsid w:val="00EE2FD1"/>
    <w:rsid w:val="00EE3ADD"/>
    <w:rsid w:val="00EE3AFF"/>
    <w:rsid w:val="00EE406E"/>
    <w:rsid w:val="00EE551C"/>
    <w:rsid w:val="00EE780C"/>
    <w:rsid w:val="00EF024C"/>
    <w:rsid w:val="00EF0262"/>
    <w:rsid w:val="00EF05F0"/>
    <w:rsid w:val="00EF12D3"/>
    <w:rsid w:val="00EF1C29"/>
    <w:rsid w:val="00EF228D"/>
    <w:rsid w:val="00EF360C"/>
    <w:rsid w:val="00EF3C80"/>
    <w:rsid w:val="00EF3F88"/>
    <w:rsid w:val="00EF4130"/>
    <w:rsid w:val="00EF4457"/>
    <w:rsid w:val="00EF4B43"/>
    <w:rsid w:val="00EF5403"/>
    <w:rsid w:val="00EF5B64"/>
    <w:rsid w:val="00EF5C1A"/>
    <w:rsid w:val="00EF690C"/>
    <w:rsid w:val="00EF7328"/>
    <w:rsid w:val="00EF7E59"/>
    <w:rsid w:val="00F00B87"/>
    <w:rsid w:val="00F01D6E"/>
    <w:rsid w:val="00F03315"/>
    <w:rsid w:val="00F03DFB"/>
    <w:rsid w:val="00F071E9"/>
    <w:rsid w:val="00F07ACB"/>
    <w:rsid w:val="00F101EE"/>
    <w:rsid w:val="00F10AC2"/>
    <w:rsid w:val="00F1209F"/>
    <w:rsid w:val="00F12836"/>
    <w:rsid w:val="00F12C6E"/>
    <w:rsid w:val="00F134ED"/>
    <w:rsid w:val="00F13573"/>
    <w:rsid w:val="00F14866"/>
    <w:rsid w:val="00F14E3A"/>
    <w:rsid w:val="00F15136"/>
    <w:rsid w:val="00F15CC1"/>
    <w:rsid w:val="00F164D6"/>
    <w:rsid w:val="00F17C64"/>
    <w:rsid w:val="00F201A0"/>
    <w:rsid w:val="00F20558"/>
    <w:rsid w:val="00F211D8"/>
    <w:rsid w:val="00F21590"/>
    <w:rsid w:val="00F22006"/>
    <w:rsid w:val="00F2276D"/>
    <w:rsid w:val="00F252C8"/>
    <w:rsid w:val="00F307B5"/>
    <w:rsid w:val="00F308C3"/>
    <w:rsid w:val="00F30A74"/>
    <w:rsid w:val="00F33464"/>
    <w:rsid w:val="00F33959"/>
    <w:rsid w:val="00F33C3B"/>
    <w:rsid w:val="00F346D1"/>
    <w:rsid w:val="00F34880"/>
    <w:rsid w:val="00F348E3"/>
    <w:rsid w:val="00F35233"/>
    <w:rsid w:val="00F354F4"/>
    <w:rsid w:val="00F35764"/>
    <w:rsid w:val="00F36999"/>
    <w:rsid w:val="00F36B7F"/>
    <w:rsid w:val="00F36E58"/>
    <w:rsid w:val="00F37BEF"/>
    <w:rsid w:val="00F421D2"/>
    <w:rsid w:val="00F42990"/>
    <w:rsid w:val="00F42BCE"/>
    <w:rsid w:val="00F44AE0"/>
    <w:rsid w:val="00F473D4"/>
    <w:rsid w:val="00F475E5"/>
    <w:rsid w:val="00F50DB8"/>
    <w:rsid w:val="00F513E1"/>
    <w:rsid w:val="00F52669"/>
    <w:rsid w:val="00F526C3"/>
    <w:rsid w:val="00F526E0"/>
    <w:rsid w:val="00F527CC"/>
    <w:rsid w:val="00F528F6"/>
    <w:rsid w:val="00F532E8"/>
    <w:rsid w:val="00F5338D"/>
    <w:rsid w:val="00F5483B"/>
    <w:rsid w:val="00F54C52"/>
    <w:rsid w:val="00F54F73"/>
    <w:rsid w:val="00F553D3"/>
    <w:rsid w:val="00F5590D"/>
    <w:rsid w:val="00F55D7B"/>
    <w:rsid w:val="00F566B3"/>
    <w:rsid w:val="00F56E6B"/>
    <w:rsid w:val="00F57743"/>
    <w:rsid w:val="00F57763"/>
    <w:rsid w:val="00F57827"/>
    <w:rsid w:val="00F57AF2"/>
    <w:rsid w:val="00F57D55"/>
    <w:rsid w:val="00F60C17"/>
    <w:rsid w:val="00F60C20"/>
    <w:rsid w:val="00F60F5D"/>
    <w:rsid w:val="00F628F7"/>
    <w:rsid w:val="00F62FA8"/>
    <w:rsid w:val="00F6375B"/>
    <w:rsid w:val="00F64926"/>
    <w:rsid w:val="00F6662E"/>
    <w:rsid w:val="00F70099"/>
    <w:rsid w:val="00F71F18"/>
    <w:rsid w:val="00F73804"/>
    <w:rsid w:val="00F75F6E"/>
    <w:rsid w:val="00F769DC"/>
    <w:rsid w:val="00F81189"/>
    <w:rsid w:val="00F819E7"/>
    <w:rsid w:val="00F81D40"/>
    <w:rsid w:val="00F821B0"/>
    <w:rsid w:val="00F821D6"/>
    <w:rsid w:val="00F82248"/>
    <w:rsid w:val="00F82865"/>
    <w:rsid w:val="00F83C74"/>
    <w:rsid w:val="00F85BD3"/>
    <w:rsid w:val="00F85C7F"/>
    <w:rsid w:val="00F85E8D"/>
    <w:rsid w:val="00F86C9F"/>
    <w:rsid w:val="00F874CC"/>
    <w:rsid w:val="00F8790B"/>
    <w:rsid w:val="00F9021F"/>
    <w:rsid w:val="00F9119F"/>
    <w:rsid w:val="00F915DF"/>
    <w:rsid w:val="00F91F60"/>
    <w:rsid w:val="00F922BD"/>
    <w:rsid w:val="00F925BC"/>
    <w:rsid w:val="00F9272A"/>
    <w:rsid w:val="00F92983"/>
    <w:rsid w:val="00F942C6"/>
    <w:rsid w:val="00F9441C"/>
    <w:rsid w:val="00F94668"/>
    <w:rsid w:val="00F94DBF"/>
    <w:rsid w:val="00F95FE4"/>
    <w:rsid w:val="00F960BB"/>
    <w:rsid w:val="00F96CCC"/>
    <w:rsid w:val="00F96CEF"/>
    <w:rsid w:val="00FA0AEC"/>
    <w:rsid w:val="00FA1239"/>
    <w:rsid w:val="00FA1BC3"/>
    <w:rsid w:val="00FA4795"/>
    <w:rsid w:val="00FA479E"/>
    <w:rsid w:val="00FA57B9"/>
    <w:rsid w:val="00FA58E2"/>
    <w:rsid w:val="00FA61D8"/>
    <w:rsid w:val="00FA6552"/>
    <w:rsid w:val="00FA767D"/>
    <w:rsid w:val="00FA7AF4"/>
    <w:rsid w:val="00FA7C29"/>
    <w:rsid w:val="00FB24D5"/>
    <w:rsid w:val="00FB34B9"/>
    <w:rsid w:val="00FB4D5B"/>
    <w:rsid w:val="00FB5702"/>
    <w:rsid w:val="00FB59C4"/>
    <w:rsid w:val="00FB7469"/>
    <w:rsid w:val="00FC0F26"/>
    <w:rsid w:val="00FC1929"/>
    <w:rsid w:val="00FC308F"/>
    <w:rsid w:val="00FC3271"/>
    <w:rsid w:val="00FC36B0"/>
    <w:rsid w:val="00FC3A73"/>
    <w:rsid w:val="00FC4DD3"/>
    <w:rsid w:val="00FC61E2"/>
    <w:rsid w:val="00FC7C90"/>
    <w:rsid w:val="00FD0564"/>
    <w:rsid w:val="00FD08AD"/>
    <w:rsid w:val="00FD11E4"/>
    <w:rsid w:val="00FD267F"/>
    <w:rsid w:val="00FD2D74"/>
    <w:rsid w:val="00FD3635"/>
    <w:rsid w:val="00FD41BD"/>
    <w:rsid w:val="00FD442D"/>
    <w:rsid w:val="00FD4D33"/>
    <w:rsid w:val="00FD4F57"/>
    <w:rsid w:val="00FD5192"/>
    <w:rsid w:val="00FD52F0"/>
    <w:rsid w:val="00FD588A"/>
    <w:rsid w:val="00FD5A95"/>
    <w:rsid w:val="00FD65CE"/>
    <w:rsid w:val="00FD69A7"/>
    <w:rsid w:val="00FE05EC"/>
    <w:rsid w:val="00FE0D70"/>
    <w:rsid w:val="00FE10A4"/>
    <w:rsid w:val="00FE10AC"/>
    <w:rsid w:val="00FE1660"/>
    <w:rsid w:val="00FE2080"/>
    <w:rsid w:val="00FE2321"/>
    <w:rsid w:val="00FE23F0"/>
    <w:rsid w:val="00FE2FE5"/>
    <w:rsid w:val="00FE51EB"/>
    <w:rsid w:val="00FE6270"/>
    <w:rsid w:val="00FE628E"/>
    <w:rsid w:val="00FE76C2"/>
    <w:rsid w:val="00FF01E6"/>
    <w:rsid w:val="00FF0817"/>
    <w:rsid w:val="00FF0D9A"/>
    <w:rsid w:val="00FF2012"/>
    <w:rsid w:val="00FF3186"/>
    <w:rsid w:val="00FF3B74"/>
    <w:rsid w:val="00FF3E70"/>
    <w:rsid w:val="00FF3F2A"/>
    <w:rsid w:val="00FF417D"/>
    <w:rsid w:val="00FF4218"/>
    <w:rsid w:val="00FF7D5D"/>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51AC95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iPriority="0"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6A0F"/>
    <w:pPr>
      <w:jc w:val="center"/>
    </w:pPr>
    <w:rPr>
      <w:sz w:val="24"/>
      <w:szCs w:val="24"/>
      <w:lang w:val="en-US" w:eastAsia="en-US"/>
    </w:rPr>
  </w:style>
  <w:style w:type="paragraph" w:styleId="Ttulo1">
    <w:name w:val="heading 1"/>
    <w:aliases w:val="título 1"/>
    <w:basedOn w:val="Normal"/>
    <w:next w:val="Normal"/>
    <w:link w:val="Ttulo1Car"/>
    <w:qFormat/>
    <w:rsid w:val="003D6A0F"/>
    <w:pPr>
      <w:keepNext/>
      <w:ind w:right="2"/>
      <w:outlineLvl w:val="0"/>
    </w:pPr>
    <w:rPr>
      <w:b/>
      <w:smallCaps/>
      <w:sz w:val="18"/>
      <w:szCs w:val="18"/>
      <w:lang w:val="es-ES"/>
    </w:rPr>
  </w:style>
  <w:style w:type="paragraph" w:styleId="Ttulo2">
    <w:name w:val="heading 2"/>
    <w:basedOn w:val="Normal"/>
    <w:next w:val="Normal"/>
    <w:link w:val="Ttulo2Car"/>
    <w:qFormat/>
    <w:rsid w:val="003D6A0F"/>
    <w:pPr>
      <w:keepNext/>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 w:val="left" w:pos="5161"/>
        <w:tab w:val="left" w:pos="5558"/>
        <w:tab w:val="left" w:pos="5955"/>
        <w:tab w:val="left" w:pos="6352"/>
        <w:tab w:val="left" w:pos="6749"/>
        <w:tab w:val="left" w:pos="7146"/>
        <w:tab w:val="left" w:pos="7543"/>
        <w:tab w:val="left" w:pos="7940"/>
        <w:tab w:val="left" w:pos="8337"/>
        <w:tab w:val="left" w:pos="8734"/>
        <w:tab w:val="left" w:pos="9131"/>
        <w:tab w:val="left" w:pos="9528"/>
      </w:tabs>
      <w:outlineLvl w:val="1"/>
    </w:pPr>
    <w:rPr>
      <w:b/>
      <w:smallCaps/>
      <w:sz w:val="22"/>
      <w:szCs w:val="20"/>
      <w:lang w:val="es-ES"/>
    </w:rPr>
  </w:style>
  <w:style w:type="paragraph" w:styleId="Ttulo3">
    <w:name w:val="heading 3"/>
    <w:basedOn w:val="Normal"/>
    <w:next w:val="Normal"/>
    <w:link w:val="Ttulo3Car"/>
    <w:qFormat/>
    <w:rsid w:val="003D6A0F"/>
    <w:pPr>
      <w:keepNext/>
      <w:jc w:val="both"/>
      <w:outlineLvl w:val="2"/>
    </w:pPr>
    <w:rPr>
      <w:b/>
      <w:bCs/>
      <w:sz w:val="22"/>
      <w:szCs w:val="20"/>
      <w:lang w:val="es-ES"/>
    </w:rPr>
  </w:style>
  <w:style w:type="paragraph" w:styleId="Ttulo4">
    <w:name w:val="heading 4"/>
    <w:basedOn w:val="Normal"/>
    <w:next w:val="Normal"/>
    <w:link w:val="Ttulo4Car"/>
    <w:qFormat/>
    <w:rsid w:val="003D6A0F"/>
    <w:pPr>
      <w:keepNext/>
      <w:outlineLvl w:val="3"/>
    </w:pPr>
    <w:rPr>
      <w:b/>
      <w:bCs/>
      <w:sz w:val="22"/>
      <w:lang w:val="es-AR"/>
    </w:rPr>
  </w:style>
  <w:style w:type="paragraph" w:styleId="Ttulo5">
    <w:name w:val="heading 5"/>
    <w:basedOn w:val="Normal"/>
    <w:next w:val="Normal"/>
    <w:link w:val="Ttulo5Car"/>
    <w:qFormat/>
    <w:rsid w:val="003D6A0F"/>
    <w:pPr>
      <w:keepNext/>
      <w:spacing w:after="120"/>
      <w:outlineLvl w:val="4"/>
    </w:pPr>
    <w:rPr>
      <w:sz w:val="28"/>
      <w:lang w:val="es-AR"/>
    </w:rPr>
  </w:style>
  <w:style w:type="paragraph" w:styleId="Ttulo6">
    <w:name w:val="heading 6"/>
    <w:basedOn w:val="Normal"/>
    <w:next w:val="Normal"/>
    <w:link w:val="Ttulo6Car"/>
    <w:qFormat/>
    <w:rsid w:val="003D6A0F"/>
    <w:pPr>
      <w:keepNext/>
      <w:spacing w:after="120"/>
      <w:outlineLvl w:val="5"/>
    </w:pPr>
    <w:rPr>
      <w:b/>
      <w:bCs/>
      <w:smallCaps/>
      <w:szCs w:val="20"/>
      <w:lang w:val="es-AR"/>
    </w:rPr>
  </w:style>
  <w:style w:type="paragraph" w:styleId="Ttulo7">
    <w:name w:val="heading 7"/>
    <w:basedOn w:val="Normal"/>
    <w:next w:val="Normal"/>
    <w:link w:val="Ttulo7Car"/>
    <w:qFormat/>
    <w:rsid w:val="003D6A0F"/>
    <w:pPr>
      <w:keepNext/>
      <w:jc w:val="both"/>
      <w:outlineLvl w:val="6"/>
    </w:pPr>
    <w:rPr>
      <w:i/>
      <w:iCs/>
      <w:noProof/>
      <w:snapToGrid w:val="0"/>
      <w:sz w:val="22"/>
      <w:u w:val="single"/>
      <w:lang w:val="es-AR"/>
    </w:rPr>
  </w:style>
  <w:style w:type="paragraph" w:styleId="Ttulo8">
    <w:name w:val="heading 8"/>
    <w:basedOn w:val="Normal"/>
    <w:next w:val="Normal"/>
    <w:link w:val="Ttulo8Car"/>
    <w:qFormat/>
    <w:rsid w:val="003D6A0F"/>
    <w:pPr>
      <w:keepNext/>
      <w:ind w:firstLine="187"/>
      <w:outlineLvl w:val="7"/>
    </w:pPr>
    <w:rPr>
      <w:rFonts w:ascii="Times New Roman Bold" w:hAnsi="Times New Roman Bold"/>
      <w:b/>
      <w:bCs/>
      <w:sz w:val="22"/>
      <w:lang w:val="es-AR"/>
    </w:rPr>
  </w:style>
  <w:style w:type="paragraph" w:styleId="Ttulo9">
    <w:name w:val="heading 9"/>
    <w:basedOn w:val="Normal"/>
    <w:next w:val="Normal"/>
    <w:link w:val="Ttulo9Car"/>
    <w:qFormat/>
    <w:rsid w:val="003D6A0F"/>
    <w:pPr>
      <w:keepNext/>
      <w:outlineLvl w:val="8"/>
    </w:pPr>
    <w:rPr>
      <w:rFonts w:ascii="Arial" w:hAnsi="Arial" w:cs="Arial"/>
      <w:b/>
      <w:bCs/>
      <w:sz w:val="22"/>
      <w:szCs w:val="22"/>
      <w:lang w:val="es-MX"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aliases w:val="body text,bt,Texto independienteR,Body Text1,b,bt wide,Body Text Char1,Body Text Char Char,b Char Char,b Char1,Ctrl+1,CG-Single Sp 0.5,s2,!Body Text .5(J),!Body Text .5s2(J),5,bb,Body Bullet,Second Heading 2,Second Heading,!Body Text"/>
    <w:basedOn w:val="Normal"/>
    <w:link w:val="TextoindependienteCar1"/>
    <w:rsid w:val="003D6A0F"/>
    <w:pPr>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 w:val="left" w:pos="5161"/>
        <w:tab w:val="left" w:pos="5558"/>
        <w:tab w:val="left" w:pos="5955"/>
        <w:tab w:val="left" w:pos="6352"/>
        <w:tab w:val="left" w:pos="6749"/>
        <w:tab w:val="left" w:pos="7146"/>
        <w:tab w:val="left" w:pos="7543"/>
        <w:tab w:val="left" w:pos="7940"/>
        <w:tab w:val="left" w:pos="8337"/>
        <w:tab w:val="left" w:pos="8734"/>
        <w:tab w:val="left" w:pos="9131"/>
        <w:tab w:val="left" w:pos="9528"/>
      </w:tabs>
      <w:jc w:val="both"/>
    </w:pPr>
    <w:rPr>
      <w:sz w:val="20"/>
      <w:szCs w:val="20"/>
      <w:lang w:val="es-AR"/>
    </w:rPr>
  </w:style>
  <w:style w:type="paragraph" w:styleId="Sangra3detindependiente">
    <w:name w:val="Body Text Indent 3"/>
    <w:basedOn w:val="Normal"/>
    <w:link w:val="Sangra3detindependienteCar"/>
    <w:semiHidden/>
    <w:rsid w:val="003D6A0F"/>
    <w:pPr>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 w:val="left" w:pos="5161"/>
        <w:tab w:val="left" w:pos="5558"/>
        <w:tab w:val="left" w:pos="5955"/>
        <w:tab w:val="left" w:pos="6352"/>
        <w:tab w:val="left" w:pos="6749"/>
        <w:tab w:val="left" w:pos="7146"/>
        <w:tab w:val="left" w:pos="7543"/>
        <w:tab w:val="left" w:pos="7940"/>
        <w:tab w:val="left" w:pos="8337"/>
        <w:tab w:val="left" w:pos="8734"/>
        <w:tab w:val="left" w:pos="9131"/>
        <w:tab w:val="left" w:pos="9528"/>
      </w:tabs>
      <w:ind w:left="2835" w:hanging="2835"/>
      <w:jc w:val="both"/>
    </w:pPr>
    <w:rPr>
      <w:rFonts w:ascii="Palatino" w:hAnsi="Palatino"/>
      <w:sz w:val="20"/>
      <w:szCs w:val="20"/>
      <w:lang w:val="es-ES"/>
    </w:rPr>
  </w:style>
  <w:style w:type="paragraph" w:styleId="Piedepgina">
    <w:name w:val="footer"/>
    <w:basedOn w:val="Normal"/>
    <w:link w:val="PiedepginaCar1"/>
    <w:semiHidden/>
    <w:rsid w:val="003D6A0F"/>
    <w:pPr>
      <w:tabs>
        <w:tab w:val="center" w:pos="4320"/>
        <w:tab w:val="right" w:pos="8640"/>
      </w:tabs>
    </w:pPr>
    <w:rPr>
      <w:rFonts w:ascii="New York" w:hAnsi="New York"/>
      <w:sz w:val="20"/>
      <w:szCs w:val="20"/>
    </w:rPr>
  </w:style>
  <w:style w:type="paragraph" w:styleId="Textonotapie">
    <w:name w:val="footnote text"/>
    <w:basedOn w:val="Normal"/>
    <w:link w:val="TextonotapieCar"/>
    <w:uiPriority w:val="99"/>
    <w:semiHidden/>
    <w:rsid w:val="003D6A0F"/>
    <w:rPr>
      <w:sz w:val="20"/>
      <w:szCs w:val="20"/>
    </w:rPr>
  </w:style>
  <w:style w:type="character" w:styleId="Refdenotaalpie">
    <w:name w:val="footnote reference"/>
    <w:uiPriority w:val="99"/>
    <w:semiHidden/>
    <w:rsid w:val="003D6A0F"/>
    <w:rPr>
      <w:vertAlign w:val="superscript"/>
    </w:rPr>
  </w:style>
  <w:style w:type="paragraph" w:styleId="Textoindependiente2">
    <w:name w:val="Body Text 2"/>
    <w:aliases w:val="b2"/>
    <w:basedOn w:val="Normal"/>
    <w:link w:val="Textoindependiente2Car"/>
    <w:semiHidden/>
    <w:rsid w:val="003D6A0F"/>
    <w:pPr>
      <w:jc w:val="both"/>
    </w:pPr>
    <w:rPr>
      <w:b/>
      <w:bCs/>
      <w:sz w:val="20"/>
      <w:szCs w:val="20"/>
      <w:lang w:val="es-ES"/>
    </w:rPr>
  </w:style>
  <w:style w:type="paragraph" w:styleId="Ttulo">
    <w:name w:val="Title"/>
    <w:basedOn w:val="Normal"/>
    <w:link w:val="TtuloCar"/>
    <w:qFormat/>
    <w:rsid w:val="003D6A0F"/>
    <w:pPr>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 w:val="left" w:pos="5161"/>
        <w:tab w:val="left" w:pos="5558"/>
        <w:tab w:val="left" w:pos="5955"/>
        <w:tab w:val="left" w:pos="6352"/>
        <w:tab w:val="left" w:pos="6749"/>
        <w:tab w:val="left" w:pos="7146"/>
        <w:tab w:val="left" w:pos="7543"/>
        <w:tab w:val="left" w:pos="7940"/>
        <w:tab w:val="left" w:pos="8337"/>
        <w:tab w:val="left" w:pos="8734"/>
        <w:tab w:val="left" w:pos="9131"/>
        <w:tab w:val="left" w:pos="9528"/>
      </w:tabs>
      <w:ind w:left="397" w:right="19"/>
    </w:pPr>
    <w:rPr>
      <w:b/>
      <w:smallCaps/>
      <w:sz w:val="20"/>
      <w:szCs w:val="20"/>
      <w:lang w:val="es-ES"/>
    </w:rPr>
  </w:style>
  <w:style w:type="paragraph" w:styleId="Textoindependiente3">
    <w:name w:val="Body Text 3"/>
    <w:basedOn w:val="Normal"/>
    <w:link w:val="Textoindependiente3Car"/>
    <w:uiPriority w:val="99"/>
    <w:rsid w:val="003D6A0F"/>
    <w:pPr>
      <w:jc w:val="both"/>
    </w:pPr>
    <w:rPr>
      <w:bCs/>
      <w:color w:val="FF0000"/>
      <w:sz w:val="20"/>
    </w:rPr>
  </w:style>
  <w:style w:type="paragraph" w:styleId="Encabezado">
    <w:name w:val="header"/>
    <w:aliases w:val="encabezado"/>
    <w:basedOn w:val="Normal"/>
    <w:link w:val="EncabezadoCar"/>
    <w:rsid w:val="003D6A0F"/>
    <w:pPr>
      <w:tabs>
        <w:tab w:val="center" w:pos="4419"/>
        <w:tab w:val="right" w:pos="8838"/>
      </w:tabs>
    </w:pPr>
  </w:style>
  <w:style w:type="paragraph" w:styleId="Textonotaalfinal">
    <w:name w:val="endnote text"/>
    <w:basedOn w:val="Normal"/>
    <w:link w:val="TextonotaalfinalCar"/>
    <w:semiHidden/>
    <w:rsid w:val="003D6A0F"/>
    <w:rPr>
      <w:sz w:val="20"/>
      <w:szCs w:val="20"/>
    </w:rPr>
  </w:style>
  <w:style w:type="character" w:styleId="Refdenotaalfinal">
    <w:name w:val="endnote reference"/>
    <w:semiHidden/>
    <w:rsid w:val="003D6A0F"/>
    <w:rPr>
      <w:vertAlign w:val="superscript"/>
    </w:rPr>
  </w:style>
  <w:style w:type="paragraph" w:customStyle="1" w:styleId="CPNormalLeftBOLD">
    <w:name w:val="CPNormalLeft (BOLD)"/>
    <w:basedOn w:val="Normal"/>
    <w:rsid w:val="003D6A0F"/>
    <w:pPr>
      <w:tabs>
        <w:tab w:val="right" w:pos="900"/>
        <w:tab w:val="left" w:pos="1170"/>
      </w:tabs>
      <w:spacing w:after="200"/>
      <w:jc w:val="both"/>
    </w:pPr>
    <w:rPr>
      <w:b/>
      <w:sz w:val="20"/>
      <w:szCs w:val="20"/>
    </w:rPr>
  </w:style>
  <w:style w:type="paragraph" w:styleId="Sangradetextonormal">
    <w:name w:val="Body Text Indent"/>
    <w:basedOn w:val="Normal"/>
    <w:link w:val="SangradetextonormalCar1"/>
    <w:uiPriority w:val="99"/>
    <w:semiHidden/>
    <w:rsid w:val="003D6A0F"/>
    <w:pPr>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 w:val="left" w:pos="5161"/>
        <w:tab w:val="left" w:pos="5558"/>
        <w:tab w:val="left" w:pos="5955"/>
        <w:tab w:val="left" w:pos="6352"/>
        <w:tab w:val="left" w:pos="6749"/>
        <w:tab w:val="left" w:pos="7146"/>
        <w:tab w:val="left" w:pos="7543"/>
        <w:tab w:val="left" w:pos="7940"/>
        <w:tab w:val="left" w:pos="8337"/>
        <w:tab w:val="left" w:pos="8734"/>
        <w:tab w:val="left" w:pos="9131"/>
        <w:tab w:val="left" w:pos="9528"/>
      </w:tabs>
      <w:jc w:val="both"/>
    </w:pPr>
    <w:rPr>
      <w:rFonts w:ascii="Palatino" w:hAnsi="Palatino"/>
      <w:sz w:val="20"/>
      <w:szCs w:val="20"/>
    </w:rPr>
  </w:style>
  <w:style w:type="character" w:customStyle="1" w:styleId="DeltaViewInsertion">
    <w:name w:val="DeltaView Insertion"/>
    <w:uiPriority w:val="99"/>
    <w:rsid w:val="003D6A0F"/>
    <w:rPr>
      <w:color w:val="0000FF"/>
      <w:spacing w:val="0"/>
      <w:u w:val="double"/>
    </w:rPr>
  </w:style>
  <w:style w:type="paragraph" w:customStyle="1" w:styleId="BodyText22">
    <w:name w:val="Body Text 22"/>
    <w:basedOn w:val="Normal"/>
    <w:rsid w:val="003D6A0F"/>
    <w:pPr>
      <w:widowControl w:val="0"/>
      <w:jc w:val="both"/>
    </w:pPr>
    <w:rPr>
      <w:sz w:val="20"/>
      <w:szCs w:val="20"/>
      <w:lang w:eastAsia="es-ES"/>
    </w:rPr>
  </w:style>
  <w:style w:type="character" w:styleId="Hipervnculo">
    <w:name w:val="Hyperlink"/>
    <w:uiPriority w:val="99"/>
    <w:rsid w:val="003D6A0F"/>
    <w:rPr>
      <w:color w:val="0000FF"/>
      <w:u w:val="single"/>
    </w:rPr>
  </w:style>
  <w:style w:type="character" w:styleId="Nmerodepgina">
    <w:name w:val="page number"/>
    <w:basedOn w:val="Fuentedeprrafopredeter"/>
    <w:semiHidden/>
    <w:rsid w:val="003D6A0F"/>
  </w:style>
  <w:style w:type="character" w:styleId="Hipervnculovisitado">
    <w:name w:val="FollowedHyperlink"/>
    <w:semiHidden/>
    <w:rsid w:val="003D6A0F"/>
    <w:rPr>
      <w:color w:val="800080"/>
      <w:u w:val="single"/>
    </w:rPr>
  </w:style>
  <w:style w:type="character" w:styleId="nfasis">
    <w:name w:val="Emphasis"/>
    <w:qFormat/>
    <w:rsid w:val="003D6A0F"/>
    <w:rPr>
      <w:i/>
      <w:iCs/>
    </w:rPr>
  </w:style>
  <w:style w:type="paragraph" w:customStyle="1" w:styleId="Textopredeterminado">
    <w:name w:val="Texto predeterminado"/>
    <w:basedOn w:val="Normal"/>
    <w:rsid w:val="003D6A0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jc w:val="both"/>
    </w:pPr>
    <w:rPr>
      <w:rFonts w:ascii="Arial" w:hAnsi="Arial"/>
      <w:lang w:val="es-AR"/>
    </w:rPr>
  </w:style>
  <w:style w:type="paragraph" w:styleId="Textodeglobo">
    <w:name w:val="Balloon Text"/>
    <w:basedOn w:val="Normal"/>
    <w:link w:val="TextodegloboCar"/>
    <w:semiHidden/>
    <w:rsid w:val="003D6A0F"/>
    <w:rPr>
      <w:rFonts w:ascii="Tahoma" w:hAnsi="Tahoma" w:cs="Tahoma"/>
      <w:sz w:val="16"/>
      <w:szCs w:val="16"/>
    </w:rPr>
  </w:style>
  <w:style w:type="paragraph" w:customStyle="1" w:styleId="MainPara">
    <w:name w:val="Main Para"/>
    <w:basedOn w:val="Normal"/>
    <w:rsid w:val="003D6A0F"/>
    <w:pPr>
      <w:ind w:firstLine="432"/>
      <w:jc w:val="both"/>
    </w:pPr>
    <w:rPr>
      <w:rFonts w:ascii="Arial" w:hAnsi="Arial" w:cs="Arial"/>
      <w:sz w:val="20"/>
      <w:szCs w:val="20"/>
      <w:lang w:eastAsia="es-ES"/>
    </w:rPr>
  </w:style>
  <w:style w:type="paragraph" w:customStyle="1" w:styleId="NotaN">
    <w:name w:val="Nota Nº"/>
    <w:basedOn w:val="Normal"/>
    <w:rsid w:val="003D6A0F"/>
    <w:pPr>
      <w:ind w:left="1440" w:hanging="1440"/>
      <w:jc w:val="both"/>
    </w:pPr>
    <w:rPr>
      <w:rFonts w:ascii="Arial" w:hAnsi="Arial"/>
      <w:b/>
      <w:szCs w:val="20"/>
      <w:u w:val="single"/>
      <w:lang w:val="es-AR" w:eastAsia="es-ES"/>
    </w:rPr>
  </w:style>
  <w:style w:type="paragraph" w:customStyle="1" w:styleId="Estndar">
    <w:name w:val="Estándar"/>
    <w:basedOn w:val="Normal"/>
    <w:rsid w:val="003D6A0F"/>
    <w:rPr>
      <w:rFonts w:ascii="Arial" w:hAnsi="Arial" w:cs="Arial"/>
      <w:sz w:val="14"/>
      <w:szCs w:val="14"/>
      <w:lang w:val="es-AR" w:eastAsia="es-ES"/>
    </w:rPr>
  </w:style>
  <w:style w:type="paragraph" w:customStyle="1" w:styleId="Tabla">
    <w:name w:val="Tabla"/>
    <w:basedOn w:val="Normal"/>
    <w:rsid w:val="003D6A0F"/>
    <w:rPr>
      <w:rFonts w:ascii="Arial" w:hAnsi="Arial" w:cs="Arial"/>
      <w:sz w:val="14"/>
      <w:szCs w:val="14"/>
      <w:lang w:val="es-AR" w:eastAsia="es-ES"/>
    </w:rPr>
  </w:style>
  <w:style w:type="paragraph" w:customStyle="1" w:styleId="Pie">
    <w:name w:val="Pie"/>
    <w:basedOn w:val="Normal"/>
    <w:rsid w:val="003D6A0F"/>
    <w:rPr>
      <w:lang w:val="es-AR" w:eastAsia="es-ES"/>
    </w:rPr>
  </w:style>
  <w:style w:type="paragraph" w:customStyle="1" w:styleId="Textodetabla">
    <w:name w:val="Texto de tabla"/>
    <w:basedOn w:val="Normal"/>
    <w:rsid w:val="003D6A0F"/>
    <w:pPr>
      <w:tabs>
        <w:tab w:val="decimal" w:pos="0"/>
        <w:tab w:val="left" w:pos="360"/>
        <w:tab w:val="left" w:pos="720"/>
        <w:tab w:val="left" w:pos="1080"/>
        <w:tab w:val="left" w:pos="1440"/>
        <w:tab w:val="left" w:pos="1800"/>
        <w:tab w:val="left" w:pos="2160"/>
        <w:tab w:val="left" w:pos="2520"/>
        <w:tab w:val="left" w:pos="2880"/>
        <w:tab w:val="left" w:pos="3240"/>
      </w:tabs>
      <w:jc w:val="both"/>
    </w:pPr>
    <w:rPr>
      <w:rFonts w:ascii="Arial" w:hAnsi="Arial" w:cs="Arial"/>
      <w:sz w:val="16"/>
      <w:szCs w:val="16"/>
      <w:lang w:eastAsia="es-ES"/>
    </w:rPr>
  </w:style>
  <w:style w:type="paragraph" w:customStyle="1" w:styleId="Notacuerpo">
    <w:name w:val="Nota cuerpo"/>
    <w:basedOn w:val="Normal"/>
    <w:rsid w:val="003D6A0F"/>
    <w:pPr>
      <w:widowControl w:val="0"/>
      <w:ind w:left="1418"/>
      <w:jc w:val="both"/>
    </w:pPr>
    <w:rPr>
      <w:rFonts w:ascii="Arial" w:hAnsi="Arial" w:cs="Arial"/>
      <w:lang w:val="es-AR" w:eastAsia="es-ES"/>
    </w:rPr>
  </w:style>
  <w:style w:type="paragraph" w:customStyle="1" w:styleId="letras">
    <w:name w:val="letras"/>
    <w:basedOn w:val="Normal"/>
    <w:rsid w:val="003D6A0F"/>
    <w:rPr>
      <w:lang w:val="es-AR" w:eastAsia="es-ES"/>
    </w:rPr>
  </w:style>
  <w:style w:type="paragraph" w:customStyle="1" w:styleId="Anexo">
    <w:name w:val="Anexo"/>
    <w:basedOn w:val="Ttulo3"/>
    <w:rsid w:val="003D6A0F"/>
    <w:pPr>
      <w:jc w:val="right"/>
      <w:outlineLvl w:val="9"/>
    </w:pPr>
    <w:rPr>
      <w:sz w:val="24"/>
      <w:szCs w:val="24"/>
      <w:lang w:val="es-AR" w:eastAsia="es-ES"/>
    </w:rPr>
  </w:style>
  <w:style w:type="paragraph" w:styleId="Sangra2detindependiente">
    <w:name w:val="Body Text Indent 2"/>
    <w:basedOn w:val="Normal"/>
    <w:link w:val="Sangra2detindependienteCar"/>
    <w:semiHidden/>
    <w:rsid w:val="003D6A0F"/>
    <w:pPr>
      <w:tabs>
        <w:tab w:val="left" w:pos="284"/>
      </w:tabs>
      <w:ind w:left="284" w:hanging="284"/>
      <w:jc w:val="both"/>
    </w:pPr>
    <w:rPr>
      <w:rFonts w:ascii="Arial" w:hAnsi="Arial" w:cs="Arial"/>
      <w:sz w:val="22"/>
      <w:szCs w:val="22"/>
      <w:lang w:val="es-MX" w:eastAsia="es-ES"/>
    </w:rPr>
  </w:style>
  <w:style w:type="paragraph" w:customStyle="1" w:styleId="Cabecera">
    <w:name w:val="Cabecera"/>
    <w:basedOn w:val="Normal"/>
    <w:rsid w:val="003D6A0F"/>
    <w:rPr>
      <w:lang w:val="es-AR" w:eastAsia="es-ES"/>
    </w:rPr>
  </w:style>
  <w:style w:type="paragraph" w:customStyle="1" w:styleId="Subepgrafe">
    <w:name w:val="Subepígrafe"/>
    <w:basedOn w:val="Normal"/>
    <w:rsid w:val="003D6A0F"/>
    <w:pPr>
      <w:spacing w:before="73" w:after="73"/>
    </w:pPr>
    <w:rPr>
      <w:b/>
      <w:bCs/>
      <w:i/>
      <w:iCs/>
      <w:lang w:val="es-AR" w:eastAsia="es-ES"/>
    </w:rPr>
  </w:style>
  <w:style w:type="paragraph" w:customStyle="1" w:styleId="Textopredeterminado2">
    <w:name w:val="Texto predeterminado:2"/>
    <w:basedOn w:val="Normal"/>
    <w:rsid w:val="003D6A0F"/>
    <w:pPr>
      <w:tabs>
        <w:tab w:val="center" w:pos="0"/>
      </w:tabs>
      <w:jc w:val="both"/>
    </w:pPr>
    <w:rPr>
      <w:rFonts w:ascii="Arial" w:hAnsi="Arial" w:cs="Arial"/>
      <w:lang w:eastAsia="es-ES"/>
    </w:rPr>
  </w:style>
  <w:style w:type="paragraph" w:customStyle="1" w:styleId="Textopredeterminado1">
    <w:name w:val="Texto predeterminado:1"/>
    <w:basedOn w:val="Normal"/>
    <w:rsid w:val="003D6A0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pPr>
    <w:rPr>
      <w:rFonts w:ascii="Arial" w:hAnsi="Arial" w:cs="Arial"/>
      <w:lang w:eastAsia="es-ES"/>
    </w:rPr>
  </w:style>
  <w:style w:type="paragraph" w:customStyle="1" w:styleId="DefaultText">
    <w:name w:val="Default Text"/>
    <w:basedOn w:val="Normal"/>
    <w:rsid w:val="003D6A0F"/>
    <w:pPr>
      <w:jc w:val="both"/>
    </w:pPr>
    <w:rPr>
      <w:rFonts w:ascii="Arial" w:hAnsi="Arial"/>
      <w:szCs w:val="20"/>
      <w:lang w:val="es-ES" w:eastAsia="es-ES"/>
    </w:rPr>
  </w:style>
  <w:style w:type="paragraph" w:customStyle="1" w:styleId="OmniPage770">
    <w:name w:val="OmniPage #770"/>
    <w:rsid w:val="003D6A0F"/>
    <w:pPr>
      <w:widowControl w:val="0"/>
      <w:tabs>
        <w:tab w:val="left" w:pos="162"/>
        <w:tab w:val="right" w:pos="10668"/>
      </w:tabs>
      <w:autoSpaceDE w:val="0"/>
      <w:autoSpaceDN w:val="0"/>
      <w:adjustRightInd w:val="0"/>
      <w:jc w:val="both"/>
    </w:pPr>
    <w:rPr>
      <w:sz w:val="18"/>
      <w:szCs w:val="18"/>
      <w:lang w:val="en-US" w:eastAsia="en-US"/>
    </w:rPr>
  </w:style>
  <w:style w:type="character" w:styleId="Refdecomentario">
    <w:name w:val="annotation reference"/>
    <w:semiHidden/>
    <w:unhideWhenUsed/>
    <w:rsid w:val="003D6A0F"/>
    <w:rPr>
      <w:sz w:val="16"/>
      <w:szCs w:val="16"/>
    </w:rPr>
  </w:style>
  <w:style w:type="paragraph" w:styleId="Textocomentario">
    <w:name w:val="annotation text"/>
    <w:basedOn w:val="Normal"/>
    <w:link w:val="TextocomentarioCar1"/>
    <w:semiHidden/>
    <w:unhideWhenUsed/>
    <w:rsid w:val="003D6A0F"/>
    <w:rPr>
      <w:sz w:val="20"/>
      <w:szCs w:val="20"/>
    </w:rPr>
  </w:style>
  <w:style w:type="character" w:customStyle="1" w:styleId="TextocomentarioCar">
    <w:name w:val="Texto comentario Car"/>
    <w:basedOn w:val="Fuentedeprrafopredeter"/>
    <w:semiHidden/>
    <w:rsid w:val="003D6A0F"/>
  </w:style>
  <w:style w:type="paragraph" w:styleId="Asuntodelcomentario">
    <w:name w:val="annotation subject"/>
    <w:basedOn w:val="Textocomentario"/>
    <w:next w:val="Textocomentario"/>
    <w:link w:val="AsuntodelcomentarioCar1"/>
    <w:semiHidden/>
    <w:unhideWhenUsed/>
    <w:rsid w:val="003D6A0F"/>
    <w:rPr>
      <w:b/>
      <w:bCs/>
    </w:rPr>
  </w:style>
  <w:style w:type="character" w:customStyle="1" w:styleId="AsuntodelcomentarioCar">
    <w:name w:val="Asunto del comentario Car"/>
    <w:semiHidden/>
    <w:rsid w:val="003D6A0F"/>
    <w:rPr>
      <w:b/>
      <w:bCs/>
    </w:rPr>
  </w:style>
  <w:style w:type="paragraph" w:styleId="Revisin">
    <w:name w:val="Revision"/>
    <w:hidden/>
    <w:semiHidden/>
    <w:rsid w:val="003D6A0F"/>
    <w:pPr>
      <w:jc w:val="center"/>
    </w:pPr>
    <w:rPr>
      <w:sz w:val="24"/>
      <w:szCs w:val="24"/>
      <w:lang w:val="en-US" w:eastAsia="en-US"/>
    </w:rPr>
  </w:style>
  <w:style w:type="paragraph" w:styleId="TDC1">
    <w:name w:val="toc 1"/>
    <w:next w:val="Normal"/>
    <w:autoRedefine/>
    <w:uiPriority w:val="39"/>
    <w:unhideWhenUsed/>
    <w:qFormat/>
    <w:rsid w:val="005170BE"/>
    <w:pPr>
      <w:widowControl w:val="0"/>
      <w:tabs>
        <w:tab w:val="right" w:leader="dot" w:pos="9629"/>
      </w:tabs>
      <w:spacing w:before="120" w:after="120" w:line="480" w:lineRule="auto"/>
      <w:jc w:val="both"/>
    </w:pPr>
    <w:rPr>
      <w:b/>
      <w:szCs w:val="24"/>
      <w:lang w:val="en-US" w:eastAsia="en-US"/>
    </w:rPr>
  </w:style>
  <w:style w:type="character" w:customStyle="1" w:styleId="PiedepginaCar">
    <w:name w:val="Pie de página Car"/>
    <w:rsid w:val="003D6A0F"/>
    <w:rPr>
      <w:rFonts w:ascii="New York" w:hAnsi="New York"/>
      <w:lang w:val="en-US" w:eastAsia="en-US"/>
    </w:rPr>
  </w:style>
  <w:style w:type="paragraph" w:styleId="TDC2">
    <w:name w:val="toc 2"/>
    <w:basedOn w:val="Normal"/>
    <w:next w:val="Normal"/>
    <w:autoRedefine/>
    <w:semiHidden/>
    <w:unhideWhenUsed/>
    <w:rsid w:val="003D6A0F"/>
    <w:pPr>
      <w:spacing w:after="100"/>
      <w:ind w:left="240"/>
    </w:pPr>
    <w:rPr>
      <w:rFonts w:ascii="Cambria" w:hAnsi="Cambria"/>
      <w:sz w:val="44"/>
    </w:rPr>
  </w:style>
  <w:style w:type="paragraph" w:customStyle="1" w:styleId="Textpara">
    <w:name w:val="Textpara"/>
    <w:basedOn w:val="Normal"/>
    <w:rsid w:val="003D6A0F"/>
    <w:pPr>
      <w:widowControl w:val="0"/>
      <w:tabs>
        <w:tab w:val="center" w:pos="9000"/>
      </w:tabs>
      <w:autoSpaceDE w:val="0"/>
      <w:autoSpaceDN w:val="0"/>
      <w:adjustRightInd w:val="0"/>
      <w:spacing w:after="240"/>
      <w:jc w:val="both"/>
    </w:pPr>
    <w:rPr>
      <w:sz w:val="20"/>
      <w:szCs w:val="20"/>
      <w:lang w:val="es-ES"/>
    </w:rPr>
  </w:style>
  <w:style w:type="character" w:customStyle="1" w:styleId="TextoindependienteCar">
    <w:name w:val="Texto independiente Car"/>
    <w:aliases w:val="body text Car,bt Car,Texto independienteR Car,Body Text1 Car,b Car,bt wide Car,Body Text Char1 Car,Body Text Char Char Car,b Char Char Car,b Char1 Car,Ctrl+1 Car,CG-Single Sp 0.5 Car,s2 Car,!Body Text .5(J) Car,5 Car,bb Car"/>
    <w:semiHidden/>
    <w:rsid w:val="003D6A0F"/>
    <w:rPr>
      <w:lang w:val="es-AR" w:eastAsia="en-US"/>
    </w:rPr>
  </w:style>
  <w:style w:type="character" w:customStyle="1" w:styleId="SangradetextonormalCar">
    <w:name w:val="Sangría de texto normal Car"/>
    <w:semiHidden/>
    <w:rsid w:val="003D6A0F"/>
    <w:rPr>
      <w:rFonts w:ascii="Palatino" w:hAnsi="Palatino"/>
      <w:lang w:val="en-US" w:eastAsia="en-US"/>
    </w:rPr>
  </w:style>
  <w:style w:type="paragraph" w:styleId="Prrafodelista">
    <w:name w:val="List Paragraph"/>
    <w:basedOn w:val="Normal"/>
    <w:link w:val="PrrafodelistaCar"/>
    <w:uiPriority w:val="34"/>
    <w:qFormat/>
    <w:rsid w:val="003D6A0F"/>
    <w:pPr>
      <w:ind w:left="720"/>
      <w:contextualSpacing/>
    </w:pPr>
  </w:style>
  <w:style w:type="paragraph" w:customStyle="1" w:styleId="CPNormalLeft">
    <w:name w:val="CPNormalLeft"/>
    <w:basedOn w:val="Normal"/>
    <w:rsid w:val="003D6A0F"/>
    <w:pPr>
      <w:tabs>
        <w:tab w:val="right" w:pos="900"/>
        <w:tab w:val="left" w:pos="1170"/>
      </w:tabs>
      <w:spacing w:after="200"/>
      <w:jc w:val="both"/>
    </w:pPr>
    <w:rPr>
      <w:sz w:val="20"/>
      <w:szCs w:val="20"/>
      <w:lang w:eastAsia="es-ES"/>
    </w:rPr>
  </w:style>
  <w:style w:type="paragraph" w:customStyle="1" w:styleId="DPWfdtblbody9">
    <w:name w:val="DPWfd tbl body9"/>
    <w:aliases w:val="y9"/>
    <w:basedOn w:val="Normal"/>
    <w:uiPriority w:val="99"/>
    <w:rsid w:val="003D6A0F"/>
    <w:pPr>
      <w:overflowPunct w:val="0"/>
      <w:autoSpaceDE w:val="0"/>
      <w:autoSpaceDN w:val="0"/>
      <w:adjustRightInd w:val="0"/>
      <w:spacing w:line="180" w:lineRule="exact"/>
      <w:jc w:val="both"/>
      <w:textAlignment w:val="baseline"/>
    </w:pPr>
    <w:rPr>
      <w:sz w:val="18"/>
      <w:szCs w:val="20"/>
      <w:lang w:eastAsia="es-ES"/>
    </w:rPr>
  </w:style>
  <w:style w:type="paragraph" w:customStyle="1" w:styleId="Textodenotaalfinal">
    <w:name w:val="Texto de nota al final"/>
    <w:basedOn w:val="Normal"/>
    <w:rsid w:val="00E40B09"/>
    <w:pPr>
      <w:widowControl w:val="0"/>
      <w:autoSpaceDE w:val="0"/>
      <w:autoSpaceDN w:val="0"/>
      <w:adjustRightInd w:val="0"/>
    </w:pPr>
    <w:rPr>
      <w:rFonts w:ascii="Courier" w:hAnsi="Courier"/>
      <w:sz w:val="20"/>
      <w:szCs w:val="20"/>
      <w:lang w:val="es-AR" w:eastAsia="es-ES"/>
    </w:rPr>
  </w:style>
  <w:style w:type="paragraph" w:customStyle="1" w:styleId="DPWNormal">
    <w:name w:val="DPW Normal"/>
    <w:basedOn w:val="Normal"/>
    <w:rsid w:val="00E40B09"/>
    <w:pPr>
      <w:numPr>
        <w:numId w:val="5"/>
      </w:numPr>
      <w:tabs>
        <w:tab w:val="clear" w:pos="1080"/>
      </w:tabs>
      <w:ind w:left="0" w:firstLine="0"/>
    </w:pPr>
    <w:rPr>
      <w:sz w:val="20"/>
      <w:szCs w:val="20"/>
      <w:lang w:eastAsia="es-ES"/>
    </w:rPr>
  </w:style>
  <w:style w:type="paragraph" w:customStyle="1" w:styleId="Text1">
    <w:name w:val="Text1"/>
    <w:basedOn w:val="Normal"/>
    <w:rsid w:val="00E40B09"/>
    <w:pPr>
      <w:numPr>
        <w:numId w:val="9"/>
      </w:numPr>
      <w:overflowPunct w:val="0"/>
      <w:autoSpaceDE w:val="0"/>
      <w:autoSpaceDN w:val="0"/>
      <w:adjustRightInd w:val="0"/>
      <w:spacing w:after="240"/>
      <w:jc w:val="both"/>
      <w:textAlignment w:val="baseline"/>
    </w:pPr>
    <w:rPr>
      <w:sz w:val="20"/>
      <w:szCs w:val="20"/>
    </w:rPr>
  </w:style>
  <w:style w:type="paragraph" w:customStyle="1" w:styleId="footnotetex">
    <w:name w:val="footnote tex"/>
    <w:rsid w:val="00E40B09"/>
    <w:pPr>
      <w:widowControl w:val="0"/>
      <w:tabs>
        <w:tab w:val="left" w:pos="-720"/>
      </w:tabs>
      <w:suppressAutoHyphens/>
      <w:autoSpaceDE w:val="0"/>
      <w:autoSpaceDN w:val="0"/>
      <w:adjustRightInd w:val="0"/>
      <w:spacing w:line="240" w:lineRule="atLeast"/>
      <w:jc w:val="both"/>
    </w:pPr>
    <w:rPr>
      <w:b/>
      <w:bCs/>
      <w:lang w:val="es-ES_tradnl"/>
    </w:rPr>
  </w:style>
  <w:style w:type="paragraph" w:customStyle="1" w:styleId="FR1">
    <w:name w:val="FR1"/>
    <w:rsid w:val="00E40B09"/>
    <w:pPr>
      <w:widowControl w:val="0"/>
      <w:autoSpaceDE w:val="0"/>
      <w:autoSpaceDN w:val="0"/>
      <w:adjustRightInd w:val="0"/>
      <w:spacing w:line="320" w:lineRule="auto"/>
      <w:jc w:val="both"/>
    </w:pPr>
    <w:rPr>
      <w:rFonts w:ascii="Arial" w:hAnsi="Arial"/>
      <w:sz w:val="18"/>
      <w:szCs w:val="18"/>
      <w:lang w:val="en-US"/>
    </w:rPr>
  </w:style>
  <w:style w:type="paragraph" w:customStyle="1" w:styleId="bullettext">
    <w:name w:val="bullettext"/>
    <w:basedOn w:val="Normal"/>
    <w:autoRedefine/>
    <w:rsid w:val="00E40B09"/>
    <w:pPr>
      <w:widowControl w:val="0"/>
      <w:tabs>
        <w:tab w:val="left" w:pos="720"/>
        <w:tab w:val="left" w:pos="8100"/>
      </w:tabs>
      <w:ind w:left="720" w:hanging="360"/>
      <w:jc w:val="both"/>
    </w:pPr>
    <w:rPr>
      <w:sz w:val="20"/>
      <w:szCs w:val="22"/>
      <w:lang w:val="es-AR"/>
    </w:rPr>
  </w:style>
  <w:style w:type="table" w:styleId="Tablaconcuadrcula">
    <w:name w:val="Table Grid"/>
    <w:basedOn w:val="Tablanormal"/>
    <w:uiPriority w:val="59"/>
    <w:rsid w:val="00B441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oindependienteCar1">
    <w:name w:val="Texto independiente Car1"/>
    <w:aliases w:val="body text Car1,bt Car1,Texto independienteR Car1,Body Text1 Car1,b Car1,bt wide Car1,Body Text Char1 Car1,Body Text Char Char Car1,b Char Char Car1,b Char1 Car1,Ctrl+1 Car1,CG-Single Sp 0.5 Car1,s2 Car1,!Body Text .5(J) Car1"/>
    <w:link w:val="Textoindependiente"/>
    <w:locked/>
    <w:rsid w:val="00B1644D"/>
    <w:rPr>
      <w:lang w:val="es-AR" w:eastAsia="en-US"/>
    </w:rPr>
  </w:style>
  <w:style w:type="character" w:customStyle="1" w:styleId="SangradetextonormalCar1">
    <w:name w:val="Sangría de texto normal Car1"/>
    <w:link w:val="Sangradetextonormal"/>
    <w:uiPriority w:val="99"/>
    <w:semiHidden/>
    <w:locked/>
    <w:rsid w:val="008427D6"/>
    <w:rPr>
      <w:rFonts w:ascii="Palatino" w:hAnsi="Palatino"/>
      <w:lang w:val="en-US" w:eastAsia="en-US"/>
    </w:rPr>
  </w:style>
  <w:style w:type="paragraph" w:styleId="Textodebloque">
    <w:name w:val="Block Text"/>
    <w:aliases w:val="blk,MBP_Bd Single t6 .5 L,MBP_Bd Single Sp .5 L,CG-Single Sp 0,CG-Single Sp 0.51,s21,5(J),5s2(J),s9,Second Heading 9"/>
    <w:basedOn w:val="Normal"/>
    <w:rsid w:val="00C56D57"/>
    <w:pPr>
      <w:widowControl w:val="0"/>
      <w:tabs>
        <w:tab w:val="left" w:pos="567"/>
        <w:tab w:val="left" w:pos="664"/>
      </w:tabs>
      <w:spacing w:before="120" w:after="60" w:line="220" w:lineRule="atLeast"/>
      <w:jc w:val="both"/>
    </w:pPr>
    <w:rPr>
      <w:rFonts w:ascii="Arial" w:hAnsi="Arial"/>
      <w:szCs w:val="20"/>
      <w:lang w:val="es-AR"/>
    </w:rPr>
  </w:style>
  <w:style w:type="paragraph" w:styleId="NormalWeb">
    <w:name w:val="Normal (Web)"/>
    <w:basedOn w:val="Normal"/>
    <w:uiPriority w:val="99"/>
    <w:unhideWhenUsed/>
    <w:rsid w:val="00C56D57"/>
    <w:pPr>
      <w:spacing w:before="100" w:beforeAutospacing="1" w:after="100" w:afterAutospacing="1"/>
      <w:jc w:val="left"/>
    </w:pPr>
    <w:rPr>
      <w:rFonts w:ascii="Verdana" w:hAnsi="Verdana"/>
      <w:color w:val="000000"/>
      <w:sz w:val="14"/>
      <w:szCs w:val="14"/>
      <w:lang w:val="es-ES" w:eastAsia="es-ES"/>
    </w:rPr>
  </w:style>
  <w:style w:type="paragraph" w:customStyle="1" w:styleId="Default">
    <w:name w:val="Default"/>
    <w:rsid w:val="0090095E"/>
    <w:pPr>
      <w:autoSpaceDE w:val="0"/>
      <w:autoSpaceDN w:val="0"/>
      <w:adjustRightInd w:val="0"/>
    </w:pPr>
    <w:rPr>
      <w:color w:val="000000"/>
      <w:sz w:val="24"/>
      <w:szCs w:val="24"/>
    </w:rPr>
  </w:style>
  <w:style w:type="character" w:customStyle="1" w:styleId="EncabezadoCar">
    <w:name w:val="Encabezado Car"/>
    <w:aliases w:val="encabezado Car"/>
    <w:link w:val="Encabezado"/>
    <w:rsid w:val="002C2732"/>
    <w:rPr>
      <w:sz w:val="24"/>
      <w:szCs w:val="24"/>
      <w:lang w:val="en-US" w:eastAsia="en-US"/>
    </w:rPr>
  </w:style>
  <w:style w:type="paragraph" w:customStyle="1" w:styleId="Texto">
    <w:name w:val="Texto"/>
    <w:basedOn w:val="Normal"/>
    <w:qFormat/>
    <w:rsid w:val="00711B26"/>
    <w:pPr>
      <w:jc w:val="left"/>
    </w:pPr>
    <w:rPr>
      <w:rFonts w:ascii="Arial" w:hAnsi="Arial"/>
      <w:sz w:val="19"/>
      <w:szCs w:val="20"/>
      <w:lang w:val="es-ES_tradnl"/>
    </w:rPr>
  </w:style>
  <w:style w:type="paragraph" w:customStyle="1" w:styleId="NormaProspecto">
    <w:name w:val="Norma Prospecto"/>
    <w:basedOn w:val="Normal"/>
    <w:rsid w:val="00711B26"/>
    <w:pPr>
      <w:overflowPunct w:val="0"/>
      <w:autoSpaceDE w:val="0"/>
      <w:autoSpaceDN w:val="0"/>
      <w:adjustRightInd w:val="0"/>
      <w:spacing w:after="120"/>
      <w:jc w:val="both"/>
      <w:textAlignment w:val="baseline"/>
    </w:pPr>
    <w:rPr>
      <w:sz w:val="20"/>
      <w:szCs w:val="20"/>
      <w:lang w:val="es-AR" w:eastAsia="es-ES"/>
    </w:rPr>
  </w:style>
  <w:style w:type="character" w:customStyle="1" w:styleId="DeltaViewDeletion">
    <w:name w:val="DeltaView Deletion"/>
    <w:rsid w:val="000A2037"/>
    <w:rPr>
      <w:strike/>
      <w:color w:val="FF0000"/>
      <w:spacing w:val="0"/>
    </w:rPr>
  </w:style>
  <w:style w:type="character" w:customStyle="1" w:styleId="Textoindependiente3Car">
    <w:name w:val="Texto independiente 3 Car"/>
    <w:link w:val="Textoindependiente3"/>
    <w:uiPriority w:val="99"/>
    <w:rsid w:val="00F57AF2"/>
    <w:rPr>
      <w:bCs/>
      <w:color w:val="FF0000"/>
      <w:szCs w:val="24"/>
      <w:lang w:eastAsia="en-US"/>
    </w:rPr>
  </w:style>
  <w:style w:type="character" w:customStyle="1" w:styleId="Ttulo1Car">
    <w:name w:val="Título 1 Car"/>
    <w:aliases w:val="título 1 Car"/>
    <w:basedOn w:val="Fuentedeprrafopredeter"/>
    <w:link w:val="Ttulo1"/>
    <w:rsid w:val="003550C4"/>
    <w:rPr>
      <w:b/>
      <w:smallCaps/>
      <w:sz w:val="18"/>
      <w:szCs w:val="18"/>
      <w:lang w:eastAsia="en-US"/>
    </w:rPr>
  </w:style>
  <w:style w:type="character" w:customStyle="1" w:styleId="Ttulo2Car">
    <w:name w:val="Título 2 Car"/>
    <w:basedOn w:val="Fuentedeprrafopredeter"/>
    <w:link w:val="Ttulo2"/>
    <w:rsid w:val="003550C4"/>
    <w:rPr>
      <w:b/>
      <w:smallCaps/>
      <w:sz w:val="22"/>
      <w:lang w:eastAsia="en-US"/>
    </w:rPr>
  </w:style>
  <w:style w:type="character" w:customStyle="1" w:styleId="Ttulo3Car">
    <w:name w:val="Título 3 Car"/>
    <w:basedOn w:val="Fuentedeprrafopredeter"/>
    <w:link w:val="Ttulo3"/>
    <w:rsid w:val="003550C4"/>
    <w:rPr>
      <w:b/>
      <w:bCs/>
      <w:sz w:val="22"/>
      <w:lang w:eastAsia="en-US"/>
    </w:rPr>
  </w:style>
  <w:style w:type="character" w:customStyle="1" w:styleId="Ttulo4Car">
    <w:name w:val="Título 4 Car"/>
    <w:basedOn w:val="Fuentedeprrafopredeter"/>
    <w:link w:val="Ttulo4"/>
    <w:rsid w:val="003550C4"/>
    <w:rPr>
      <w:b/>
      <w:bCs/>
      <w:sz w:val="22"/>
      <w:szCs w:val="24"/>
      <w:lang w:val="es-AR" w:eastAsia="en-US"/>
    </w:rPr>
  </w:style>
  <w:style w:type="character" w:customStyle="1" w:styleId="Ttulo5Car">
    <w:name w:val="Título 5 Car"/>
    <w:basedOn w:val="Fuentedeprrafopredeter"/>
    <w:link w:val="Ttulo5"/>
    <w:rsid w:val="003550C4"/>
    <w:rPr>
      <w:sz w:val="28"/>
      <w:szCs w:val="24"/>
      <w:lang w:val="es-AR" w:eastAsia="en-US"/>
    </w:rPr>
  </w:style>
  <w:style w:type="character" w:customStyle="1" w:styleId="Ttulo6Car">
    <w:name w:val="Título 6 Car"/>
    <w:basedOn w:val="Fuentedeprrafopredeter"/>
    <w:link w:val="Ttulo6"/>
    <w:rsid w:val="003550C4"/>
    <w:rPr>
      <w:b/>
      <w:bCs/>
      <w:smallCaps/>
      <w:sz w:val="24"/>
      <w:lang w:val="es-AR" w:eastAsia="en-US"/>
    </w:rPr>
  </w:style>
  <w:style w:type="character" w:customStyle="1" w:styleId="Ttulo7Car">
    <w:name w:val="Título 7 Car"/>
    <w:basedOn w:val="Fuentedeprrafopredeter"/>
    <w:link w:val="Ttulo7"/>
    <w:rsid w:val="003550C4"/>
    <w:rPr>
      <w:i/>
      <w:iCs/>
      <w:noProof/>
      <w:snapToGrid w:val="0"/>
      <w:sz w:val="22"/>
      <w:szCs w:val="24"/>
      <w:u w:val="single"/>
      <w:lang w:val="es-AR" w:eastAsia="en-US"/>
    </w:rPr>
  </w:style>
  <w:style w:type="character" w:customStyle="1" w:styleId="Ttulo8Car">
    <w:name w:val="Título 8 Car"/>
    <w:basedOn w:val="Fuentedeprrafopredeter"/>
    <w:link w:val="Ttulo8"/>
    <w:rsid w:val="003550C4"/>
    <w:rPr>
      <w:rFonts w:ascii="Times New Roman Bold" w:hAnsi="Times New Roman Bold"/>
      <w:b/>
      <w:bCs/>
      <w:sz w:val="22"/>
      <w:szCs w:val="24"/>
      <w:lang w:val="es-AR" w:eastAsia="en-US"/>
    </w:rPr>
  </w:style>
  <w:style w:type="character" w:customStyle="1" w:styleId="Ttulo9Car">
    <w:name w:val="Título 9 Car"/>
    <w:basedOn w:val="Fuentedeprrafopredeter"/>
    <w:link w:val="Ttulo9"/>
    <w:rsid w:val="003550C4"/>
    <w:rPr>
      <w:rFonts w:ascii="Arial" w:hAnsi="Arial" w:cs="Arial"/>
      <w:b/>
      <w:bCs/>
      <w:sz w:val="22"/>
      <w:szCs w:val="22"/>
      <w:lang w:val="es-MX"/>
    </w:rPr>
  </w:style>
  <w:style w:type="character" w:customStyle="1" w:styleId="Sangra3detindependienteCar">
    <w:name w:val="Sangría 3 de t. independiente Car"/>
    <w:basedOn w:val="Fuentedeprrafopredeter"/>
    <w:link w:val="Sangra3detindependiente"/>
    <w:semiHidden/>
    <w:rsid w:val="003550C4"/>
    <w:rPr>
      <w:rFonts w:ascii="Palatino" w:hAnsi="Palatino"/>
      <w:lang w:eastAsia="en-US"/>
    </w:rPr>
  </w:style>
  <w:style w:type="character" w:customStyle="1" w:styleId="Sangra3detindependienteCar1">
    <w:name w:val="Sangría 3 de t. independiente Car1"/>
    <w:basedOn w:val="Fuentedeprrafopredeter"/>
    <w:uiPriority w:val="99"/>
    <w:semiHidden/>
    <w:rsid w:val="003550C4"/>
    <w:rPr>
      <w:rFonts w:eastAsia="Times New Roman" w:cs="Times New Roman"/>
      <w:sz w:val="16"/>
      <w:szCs w:val="16"/>
      <w:lang w:val="en-US"/>
    </w:rPr>
  </w:style>
  <w:style w:type="character" w:customStyle="1" w:styleId="PiedepginaCar1">
    <w:name w:val="Pie de página Car1"/>
    <w:basedOn w:val="Fuentedeprrafopredeter"/>
    <w:link w:val="Piedepgina"/>
    <w:semiHidden/>
    <w:rsid w:val="003550C4"/>
    <w:rPr>
      <w:rFonts w:ascii="New York" w:hAnsi="New York"/>
      <w:lang w:val="en-US" w:eastAsia="en-US"/>
    </w:rPr>
  </w:style>
  <w:style w:type="character" w:customStyle="1" w:styleId="TextonotapieCar">
    <w:name w:val="Texto nota pie Car"/>
    <w:basedOn w:val="Fuentedeprrafopredeter"/>
    <w:link w:val="Textonotapie"/>
    <w:uiPriority w:val="99"/>
    <w:semiHidden/>
    <w:rsid w:val="003550C4"/>
    <w:rPr>
      <w:lang w:val="en-US" w:eastAsia="en-US"/>
    </w:rPr>
  </w:style>
  <w:style w:type="character" w:customStyle="1" w:styleId="TextonotapieCar1">
    <w:name w:val="Texto nota pie Car1"/>
    <w:basedOn w:val="Fuentedeprrafopredeter"/>
    <w:uiPriority w:val="99"/>
    <w:semiHidden/>
    <w:rsid w:val="003550C4"/>
    <w:rPr>
      <w:rFonts w:eastAsia="Times New Roman" w:cs="Times New Roman"/>
      <w:sz w:val="20"/>
      <w:szCs w:val="20"/>
      <w:lang w:val="en-US"/>
    </w:rPr>
  </w:style>
  <w:style w:type="character" w:customStyle="1" w:styleId="Textoindependiente2Car">
    <w:name w:val="Texto independiente 2 Car"/>
    <w:aliases w:val="b2 Car"/>
    <w:basedOn w:val="Fuentedeprrafopredeter"/>
    <w:link w:val="Textoindependiente2"/>
    <w:semiHidden/>
    <w:rsid w:val="003550C4"/>
    <w:rPr>
      <w:b/>
      <w:bCs/>
      <w:lang w:eastAsia="en-US"/>
    </w:rPr>
  </w:style>
  <w:style w:type="character" w:customStyle="1" w:styleId="Textoindependiente2Car1">
    <w:name w:val="Texto independiente 2 Car1"/>
    <w:basedOn w:val="Fuentedeprrafopredeter"/>
    <w:uiPriority w:val="99"/>
    <w:semiHidden/>
    <w:rsid w:val="003550C4"/>
    <w:rPr>
      <w:rFonts w:eastAsia="Times New Roman" w:cs="Times New Roman"/>
      <w:sz w:val="24"/>
      <w:szCs w:val="24"/>
      <w:lang w:val="en-US"/>
    </w:rPr>
  </w:style>
  <w:style w:type="character" w:customStyle="1" w:styleId="TtuloCar">
    <w:name w:val="Título Car"/>
    <w:basedOn w:val="Fuentedeprrafopredeter"/>
    <w:link w:val="Ttulo"/>
    <w:rsid w:val="003550C4"/>
    <w:rPr>
      <w:b/>
      <w:smallCaps/>
      <w:lang w:eastAsia="en-US"/>
    </w:rPr>
  </w:style>
  <w:style w:type="character" w:customStyle="1" w:styleId="TextonotaalfinalCar">
    <w:name w:val="Texto nota al final Car"/>
    <w:basedOn w:val="Fuentedeprrafopredeter"/>
    <w:link w:val="Textonotaalfinal"/>
    <w:semiHidden/>
    <w:rsid w:val="003550C4"/>
    <w:rPr>
      <w:lang w:val="en-US" w:eastAsia="en-US"/>
    </w:rPr>
  </w:style>
  <w:style w:type="character" w:customStyle="1" w:styleId="TextonotaalfinalCar1">
    <w:name w:val="Texto nota al final Car1"/>
    <w:basedOn w:val="Fuentedeprrafopredeter"/>
    <w:uiPriority w:val="99"/>
    <w:semiHidden/>
    <w:rsid w:val="003550C4"/>
    <w:rPr>
      <w:rFonts w:eastAsia="Times New Roman" w:cs="Times New Roman"/>
      <w:sz w:val="20"/>
      <w:szCs w:val="20"/>
      <w:lang w:val="en-US"/>
    </w:rPr>
  </w:style>
  <w:style w:type="character" w:customStyle="1" w:styleId="TextodegloboCar">
    <w:name w:val="Texto de globo Car"/>
    <w:basedOn w:val="Fuentedeprrafopredeter"/>
    <w:link w:val="Textodeglobo"/>
    <w:semiHidden/>
    <w:rsid w:val="003550C4"/>
    <w:rPr>
      <w:rFonts w:ascii="Tahoma" w:hAnsi="Tahoma" w:cs="Tahoma"/>
      <w:sz w:val="16"/>
      <w:szCs w:val="16"/>
      <w:lang w:val="en-US" w:eastAsia="en-US"/>
    </w:rPr>
  </w:style>
  <w:style w:type="character" w:customStyle="1" w:styleId="TextodegloboCar1">
    <w:name w:val="Texto de globo Car1"/>
    <w:basedOn w:val="Fuentedeprrafopredeter"/>
    <w:uiPriority w:val="99"/>
    <w:semiHidden/>
    <w:rsid w:val="003550C4"/>
    <w:rPr>
      <w:rFonts w:ascii="Tahoma" w:eastAsia="Times New Roman" w:hAnsi="Tahoma" w:cs="Tahoma"/>
      <w:sz w:val="16"/>
      <w:szCs w:val="16"/>
      <w:lang w:val="en-US"/>
    </w:rPr>
  </w:style>
  <w:style w:type="character" w:customStyle="1" w:styleId="Sangra2detindependienteCar">
    <w:name w:val="Sangría 2 de t. independiente Car"/>
    <w:basedOn w:val="Fuentedeprrafopredeter"/>
    <w:link w:val="Sangra2detindependiente"/>
    <w:semiHidden/>
    <w:rsid w:val="003550C4"/>
    <w:rPr>
      <w:rFonts w:ascii="Arial" w:hAnsi="Arial" w:cs="Arial"/>
      <w:sz w:val="22"/>
      <w:szCs w:val="22"/>
      <w:lang w:val="es-MX"/>
    </w:rPr>
  </w:style>
  <w:style w:type="character" w:customStyle="1" w:styleId="Sangra2detindependienteCar1">
    <w:name w:val="Sangría 2 de t. independiente Car1"/>
    <w:basedOn w:val="Fuentedeprrafopredeter"/>
    <w:uiPriority w:val="99"/>
    <w:semiHidden/>
    <w:rsid w:val="003550C4"/>
    <w:rPr>
      <w:rFonts w:eastAsia="Times New Roman" w:cs="Times New Roman"/>
      <w:sz w:val="24"/>
      <w:szCs w:val="24"/>
      <w:lang w:val="en-US"/>
    </w:rPr>
  </w:style>
  <w:style w:type="character" w:customStyle="1" w:styleId="TextocomentarioCar1">
    <w:name w:val="Texto comentario Car1"/>
    <w:basedOn w:val="Fuentedeprrafopredeter"/>
    <w:link w:val="Textocomentario"/>
    <w:semiHidden/>
    <w:rsid w:val="003550C4"/>
    <w:rPr>
      <w:lang w:val="en-US" w:eastAsia="en-US"/>
    </w:rPr>
  </w:style>
  <w:style w:type="character" w:customStyle="1" w:styleId="AsuntodelcomentarioCar1">
    <w:name w:val="Asunto del comentario Car1"/>
    <w:basedOn w:val="TextocomentarioCar1"/>
    <w:link w:val="Asuntodelcomentario"/>
    <w:semiHidden/>
    <w:rsid w:val="003550C4"/>
    <w:rPr>
      <w:b/>
      <w:bCs/>
      <w:lang w:val="en-US" w:eastAsia="en-US"/>
    </w:rPr>
  </w:style>
  <w:style w:type="character" w:customStyle="1" w:styleId="Mencinsinresolver1">
    <w:name w:val="Mención sin resolver1"/>
    <w:basedOn w:val="Fuentedeprrafopredeter"/>
    <w:uiPriority w:val="99"/>
    <w:semiHidden/>
    <w:unhideWhenUsed/>
    <w:rsid w:val="00CD3692"/>
    <w:rPr>
      <w:color w:val="808080"/>
      <w:shd w:val="clear" w:color="auto" w:fill="E6E6E6"/>
    </w:rPr>
  </w:style>
  <w:style w:type="character" w:customStyle="1" w:styleId="Mencinsinresolver2">
    <w:name w:val="Mención sin resolver2"/>
    <w:basedOn w:val="Fuentedeprrafopredeter"/>
    <w:uiPriority w:val="99"/>
    <w:semiHidden/>
    <w:unhideWhenUsed/>
    <w:rsid w:val="00E3562A"/>
    <w:rPr>
      <w:color w:val="808080"/>
      <w:shd w:val="clear" w:color="auto" w:fill="E6E6E6"/>
    </w:rPr>
  </w:style>
  <w:style w:type="character" w:customStyle="1" w:styleId="s4">
    <w:name w:val="s4"/>
    <w:basedOn w:val="Fuentedeprrafopredeter"/>
    <w:rsid w:val="007853E6"/>
  </w:style>
  <w:style w:type="character" w:styleId="Textoennegrita">
    <w:name w:val="Strong"/>
    <w:basedOn w:val="Fuentedeprrafopredeter"/>
    <w:uiPriority w:val="22"/>
    <w:qFormat/>
    <w:rsid w:val="007853E6"/>
    <w:rPr>
      <w:b/>
      <w:bCs/>
    </w:rPr>
  </w:style>
  <w:style w:type="paragraph" w:customStyle="1" w:styleId="Normal0">
    <w:name w:val="Normal_0"/>
    <w:qFormat/>
    <w:rsid w:val="00A42809"/>
    <w:pPr>
      <w:spacing w:after="120"/>
      <w:ind w:firstLine="720"/>
    </w:pPr>
    <w:rPr>
      <w:rFonts w:eastAsia="MS Mincho"/>
      <w:szCs w:val="24"/>
      <w:lang w:val="en-US" w:eastAsia="zh-CN"/>
    </w:rPr>
  </w:style>
  <w:style w:type="paragraph" w:customStyle="1" w:styleId="formatoredaccin">
    <w:name w:val="formatoredaccin"/>
    <w:basedOn w:val="Normal"/>
    <w:rsid w:val="00F164D6"/>
    <w:pPr>
      <w:spacing w:before="100" w:beforeAutospacing="1" w:after="100" w:afterAutospacing="1"/>
      <w:jc w:val="left"/>
    </w:pPr>
    <w:rPr>
      <w:rFonts w:ascii="Calibri" w:eastAsiaTheme="minorHAnsi" w:hAnsi="Calibri" w:cs="Calibri"/>
      <w:sz w:val="22"/>
      <w:szCs w:val="22"/>
      <w:lang w:val="es-MX" w:eastAsia="es-MX"/>
    </w:rPr>
  </w:style>
  <w:style w:type="character" w:customStyle="1" w:styleId="PrrafodelistaCar">
    <w:name w:val="Párrafo de lista Car"/>
    <w:link w:val="Prrafodelista"/>
    <w:uiPriority w:val="34"/>
    <w:locked/>
    <w:rsid w:val="008E76CF"/>
    <w:rPr>
      <w:sz w:val="24"/>
      <w:szCs w:val="24"/>
      <w:lang w:val="en-US" w:eastAsia="en-US"/>
    </w:rPr>
  </w:style>
  <w:style w:type="character" w:styleId="Mencinsinresolver">
    <w:name w:val="Unresolved Mention"/>
    <w:basedOn w:val="Fuentedeprrafopredeter"/>
    <w:uiPriority w:val="99"/>
    <w:semiHidden/>
    <w:unhideWhenUsed/>
    <w:rsid w:val="004E48E6"/>
    <w:rPr>
      <w:color w:val="605E5C"/>
      <w:shd w:val="clear" w:color="auto" w:fill="E1DFDD"/>
    </w:rPr>
  </w:style>
  <w:style w:type="paragraph" w:styleId="TDC6">
    <w:name w:val="toc 6"/>
    <w:basedOn w:val="Normal"/>
    <w:next w:val="Normal"/>
    <w:autoRedefine/>
    <w:uiPriority w:val="39"/>
    <w:semiHidden/>
    <w:unhideWhenUsed/>
    <w:rsid w:val="002C40C6"/>
    <w:pPr>
      <w:spacing w:after="100"/>
      <w:ind w:left="1200"/>
    </w:pPr>
  </w:style>
  <w:style w:type="paragraph" w:customStyle="1" w:styleId="Text3">
    <w:name w:val="Text3"/>
    <w:basedOn w:val="Normal"/>
    <w:rsid w:val="002C40C6"/>
    <w:pPr>
      <w:tabs>
        <w:tab w:val="num" w:pos="360"/>
      </w:tabs>
      <w:spacing w:after="240"/>
      <w:ind w:left="360" w:hanging="360"/>
      <w:jc w:val="both"/>
    </w:pPr>
    <w:rPr>
      <w:sz w:val="20"/>
    </w:rPr>
  </w:style>
  <w:style w:type="paragraph" w:customStyle="1" w:styleId="Normal10">
    <w:name w:val="Normal 10"/>
    <w:rsid w:val="00D354AB"/>
    <w:pPr>
      <w:spacing w:after="120"/>
      <w:jc w:val="both"/>
    </w:pPr>
    <w:rPr>
      <w:rFonts w:eastAsia="MS Mincho"/>
      <w:bCs/>
    </w:rPr>
  </w:style>
  <w:style w:type="character" w:customStyle="1" w:styleId="characterstyle1">
    <w:name w:val="characterstyle1"/>
    <w:basedOn w:val="Fuentedeprrafopredeter"/>
    <w:rsid w:val="00D354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9185937">
      <w:bodyDiv w:val="1"/>
      <w:marLeft w:val="0"/>
      <w:marRight w:val="0"/>
      <w:marTop w:val="0"/>
      <w:marBottom w:val="0"/>
      <w:divBdr>
        <w:top w:val="none" w:sz="0" w:space="0" w:color="auto"/>
        <w:left w:val="none" w:sz="0" w:space="0" w:color="auto"/>
        <w:bottom w:val="none" w:sz="0" w:space="0" w:color="auto"/>
        <w:right w:val="none" w:sz="0" w:space="0" w:color="auto"/>
      </w:divBdr>
    </w:div>
    <w:div w:id="84229962">
      <w:bodyDiv w:val="1"/>
      <w:marLeft w:val="0"/>
      <w:marRight w:val="0"/>
      <w:marTop w:val="0"/>
      <w:marBottom w:val="0"/>
      <w:divBdr>
        <w:top w:val="none" w:sz="0" w:space="0" w:color="auto"/>
        <w:left w:val="none" w:sz="0" w:space="0" w:color="auto"/>
        <w:bottom w:val="none" w:sz="0" w:space="0" w:color="auto"/>
        <w:right w:val="none" w:sz="0" w:space="0" w:color="auto"/>
      </w:divBdr>
    </w:div>
    <w:div w:id="198515776">
      <w:bodyDiv w:val="1"/>
      <w:marLeft w:val="0"/>
      <w:marRight w:val="0"/>
      <w:marTop w:val="0"/>
      <w:marBottom w:val="0"/>
      <w:divBdr>
        <w:top w:val="none" w:sz="0" w:space="0" w:color="auto"/>
        <w:left w:val="none" w:sz="0" w:space="0" w:color="auto"/>
        <w:bottom w:val="none" w:sz="0" w:space="0" w:color="auto"/>
        <w:right w:val="none" w:sz="0" w:space="0" w:color="auto"/>
      </w:divBdr>
    </w:div>
    <w:div w:id="228224934">
      <w:bodyDiv w:val="1"/>
      <w:marLeft w:val="0"/>
      <w:marRight w:val="0"/>
      <w:marTop w:val="0"/>
      <w:marBottom w:val="0"/>
      <w:divBdr>
        <w:top w:val="none" w:sz="0" w:space="0" w:color="auto"/>
        <w:left w:val="none" w:sz="0" w:space="0" w:color="auto"/>
        <w:bottom w:val="none" w:sz="0" w:space="0" w:color="auto"/>
        <w:right w:val="none" w:sz="0" w:space="0" w:color="auto"/>
      </w:divBdr>
    </w:div>
    <w:div w:id="233197557">
      <w:bodyDiv w:val="1"/>
      <w:marLeft w:val="0"/>
      <w:marRight w:val="0"/>
      <w:marTop w:val="0"/>
      <w:marBottom w:val="0"/>
      <w:divBdr>
        <w:top w:val="none" w:sz="0" w:space="0" w:color="auto"/>
        <w:left w:val="none" w:sz="0" w:space="0" w:color="auto"/>
        <w:bottom w:val="none" w:sz="0" w:space="0" w:color="auto"/>
        <w:right w:val="none" w:sz="0" w:space="0" w:color="auto"/>
      </w:divBdr>
    </w:div>
    <w:div w:id="277832916">
      <w:bodyDiv w:val="1"/>
      <w:marLeft w:val="0"/>
      <w:marRight w:val="0"/>
      <w:marTop w:val="0"/>
      <w:marBottom w:val="0"/>
      <w:divBdr>
        <w:top w:val="none" w:sz="0" w:space="0" w:color="auto"/>
        <w:left w:val="none" w:sz="0" w:space="0" w:color="auto"/>
        <w:bottom w:val="none" w:sz="0" w:space="0" w:color="auto"/>
        <w:right w:val="none" w:sz="0" w:space="0" w:color="auto"/>
      </w:divBdr>
    </w:div>
    <w:div w:id="285433750">
      <w:bodyDiv w:val="1"/>
      <w:marLeft w:val="0"/>
      <w:marRight w:val="0"/>
      <w:marTop w:val="0"/>
      <w:marBottom w:val="0"/>
      <w:divBdr>
        <w:top w:val="none" w:sz="0" w:space="0" w:color="auto"/>
        <w:left w:val="none" w:sz="0" w:space="0" w:color="auto"/>
        <w:bottom w:val="none" w:sz="0" w:space="0" w:color="auto"/>
        <w:right w:val="none" w:sz="0" w:space="0" w:color="auto"/>
      </w:divBdr>
    </w:div>
    <w:div w:id="312880942">
      <w:bodyDiv w:val="1"/>
      <w:marLeft w:val="0"/>
      <w:marRight w:val="0"/>
      <w:marTop w:val="0"/>
      <w:marBottom w:val="0"/>
      <w:divBdr>
        <w:top w:val="none" w:sz="0" w:space="0" w:color="auto"/>
        <w:left w:val="none" w:sz="0" w:space="0" w:color="auto"/>
        <w:bottom w:val="none" w:sz="0" w:space="0" w:color="auto"/>
        <w:right w:val="none" w:sz="0" w:space="0" w:color="auto"/>
      </w:divBdr>
    </w:div>
    <w:div w:id="355230565">
      <w:bodyDiv w:val="1"/>
      <w:marLeft w:val="0"/>
      <w:marRight w:val="0"/>
      <w:marTop w:val="0"/>
      <w:marBottom w:val="0"/>
      <w:divBdr>
        <w:top w:val="none" w:sz="0" w:space="0" w:color="auto"/>
        <w:left w:val="none" w:sz="0" w:space="0" w:color="auto"/>
        <w:bottom w:val="none" w:sz="0" w:space="0" w:color="auto"/>
        <w:right w:val="none" w:sz="0" w:space="0" w:color="auto"/>
      </w:divBdr>
    </w:div>
    <w:div w:id="447437501">
      <w:bodyDiv w:val="1"/>
      <w:marLeft w:val="0"/>
      <w:marRight w:val="0"/>
      <w:marTop w:val="0"/>
      <w:marBottom w:val="0"/>
      <w:divBdr>
        <w:top w:val="none" w:sz="0" w:space="0" w:color="auto"/>
        <w:left w:val="none" w:sz="0" w:space="0" w:color="auto"/>
        <w:bottom w:val="none" w:sz="0" w:space="0" w:color="auto"/>
        <w:right w:val="none" w:sz="0" w:space="0" w:color="auto"/>
      </w:divBdr>
    </w:div>
    <w:div w:id="467745176">
      <w:bodyDiv w:val="1"/>
      <w:marLeft w:val="0"/>
      <w:marRight w:val="0"/>
      <w:marTop w:val="0"/>
      <w:marBottom w:val="0"/>
      <w:divBdr>
        <w:top w:val="none" w:sz="0" w:space="0" w:color="auto"/>
        <w:left w:val="none" w:sz="0" w:space="0" w:color="auto"/>
        <w:bottom w:val="none" w:sz="0" w:space="0" w:color="auto"/>
        <w:right w:val="none" w:sz="0" w:space="0" w:color="auto"/>
      </w:divBdr>
    </w:div>
    <w:div w:id="482311757">
      <w:bodyDiv w:val="1"/>
      <w:marLeft w:val="0"/>
      <w:marRight w:val="0"/>
      <w:marTop w:val="0"/>
      <w:marBottom w:val="0"/>
      <w:divBdr>
        <w:top w:val="none" w:sz="0" w:space="0" w:color="auto"/>
        <w:left w:val="none" w:sz="0" w:space="0" w:color="auto"/>
        <w:bottom w:val="none" w:sz="0" w:space="0" w:color="auto"/>
        <w:right w:val="none" w:sz="0" w:space="0" w:color="auto"/>
      </w:divBdr>
    </w:div>
    <w:div w:id="533811963">
      <w:bodyDiv w:val="1"/>
      <w:marLeft w:val="0"/>
      <w:marRight w:val="0"/>
      <w:marTop w:val="0"/>
      <w:marBottom w:val="0"/>
      <w:divBdr>
        <w:top w:val="none" w:sz="0" w:space="0" w:color="auto"/>
        <w:left w:val="none" w:sz="0" w:space="0" w:color="auto"/>
        <w:bottom w:val="none" w:sz="0" w:space="0" w:color="auto"/>
        <w:right w:val="none" w:sz="0" w:space="0" w:color="auto"/>
      </w:divBdr>
    </w:div>
    <w:div w:id="552929867">
      <w:bodyDiv w:val="1"/>
      <w:marLeft w:val="0"/>
      <w:marRight w:val="0"/>
      <w:marTop w:val="0"/>
      <w:marBottom w:val="0"/>
      <w:divBdr>
        <w:top w:val="none" w:sz="0" w:space="0" w:color="auto"/>
        <w:left w:val="none" w:sz="0" w:space="0" w:color="auto"/>
        <w:bottom w:val="none" w:sz="0" w:space="0" w:color="auto"/>
        <w:right w:val="none" w:sz="0" w:space="0" w:color="auto"/>
      </w:divBdr>
    </w:div>
    <w:div w:id="563024337">
      <w:bodyDiv w:val="1"/>
      <w:marLeft w:val="0"/>
      <w:marRight w:val="0"/>
      <w:marTop w:val="0"/>
      <w:marBottom w:val="0"/>
      <w:divBdr>
        <w:top w:val="none" w:sz="0" w:space="0" w:color="auto"/>
        <w:left w:val="none" w:sz="0" w:space="0" w:color="auto"/>
        <w:bottom w:val="none" w:sz="0" w:space="0" w:color="auto"/>
        <w:right w:val="none" w:sz="0" w:space="0" w:color="auto"/>
      </w:divBdr>
    </w:div>
    <w:div w:id="572351933">
      <w:bodyDiv w:val="1"/>
      <w:marLeft w:val="0"/>
      <w:marRight w:val="0"/>
      <w:marTop w:val="0"/>
      <w:marBottom w:val="0"/>
      <w:divBdr>
        <w:top w:val="none" w:sz="0" w:space="0" w:color="auto"/>
        <w:left w:val="none" w:sz="0" w:space="0" w:color="auto"/>
        <w:bottom w:val="none" w:sz="0" w:space="0" w:color="auto"/>
        <w:right w:val="none" w:sz="0" w:space="0" w:color="auto"/>
      </w:divBdr>
    </w:div>
    <w:div w:id="615992278">
      <w:bodyDiv w:val="1"/>
      <w:marLeft w:val="0"/>
      <w:marRight w:val="0"/>
      <w:marTop w:val="0"/>
      <w:marBottom w:val="0"/>
      <w:divBdr>
        <w:top w:val="none" w:sz="0" w:space="0" w:color="auto"/>
        <w:left w:val="none" w:sz="0" w:space="0" w:color="auto"/>
        <w:bottom w:val="none" w:sz="0" w:space="0" w:color="auto"/>
        <w:right w:val="none" w:sz="0" w:space="0" w:color="auto"/>
      </w:divBdr>
    </w:div>
    <w:div w:id="625351709">
      <w:bodyDiv w:val="1"/>
      <w:marLeft w:val="0"/>
      <w:marRight w:val="0"/>
      <w:marTop w:val="0"/>
      <w:marBottom w:val="0"/>
      <w:divBdr>
        <w:top w:val="none" w:sz="0" w:space="0" w:color="auto"/>
        <w:left w:val="none" w:sz="0" w:space="0" w:color="auto"/>
        <w:bottom w:val="none" w:sz="0" w:space="0" w:color="auto"/>
        <w:right w:val="none" w:sz="0" w:space="0" w:color="auto"/>
      </w:divBdr>
    </w:div>
    <w:div w:id="628362805">
      <w:bodyDiv w:val="1"/>
      <w:marLeft w:val="0"/>
      <w:marRight w:val="0"/>
      <w:marTop w:val="0"/>
      <w:marBottom w:val="0"/>
      <w:divBdr>
        <w:top w:val="none" w:sz="0" w:space="0" w:color="auto"/>
        <w:left w:val="none" w:sz="0" w:space="0" w:color="auto"/>
        <w:bottom w:val="none" w:sz="0" w:space="0" w:color="auto"/>
        <w:right w:val="none" w:sz="0" w:space="0" w:color="auto"/>
      </w:divBdr>
    </w:div>
    <w:div w:id="631666967">
      <w:bodyDiv w:val="1"/>
      <w:marLeft w:val="0"/>
      <w:marRight w:val="0"/>
      <w:marTop w:val="0"/>
      <w:marBottom w:val="0"/>
      <w:divBdr>
        <w:top w:val="none" w:sz="0" w:space="0" w:color="auto"/>
        <w:left w:val="none" w:sz="0" w:space="0" w:color="auto"/>
        <w:bottom w:val="none" w:sz="0" w:space="0" w:color="auto"/>
        <w:right w:val="none" w:sz="0" w:space="0" w:color="auto"/>
      </w:divBdr>
    </w:div>
    <w:div w:id="669452281">
      <w:bodyDiv w:val="1"/>
      <w:marLeft w:val="0"/>
      <w:marRight w:val="0"/>
      <w:marTop w:val="0"/>
      <w:marBottom w:val="0"/>
      <w:divBdr>
        <w:top w:val="none" w:sz="0" w:space="0" w:color="auto"/>
        <w:left w:val="none" w:sz="0" w:space="0" w:color="auto"/>
        <w:bottom w:val="none" w:sz="0" w:space="0" w:color="auto"/>
        <w:right w:val="none" w:sz="0" w:space="0" w:color="auto"/>
      </w:divBdr>
    </w:div>
    <w:div w:id="673413281">
      <w:bodyDiv w:val="1"/>
      <w:marLeft w:val="0"/>
      <w:marRight w:val="0"/>
      <w:marTop w:val="0"/>
      <w:marBottom w:val="0"/>
      <w:divBdr>
        <w:top w:val="none" w:sz="0" w:space="0" w:color="auto"/>
        <w:left w:val="none" w:sz="0" w:space="0" w:color="auto"/>
        <w:bottom w:val="none" w:sz="0" w:space="0" w:color="auto"/>
        <w:right w:val="none" w:sz="0" w:space="0" w:color="auto"/>
      </w:divBdr>
    </w:div>
    <w:div w:id="686638915">
      <w:bodyDiv w:val="1"/>
      <w:marLeft w:val="0"/>
      <w:marRight w:val="0"/>
      <w:marTop w:val="0"/>
      <w:marBottom w:val="0"/>
      <w:divBdr>
        <w:top w:val="none" w:sz="0" w:space="0" w:color="auto"/>
        <w:left w:val="none" w:sz="0" w:space="0" w:color="auto"/>
        <w:bottom w:val="none" w:sz="0" w:space="0" w:color="auto"/>
        <w:right w:val="none" w:sz="0" w:space="0" w:color="auto"/>
      </w:divBdr>
    </w:div>
    <w:div w:id="694112985">
      <w:bodyDiv w:val="1"/>
      <w:marLeft w:val="0"/>
      <w:marRight w:val="0"/>
      <w:marTop w:val="0"/>
      <w:marBottom w:val="0"/>
      <w:divBdr>
        <w:top w:val="none" w:sz="0" w:space="0" w:color="auto"/>
        <w:left w:val="none" w:sz="0" w:space="0" w:color="auto"/>
        <w:bottom w:val="none" w:sz="0" w:space="0" w:color="auto"/>
        <w:right w:val="none" w:sz="0" w:space="0" w:color="auto"/>
      </w:divBdr>
    </w:div>
    <w:div w:id="711002978">
      <w:bodyDiv w:val="1"/>
      <w:marLeft w:val="0"/>
      <w:marRight w:val="0"/>
      <w:marTop w:val="0"/>
      <w:marBottom w:val="0"/>
      <w:divBdr>
        <w:top w:val="none" w:sz="0" w:space="0" w:color="auto"/>
        <w:left w:val="none" w:sz="0" w:space="0" w:color="auto"/>
        <w:bottom w:val="none" w:sz="0" w:space="0" w:color="auto"/>
        <w:right w:val="none" w:sz="0" w:space="0" w:color="auto"/>
      </w:divBdr>
    </w:div>
    <w:div w:id="778067711">
      <w:bodyDiv w:val="1"/>
      <w:marLeft w:val="0"/>
      <w:marRight w:val="0"/>
      <w:marTop w:val="0"/>
      <w:marBottom w:val="0"/>
      <w:divBdr>
        <w:top w:val="none" w:sz="0" w:space="0" w:color="auto"/>
        <w:left w:val="none" w:sz="0" w:space="0" w:color="auto"/>
        <w:bottom w:val="none" w:sz="0" w:space="0" w:color="auto"/>
        <w:right w:val="none" w:sz="0" w:space="0" w:color="auto"/>
      </w:divBdr>
    </w:div>
    <w:div w:id="925000182">
      <w:bodyDiv w:val="1"/>
      <w:marLeft w:val="0"/>
      <w:marRight w:val="0"/>
      <w:marTop w:val="0"/>
      <w:marBottom w:val="0"/>
      <w:divBdr>
        <w:top w:val="none" w:sz="0" w:space="0" w:color="auto"/>
        <w:left w:val="none" w:sz="0" w:space="0" w:color="auto"/>
        <w:bottom w:val="none" w:sz="0" w:space="0" w:color="auto"/>
        <w:right w:val="none" w:sz="0" w:space="0" w:color="auto"/>
      </w:divBdr>
    </w:div>
    <w:div w:id="940144513">
      <w:bodyDiv w:val="1"/>
      <w:marLeft w:val="0"/>
      <w:marRight w:val="0"/>
      <w:marTop w:val="0"/>
      <w:marBottom w:val="0"/>
      <w:divBdr>
        <w:top w:val="none" w:sz="0" w:space="0" w:color="auto"/>
        <w:left w:val="none" w:sz="0" w:space="0" w:color="auto"/>
        <w:bottom w:val="none" w:sz="0" w:space="0" w:color="auto"/>
        <w:right w:val="none" w:sz="0" w:space="0" w:color="auto"/>
      </w:divBdr>
    </w:div>
    <w:div w:id="967784991">
      <w:bodyDiv w:val="1"/>
      <w:marLeft w:val="0"/>
      <w:marRight w:val="0"/>
      <w:marTop w:val="0"/>
      <w:marBottom w:val="0"/>
      <w:divBdr>
        <w:top w:val="none" w:sz="0" w:space="0" w:color="auto"/>
        <w:left w:val="none" w:sz="0" w:space="0" w:color="auto"/>
        <w:bottom w:val="none" w:sz="0" w:space="0" w:color="auto"/>
        <w:right w:val="none" w:sz="0" w:space="0" w:color="auto"/>
      </w:divBdr>
    </w:div>
    <w:div w:id="1198158233">
      <w:bodyDiv w:val="1"/>
      <w:marLeft w:val="0"/>
      <w:marRight w:val="0"/>
      <w:marTop w:val="0"/>
      <w:marBottom w:val="0"/>
      <w:divBdr>
        <w:top w:val="none" w:sz="0" w:space="0" w:color="auto"/>
        <w:left w:val="none" w:sz="0" w:space="0" w:color="auto"/>
        <w:bottom w:val="none" w:sz="0" w:space="0" w:color="auto"/>
        <w:right w:val="none" w:sz="0" w:space="0" w:color="auto"/>
      </w:divBdr>
    </w:div>
    <w:div w:id="1319919984">
      <w:bodyDiv w:val="1"/>
      <w:marLeft w:val="0"/>
      <w:marRight w:val="0"/>
      <w:marTop w:val="0"/>
      <w:marBottom w:val="0"/>
      <w:divBdr>
        <w:top w:val="none" w:sz="0" w:space="0" w:color="auto"/>
        <w:left w:val="none" w:sz="0" w:space="0" w:color="auto"/>
        <w:bottom w:val="none" w:sz="0" w:space="0" w:color="auto"/>
        <w:right w:val="none" w:sz="0" w:space="0" w:color="auto"/>
      </w:divBdr>
    </w:div>
    <w:div w:id="1331566639">
      <w:bodyDiv w:val="1"/>
      <w:marLeft w:val="0"/>
      <w:marRight w:val="0"/>
      <w:marTop w:val="0"/>
      <w:marBottom w:val="0"/>
      <w:divBdr>
        <w:top w:val="none" w:sz="0" w:space="0" w:color="auto"/>
        <w:left w:val="none" w:sz="0" w:space="0" w:color="auto"/>
        <w:bottom w:val="none" w:sz="0" w:space="0" w:color="auto"/>
        <w:right w:val="none" w:sz="0" w:space="0" w:color="auto"/>
      </w:divBdr>
    </w:div>
    <w:div w:id="1369381131">
      <w:bodyDiv w:val="1"/>
      <w:marLeft w:val="0"/>
      <w:marRight w:val="0"/>
      <w:marTop w:val="0"/>
      <w:marBottom w:val="0"/>
      <w:divBdr>
        <w:top w:val="none" w:sz="0" w:space="0" w:color="auto"/>
        <w:left w:val="none" w:sz="0" w:space="0" w:color="auto"/>
        <w:bottom w:val="none" w:sz="0" w:space="0" w:color="auto"/>
        <w:right w:val="none" w:sz="0" w:space="0" w:color="auto"/>
      </w:divBdr>
    </w:div>
    <w:div w:id="1379627260">
      <w:bodyDiv w:val="1"/>
      <w:marLeft w:val="0"/>
      <w:marRight w:val="0"/>
      <w:marTop w:val="0"/>
      <w:marBottom w:val="0"/>
      <w:divBdr>
        <w:top w:val="none" w:sz="0" w:space="0" w:color="auto"/>
        <w:left w:val="none" w:sz="0" w:space="0" w:color="auto"/>
        <w:bottom w:val="none" w:sz="0" w:space="0" w:color="auto"/>
        <w:right w:val="none" w:sz="0" w:space="0" w:color="auto"/>
      </w:divBdr>
    </w:div>
    <w:div w:id="1382441227">
      <w:bodyDiv w:val="1"/>
      <w:marLeft w:val="0"/>
      <w:marRight w:val="0"/>
      <w:marTop w:val="0"/>
      <w:marBottom w:val="0"/>
      <w:divBdr>
        <w:top w:val="none" w:sz="0" w:space="0" w:color="auto"/>
        <w:left w:val="none" w:sz="0" w:space="0" w:color="auto"/>
        <w:bottom w:val="none" w:sz="0" w:space="0" w:color="auto"/>
        <w:right w:val="none" w:sz="0" w:space="0" w:color="auto"/>
      </w:divBdr>
    </w:div>
    <w:div w:id="1393308768">
      <w:bodyDiv w:val="1"/>
      <w:marLeft w:val="0"/>
      <w:marRight w:val="0"/>
      <w:marTop w:val="0"/>
      <w:marBottom w:val="0"/>
      <w:divBdr>
        <w:top w:val="none" w:sz="0" w:space="0" w:color="auto"/>
        <w:left w:val="none" w:sz="0" w:space="0" w:color="auto"/>
        <w:bottom w:val="none" w:sz="0" w:space="0" w:color="auto"/>
        <w:right w:val="none" w:sz="0" w:space="0" w:color="auto"/>
      </w:divBdr>
    </w:div>
    <w:div w:id="1400859454">
      <w:bodyDiv w:val="1"/>
      <w:marLeft w:val="0"/>
      <w:marRight w:val="0"/>
      <w:marTop w:val="0"/>
      <w:marBottom w:val="0"/>
      <w:divBdr>
        <w:top w:val="none" w:sz="0" w:space="0" w:color="auto"/>
        <w:left w:val="none" w:sz="0" w:space="0" w:color="auto"/>
        <w:bottom w:val="none" w:sz="0" w:space="0" w:color="auto"/>
        <w:right w:val="none" w:sz="0" w:space="0" w:color="auto"/>
      </w:divBdr>
    </w:div>
    <w:div w:id="1410348370">
      <w:bodyDiv w:val="1"/>
      <w:marLeft w:val="0"/>
      <w:marRight w:val="0"/>
      <w:marTop w:val="0"/>
      <w:marBottom w:val="0"/>
      <w:divBdr>
        <w:top w:val="none" w:sz="0" w:space="0" w:color="auto"/>
        <w:left w:val="none" w:sz="0" w:space="0" w:color="auto"/>
        <w:bottom w:val="none" w:sz="0" w:space="0" w:color="auto"/>
        <w:right w:val="none" w:sz="0" w:space="0" w:color="auto"/>
      </w:divBdr>
    </w:div>
    <w:div w:id="1430278887">
      <w:bodyDiv w:val="1"/>
      <w:marLeft w:val="0"/>
      <w:marRight w:val="0"/>
      <w:marTop w:val="0"/>
      <w:marBottom w:val="0"/>
      <w:divBdr>
        <w:top w:val="none" w:sz="0" w:space="0" w:color="auto"/>
        <w:left w:val="none" w:sz="0" w:space="0" w:color="auto"/>
        <w:bottom w:val="none" w:sz="0" w:space="0" w:color="auto"/>
        <w:right w:val="none" w:sz="0" w:space="0" w:color="auto"/>
      </w:divBdr>
    </w:div>
    <w:div w:id="1455977877">
      <w:bodyDiv w:val="1"/>
      <w:marLeft w:val="0"/>
      <w:marRight w:val="0"/>
      <w:marTop w:val="0"/>
      <w:marBottom w:val="0"/>
      <w:divBdr>
        <w:top w:val="none" w:sz="0" w:space="0" w:color="auto"/>
        <w:left w:val="none" w:sz="0" w:space="0" w:color="auto"/>
        <w:bottom w:val="none" w:sz="0" w:space="0" w:color="auto"/>
        <w:right w:val="none" w:sz="0" w:space="0" w:color="auto"/>
      </w:divBdr>
    </w:div>
    <w:div w:id="1461416032">
      <w:bodyDiv w:val="1"/>
      <w:marLeft w:val="0"/>
      <w:marRight w:val="0"/>
      <w:marTop w:val="0"/>
      <w:marBottom w:val="0"/>
      <w:divBdr>
        <w:top w:val="none" w:sz="0" w:space="0" w:color="auto"/>
        <w:left w:val="none" w:sz="0" w:space="0" w:color="auto"/>
        <w:bottom w:val="none" w:sz="0" w:space="0" w:color="auto"/>
        <w:right w:val="none" w:sz="0" w:space="0" w:color="auto"/>
      </w:divBdr>
    </w:div>
    <w:div w:id="1464225555">
      <w:bodyDiv w:val="1"/>
      <w:marLeft w:val="0"/>
      <w:marRight w:val="0"/>
      <w:marTop w:val="0"/>
      <w:marBottom w:val="0"/>
      <w:divBdr>
        <w:top w:val="none" w:sz="0" w:space="0" w:color="auto"/>
        <w:left w:val="none" w:sz="0" w:space="0" w:color="auto"/>
        <w:bottom w:val="none" w:sz="0" w:space="0" w:color="auto"/>
        <w:right w:val="none" w:sz="0" w:space="0" w:color="auto"/>
      </w:divBdr>
    </w:div>
    <w:div w:id="1500777568">
      <w:bodyDiv w:val="1"/>
      <w:marLeft w:val="0"/>
      <w:marRight w:val="0"/>
      <w:marTop w:val="0"/>
      <w:marBottom w:val="0"/>
      <w:divBdr>
        <w:top w:val="none" w:sz="0" w:space="0" w:color="auto"/>
        <w:left w:val="none" w:sz="0" w:space="0" w:color="auto"/>
        <w:bottom w:val="none" w:sz="0" w:space="0" w:color="auto"/>
        <w:right w:val="none" w:sz="0" w:space="0" w:color="auto"/>
      </w:divBdr>
    </w:div>
    <w:div w:id="1530600775">
      <w:bodyDiv w:val="1"/>
      <w:marLeft w:val="0"/>
      <w:marRight w:val="0"/>
      <w:marTop w:val="0"/>
      <w:marBottom w:val="0"/>
      <w:divBdr>
        <w:top w:val="none" w:sz="0" w:space="0" w:color="auto"/>
        <w:left w:val="none" w:sz="0" w:space="0" w:color="auto"/>
        <w:bottom w:val="none" w:sz="0" w:space="0" w:color="auto"/>
        <w:right w:val="none" w:sz="0" w:space="0" w:color="auto"/>
      </w:divBdr>
    </w:div>
    <w:div w:id="1549688323">
      <w:bodyDiv w:val="1"/>
      <w:marLeft w:val="0"/>
      <w:marRight w:val="0"/>
      <w:marTop w:val="0"/>
      <w:marBottom w:val="0"/>
      <w:divBdr>
        <w:top w:val="none" w:sz="0" w:space="0" w:color="auto"/>
        <w:left w:val="none" w:sz="0" w:space="0" w:color="auto"/>
        <w:bottom w:val="none" w:sz="0" w:space="0" w:color="auto"/>
        <w:right w:val="none" w:sz="0" w:space="0" w:color="auto"/>
      </w:divBdr>
    </w:div>
    <w:div w:id="1618371109">
      <w:bodyDiv w:val="1"/>
      <w:marLeft w:val="0"/>
      <w:marRight w:val="0"/>
      <w:marTop w:val="0"/>
      <w:marBottom w:val="0"/>
      <w:divBdr>
        <w:top w:val="none" w:sz="0" w:space="0" w:color="auto"/>
        <w:left w:val="none" w:sz="0" w:space="0" w:color="auto"/>
        <w:bottom w:val="none" w:sz="0" w:space="0" w:color="auto"/>
        <w:right w:val="none" w:sz="0" w:space="0" w:color="auto"/>
      </w:divBdr>
    </w:div>
    <w:div w:id="1633055335">
      <w:bodyDiv w:val="1"/>
      <w:marLeft w:val="0"/>
      <w:marRight w:val="0"/>
      <w:marTop w:val="0"/>
      <w:marBottom w:val="0"/>
      <w:divBdr>
        <w:top w:val="none" w:sz="0" w:space="0" w:color="auto"/>
        <w:left w:val="none" w:sz="0" w:space="0" w:color="auto"/>
        <w:bottom w:val="none" w:sz="0" w:space="0" w:color="auto"/>
        <w:right w:val="none" w:sz="0" w:space="0" w:color="auto"/>
      </w:divBdr>
    </w:div>
    <w:div w:id="1637490664">
      <w:bodyDiv w:val="1"/>
      <w:marLeft w:val="0"/>
      <w:marRight w:val="0"/>
      <w:marTop w:val="0"/>
      <w:marBottom w:val="0"/>
      <w:divBdr>
        <w:top w:val="none" w:sz="0" w:space="0" w:color="auto"/>
        <w:left w:val="none" w:sz="0" w:space="0" w:color="auto"/>
        <w:bottom w:val="none" w:sz="0" w:space="0" w:color="auto"/>
        <w:right w:val="none" w:sz="0" w:space="0" w:color="auto"/>
      </w:divBdr>
    </w:div>
    <w:div w:id="1777090923">
      <w:bodyDiv w:val="1"/>
      <w:marLeft w:val="0"/>
      <w:marRight w:val="0"/>
      <w:marTop w:val="0"/>
      <w:marBottom w:val="0"/>
      <w:divBdr>
        <w:top w:val="none" w:sz="0" w:space="0" w:color="auto"/>
        <w:left w:val="none" w:sz="0" w:space="0" w:color="auto"/>
        <w:bottom w:val="none" w:sz="0" w:space="0" w:color="auto"/>
        <w:right w:val="none" w:sz="0" w:space="0" w:color="auto"/>
      </w:divBdr>
    </w:div>
    <w:div w:id="1782065702">
      <w:bodyDiv w:val="1"/>
      <w:marLeft w:val="0"/>
      <w:marRight w:val="0"/>
      <w:marTop w:val="0"/>
      <w:marBottom w:val="0"/>
      <w:divBdr>
        <w:top w:val="none" w:sz="0" w:space="0" w:color="auto"/>
        <w:left w:val="none" w:sz="0" w:space="0" w:color="auto"/>
        <w:bottom w:val="none" w:sz="0" w:space="0" w:color="auto"/>
        <w:right w:val="none" w:sz="0" w:space="0" w:color="auto"/>
      </w:divBdr>
    </w:div>
    <w:div w:id="1784811434">
      <w:bodyDiv w:val="1"/>
      <w:marLeft w:val="0"/>
      <w:marRight w:val="0"/>
      <w:marTop w:val="0"/>
      <w:marBottom w:val="0"/>
      <w:divBdr>
        <w:top w:val="none" w:sz="0" w:space="0" w:color="auto"/>
        <w:left w:val="none" w:sz="0" w:space="0" w:color="auto"/>
        <w:bottom w:val="none" w:sz="0" w:space="0" w:color="auto"/>
        <w:right w:val="none" w:sz="0" w:space="0" w:color="auto"/>
      </w:divBdr>
    </w:div>
    <w:div w:id="1878273157">
      <w:bodyDiv w:val="1"/>
      <w:marLeft w:val="0"/>
      <w:marRight w:val="0"/>
      <w:marTop w:val="0"/>
      <w:marBottom w:val="0"/>
      <w:divBdr>
        <w:top w:val="none" w:sz="0" w:space="0" w:color="auto"/>
        <w:left w:val="none" w:sz="0" w:space="0" w:color="auto"/>
        <w:bottom w:val="none" w:sz="0" w:space="0" w:color="auto"/>
        <w:right w:val="none" w:sz="0" w:space="0" w:color="auto"/>
      </w:divBdr>
    </w:div>
    <w:div w:id="1912159851">
      <w:bodyDiv w:val="1"/>
      <w:marLeft w:val="0"/>
      <w:marRight w:val="0"/>
      <w:marTop w:val="0"/>
      <w:marBottom w:val="0"/>
      <w:divBdr>
        <w:top w:val="none" w:sz="0" w:space="0" w:color="auto"/>
        <w:left w:val="none" w:sz="0" w:space="0" w:color="auto"/>
        <w:bottom w:val="none" w:sz="0" w:space="0" w:color="auto"/>
        <w:right w:val="none" w:sz="0" w:space="0" w:color="auto"/>
      </w:divBdr>
    </w:div>
    <w:div w:id="1941989793">
      <w:bodyDiv w:val="1"/>
      <w:marLeft w:val="0"/>
      <w:marRight w:val="0"/>
      <w:marTop w:val="0"/>
      <w:marBottom w:val="0"/>
      <w:divBdr>
        <w:top w:val="none" w:sz="0" w:space="0" w:color="auto"/>
        <w:left w:val="none" w:sz="0" w:space="0" w:color="auto"/>
        <w:bottom w:val="none" w:sz="0" w:space="0" w:color="auto"/>
        <w:right w:val="none" w:sz="0" w:space="0" w:color="auto"/>
      </w:divBdr>
    </w:div>
    <w:div w:id="1950233037">
      <w:bodyDiv w:val="1"/>
      <w:marLeft w:val="0"/>
      <w:marRight w:val="0"/>
      <w:marTop w:val="0"/>
      <w:marBottom w:val="0"/>
      <w:divBdr>
        <w:top w:val="none" w:sz="0" w:space="0" w:color="auto"/>
        <w:left w:val="none" w:sz="0" w:space="0" w:color="auto"/>
        <w:bottom w:val="none" w:sz="0" w:space="0" w:color="auto"/>
        <w:right w:val="none" w:sz="0" w:space="0" w:color="auto"/>
      </w:divBdr>
    </w:div>
    <w:div w:id="1957329679">
      <w:bodyDiv w:val="1"/>
      <w:marLeft w:val="0"/>
      <w:marRight w:val="0"/>
      <w:marTop w:val="0"/>
      <w:marBottom w:val="0"/>
      <w:divBdr>
        <w:top w:val="none" w:sz="0" w:space="0" w:color="auto"/>
        <w:left w:val="none" w:sz="0" w:space="0" w:color="auto"/>
        <w:bottom w:val="none" w:sz="0" w:space="0" w:color="auto"/>
        <w:right w:val="none" w:sz="0" w:space="0" w:color="auto"/>
      </w:divBdr>
    </w:div>
    <w:div w:id="1998872796">
      <w:bodyDiv w:val="1"/>
      <w:marLeft w:val="0"/>
      <w:marRight w:val="0"/>
      <w:marTop w:val="0"/>
      <w:marBottom w:val="0"/>
      <w:divBdr>
        <w:top w:val="none" w:sz="0" w:space="0" w:color="auto"/>
        <w:left w:val="none" w:sz="0" w:space="0" w:color="auto"/>
        <w:bottom w:val="none" w:sz="0" w:space="0" w:color="auto"/>
        <w:right w:val="none" w:sz="0" w:space="0" w:color="auto"/>
      </w:divBdr>
    </w:div>
    <w:div w:id="2030058255">
      <w:bodyDiv w:val="1"/>
      <w:marLeft w:val="0"/>
      <w:marRight w:val="0"/>
      <w:marTop w:val="0"/>
      <w:marBottom w:val="0"/>
      <w:divBdr>
        <w:top w:val="none" w:sz="0" w:space="0" w:color="auto"/>
        <w:left w:val="none" w:sz="0" w:space="0" w:color="auto"/>
        <w:bottom w:val="none" w:sz="0" w:space="0" w:color="auto"/>
        <w:right w:val="none" w:sz="0" w:space="0" w:color="auto"/>
      </w:divBdr>
    </w:div>
    <w:div w:id="2052682369">
      <w:bodyDiv w:val="1"/>
      <w:marLeft w:val="0"/>
      <w:marRight w:val="0"/>
      <w:marTop w:val="0"/>
      <w:marBottom w:val="0"/>
      <w:divBdr>
        <w:top w:val="none" w:sz="0" w:space="0" w:color="auto"/>
        <w:left w:val="none" w:sz="0" w:space="0" w:color="auto"/>
        <w:bottom w:val="none" w:sz="0" w:space="0" w:color="auto"/>
        <w:right w:val="none" w:sz="0" w:space="0" w:color="auto"/>
      </w:divBdr>
    </w:div>
    <w:div w:id="2098792524">
      <w:bodyDiv w:val="1"/>
      <w:marLeft w:val="0"/>
      <w:marRight w:val="0"/>
      <w:marTop w:val="0"/>
      <w:marBottom w:val="0"/>
      <w:divBdr>
        <w:top w:val="none" w:sz="0" w:space="0" w:color="auto"/>
        <w:left w:val="none" w:sz="0" w:space="0" w:color="auto"/>
        <w:bottom w:val="none" w:sz="0" w:space="0" w:color="auto"/>
        <w:right w:val="none" w:sz="0" w:space="0" w:color="auto"/>
      </w:divBdr>
    </w:div>
    <w:div w:id="2099449048">
      <w:bodyDiv w:val="1"/>
      <w:marLeft w:val="0"/>
      <w:marRight w:val="0"/>
      <w:marTop w:val="0"/>
      <w:marBottom w:val="0"/>
      <w:divBdr>
        <w:top w:val="none" w:sz="0" w:space="0" w:color="auto"/>
        <w:left w:val="none" w:sz="0" w:space="0" w:color="auto"/>
        <w:bottom w:val="none" w:sz="0" w:space="0" w:color="auto"/>
        <w:right w:val="none" w:sz="0" w:space="0" w:color="auto"/>
      </w:divBdr>
    </w:div>
    <w:div w:id="2112703935">
      <w:bodyDiv w:val="1"/>
      <w:marLeft w:val="0"/>
      <w:marRight w:val="0"/>
      <w:marTop w:val="0"/>
      <w:marBottom w:val="0"/>
      <w:divBdr>
        <w:top w:val="none" w:sz="0" w:space="0" w:color="auto"/>
        <w:left w:val="none" w:sz="0" w:space="0" w:color="auto"/>
        <w:bottom w:val="none" w:sz="0" w:space="0" w:color="auto"/>
        <w:right w:val="none" w:sz="0" w:space="0" w:color="auto"/>
      </w:divBdr>
    </w:div>
    <w:div w:id="2114594681">
      <w:bodyDiv w:val="1"/>
      <w:marLeft w:val="0"/>
      <w:marRight w:val="0"/>
      <w:marTop w:val="0"/>
      <w:marBottom w:val="0"/>
      <w:divBdr>
        <w:top w:val="none" w:sz="0" w:space="0" w:color="auto"/>
        <w:left w:val="none" w:sz="0" w:space="0" w:color="auto"/>
        <w:bottom w:val="none" w:sz="0" w:space="0" w:color="auto"/>
        <w:right w:val="none" w:sz="0" w:space="0" w:color="auto"/>
      </w:divBdr>
    </w:div>
    <w:div w:id="2136871396">
      <w:bodyDiv w:val="1"/>
      <w:marLeft w:val="0"/>
      <w:marRight w:val="0"/>
      <w:marTop w:val="0"/>
      <w:marBottom w:val="0"/>
      <w:divBdr>
        <w:top w:val="none" w:sz="0" w:space="0" w:color="auto"/>
        <w:left w:val="none" w:sz="0" w:space="0" w:color="auto"/>
        <w:bottom w:val="none" w:sz="0" w:space="0" w:color="auto"/>
        <w:right w:val="none" w:sz="0" w:space="0" w:color="auto"/>
      </w:divBdr>
    </w:div>
    <w:div w:id="2138571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customXml" Target="../customXml/item13.xml"/><Relationship Id="rId18" Type="http://schemas.openxmlformats.org/officeDocument/2006/relationships/customXml" Target="../customXml/item18.xml"/><Relationship Id="rId26" Type="http://schemas.openxmlformats.org/officeDocument/2006/relationships/customXml" Target="../customXml/item26.xml"/><Relationship Id="rId39" Type="http://schemas.openxmlformats.org/officeDocument/2006/relationships/footnotes" Target="footnotes.xml"/><Relationship Id="rId21" Type="http://schemas.openxmlformats.org/officeDocument/2006/relationships/customXml" Target="../customXml/item21.xml"/><Relationship Id="rId34" Type="http://schemas.openxmlformats.org/officeDocument/2006/relationships/customXml" Target="../customXml/item34.xml"/><Relationship Id="rId42" Type="http://schemas.openxmlformats.org/officeDocument/2006/relationships/hyperlink" Target="mailto:CNVnotificaciones@fcagroup.com.ar" TargetMode="External"/><Relationship Id="rId47" Type="http://schemas.openxmlformats.org/officeDocument/2006/relationships/hyperlink" Target="http://WWW.CNV.GOB.AR" TargetMode="External"/><Relationship Id="rId50" Type="http://schemas.openxmlformats.org/officeDocument/2006/relationships/hyperlink" Target="http://www.infoleg.gov.ar" TargetMode="External"/><Relationship Id="rId55" Type="http://schemas.openxmlformats.org/officeDocument/2006/relationships/footer" Target="footer2.xml"/><Relationship Id="rId7" Type="http://schemas.openxmlformats.org/officeDocument/2006/relationships/customXml" Target="../customXml/item7.xml"/><Relationship Id="rId12" Type="http://schemas.openxmlformats.org/officeDocument/2006/relationships/customXml" Target="../customXml/item12.xml"/><Relationship Id="rId17" Type="http://schemas.openxmlformats.org/officeDocument/2006/relationships/customXml" Target="../customXml/item17.xml"/><Relationship Id="rId25" Type="http://schemas.openxmlformats.org/officeDocument/2006/relationships/customXml" Target="../customXml/item25.xml"/><Relationship Id="rId33" Type="http://schemas.openxmlformats.org/officeDocument/2006/relationships/customXml" Target="../customXml/item33.xml"/><Relationship Id="rId38" Type="http://schemas.openxmlformats.org/officeDocument/2006/relationships/webSettings" Target="webSettings.xml"/><Relationship Id="rId46" Type="http://schemas.openxmlformats.org/officeDocument/2006/relationships/oleObject" Target="embeddings/oleObject1.bin"/><Relationship Id="rId59"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customXml" Target="../customXml/item16.xml"/><Relationship Id="rId20" Type="http://schemas.openxmlformats.org/officeDocument/2006/relationships/customXml" Target="../customXml/item20.xml"/><Relationship Id="rId29" Type="http://schemas.openxmlformats.org/officeDocument/2006/relationships/customXml" Target="../customXml/item29.xml"/><Relationship Id="rId41" Type="http://schemas.openxmlformats.org/officeDocument/2006/relationships/image" Target="media/image1.jpeg"/><Relationship Id="rId54"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customXml" Target="../customXml/item11.xml"/><Relationship Id="rId24" Type="http://schemas.openxmlformats.org/officeDocument/2006/relationships/customXml" Target="../customXml/item24.xml"/><Relationship Id="rId32" Type="http://schemas.openxmlformats.org/officeDocument/2006/relationships/customXml" Target="../customXml/item32.xml"/><Relationship Id="rId37" Type="http://schemas.openxmlformats.org/officeDocument/2006/relationships/settings" Target="settings.xml"/><Relationship Id="rId40" Type="http://schemas.openxmlformats.org/officeDocument/2006/relationships/endnotes" Target="endnotes.xml"/><Relationship Id="rId45" Type="http://schemas.openxmlformats.org/officeDocument/2006/relationships/image" Target="media/image3.png"/><Relationship Id="rId53" Type="http://schemas.openxmlformats.org/officeDocument/2006/relationships/header" Target="header1.xml"/><Relationship Id="rId58"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customXml" Target="../customXml/item15.xml"/><Relationship Id="rId23" Type="http://schemas.openxmlformats.org/officeDocument/2006/relationships/customXml" Target="../customXml/item23.xml"/><Relationship Id="rId28" Type="http://schemas.openxmlformats.org/officeDocument/2006/relationships/customXml" Target="../customXml/item28.xml"/><Relationship Id="rId36" Type="http://schemas.openxmlformats.org/officeDocument/2006/relationships/styles" Target="styles.xml"/><Relationship Id="rId49" Type="http://schemas.openxmlformats.org/officeDocument/2006/relationships/hyperlink" Target="http://www.minhacienda.gob.ar/" TargetMode="External"/><Relationship Id="rId57" Type="http://schemas.openxmlformats.org/officeDocument/2006/relationships/footer" Target="footer3.xml"/><Relationship Id="rId10" Type="http://schemas.openxmlformats.org/officeDocument/2006/relationships/customXml" Target="../customXml/item10.xml"/><Relationship Id="rId19" Type="http://schemas.openxmlformats.org/officeDocument/2006/relationships/customXml" Target="../customXml/item19.xml"/><Relationship Id="rId31" Type="http://schemas.openxmlformats.org/officeDocument/2006/relationships/customXml" Target="../customXml/item31.xml"/><Relationship Id="rId44" Type="http://schemas.openxmlformats.org/officeDocument/2006/relationships/image" Target="media/image2.jpeg"/><Relationship Id="rId52" Type="http://schemas.openxmlformats.org/officeDocument/2006/relationships/hyperlink" Target="http://www.afip.gob.ar/jurisdiccionesCooperantes/" TargetMode="Externa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customXml" Target="../customXml/item14.xml"/><Relationship Id="rId22" Type="http://schemas.openxmlformats.org/officeDocument/2006/relationships/customXml" Target="../customXml/item22.xml"/><Relationship Id="rId27" Type="http://schemas.openxmlformats.org/officeDocument/2006/relationships/customXml" Target="../customXml/item27.xml"/><Relationship Id="rId30" Type="http://schemas.openxmlformats.org/officeDocument/2006/relationships/customXml" Target="../customXml/item30.xml"/><Relationship Id="rId35" Type="http://schemas.openxmlformats.org/officeDocument/2006/relationships/numbering" Target="numbering.xml"/><Relationship Id="rId43" Type="http://schemas.openxmlformats.org/officeDocument/2006/relationships/hyperlink" Target="http://www.cnv.gov.ar" TargetMode="External"/><Relationship Id="rId48" Type="http://schemas.openxmlformats.org/officeDocument/2006/relationships/hyperlink" Target="http://www.cnv.gov.ar" TargetMode="External"/><Relationship Id="rId56" Type="http://schemas.openxmlformats.org/officeDocument/2006/relationships/header" Target="header2.xml"/><Relationship Id="rId8" Type="http://schemas.openxmlformats.org/officeDocument/2006/relationships/customXml" Target="../customXml/item8.xml"/><Relationship Id="rId51" Type="http://schemas.openxmlformats.org/officeDocument/2006/relationships/hyperlink" Target="http://www.bcra.gov.ar" TargetMode="External"/><Relationship Id="rId3" Type="http://schemas.openxmlformats.org/officeDocument/2006/relationships/customXml" Target="../customXml/item3.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17.xml.rels><?xml version="1.0" encoding="UTF-8" standalone="yes"?>
<Relationships xmlns="http://schemas.openxmlformats.org/package/2006/relationships"><Relationship Id="rId1" Type="http://schemas.openxmlformats.org/officeDocument/2006/relationships/customXmlProps" Target="itemProps17.xml"/></Relationships>
</file>

<file path=customXml/_rels/item18.xml.rels><?xml version="1.0" encoding="UTF-8" standalone="yes"?>
<Relationships xmlns="http://schemas.openxmlformats.org/package/2006/relationships"><Relationship Id="rId1" Type="http://schemas.openxmlformats.org/officeDocument/2006/relationships/customXmlProps" Target="itemProps18.xml"/></Relationships>
</file>

<file path=customXml/_rels/item19.xml.rels><?xml version="1.0" encoding="UTF-8" standalone="yes"?>
<Relationships xmlns="http://schemas.openxmlformats.org/package/2006/relationships"><Relationship Id="rId1" Type="http://schemas.openxmlformats.org/officeDocument/2006/relationships/customXmlProps" Target="itemProps19.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20.xml.rels><?xml version="1.0" encoding="UTF-8" standalone="yes"?>
<Relationships xmlns="http://schemas.openxmlformats.org/package/2006/relationships"><Relationship Id="rId1" Type="http://schemas.openxmlformats.org/officeDocument/2006/relationships/customXmlProps" Target="itemProps20.xml"/></Relationships>
</file>

<file path=customXml/_rels/item21.xml.rels><?xml version="1.0" encoding="UTF-8" standalone="yes"?>
<Relationships xmlns="http://schemas.openxmlformats.org/package/2006/relationships"><Relationship Id="rId1" Type="http://schemas.openxmlformats.org/officeDocument/2006/relationships/customXmlProps" Target="itemProps21.xml"/></Relationships>
</file>

<file path=customXml/_rels/item22.xml.rels><?xml version="1.0" encoding="UTF-8" standalone="yes"?>
<Relationships xmlns="http://schemas.openxmlformats.org/package/2006/relationships"><Relationship Id="rId1" Type="http://schemas.openxmlformats.org/officeDocument/2006/relationships/customXmlProps" Target="itemProps22.xml"/></Relationships>
</file>

<file path=customXml/_rels/item23.xml.rels><?xml version="1.0" encoding="UTF-8" standalone="yes"?>
<Relationships xmlns="http://schemas.openxmlformats.org/package/2006/relationships"><Relationship Id="rId1" Type="http://schemas.openxmlformats.org/officeDocument/2006/relationships/customXmlProps" Target="itemProps23.xml"/></Relationships>
</file>

<file path=customXml/_rels/item24.xml.rels><?xml version="1.0" encoding="UTF-8" standalone="yes"?>
<Relationships xmlns="http://schemas.openxmlformats.org/package/2006/relationships"><Relationship Id="rId1" Type="http://schemas.openxmlformats.org/officeDocument/2006/relationships/customXmlProps" Target="itemProps24.xml"/></Relationships>
</file>

<file path=customXml/_rels/item25.xml.rels><?xml version="1.0" encoding="UTF-8" standalone="yes"?>
<Relationships xmlns="http://schemas.openxmlformats.org/package/2006/relationships"><Relationship Id="rId1" Type="http://schemas.openxmlformats.org/officeDocument/2006/relationships/customXmlProps" Target="itemProps25.xml"/></Relationships>
</file>

<file path=customXml/_rels/item26.xml.rels><?xml version="1.0" encoding="UTF-8" standalone="yes"?>
<Relationships xmlns="http://schemas.openxmlformats.org/package/2006/relationships"><Relationship Id="rId1" Type="http://schemas.openxmlformats.org/officeDocument/2006/relationships/customXmlProps" Target="itemProps26.xml"/></Relationships>
</file>

<file path=customXml/_rels/item27.xml.rels><?xml version="1.0" encoding="UTF-8" standalone="yes"?>
<Relationships xmlns="http://schemas.openxmlformats.org/package/2006/relationships"><Relationship Id="rId1" Type="http://schemas.openxmlformats.org/officeDocument/2006/relationships/customXmlProps" Target="itemProps27.xml"/></Relationships>
</file>

<file path=customXml/_rels/item28.xml.rels><?xml version="1.0" encoding="UTF-8" standalone="yes"?>
<Relationships xmlns="http://schemas.openxmlformats.org/package/2006/relationships"><Relationship Id="rId1" Type="http://schemas.openxmlformats.org/officeDocument/2006/relationships/customXmlProps" Target="itemProps28.xml"/></Relationships>
</file>

<file path=customXml/_rels/item29.xml.rels><?xml version="1.0" encoding="UTF-8" standalone="yes"?>
<Relationships xmlns="http://schemas.openxmlformats.org/package/2006/relationships"><Relationship Id="rId1" Type="http://schemas.openxmlformats.org/officeDocument/2006/relationships/customXmlProps" Target="itemProps29.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30.xml.rels><?xml version="1.0" encoding="UTF-8" standalone="yes"?>
<Relationships xmlns="http://schemas.openxmlformats.org/package/2006/relationships"><Relationship Id="rId1" Type="http://schemas.openxmlformats.org/officeDocument/2006/relationships/customXmlProps" Target="itemProps30.xml"/></Relationships>
</file>

<file path=customXml/_rels/item31.xml.rels><?xml version="1.0" encoding="UTF-8" standalone="yes"?>
<Relationships xmlns="http://schemas.openxmlformats.org/package/2006/relationships"><Relationship Id="rId1" Type="http://schemas.openxmlformats.org/officeDocument/2006/relationships/customXmlProps" Target="itemProps31.xml"/></Relationships>
</file>

<file path=customXml/_rels/item32.xml.rels><?xml version="1.0" encoding="UTF-8" standalone="yes"?>
<Relationships xmlns="http://schemas.openxmlformats.org/package/2006/relationships"><Relationship Id="rId1" Type="http://schemas.openxmlformats.org/officeDocument/2006/relationships/customXmlProps" Target="itemProps32.xml"/></Relationships>
</file>

<file path=customXml/_rels/item33.xml.rels><?xml version="1.0" encoding="UTF-8" standalone="yes"?>
<Relationships xmlns="http://schemas.openxmlformats.org/package/2006/relationships"><Relationship Id="rId1" Type="http://schemas.openxmlformats.org/officeDocument/2006/relationships/customXmlProps" Target="itemProps33.xml"/></Relationships>
</file>

<file path=customXml/_rels/item34.xml.rels><?xml version="1.0" encoding="UTF-8" standalone="yes"?>
<Relationships xmlns="http://schemas.openxmlformats.org/package/2006/relationships"><Relationship Id="rId1" Type="http://schemas.openxmlformats.org/officeDocument/2006/relationships/customXmlProps" Target="itemProps34.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10.xml><?xml version="1.0" encoding="utf-8"?>
<b:Sources xmlns:b="http://schemas.openxmlformats.org/officeDocument/2006/bibliography" xmlns="http://schemas.openxmlformats.org/officeDocument/2006/bibliography" SelectedStyle="\APA.XSL" StyleName="APA Fifth Edition"/>
</file>

<file path=customXml/item11.xml><?xml version="1.0" encoding="utf-8"?>
<b:Sources xmlns:b="http://schemas.openxmlformats.org/officeDocument/2006/bibliography" xmlns="http://schemas.openxmlformats.org/officeDocument/2006/bibliography" SelectedStyle="\APA.XSL" StyleName="APA Fifth Edition"/>
</file>

<file path=customXml/item12.xml><?xml version="1.0" encoding="utf-8"?>
<b:Sources xmlns:b="http://schemas.openxmlformats.org/officeDocument/2006/bibliography" xmlns="http://schemas.openxmlformats.org/officeDocument/2006/bibliography" SelectedStyle="\APA.XSL" StyleName="APA Fifth Edition"/>
</file>

<file path=customXml/item13.xml><?xml version="1.0" encoding="utf-8"?>
<b:Sources xmlns:b="http://schemas.openxmlformats.org/officeDocument/2006/bibliography" xmlns="http://schemas.openxmlformats.org/officeDocument/2006/bibliography" SelectedStyle="\APA.XSL" StyleName="APA Fifth Edition"/>
</file>

<file path=customXml/item14.xml><?xml version="1.0" encoding="utf-8"?>
<b:Sources xmlns:b="http://schemas.openxmlformats.org/officeDocument/2006/bibliography" xmlns="http://schemas.openxmlformats.org/officeDocument/2006/bibliography" SelectedStyle="\APA.XSL" StyleName="APA Fifth Edition"/>
</file>

<file path=customXml/item15.xml><?xml version="1.0" encoding="utf-8"?>
<b:Sources xmlns:b="http://schemas.openxmlformats.org/officeDocument/2006/bibliography" xmlns="http://schemas.openxmlformats.org/officeDocument/2006/bibliography" SelectedStyle="\APA.XSL" StyleName="APA Fifth Edition"/>
</file>

<file path=customXml/item16.xml><?xml version="1.0" encoding="utf-8"?>
<b:Sources xmlns:b="http://schemas.openxmlformats.org/officeDocument/2006/bibliography" xmlns="http://schemas.openxmlformats.org/officeDocument/2006/bibliography" SelectedStyle="\APA.XSL" StyleName="APA Fifth Edition"/>
</file>

<file path=customXml/item17.xml><?xml version="1.0" encoding="utf-8"?>
<b:Sources xmlns:b="http://schemas.openxmlformats.org/officeDocument/2006/bibliography" xmlns="http://schemas.openxmlformats.org/officeDocument/2006/bibliography" SelectedStyle="\APA.XSL" StyleName="APA Fifth Edition"/>
</file>

<file path=customXml/item18.xml><?xml version="1.0" encoding="utf-8"?>
<b:Sources xmlns:b="http://schemas.openxmlformats.org/officeDocument/2006/bibliography" xmlns="http://schemas.openxmlformats.org/officeDocument/2006/bibliography" SelectedStyle="\APA.XSL" StyleName="APA Fifth Edition"/>
</file>

<file path=customXml/item19.xml><?xml version="1.0" encoding="utf-8"?>
<b:Sources xmlns:b="http://schemas.openxmlformats.org/officeDocument/2006/bibliography" xmlns="http://schemas.openxmlformats.org/officeDocument/2006/bibliography" SelectedStyle="\APA.XSL" StyleName="APA Fifth Edition"/>
</file>

<file path=customXml/item2.xml><?xml version="1.0" encoding="utf-8"?>
<b:Sources xmlns:b="http://schemas.openxmlformats.org/officeDocument/2006/bibliography" xmlns="http://schemas.openxmlformats.org/officeDocument/2006/bibliography" SelectedStyle="\APA.XSL" StyleName="APA Fifth Edition"/>
</file>

<file path=customXml/item20.xml><?xml version="1.0" encoding="utf-8"?>
<b:Sources xmlns:b="http://schemas.openxmlformats.org/officeDocument/2006/bibliography" xmlns="http://schemas.openxmlformats.org/officeDocument/2006/bibliography" SelectedStyle="\APA.XSL" StyleName="APA Fifth Edition"/>
</file>

<file path=customXml/item21.xml><?xml version="1.0" encoding="utf-8"?>
<b:Sources xmlns:b="http://schemas.openxmlformats.org/officeDocument/2006/bibliography" xmlns="http://schemas.openxmlformats.org/officeDocument/2006/bibliography" SelectedStyle="\APA.XSL" StyleName="APA Fifth Edition"/>
</file>

<file path=customXml/item22.xml><?xml version="1.0" encoding="utf-8"?>
<b:Sources xmlns:b="http://schemas.openxmlformats.org/officeDocument/2006/bibliography" xmlns="http://schemas.openxmlformats.org/officeDocument/2006/bibliography" SelectedStyle="\APA.XSL" StyleName="APA Fifth Edition"/>
</file>

<file path=customXml/item23.xml><?xml version="1.0" encoding="utf-8"?>
<b:Sources xmlns:b="http://schemas.openxmlformats.org/officeDocument/2006/bibliography" xmlns="http://schemas.openxmlformats.org/officeDocument/2006/bibliography" SelectedStyle="\APA.XSL" StyleName="APA Fifth Edition"/>
</file>

<file path=customXml/item24.xml><?xml version="1.0" encoding="utf-8"?>
<b:Sources xmlns:b="http://schemas.openxmlformats.org/officeDocument/2006/bibliography" xmlns="http://schemas.openxmlformats.org/officeDocument/2006/bibliography" SelectedStyle="\APA.XSL" StyleName="APA Fifth Edition"/>
</file>

<file path=customXml/item25.xml><?xml version="1.0" encoding="utf-8"?>
<b:Sources xmlns:b="http://schemas.openxmlformats.org/officeDocument/2006/bibliography" xmlns="http://schemas.openxmlformats.org/officeDocument/2006/bibliography" SelectedStyle="\APA.XSL" StyleName="APA Fifth Edition"/>
</file>

<file path=customXml/item26.xml><?xml version="1.0" encoding="utf-8"?>
<b:Sources xmlns:b="http://schemas.openxmlformats.org/officeDocument/2006/bibliography" xmlns="http://schemas.openxmlformats.org/officeDocument/2006/bibliography" SelectedStyle="\APA.XSL" StyleName="APA Fifth Edition"/>
</file>

<file path=customXml/item27.xml><?xml version="1.0" encoding="utf-8"?>
<b:Sources xmlns:b="http://schemas.openxmlformats.org/officeDocument/2006/bibliography" xmlns="http://schemas.openxmlformats.org/officeDocument/2006/bibliography" SelectedStyle="\APA.XSL" StyleName="APA Fifth Edition"/>
</file>

<file path=customXml/item28.xml><?xml version="1.0" encoding="utf-8"?>
<b:Sources xmlns:b="http://schemas.openxmlformats.org/officeDocument/2006/bibliography" xmlns="http://schemas.openxmlformats.org/officeDocument/2006/bibliography" SelectedStyle="\APA.XSL" StyleName="APA Fifth Edition"/>
</file>

<file path=customXml/item29.xml><?xml version="1.0" encoding="utf-8"?>
<b:Sources xmlns:b="http://schemas.openxmlformats.org/officeDocument/2006/bibliography" xmlns="http://schemas.openxmlformats.org/officeDocument/2006/bibliography" SelectedStyle="\APA.XSL" StyleName="APA Fifth Edition"/>
</file>

<file path=customXml/item3.xml><?xml version="1.0" encoding="utf-8"?>
<b:Sources xmlns:b="http://schemas.openxmlformats.org/officeDocument/2006/bibliography" xmlns="http://schemas.openxmlformats.org/officeDocument/2006/bibliography" SelectedStyle="\APA.XSL" StyleName="APA Fifth Edition"/>
</file>

<file path=customXml/item30.xml><?xml version="1.0" encoding="utf-8"?>
<b:Sources xmlns:b="http://schemas.openxmlformats.org/officeDocument/2006/bibliography" xmlns="http://schemas.openxmlformats.org/officeDocument/2006/bibliography" SelectedStyle="\APA.XSL" StyleName="APA Fifth Edition"/>
</file>

<file path=customXml/item31.xml><?xml version="1.0" encoding="utf-8"?>
<b:Sources xmlns:b="http://schemas.openxmlformats.org/officeDocument/2006/bibliography" xmlns="http://schemas.openxmlformats.org/officeDocument/2006/bibliography" SelectedStyle="\APA.XSL" StyleName="APA Fifth Edition"/>
</file>

<file path=customXml/item32.xml><?xml version="1.0" encoding="utf-8"?>
<b:Sources xmlns:b="http://schemas.openxmlformats.org/officeDocument/2006/bibliography" xmlns="http://schemas.openxmlformats.org/officeDocument/2006/bibliography" SelectedStyle="\APA.XSL" StyleName="APA Fifth Edition"/>
</file>

<file path=customXml/item33.xml><?xml version="1.0" encoding="utf-8"?>
<b:Sources xmlns:b="http://schemas.openxmlformats.org/officeDocument/2006/bibliography" xmlns="http://schemas.openxmlformats.org/officeDocument/2006/bibliography" SelectedStyle="\APA.XSL" StyleName="APA Fifth Edition"/>
</file>

<file path=customXml/item34.xml><?xml version="1.0" encoding="utf-8"?>
<b:Sources xmlns:b="http://schemas.openxmlformats.org/officeDocument/2006/bibliography" xmlns="http://schemas.openxmlformats.org/officeDocument/2006/bibliography" SelectedStyle="\APA.XSL" StyleName="APA Fifth Edition"/>
</file>

<file path=customXml/item4.xml><?xml version="1.0" encoding="utf-8"?>
<b:Sources xmlns:b="http://schemas.openxmlformats.org/officeDocument/2006/bibliography" xmlns="http://schemas.openxmlformats.org/officeDocument/2006/bibliography" SelectedStyle="\APA.XSL" StyleName="APA Fifth Edition"/>
</file>

<file path=customXml/item5.xml><?xml version="1.0" encoding="utf-8"?>
<b:Sources xmlns:b="http://schemas.openxmlformats.org/officeDocument/2006/bibliography" xmlns="http://schemas.openxmlformats.org/officeDocument/2006/bibliography" SelectedStyle="\APA.XSL" StyleName="APA Fifth Edition"/>
</file>

<file path=customXml/item6.xml><?xml version="1.0" encoding="utf-8"?>
<b:Sources xmlns:b="http://schemas.openxmlformats.org/officeDocument/2006/bibliography" xmlns="http://schemas.openxmlformats.org/officeDocument/2006/bibliography" SelectedStyle="\APA.XSL" StyleName="APA Fifth Edition"/>
</file>

<file path=customXml/item7.xml><?xml version="1.0" encoding="utf-8"?>
<b:Sources xmlns:b="http://schemas.openxmlformats.org/officeDocument/2006/bibliography" xmlns="http://schemas.openxmlformats.org/officeDocument/2006/bibliography" SelectedStyle="\APA.XSL" StyleName="APA Fifth Edition"/>
</file>

<file path=customXml/item8.xml><?xml version="1.0" encoding="utf-8"?>
<b:Sources xmlns:b="http://schemas.openxmlformats.org/officeDocument/2006/bibliography" xmlns="http://schemas.openxmlformats.org/officeDocument/2006/bibliography" SelectedStyle="\APA.XSL" StyleName="APA Fifth Edition"/>
</file>

<file path=customXml/item9.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AC97216-177E-467F-BF83-1AE5AE60D389}">
  <ds:schemaRefs>
    <ds:schemaRef ds:uri="http://schemas.openxmlformats.org/officeDocument/2006/bibliography"/>
  </ds:schemaRefs>
</ds:datastoreItem>
</file>

<file path=customXml/itemProps10.xml><?xml version="1.0" encoding="utf-8"?>
<ds:datastoreItem xmlns:ds="http://schemas.openxmlformats.org/officeDocument/2006/customXml" ds:itemID="{62DB72DA-19F0-42EE-ABDA-226241F49270}">
  <ds:schemaRefs>
    <ds:schemaRef ds:uri="http://schemas.openxmlformats.org/officeDocument/2006/bibliography"/>
  </ds:schemaRefs>
</ds:datastoreItem>
</file>

<file path=customXml/itemProps11.xml><?xml version="1.0" encoding="utf-8"?>
<ds:datastoreItem xmlns:ds="http://schemas.openxmlformats.org/officeDocument/2006/customXml" ds:itemID="{C964F242-9C36-4139-AC7A-F4592157EAF2}">
  <ds:schemaRefs>
    <ds:schemaRef ds:uri="http://schemas.openxmlformats.org/officeDocument/2006/bibliography"/>
  </ds:schemaRefs>
</ds:datastoreItem>
</file>

<file path=customXml/itemProps12.xml><?xml version="1.0" encoding="utf-8"?>
<ds:datastoreItem xmlns:ds="http://schemas.openxmlformats.org/officeDocument/2006/customXml" ds:itemID="{0148E60E-6C1C-4C2E-9A29-2196E17B72B6}">
  <ds:schemaRefs>
    <ds:schemaRef ds:uri="http://schemas.openxmlformats.org/officeDocument/2006/bibliography"/>
  </ds:schemaRefs>
</ds:datastoreItem>
</file>

<file path=customXml/itemProps13.xml><?xml version="1.0" encoding="utf-8"?>
<ds:datastoreItem xmlns:ds="http://schemas.openxmlformats.org/officeDocument/2006/customXml" ds:itemID="{68841764-5C96-4137-9ACF-8C5A73791E95}">
  <ds:schemaRefs>
    <ds:schemaRef ds:uri="http://schemas.openxmlformats.org/officeDocument/2006/bibliography"/>
  </ds:schemaRefs>
</ds:datastoreItem>
</file>

<file path=customXml/itemProps14.xml><?xml version="1.0" encoding="utf-8"?>
<ds:datastoreItem xmlns:ds="http://schemas.openxmlformats.org/officeDocument/2006/customXml" ds:itemID="{4B60205E-ECC1-4FA8-8DC5-9482BAE71D6F}">
  <ds:schemaRefs>
    <ds:schemaRef ds:uri="http://schemas.openxmlformats.org/officeDocument/2006/bibliography"/>
  </ds:schemaRefs>
</ds:datastoreItem>
</file>

<file path=customXml/itemProps15.xml><?xml version="1.0" encoding="utf-8"?>
<ds:datastoreItem xmlns:ds="http://schemas.openxmlformats.org/officeDocument/2006/customXml" ds:itemID="{BFA9BFB6-E782-46B4-9A66-E7C5CDF15615}">
  <ds:schemaRefs>
    <ds:schemaRef ds:uri="http://schemas.openxmlformats.org/officeDocument/2006/bibliography"/>
  </ds:schemaRefs>
</ds:datastoreItem>
</file>

<file path=customXml/itemProps16.xml><?xml version="1.0" encoding="utf-8"?>
<ds:datastoreItem xmlns:ds="http://schemas.openxmlformats.org/officeDocument/2006/customXml" ds:itemID="{8EFEB04F-A78E-4347-94AE-C34F3841BEEC}">
  <ds:schemaRefs>
    <ds:schemaRef ds:uri="http://schemas.openxmlformats.org/officeDocument/2006/bibliography"/>
  </ds:schemaRefs>
</ds:datastoreItem>
</file>

<file path=customXml/itemProps17.xml><?xml version="1.0" encoding="utf-8"?>
<ds:datastoreItem xmlns:ds="http://schemas.openxmlformats.org/officeDocument/2006/customXml" ds:itemID="{8D043ABF-92B9-4849-AB81-EA416C71959D}">
  <ds:schemaRefs>
    <ds:schemaRef ds:uri="http://schemas.openxmlformats.org/officeDocument/2006/bibliography"/>
  </ds:schemaRefs>
</ds:datastoreItem>
</file>

<file path=customXml/itemProps18.xml><?xml version="1.0" encoding="utf-8"?>
<ds:datastoreItem xmlns:ds="http://schemas.openxmlformats.org/officeDocument/2006/customXml" ds:itemID="{538DD710-31FF-4082-AEB0-E6F915D2FD49}">
  <ds:schemaRefs>
    <ds:schemaRef ds:uri="http://schemas.openxmlformats.org/officeDocument/2006/bibliography"/>
  </ds:schemaRefs>
</ds:datastoreItem>
</file>

<file path=customXml/itemProps19.xml><?xml version="1.0" encoding="utf-8"?>
<ds:datastoreItem xmlns:ds="http://schemas.openxmlformats.org/officeDocument/2006/customXml" ds:itemID="{F4A811AD-2552-4967-A329-FF7CEC6449D4}">
  <ds:schemaRefs>
    <ds:schemaRef ds:uri="http://schemas.openxmlformats.org/officeDocument/2006/bibliography"/>
  </ds:schemaRefs>
</ds:datastoreItem>
</file>

<file path=customXml/itemProps2.xml><?xml version="1.0" encoding="utf-8"?>
<ds:datastoreItem xmlns:ds="http://schemas.openxmlformats.org/officeDocument/2006/customXml" ds:itemID="{8204DB2A-7C3D-4DB9-B62D-4514278D46B8}">
  <ds:schemaRefs>
    <ds:schemaRef ds:uri="http://schemas.openxmlformats.org/officeDocument/2006/bibliography"/>
  </ds:schemaRefs>
</ds:datastoreItem>
</file>

<file path=customXml/itemProps20.xml><?xml version="1.0" encoding="utf-8"?>
<ds:datastoreItem xmlns:ds="http://schemas.openxmlformats.org/officeDocument/2006/customXml" ds:itemID="{86787552-9A47-4480-A314-2477EFD4329E}">
  <ds:schemaRefs>
    <ds:schemaRef ds:uri="http://schemas.openxmlformats.org/officeDocument/2006/bibliography"/>
  </ds:schemaRefs>
</ds:datastoreItem>
</file>

<file path=customXml/itemProps21.xml><?xml version="1.0" encoding="utf-8"?>
<ds:datastoreItem xmlns:ds="http://schemas.openxmlformats.org/officeDocument/2006/customXml" ds:itemID="{EE197C04-868B-46ED-8021-1FD1A2C68B76}">
  <ds:schemaRefs>
    <ds:schemaRef ds:uri="http://schemas.openxmlformats.org/officeDocument/2006/bibliography"/>
  </ds:schemaRefs>
</ds:datastoreItem>
</file>

<file path=customXml/itemProps22.xml><?xml version="1.0" encoding="utf-8"?>
<ds:datastoreItem xmlns:ds="http://schemas.openxmlformats.org/officeDocument/2006/customXml" ds:itemID="{1F908DF0-A8D1-4F13-8A1B-52E9CA5B0966}">
  <ds:schemaRefs>
    <ds:schemaRef ds:uri="http://schemas.openxmlformats.org/officeDocument/2006/bibliography"/>
  </ds:schemaRefs>
</ds:datastoreItem>
</file>

<file path=customXml/itemProps23.xml><?xml version="1.0" encoding="utf-8"?>
<ds:datastoreItem xmlns:ds="http://schemas.openxmlformats.org/officeDocument/2006/customXml" ds:itemID="{BB511535-0BD8-43CE-92A6-3EF378B66FA7}">
  <ds:schemaRefs>
    <ds:schemaRef ds:uri="http://schemas.openxmlformats.org/officeDocument/2006/bibliography"/>
  </ds:schemaRefs>
</ds:datastoreItem>
</file>

<file path=customXml/itemProps24.xml><?xml version="1.0" encoding="utf-8"?>
<ds:datastoreItem xmlns:ds="http://schemas.openxmlformats.org/officeDocument/2006/customXml" ds:itemID="{9E4516AD-4823-47BB-91B5-C8B4853EB4EC}">
  <ds:schemaRefs>
    <ds:schemaRef ds:uri="http://schemas.openxmlformats.org/officeDocument/2006/bibliography"/>
  </ds:schemaRefs>
</ds:datastoreItem>
</file>

<file path=customXml/itemProps25.xml><?xml version="1.0" encoding="utf-8"?>
<ds:datastoreItem xmlns:ds="http://schemas.openxmlformats.org/officeDocument/2006/customXml" ds:itemID="{2810A4C2-C2EF-4BF4-A84D-70A4194753EE}">
  <ds:schemaRefs>
    <ds:schemaRef ds:uri="http://schemas.openxmlformats.org/officeDocument/2006/bibliography"/>
  </ds:schemaRefs>
</ds:datastoreItem>
</file>

<file path=customXml/itemProps26.xml><?xml version="1.0" encoding="utf-8"?>
<ds:datastoreItem xmlns:ds="http://schemas.openxmlformats.org/officeDocument/2006/customXml" ds:itemID="{A21FACE5-57F1-42E7-918C-9AE17B3AADBD}">
  <ds:schemaRefs>
    <ds:schemaRef ds:uri="http://schemas.openxmlformats.org/officeDocument/2006/bibliography"/>
  </ds:schemaRefs>
</ds:datastoreItem>
</file>

<file path=customXml/itemProps27.xml><?xml version="1.0" encoding="utf-8"?>
<ds:datastoreItem xmlns:ds="http://schemas.openxmlformats.org/officeDocument/2006/customXml" ds:itemID="{18ECB455-625A-421A-86FA-63A3A7FC14AF}">
  <ds:schemaRefs>
    <ds:schemaRef ds:uri="http://schemas.openxmlformats.org/officeDocument/2006/bibliography"/>
  </ds:schemaRefs>
</ds:datastoreItem>
</file>

<file path=customXml/itemProps28.xml><?xml version="1.0" encoding="utf-8"?>
<ds:datastoreItem xmlns:ds="http://schemas.openxmlformats.org/officeDocument/2006/customXml" ds:itemID="{BB1F9F31-72BF-4F01-B9BD-B96B68AA2EE9}">
  <ds:schemaRefs>
    <ds:schemaRef ds:uri="http://schemas.openxmlformats.org/officeDocument/2006/bibliography"/>
  </ds:schemaRefs>
</ds:datastoreItem>
</file>

<file path=customXml/itemProps29.xml><?xml version="1.0" encoding="utf-8"?>
<ds:datastoreItem xmlns:ds="http://schemas.openxmlformats.org/officeDocument/2006/customXml" ds:itemID="{1AB3B28E-24F2-4EA2-BCFE-877311A8165D}">
  <ds:schemaRefs>
    <ds:schemaRef ds:uri="http://schemas.openxmlformats.org/officeDocument/2006/bibliography"/>
  </ds:schemaRefs>
</ds:datastoreItem>
</file>

<file path=customXml/itemProps3.xml><?xml version="1.0" encoding="utf-8"?>
<ds:datastoreItem xmlns:ds="http://schemas.openxmlformats.org/officeDocument/2006/customXml" ds:itemID="{F1D9343B-0D87-411F-A860-315D2CAE2241}">
  <ds:schemaRefs>
    <ds:schemaRef ds:uri="http://schemas.openxmlformats.org/officeDocument/2006/bibliography"/>
  </ds:schemaRefs>
</ds:datastoreItem>
</file>

<file path=customXml/itemProps30.xml><?xml version="1.0" encoding="utf-8"?>
<ds:datastoreItem xmlns:ds="http://schemas.openxmlformats.org/officeDocument/2006/customXml" ds:itemID="{E36319C0-8E14-416C-B1EE-906766100BA6}">
  <ds:schemaRefs>
    <ds:schemaRef ds:uri="http://schemas.openxmlformats.org/officeDocument/2006/bibliography"/>
  </ds:schemaRefs>
</ds:datastoreItem>
</file>

<file path=customXml/itemProps31.xml><?xml version="1.0" encoding="utf-8"?>
<ds:datastoreItem xmlns:ds="http://schemas.openxmlformats.org/officeDocument/2006/customXml" ds:itemID="{703D1AAF-E9CA-466E-BF9F-8009417F434C}">
  <ds:schemaRefs>
    <ds:schemaRef ds:uri="http://schemas.openxmlformats.org/officeDocument/2006/bibliography"/>
  </ds:schemaRefs>
</ds:datastoreItem>
</file>

<file path=customXml/itemProps32.xml><?xml version="1.0" encoding="utf-8"?>
<ds:datastoreItem xmlns:ds="http://schemas.openxmlformats.org/officeDocument/2006/customXml" ds:itemID="{8D9CAC2F-CF9E-44DC-A05B-4756215CB506}">
  <ds:schemaRefs>
    <ds:schemaRef ds:uri="http://schemas.openxmlformats.org/officeDocument/2006/bibliography"/>
  </ds:schemaRefs>
</ds:datastoreItem>
</file>

<file path=customXml/itemProps33.xml><?xml version="1.0" encoding="utf-8"?>
<ds:datastoreItem xmlns:ds="http://schemas.openxmlformats.org/officeDocument/2006/customXml" ds:itemID="{8019D1DE-BE76-4CFF-BABE-5DC4F11FE7E1}">
  <ds:schemaRefs>
    <ds:schemaRef ds:uri="http://schemas.openxmlformats.org/officeDocument/2006/bibliography"/>
  </ds:schemaRefs>
</ds:datastoreItem>
</file>

<file path=customXml/itemProps34.xml><?xml version="1.0" encoding="utf-8"?>
<ds:datastoreItem xmlns:ds="http://schemas.openxmlformats.org/officeDocument/2006/customXml" ds:itemID="{A0B7B46C-31A7-4E2B-9F43-48053DCB2BE8}">
  <ds:schemaRefs>
    <ds:schemaRef ds:uri="http://schemas.openxmlformats.org/officeDocument/2006/bibliography"/>
  </ds:schemaRefs>
</ds:datastoreItem>
</file>

<file path=customXml/itemProps4.xml><?xml version="1.0" encoding="utf-8"?>
<ds:datastoreItem xmlns:ds="http://schemas.openxmlformats.org/officeDocument/2006/customXml" ds:itemID="{D0CB8DB2-B6A2-406E-BEA0-51CD0BC99337}">
  <ds:schemaRefs>
    <ds:schemaRef ds:uri="http://schemas.openxmlformats.org/officeDocument/2006/bibliography"/>
  </ds:schemaRefs>
</ds:datastoreItem>
</file>

<file path=customXml/itemProps5.xml><?xml version="1.0" encoding="utf-8"?>
<ds:datastoreItem xmlns:ds="http://schemas.openxmlformats.org/officeDocument/2006/customXml" ds:itemID="{2D5021C4-A5D3-4006-8CD0-2AECE4436E9F}">
  <ds:schemaRefs>
    <ds:schemaRef ds:uri="http://schemas.openxmlformats.org/officeDocument/2006/bibliography"/>
  </ds:schemaRefs>
</ds:datastoreItem>
</file>

<file path=customXml/itemProps6.xml><?xml version="1.0" encoding="utf-8"?>
<ds:datastoreItem xmlns:ds="http://schemas.openxmlformats.org/officeDocument/2006/customXml" ds:itemID="{5CC23697-8DD0-4846-A2BA-E32606D456EE}">
  <ds:schemaRefs>
    <ds:schemaRef ds:uri="http://schemas.openxmlformats.org/officeDocument/2006/bibliography"/>
  </ds:schemaRefs>
</ds:datastoreItem>
</file>

<file path=customXml/itemProps7.xml><?xml version="1.0" encoding="utf-8"?>
<ds:datastoreItem xmlns:ds="http://schemas.openxmlformats.org/officeDocument/2006/customXml" ds:itemID="{A23BF781-320F-4FF6-84D2-0BD7C2CCC445}">
  <ds:schemaRefs>
    <ds:schemaRef ds:uri="http://schemas.openxmlformats.org/officeDocument/2006/bibliography"/>
  </ds:schemaRefs>
</ds:datastoreItem>
</file>

<file path=customXml/itemProps8.xml><?xml version="1.0" encoding="utf-8"?>
<ds:datastoreItem xmlns:ds="http://schemas.openxmlformats.org/officeDocument/2006/customXml" ds:itemID="{91F61EF9-D6FD-4219-8E9C-21992520388F}">
  <ds:schemaRefs>
    <ds:schemaRef ds:uri="http://schemas.openxmlformats.org/officeDocument/2006/bibliography"/>
  </ds:schemaRefs>
</ds:datastoreItem>
</file>

<file path=customXml/itemProps9.xml><?xml version="1.0" encoding="utf-8"?>
<ds:datastoreItem xmlns:ds="http://schemas.openxmlformats.org/officeDocument/2006/customXml" ds:itemID="{1D34E455-4849-4034-AFEF-E73C39FE46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56</Pages>
  <Words>37533</Words>
  <Characters>203552</Characters>
  <Application>Microsoft Office Word</Application>
  <DocSecurity>0</DocSecurity>
  <Lines>1696</Lines>
  <Paragraphs>481</Paragraphs>
  <ScaleCrop>false</ScaleCrop>
  <HeadingPairs>
    <vt:vector size="2" baseType="variant">
      <vt:variant>
        <vt:lpstr>Título</vt:lpstr>
      </vt:variant>
      <vt:variant>
        <vt:i4>1</vt:i4>
      </vt:variant>
    </vt:vector>
  </HeadingPairs>
  <TitlesOfParts>
    <vt:vector size="1" baseType="lpstr">
      <vt:lpstr/>
    </vt:vector>
  </TitlesOfParts>
  <LinksUpToDate>false</LinksUpToDate>
  <CharactersWithSpaces>240604</CharactersWithSpaces>
  <SharedDoc>false</SharedDoc>
  <HLinks>
    <vt:vector size="48" baseType="variant">
      <vt:variant>
        <vt:i4>1638450</vt:i4>
      </vt:variant>
      <vt:variant>
        <vt:i4>44</vt:i4>
      </vt:variant>
      <vt:variant>
        <vt:i4>0</vt:i4>
      </vt:variant>
      <vt:variant>
        <vt:i4>5</vt:i4>
      </vt:variant>
      <vt:variant>
        <vt:lpwstr/>
      </vt:variant>
      <vt:variant>
        <vt:lpwstr>_Toc487022341</vt:lpwstr>
      </vt:variant>
      <vt:variant>
        <vt:i4>1638450</vt:i4>
      </vt:variant>
      <vt:variant>
        <vt:i4>38</vt:i4>
      </vt:variant>
      <vt:variant>
        <vt:i4>0</vt:i4>
      </vt:variant>
      <vt:variant>
        <vt:i4>5</vt:i4>
      </vt:variant>
      <vt:variant>
        <vt:lpwstr/>
      </vt:variant>
      <vt:variant>
        <vt:lpwstr>_Toc487022340</vt:lpwstr>
      </vt:variant>
      <vt:variant>
        <vt:i4>1966130</vt:i4>
      </vt:variant>
      <vt:variant>
        <vt:i4>32</vt:i4>
      </vt:variant>
      <vt:variant>
        <vt:i4>0</vt:i4>
      </vt:variant>
      <vt:variant>
        <vt:i4>5</vt:i4>
      </vt:variant>
      <vt:variant>
        <vt:lpwstr/>
      </vt:variant>
      <vt:variant>
        <vt:lpwstr>_Toc487022339</vt:lpwstr>
      </vt:variant>
      <vt:variant>
        <vt:i4>1966130</vt:i4>
      </vt:variant>
      <vt:variant>
        <vt:i4>26</vt:i4>
      </vt:variant>
      <vt:variant>
        <vt:i4>0</vt:i4>
      </vt:variant>
      <vt:variant>
        <vt:i4>5</vt:i4>
      </vt:variant>
      <vt:variant>
        <vt:lpwstr/>
      </vt:variant>
      <vt:variant>
        <vt:lpwstr>_Toc487022338</vt:lpwstr>
      </vt:variant>
      <vt:variant>
        <vt:i4>1966130</vt:i4>
      </vt:variant>
      <vt:variant>
        <vt:i4>20</vt:i4>
      </vt:variant>
      <vt:variant>
        <vt:i4>0</vt:i4>
      </vt:variant>
      <vt:variant>
        <vt:i4>5</vt:i4>
      </vt:variant>
      <vt:variant>
        <vt:lpwstr/>
      </vt:variant>
      <vt:variant>
        <vt:lpwstr>_Toc487022337</vt:lpwstr>
      </vt:variant>
      <vt:variant>
        <vt:i4>1966130</vt:i4>
      </vt:variant>
      <vt:variant>
        <vt:i4>14</vt:i4>
      </vt:variant>
      <vt:variant>
        <vt:i4>0</vt:i4>
      </vt:variant>
      <vt:variant>
        <vt:i4>5</vt:i4>
      </vt:variant>
      <vt:variant>
        <vt:lpwstr/>
      </vt:variant>
      <vt:variant>
        <vt:lpwstr>_Toc487022335</vt:lpwstr>
      </vt:variant>
      <vt:variant>
        <vt:i4>1966130</vt:i4>
      </vt:variant>
      <vt:variant>
        <vt:i4>8</vt:i4>
      </vt:variant>
      <vt:variant>
        <vt:i4>0</vt:i4>
      </vt:variant>
      <vt:variant>
        <vt:i4>5</vt:i4>
      </vt:variant>
      <vt:variant>
        <vt:lpwstr/>
      </vt:variant>
      <vt:variant>
        <vt:lpwstr>_Toc487022334</vt:lpwstr>
      </vt:variant>
      <vt:variant>
        <vt:i4>1966130</vt:i4>
      </vt:variant>
      <vt:variant>
        <vt:i4>2</vt:i4>
      </vt:variant>
      <vt:variant>
        <vt:i4>0</vt:i4>
      </vt:variant>
      <vt:variant>
        <vt:i4>5</vt:i4>
      </vt:variant>
      <vt:variant>
        <vt:lpwstr/>
      </vt:variant>
      <vt:variant>
        <vt:lpwstr>_Toc487022333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2019-12-06T14:46:00Z</dcterms:created>
  <dcterms:modified xsi:type="dcterms:W3CDTF">2019-12-06T14:58:00Z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ABAAVOAfoSrQoyzmXLtF4nKHvGF5hWzCBqvt40mAy7y43oeq2tDqPGrm76UAyHWNb2gS</vt:lpwstr>
  </property>
  <property fmtid="{D5CDD505-2E9C-101B-9397-08002B2CF9AE}" pid="3" name="RESPONSE_SENDER_NAME">
    <vt:lpwstr>gAAAdya76B99d4hLGUR1rQ+8TxTv0GGEPdix</vt:lpwstr>
  </property>
  <property fmtid="{D5CDD505-2E9C-101B-9397-08002B2CF9AE}" pid="4" name="EMAIL_OWNER_ADDRESS">
    <vt:lpwstr>4AAA4Lxe55UJ0C8aPWsx85TUr7lZZv55gBeRBcBj+mihDKWmXYd6YPeqqA==</vt:lpwstr>
  </property>
  <property fmtid="{D5CDD505-2E9C-101B-9397-08002B2CF9AE}" pid="5" name="MAIL_MSG_ID2">
    <vt:lpwstr>PH2JCmuOTxSmw2JIt77u0LDgo3m/9OzAPiF+85El+72thk+vHJS6Y5UHH6p_x000d_
bebFxI7z2jP61mfhSjZ3ih+HVrwcCAwfLLjUrg==</vt:lpwstr>
  </property>
  <property fmtid="{D5CDD505-2E9C-101B-9397-08002B2CF9AE}" pid="6" name="_DocHome">
    <vt:i4>-1861077830</vt:i4>
  </property>
</Properties>
</file>