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854CD" w14:textId="77777777" w:rsidR="00E11313" w:rsidRPr="00A32A19" w:rsidRDefault="00E11313" w:rsidP="00E11313">
      <w:pPr>
        <w:jc w:val="center"/>
        <w:rPr>
          <w:b/>
        </w:rPr>
      </w:pPr>
      <w:r w:rsidRPr="00A32A19">
        <w:rPr>
          <w:b/>
        </w:rPr>
        <w:t>FCA COMPAÑÍA FINANCIERA S.A.</w:t>
      </w:r>
    </w:p>
    <w:p w14:paraId="3CEA1F61" w14:textId="77777777" w:rsidR="00E11313" w:rsidRPr="00A32A19" w:rsidRDefault="00E11313" w:rsidP="00E11313">
      <w:pPr>
        <w:jc w:val="center"/>
        <w:rPr>
          <w:b/>
        </w:rPr>
      </w:pPr>
    </w:p>
    <w:p w14:paraId="7CC29D15" w14:textId="77777777" w:rsidR="00E11313" w:rsidRPr="00A32A19" w:rsidRDefault="00E11313" w:rsidP="00E11313">
      <w:pPr>
        <w:jc w:val="center"/>
        <w:rPr>
          <w:b/>
        </w:rPr>
      </w:pPr>
    </w:p>
    <w:tbl>
      <w:tblPr>
        <w:tblW w:w="5000" w:type="pct"/>
        <w:tblCellMar>
          <w:left w:w="0" w:type="dxa"/>
          <w:right w:w="0" w:type="dxa"/>
        </w:tblCellMar>
        <w:tblLook w:val="0000" w:firstRow="0" w:lastRow="0" w:firstColumn="0" w:lastColumn="0" w:noHBand="0" w:noVBand="0"/>
      </w:tblPr>
      <w:tblGrid>
        <w:gridCol w:w="6123"/>
      </w:tblGrid>
      <w:tr w:rsidR="00431FC4" w:rsidRPr="00AF50AC" w14:paraId="5427DF92" w14:textId="77777777" w:rsidTr="00C600B7">
        <w:trPr>
          <w:trHeight w:val="20"/>
        </w:trPr>
        <w:tc>
          <w:tcPr>
            <w:tcW w:w="5000" w:type="pct"/>
          </w:tcPr>
          <w:p w14:paraId="302123AC" w14:textId="548E47C1" w:rsidR="00722C21" w:rsidRPr="00057C85" w:rsidRDefault="00E11313" w:rsidP="00722C21">
            <w:pPr>
              <w:widowControl w:val="0"/>
              <w:rPr>
                <w:sz w:val="20"/>
                <w:szCs w:val="20"/>
                <w:lang w:val="es-AR"/>
              </w:rPr>
            </w:pPr>
            <w:r w:rsidRPr="00A32A19">
              <w:t>Se hace saber por un día, en cumplimiento de lo establecido por el artículo 10 de la Ley N° 23.576 y sus modificatorias (la “</w:t>
            </w:r>
            <w:r w:rsidRPr="00A32A19">
              <w:rPr>
                <w:u w:val="single"/>
              </w:rPr>
              <w:t>LON</w:t>
            </w:r>
            <w:r w:rsidRPr="00A32A19">
              <w:t>”), lo siguiente: (a) El Directorio de fecha</w:t>
            </w:r>
            <w:r w:rsidR="00D62BF5">
              <w:t xml:space="preserve"> 3 de diciembre de 2019</w:t>
            </w:r>
            <w:r w:rsidRPr="00A32A19">
              <w:t xml:space="preserve">, </w:t>
            </w:r>
            <w:r w:rsidR="00F335C0">
              <w:t>trató</w:t>
            </w:r>
            <w:r w:rsidRPr="00A32A19">
              <w:t xml:space="preserve"> la emisión de las Obligaciones Negociables Clase X</w:t>
            </w:r>
            <w:r w:rsidR="008475FE">
              <w:t>V</w:t>
            </w:r>
            <w:r w:rsidR="00EF7799">
              <w:t>I</w:t>
            </w:r>
            <w:r w:rsidR="00E906D4">
              <w:t>I</w:t>
            </w:r>
            <w:r w:rsidRPr="00A32A19">
              <w:t xml:space="preserve"> (las “</w:t>
            </w:r>
            <w:r w:rsidRPr="00A32A19">
              <w:rPr>
                <w:u w:val="single"/>
              </w:rPr>
              <w:t>Obligaciones Negociables</w:t>
            </w:r>
            <w:r w:rsidRPr="00A32A19">
              <w:t>”) de FCA Compañía Financiera S.A (la “</w:t>
            </w:r>
            <w:r w:rsidRPr="00A32A19">
              <w:rPr>
                <w:u w:val="single"/>
              </w:rPr>
              <w:t>Sociedad</w:t>
            </w:r>
            <w:r w:rsidRPr="00A32A19">
              <w:t>” o el “</w:t>
            </w:r>
            <w:r w:rsidRPr="00A32A19">
              <w:rPr>
                <w:u w:val="single"/>
              </w:rPr>
              <w:t>Emisor</w:t>
            </w:r>
            <w:r w:rsidRPr="00A32A19">
              <w:t xml:space="preserve">”), en el marco del </w:t>
            </w:r>
            <w:r w:rsidR="00C0164F">
              <w:t>prospecto</w:t>
            </w:r>
            <w:r w:rsidR="00C0164F" w:rsidRPr="00A32A19">
              <w:t xml:space="preserve"> </w:t>
            </w:r>
            <w:r w:rsidRPr="00A32A19">
              <w:t>de</w:t>
            </w:r>
            <w:r w:rsidR="00D62BF5">
              <w:t xml:space="preserve"> </w:t>
            </w:r>
            <w:r w:rsidR="00D62BF5" w:rsidRPr="00D62BF5">
              <w:t>Emisor Frecuente Registro N°2 para la emisión de obligaciones negociables simples no convertibles en acciones, con o sin garantía, subordinadas o no subordinadas, por un monto de hasta U$S100.000.000</w:t>
            </w:r>
            <w:r w:rsidR="006E19F7">
              <w:t>.</w:t>
            </w:r>
            <w:r w:rsidR="00A36E86">
              <w:t xml:space="preserve"> </w:t>
            </w:r>
            <w:r w:rsidRPr="00A32A19">
              <w:t>La Oferta Pública de las obligaciones negociables fue autorizad</w:t>
            </w:r>
            <w:r w:rsidR="003A7A29">
              <w:t>a</w:t>
            </w:r>
            <w:r w:rsidRPr="00A32A19">
              <w:t xml:space="preserve"> mediante Resoluci</w:t>
            </w:r>
            <w:r w:rsidR="006E19F7">
              <w:t>ó</w:t>
            </w:r>
            <w:r w:rsidRPr="00A32A19">
              <w:t>n de</w:t>
            </w:r>
            <w:r w:rsidR="0012068D">
              <w:t>l Directorio de</w:t>
            </w:r>
            <w:r w:rsidRPr="00A32A19">
              <w:t xml:space="preserve"> la Comisión Nacional de Valores (“</w:t>
            </w:r>
            <w:r w:rsidRPr="00A32A19">
              <w:rPr>
                <w:u w:val="single"/>
              </w:rPr>
              <w:t>CNV</w:t>
            </w:r>
            <w:r w:rsidRPr="00A32A19">
              <w:t xml:space="preserve">”) </w:t>
            </w:r>
            <w:r w:rsidR="006E19F7">
              <w:t xml:space="preserve">N°19.925 de fecha 12 de diciembre de 2018 y </w:t>
            </w:r>
            <w:r w:rsidR="00FC5A63">
              <w:t>mediante Disposición de la Gerencia de Emisoras N° DI-2019-29-APN-GE#CNV, de fecha 5 de abril de 2019</w:t>
            </w:r>
            <w:r w:rsidR="00A36E86">
              <w:t xml:space="preserve">. </w:t>
            </w:r>
            <w:r w:rsidRPr="00A32A19">
              <w:t>(b) El Emisor es una sociedad anónima constituida el 31.07.1997 en la Ciudad Autónoma de Buenos Aires e inscripta en la Inspección General de Justicia el 1.09.1997, bajo el N°9.660, del Libro 122, Tomo A de Sociedades por Acciones, con un plazo de duración de 99 años a contar desde la referida fecha de inscripción en el Registro Público de Comercio. La sede social de la Sociedad se encuentra en Carlos María Della Paolera 297, Piso 25º (C1001ADA), Ciudad Autónoma de Buenos Aires, Argentina. (c) Conforme al artículo tercero del Estatuto, la Sociedad tiene por objeto actuar como compañía financiera en los términos de la Ley de Entidades Financieras y de las normas reglamentarias que en su consecuencia dicte el Banco Central de la República Argentina (el “</w:t>
            </w:r>
            <w:r w:rsidRPr="00A32A19">
              <w:rPr>
                <w:u w:val="single"/>
              </w:rPr>
              <w:t>BCRA</w:t>
            </w:r>
            <w:r w:rsidRPr="00A32A19">
              <w:t xml:space="preserve">”), a cuyo fin podrá realizar todas las operaciones y actividades comprendidas en el artículo 24 de la Ley de Entidades Financieras y otras expresamente autorizadas por el BCRA, con excepción de que la captación de depósitos e inversiones a plazo deberá provenir solo de inversores calificados definidos en las normas sobre Depósitos e Inversiones a Plazo y asimismo, que en la emisión de obligaciones negociables el valor nominal de los títulos no podrá ser inferior a la suma de $1.000.000. Atento a lo expuesto, la Sociedad tiene plena capacidad jurídica para realizar los actos, contratos y operaciones compatibles con dicho objeto social, sometiéndose para ello a la legislación vigente y a las disposiciones que dicte el BCRA. A los fines descriptos, la Sociedad podrá: (i) </w:t>
            </w:r>
            <w:r w:rsidR="007A2586">
              <w:t>r</w:t>
            </w:r>
            <w:r w:rsidRPr="00A32A19">
              <w:t>ecibir depósitos a plazo sólo de inversores calificados definidos en las normas sobre Depósitos e Inversiones a Plazo</w:t>
            </w:r>
            <w:r w:rsidR="007A2586">
              <w:t>,</w:t>
            </w:r>
            <w:r w:rsidRPr="00A32A19">
              <w:t xml:space="preserve"> (ii) </w:t>
            </w:r>
            <w:r w:rsidR="007A2586">
              <w:t>e</w:t>
            </w:r>
            <w:r w:rsidRPr="00A32A19">
              <w:t>mitir y colocar letras y pagarés</w:t>
            </w:r>
            <w:r w:rsidR="007A2586">
              <w:t>,</w:t>
            </w:r>
            <w:r w:rsidRPr="00A32A19">
              <w:t xml:space="preserve"> (iii) </w:t>
            </w:r>
            <w:r w:rsidR="007A2586">
              <w:t>c</w:t>
            </w:r>
            <w:r w:rsidRPr="00A32A19">
              <w:t>onceder créditos para la compra y venta de bienes pagaderos en cuotas o a término y otros préstamos personales amortizables</w:t>
            </w:r>
            <w:r w:rsidR="007A2586">
              <w:t>,</w:t>
            </w:r>
            <w:r w:rsidRPr="00A32A19">
              <w:t xml:space="preserve"> (iv) </w:t>
            </w:r>
            <w:r w:rsidR="007A2586">
              <w:t>o</w:t>
            </w:r>
            <w:r w:rsidRPr="00A32A19">
              <w:t>torgar avales, fianzas, u otras garantías</w:t>
            </w:r>
            <w:r w:rsidR="007A2586">
              <w:t>,</w:t>
            </w:r>
            <w:r w:rsidRPr="00A32A19">
              <w:t xml:space="preserve"> (v) </w:t>
            </w:r>
            <w:r w:rsidR="007A2586">
              <w:t>o</w:t>
            </w:r>
            <w:r w:rsidRPr="00A32A19">
              <w:t>torgar anticipos sobre créditos provenientes de ventas, adquirirlos, asumir sus riesgos, gestionar su cobro y prestar asistencia técnica y administrativa</w:t>
            </w:r>
            <w:r w:rsidR="007A2586">
              <w:t>,</w:t>
            </w:r>
            <w:r w:rsidRPr="00A32A19">
              <w:t xml:space="preserve"> (vi) </w:t>
            </w:r>
            <w:r w:rsidR="007A2586">
              <w:t>r</w:t>
            </w:r>
            <w:r w:rsidRPr="00A32A19">
              <w:t>ealizar inversiones en valores mobiliarios vinculadas con operaciones en que interviene, prefinanciar sus emisiones y colocarlas</w:t>
            </w:r>
            <w:r w:rsidR="007A2586">
              <w:t>,</w:t>
            </w:r>
            <w:r w:rsidRPr="00A32A19">
              <w:t xml:space="preserve"> (vii) </w:t>
            </w:r>
            <w:r w:rsidR="007A2586">
              <w:t>i</w:t>
            </w:r>
            <w:r w:rsidRPr="00A32A19">
              <w:t>ntermediar en la oferta pública de títulos valores</w:t>
            </w:r>
            <w:r w:rsidR="007A2586">
              <w:t>,</w:t>
            </w:r>
            <w:r w:rsidRPr="00A32A19">
              <w:t xml:space="preserve"> (viii) </w:t>
            </w:r>
            <w:r w:rsidR="007A2586">
              <w:t>e</w:t>
            </w:r>
            <w:r w:rsidRPr="00A32A19">
              <w:t>fectuar inversiones de carácter transitorio en colocaciones fácilmente liquidables</w:t>
            </w:r>
            <w:r w:rsidR="007A2586">
              <w:t>,</w:t>
            </w:r>
            <w:r w:rsidRPr="00A32A19">
              <w:t xml:space="preserve"> (ix) </w:t>
            </w:r>
            <w:r w:rsidR="007A2586">
              <w:t>g</w:t>
            </w:r>
            <w:r w:rsidRPr="00A32A19">
              <w:t>estionar por cuenta ajena la compra y venta de valores mobiliarios y actuar como agentes pagadores, de dividendos, amortizaciones e intereses</w:t>
            </w:r>
            <w:r w:rsidR="007A2586">
              <w:t>,</w:t>
            </w:r>
            <w:r w:rsidRPr="00A32A19">
              <w:t xml:space="preserve"> (x) </w:t>
            </w:r>
            <w:r w:rsidR="007A2586">
              <w:t>a</w:t>
            </w:r>
            <w:r w:rsidRPr="00A32A19">
              <w:t>ctuar como fideicomisarios y depositarios de fondos comunes de inversión, administrar carteras de valores mobiliarios y cumplir otros encargos fiduciarios</w:t>
            </w:r>
            <w:r w:rsidR="007A2586">
              <w:t>,</w:t>
            </w:r>
            <w:r w:rsidRPr="00A32A19">
              <w:t xml:space="preserve"> (xi) </w:t>
            </w:r>
            <w:r w:rsidR="007A2586">
              <w:t>o</w:t>
            </w:r>
            <w:r w:rsidRPr="00A32A19">
              <w:t xml:space="preserve">btener créditos en el exterior y actuar como intermediarios de créditos </w:t>
            </w:r>
            <w:r w:rsidRPr="00A32A19">
              <w:lastRenderedPageBreak/>
              <w:t>obtenidos en moneda nacional y extranjera, previa autorización del BCRA</w:t>
            </w:r>
            <w:r w:rsidR="007A2586">
              <w:t>,</w:t>
            </w:r>
            <w:r w:rsidRPr="00A32A19">
              <w:t xml:space="preserve"> (xii) </w:t>
            </w:r>
            <w:r w:rsidR="007A2586">
              <w:t>d</w:t>
            </w:r>
            <w:r w:rsidRPr="00A32A19">
              <w:t>ar en locación bienes de capital adquiridos con tal objeto</w:t>
            </w:r>
            <w:r w:rsidR="007A2586">
              <w:t>,</w:t>
            </w:r>
            <w:r w:rsidRPr="00A32A19">
              <w:t xml:space="preserve"> (xiii) </w:t>
            </w:r>
            <w:r w:rsidR="007A2586">
              <w:t>c</w:t>
            </w:r>
            <w:r w:rsidRPr="00A32A19">
              <w:t>umplir mandatos y comisiones conexos con sus operaciones</w:t>
            </w:r>
            <w:r w:rsidR="007A2586">
              <w:t>,</w:t>
            </w:r>
            <w:r w:rsidRPr="00A32A19">
              <w:t xml:space="preserve"> (xiv) </w:t>
            </w:r>
            <w:r w:rsidR="007A2586">
              <w:t>a</w:t>
            </w:r>
            <w:r w:rsidRPr="00A32A19">
              <w:t>cordar préstamos a otras entidades</w:t>
            </w:r>
            <w:r w:rsidR="007A2586">
              <w:t>,</w:t>
            </w:r>
            <w:r w:rsidRPr="00A32A19">
              <w:t xml:space="preserve"> (xv) </w:t>
            </w:r>
            <w:r w:rsidR="007A2586">
              <w:t>c</w:t>
            </w:r>
            <w:r w:rsidRPr="00A32A19">
              <w:t>omprar y descontar documentos a otras entidades</w:t>
            </w:r>
            <w:r w:rsidR="007A2586">
              <w:t>,</w:t>
            </w:r>
            <w:r w:rsidRPr="00A32A19">
              <w:t xml:space="preserve"> (xvi) </w:t>
            </w:r>
            <w:r w:rsidR="007A2586">
              <w:t>e</w:t>
            </w:r>
            <w:r w:rsidRPr="00A32A19">
              <w:t>fectuar inversiones en acciones y obligaciones con las limitaciones que al efecto determine la autoridad de contralor</w:t>
            </w:r>
            <w:r w:rsidR="007A2586">
              <w:t>,</w:t>
            </w:r>
            <w:r w:rsidRPr="00A32A19">
              <w:t xml:space="preserve"> (xvii) </w:t>
            </w:r>
            <w:r w:rsidR="007A2586">
              <w:t>a</w:t>
            </w:r>
            <w:r w:rsidRPr="00A32A19">
              <w:t>dquirir inmuebles, acciones y obligaciones en defensa o en pago de créditos</w:t>
            </w:r>
            <w:r w:rsidR="007A2586">
              <w:t>, e</w:t>
            </w:r>
            <w:r w:rsidRPr="00A32A19">
              <w:t xml:space="preserve"> (xviii) </w:t>
            </w:r>
            <w:r w:rsidR="007A2586">
              <w:t>i</w:t>
            </w:r>
            <w:r w:rsidRPr="00A32A19">
              <w:t xml:space="preserve">nvertir en acciones y obligaciones de empresas de servicios públicos en la medida que sean necesarias para obtener su prestación y </w:t>
            </w:r>
            <w:r w:rsidR="00CC45A4">
              <w:t>realizar todos los demás actos permitidos por la Ley 21.526 y por el BCRA. (</w:t>
            </w:r>
            <w:r w:rsidR="00CC45A4" w:rsidRPr="00ED542A">
              <w:t>d</w:t>
            </w:r>
            <w:r w:rsidR="00CC45A4" w:rsidRPr="0095247F">
              <w:t xml:space="preserve">) </w:t>
            </w:r>
            <w:r w:rsidR="00DA0305" w:rsidRPr="0095247F">
              <w:t xml:space="preserve">El capital social de la Sociedad al </w:t>
            </w:r>
            <w:r w:rsidR="001D5B0D" w:rsidRPr="0095247F">
              <w:t>30/09/2019</w:t>
            </w:r>
            <w:r w:rsidR="00FC5A63" w:rsidRPr="0095247F">
              <w:t xml:space="preserve"> </w:t>
            </w:r>
            <w:r w:rsidR="00DA0305" w:rsidRPr="0095247F">
              <w:t xml:space="preserve">ascendía a miles de $ </w:t>
            </w:r>
            <w:r w:rsidR="0095247F" w:rsidRPr="0095247F">
              <w:rPr>
                <w:lang w:val="es-AR" w:eastAsia="es-ES"/>
              </w:rPr>
              <w:t>559.703</w:t>
            </w:r>
            <w:r w:rsidR="00DA0305" w:rsidRPr="0095247F">
              <w:t xml:space="preserve">. El Patrimonio Neto de la Sociedad al </w:t>
            </w:r>
            <w:r w:rsidR="001D5B0D" w:rsidRPr="0095247F">
              <w:t>30/09/2019</w:t>
            </w:r>
            <w:r w:rsidR="00DA0305" w:rsidRPr="0095247F">
              <w:t>, era de miles de $</w:t>
            </w:r>
            <w:r w:rsidR="0095247F" w:rsidRPr="0095247F">
              <w:rPr>
                <w:lang w:val="es-AR" w:eastAsia="es-ES"/>
              </w:rPr>
              <w:t xml:space="preserve"> 897.589</w:t>
            </w:r>
            <w:r w:rsidR="00DA0305" w:rsidRPr="0095247F">
              <w:t>.</w:t>
            </w:r>
            <w:r w:rsidR="00CC45A4" w:rsidRPr="00ED542A">
              <w:t xml:space="preserve"> (e) Las principales condiciones de emisión de las Obligaciones Negociables, son: </w:t>
            </w:r>
            <w:r w:rsidR="00CC45A4" w:rsidRPr="00ED542A">
              <w:rPr>
                <w:b/>
              </w:rPr>
              <w:t>Títulos a ser Emitidos</w:t>
            </w:r>
            <w:r w:rsidR="00CC45A4" w:rsidRPr="00ED542A">
              <w:t>: Obligaciones Negociables Clase</w:t>
            </w:r>
            <w:r w:rsidR="00CC45A4">
              <w:t xml:space="preserve"> XV</w:t>
            </w:r>
            <w:r w:rsidR="00C61088">
              <w:t>I</w:t>
            </w:r>
            <w:r w:rsidR="00E906D4">
              <w:t>I</w:t>
            </w:r>
            <w:r w:rsidR="00CC45A4">
              <w:t xml:space="preserve">. </w:t>
            </w:r>
            <w:r w:rsidR="00CC45A4">
              <w:rPr>
                <w:b/>
              </w:rPr>
              <w:t>Monto de la Emisión</w:t>
            </w:r>
            <w:r w:rsidR="00CC45A4">
              <w:t xml:space="preserve">: </w:t>
            </w:r>
            <w:r w:rsidR="00FD199E" w:rsidRPr="00FD199E">
              <w:rPr>
                <w:lang w:val="es-AR"/>
              </w:rPr>
              <w:t xml:space="preserve">El valor nominal de las Obligaciones Negociables Clase XVII será </w:t>
            </w:r>
            <w:r w:rsidR="00AF50AC">
              <w:rPr>
                <w:lang w:val="es-AR"/>
              </w:rPr>
              <w:t>por un valor nominal de referencia equivalente a</w:t>
            </w:r>
            <w:r w:rsidR="00FD199E" w:rsidRPr="00FD199E">
              <w:rPr>
                <w:lang w:val="es-AR"/>
              </w:rPr>
              <w:t xml:space="preserve"> $500.000.000 ampliable por hasta $700.000.000.</w:t>
            </w:r>
            <w:r w:rsidR="00AB1663">
              <w:t xml:space="preserve"> </w:t>
            </w:r>
            <w:r w:rsidR="00CC45A4">
              <w:t xml:space="preserve">(las “Obligaciones Negociables”). </w:t>
            </w:r>
            <w:r w:rsidR="00CC45A4">
              <w:rPr>
                <w:b/>
              </w:rPr>
              <w:t>Oferta</w:t>
            </w:r>
            <w:r w:rsidR="00CC45A4">
              <w:t xml:space="preserve">: podrán ser ofrecidas en Argentina en el marco de la Ley Nº 26.831 y demás normativa aplicable. </w:t>
            </w:r>
            <w:r w:rsidR="00CC45A4">
              <w:rPr>
                <w:b/>
              </w:rPr>
              <w:t>Organizadores y Colocadores</w:t>
            </w:r>
            <w:r w:rsidRPr="00A32A19">
              <w:t>: Banco de Galicia y Buenos Aires S.A.</w:t>
            </w:r>
            <w:r w:rsidR="00D3289F">
              <w:t>U.</w:t>
            </w:r>
            <w:r w:rsidRPr="00A32A19">
              <w:t xml:space="preserve"> </w:t>
            </w:r>
            <w:r w:rsidR="00506393">
              <w:t>y</w:t>
            </w:r>
            <w:r w:rsidRPr="00A32A19">
              <w:t xml:space="preserve"> </w:t>
            </w:r>
            <w:r w:rsidR="00FD199E">
              <w:rPr>
                <w:bCs/>
                <w:lang w:val="es-AR"/>
              </w:rPr>
              <w:t>Banco BBVA Argentina</w:t>
            </w:r>
            <w:r w:rsidR="00FD199E" w:rsidRPr="00EE16B6">
              <w:rPr>
                <w:bCs/>
                <w:lang w:val="es-AR"/>
              </w:rPr>
              <w:t xml:space="preserve"> S.A.</w:t>
            </w:r>
            <w:r w:rsidRPr="00A32A19">
              <w:t xml:space="preserve"> </w:t>
            </w:r>
            <w:r w:rsidRPr="00A32A19">
              <w:rPr>
                <w:b/>
              </w:rPr>
              <w:t>Descripción</w:t>
            </w:r>
            <w:r w:rsidRPr="00A32A19">
              <w:t xml:space="preserve">: las Obligaciones Negociables serán obligaciones negociables simples, no convertibles en acciones. </w:t>
            </w:r>
            <w:r w:rsidRPr="00A32A19">
              <w:rPr>
                <w:b/>
              </w:rPr>
              <w:t>Colocación</w:t>
            </w:r>
            <w:r w:rsidRPr="00A32A19">
              <w:t xml:space="preserve">: se realizará mediante subasta pública </w:t>
            </w:r>
            <w:r w:rsidRPr="00A32A19">
              <w:rPr>
                <w:lang w:val="es-AR"/>
              </w:rPr>
              <w:t>con posibilidad de participación de todos los interesados</w:t>
            </w:r>
            <w:r w:rsidRPr="00A32A19">
              <w:t xml:space="preserve">. </w:t>
            </w:r>
            <w:r w:rsidRPr="00A32A19">
              <w:rPr>
                <w:b/>
              </w:rPr>
              <w:t>Forma</w:t>
            </w:r>
            <w:r w:rsidRPr="00A32A19">
              <w:t xml:space="preserve">: serán representadas bajo </w:t>
            </w:r>
            <w:r w:rsidR="003A7A29">
              <w:t>la forma de un</w:t>
            </w:r>
            <w:r w:rsidRPr="00A32A19">
              <w:t xml:space="preserve"> certificado global, </w:t>
            </w:r>
            <w:r w:rsidR="00905F8E">
              <w:t>a</w:t>
            </w:r>
            <w:r w:rsidRPr="00A32A19">
              <w:t xml:space="preserve"> ser depositado por la Sociedad en el sistema de depósito colectivo llevado por Caja de Valores S.A. </w:t>
            </w:r>
            <w:r w:rsidR="00E759C4" w:rsidRPr="00057C85">
              <w:rPr>
                <w:b/>
              </w:rPr>
              <w:t>Denominación</w:t>
            </w:r>
            <w:r w:rsidRPr="00057C85">
              <w:t xml:space="preserve">: </w:t>
            </w:r>
            <w:r w:rsidR="0024573A" w:rsidRPr="0024573A">
              <w:rPr>
                <w:lang w:val="es-AR"/>
              </w:rPr>
              <w:t xml:space="preserve">Las Obligaciones Negociables Clase XVII estarán denominadas en Pesos. </w:t>
            </w:r>
            <w:r w:rsidRPr="00057C85">
              <w:rPr>
                <w:b/>
              </w:rPr>
              <w:t>Precio de Suscripción</w:t>
            </w:r>
            <w:r w:rsidRPr="00057C85">
              <w:t xml:space="preserve">: las Obligaciones Negociables serán emitidas al 100% de su valor nominal. </w:t>
            </w:r>
            <w:r w:rsidRPr="00057C85">
              <w:rPr>
                <w:b/>
              </w:rPr>
              <w:t>Fecha de Emisión</w:t>
            </w:r>
            <w:r w:rsidR="00281F3F">
              <w:rPr>
                <w:b/>
              </w:rPr>
              <w:t xml:space="preserve"> y Liquidación</w:t>
            </w:r>
            <w:r w:rsidRPr="00057C85">
              <w:t>: será determinada conforme se indique en el Aviso de Suscripción</w:t>
            </w:r>
            <w:r w:rsidR="00281F3F">
              <w:t xml:space="preserve"> y/o en el Aviso de Resultados</w:t>
            </w:r>
            <w:r w:rsidRPr="00057C85">
              <w:t xml:space="preserve">. </w:t>
            </w:r>
            <w:r w:rsidRPr="00057C85">
              <w:rPr>
                <w:b/>
              </w:rPr>
              <w:t>Plazo de Vencimiento</w:t>
            </w:r>
            <w:r w:rsidRPr="00057C85">
              <w:t xml:space="preserve">: </w:t>
            </w:r>
            <w:r w:rsidR="0024573A" w:rsidRPr="0024573A">
              <w:rPr>
                <w:lang w:val="es-AR"/>
              </w:rPr>
              <w:t>Las Obligaciones Negociables Clase XVII vencerán a los 180 (ciento ochenta) días computados desde la Fecha de Emisión y Liquidación</w:t>
            </w:r>
            <w:r w:rsidRPr="00057C85">
              <w:t xml:space="preserve"> </w:t>
            </w:r>
            <w:r w:rsidRPr="00057C85">
              <w:rPr>
                <w:b/>
              </w:rPr>
              <w:t>Intereses</w:t>
            </w:r>
            <w:r w:rsidR="00EC7C9D" w:rsidRPr="00057C85">
              <w:t xml:space="preserve">: </w:t>
            </w:r>
            <w:r w:rsidR="0024573A" w:rsidRPr="0024573A">
              <w:t>Las Obligaciones Negociables Clase XVII devengarán un interés a una tasa de interés variable,</w:t>
            </w:r>
            <w:r w:rsidR="00187858">
              <w:t xml:space="preserve"> que se determinará una vez finalizado el período de Subasta Pública</w:t>
            </w:r>
            <w:r w:rsidR="00EC7C9D">
              <w:t>,</w:t>
            </w:r>
            <w:r w:rsidR="009A680A">
              <w:t xml:space="preserve"> </w:t>
            </w:r>
            <w:r w:rsidR="00503951">
              <w:t xml:space="preserve">conforme se establece en el Suplemento de </w:t>
            </w:r>
            <w:r w:rsidR="00187858">
              <w:t>Prospecto</w:t>
            </w:r>
            <w:r w:rsidR="00503951">
              <w:t xml:space="preserve">. </w:t>
            </w:r>
            <w:r w:rsidRPr="00A32A19">
              <w:rPr>
                <w:b/>
                <w:bCs/>
                <w:lang w:val="es-AR"/>
              </w:rPr>
              <w:t>Intereses</w:t>
            </w:r>
            <w:r w:rsidRPr="00A32A19">
              <w:t>: serán pagaderos de forma trimestral, en las fechas que sean un número de día idéntico a la Fecha de Emisión</w:t>
            </w:r>
            <w:r w:rsidR="00187858">
              <w:t xml:space="preserve"> y Liquidación</w:t>
            </w:r>
            <w:r w:rsidRPr="00A32A19">
              <w:t xml:space="preserve"> pero del correspondiente mes, conforme se indica en el Suplemento de </w:t>
            </w:r>
            <w:r w:rsidR="00187858">
              <w:t>Prospecto</w:t>
            </w:r>
            <w:r w:rsidRPr="00A32A19">
              <w:t xml:space="preserve">. </w:t>
            </w:r>
            <w:r w:rsidRPr="00A32A19">
              <w:rPr>
                <w:b/>
              </w:rPr>
              <w:t>Amortización</w:t>
            </w:r>
            <w:r w:rsidRPr="00A32A19">
              <w:t>:</w:t>
            </w:r>
            <w:r w:rsidR="00235BB4">
              <w:t xml:space="preserve"> </w:t>
            </w:r>
            <w:r w:rsidR="0024573A" w:rsidRPr="00AF50AC">
              <w:t>El 100% del valor nominal de las Obligaciones Negociables Clase XVII será pagado en una sola cuota en la Fecha de Vencimiento de la Clase XVII</w:t>
            </w:r>
            <w:r w:rsidR="00BB7D01" w:rsidRPr="00AF50AC">
              <w:t>.</w:t>
            </w:r>
            <w:r w:rsidR="00B82A14" w:rsidRPr="00AF50AC">
              <w:t xml:space="preserve"> </w:t>
            </w:r>
            <w:r w:rsidR="00B82A14" w:rsidRPr="00A65F8C">
              <w:t xml:space="preserve">En caso </w:t>
            </w:r>
            <w:r w:rsidR="00BB7D01">
              <w:t>de que</w:t>
            </w:r>
            <w:r w:rsidR="00BB7D01" w:rsidRPr="00A65F8C">
              <w:t xml:space="preserve"> </w:t>
            </w:r>
            <w:r w:rsidR="00B82A14" w:rsidRPr="00A65F8C">
              <w:t>la Fecha</w:t>
            </w:r>
            <w:r w:rsidR="00056944">
              <w:t xml:space="preserve"> de Amortización de la</w:t>
            </w:r>
            <w:r w:rsidR="00BB7D01">
              <w:t>s</w:t>
            </w:r>
            <w:r w:rsidR="00056944">
              <w:t xml:space="preserve"> </w:t>
            </w:r>
            <w:r w:rsidR="00BB7D01">
              <w:t xml:space="preserve">Obligaciones Negociables Clase XVII </w:t>
            </w:r>
            <w:r w:rsidR="00B82A14" w:rsidRPr="00A65F8C">
              <w:t>no fuera un Día Hábil, el pago se efectuará el Día Hábil inmediato posterior correspondiente.</w:t>
            </w:r>
            <w:r w:rsidRPr="00A32A19">
              <w:t xml:space="preserve"> </w:t>
            </w:r>
            <w:r w:rsidRPr="00A32A19">
              <w:rPr>
                <w:b/>
              </w:rPr>
              <w:t>Unidad Mínima de Negociación y Monto Mínimo de Suscripción</w:t>
            </w:r>
            <w:r w:rsidRPr="00A32A19">
              <w:t xml:space="preserve">: </w:t>
            </w:r>
            <w:r w:rsidR="00BB7D01" w:rsidRPr="00AF50AC">
              <w:rPr>
                <w:sz w:val="20"/>
                <w:szCs w:val="20"/>
                <w:lang w:val="es-AR"/>
              </w:rPr>
              <w:t>La unidad mínima de negociación de las Obligaciones Negociables Clase XVII será de $1.000.000 y múltiplos de $1.000 por encima de dicho monto. El Monto Mínimo de Suscripción</w:t>
            </w:r>
            <w:r w:rsidR="00431FC4" w:rsidRPr="00AF50AC">
              <w:rPr>
                <w:sz w:val="20"/>
                <w:szCs w:val="20"/>
                <w:lang w:val="es-AR"/>
              </w:rPr>
              <w:t xml:space="preserve"> de las Obligaciones Negociables Clase XV</w:t>
            </w:r>
            <w:r w:rsidR="00187858" w:rsidRPr="00AF50AC">
              <w:rPr>
                <w:sz w:val="20"/>
                <w:szCs w:val="20"/>
                <w:lang w:val="es-AR"/>
              </w:rPr>
              <w:t>I</w:t>
            </w:r>
            <w:r w:rsidR="00431FC4" w:rsidRPr="00AF50AC">
              <w:rPr>
                <w:sz w:val="20"/>
                <w:szCs w:val="20"/>
                <w:lang w:val="es-AR"/>
              </w:rPr>
              <w:t>I</w:t>
            </w:r>
            <w:r w:rsidR="00BB7D01" w:rsidRPr="00AF50AC">
              <w:rPr>
                <w:sz w:val="20"/>
                <w:szCs w:val="20"/>
                <w:lang w:val="es-AR"/>
              </w:rPr>
              <w:t xml:space="preserve"> será de </w:t>
            </w:r>
            <w:r w:rsidR="00BB7D01" w:rsidRPr="00AF50AC">
              <w:rPr>
                <w:sz w:val="20"/>
                <w:szCs w:val="20"/>
                <w:lang w:val="es-MX"/>
              </w:rPr>
              <w:t xml:space="preserve">$1.000.000 (Pesos un millón) (o el monto mínimo que establezca oportunamente la normativa del BCRA) </w:t>
            </w:r>
            <w:r w:rsidR="00BB7D01" w:rsidRPr="00AF50AC">
              <w:rPr>
                <w:sz w:val="20"/>
                <w:szCs w:val="20"/>
                <w:lang w:val="es-AR"/>
              </w:rPr>
              <w:t>y múltiplos enteros de $1.000 por encima de dicho monto</w:t>
            </w:r>
            <w:r w:rsidRPr="00A32A19">
              <w:t xml:space="preserve">. </w:t>
            </w:r>
            <w:r w:rsidRPr="00A32A19">
              <w:rPr>
                <w:b/>
              </w:rPr>
              <w:t>Garantías</w:t>
            </w:r>
            <w:r w:rsidRPr="00A32A19">
              <w:t xml:space="preserve">: las Obligaciones Negociables no contarán con garantía flotante o especial ni se encontrarán avaladas o garantizadas por cualquier otro medio ni por otra entidad financiera </w:t>
            </w:r>
            <w:r w:rsidRPr="00A32A19">
              <w:rPr>
                <w:lang w:val="es-AR"/>
              </w:rPr>
              <w:t>ni por otro modo que no sea el patrimonio común del Emisor</w:t>
            </w:r>
            <w:r w:rsidRPr="00A32A19">
              <w:t xml:space="preserve">. </w:t>
            </w:r>
            <w:r w:rsidR="00722C21">
              <w:rPr>
                <w:b/>
              </w:rPr>
              <w:t>Destino</w:t>
            </w:r>
            <w:r w:rsidR="00722C21" w:rsidRPr="00A32A19">
              <w:t xml:space="preserve"> </w:t>
            </w:r>
            <w:r w:rsidRPr="00A32A19">
              <w:rPr>
                <w:b/>
              </w:rPr>
              <w:t>de los Fondos</w:t>
            </w:r>
            <w:r w:rsidRPr="00A32A19">
              <w:t xml:space="preserve">: los fondos netos provenientes de la colocación de las </w:t>
            </w:r>
            <w:r w:rsidRPr="00A32A19">
              <w:lastRenderedPageBreak/>
              <w:t xml:space="preserve">Obligaciones Negociables serán utilizados para capital de trabajo en la República Argentina y/o refinanciación de pasivos por endeudamiento financiero, priorizando una mejor administración de los fondos a fin de maximizar los beneficios provenientes de la emisión, siempre dando cumplimiento a lo previsto en el artículo 36 de la LON y </w:t>
            </w:r>
            <w:r>
              <w:t>en</w:t>
            </w:r>
            <w:r w:rsidRPr="00A32A19">
              <w:t xml:space="preserve"> la Comunicación “A” 3046 y modificatorias del BCRA. </w:t>
            </w:r>
            <w:r w:rsidRPr="00A32A19">
              <w:rPr>
                <w:b/>
              </w:rPr>
              <w:t>Listado y Negociación</w:t>
            </w:r>
            <w:r w:rsidRPr="00A32A19">
              <w:t xml:space="preserve">: serán listadas y negociadas </w:t>
            </w:r>
            <w:r w:rsidRPr="00A32A19">
              <w:rPr>
                <w:lang w:val="es-AR"/>
              </w:rPr>
              <w:t xml:space="preserve">en </w:t>
            </w:r>
            <w:r w:rsidR="0024545F">
              <w:rPr>
                <w:lang w:val="es-AR"/>
              </w:rPr>
              <w:t xml:space="preserve">Bolsas y Mercados Argentinos </w:t>
            </w:r>
            <w:r w:rsidRPr="00A32A19">
              <w:rPr>
                <w:lang w:val="es-AR"/>
              </w:rPr>
              <w:t>S.A. y en el Mercado Abierto Electrónico S.A., respectivamente, y/o en cualquier otro mercado autorizado, siempre que dichos mercados autorizados otorguen la autorización correspondiente.</w:t>
            </w:r>
            <w:r w:rsidRPr="00A32A19">
              <w:t xml:space="preserve"> </w:t>
            </w:r>
            <w:r w:rsidRPr="00A32A19">
              <w:rPr>
                <w:b/>
              </w:rPr>
              <w:t>Calificación de Riesgo</w:t>
            </w:r>
            <w:r w:rsidRPr="00A32A19">
              <w:t>:</w:t>
            </w:r>
            <w:r w:rsidR="00C600B7">
              <w:t xml:space="preserve"> </w:t>
            </w:r>
            <w:r w:rsidR="00431FC4" w:rsidRPr="00431FC4">
              <w:rPr>
                <w:lang w:val="es-AR"/>
              </w:rPr>
              <w:t>Las Obligaciones Negociables Clase XVII</w:t>
            </w:r>
            <w:r w:rsidR="00431FC4">
              <w:rPr>
                <w:lang w:val="es-AR"/>
              </w:rPr>
              <w:t xml:space="preserve"> obtuvieron la calificación </w:t>
            </w:r>
            <w:r w:rsidR="00431FC4" w:rsidRPr="00431FC4">
              <w:rPr>
                <w:lang w:val="es-AR"/>
              </w:rPr>
              <w:t>“</w:t>
            </w:r>
            <w:r w:rsidR="00431FC4" w:rsidRPr="00431FC4">
              <w:rPr>
                <w:bCs/>
                <w:lang w:val="es-AR"/>
              </w:rPr>
              <w:t>A1+(arg)”</w:t>
            </w:r>
            <w:r w:rsidR="00431FC4">
              <w:rPr>
                <w:lang w:val="es-AR"/>
              </w:rPr>
              <w:t xml:space="preserve">, otorgada por </w:t>
            </w:r>
            <w:r w:rsidR="00431FC4" w:rsidRPr="00431FC4">
              <w:rPr>
                <w:bCs/>
                <w:lang w:val="es-AR"/>
              </w:rPr>
              <w:t xml:space="preserve">FIX SCR S.A. </w:t>
            </w:r>
            <w:r w:rsidR="00431FC4" w:rsidRPr="00431FC4">
              <w:rPr>
                <w:lang w:val="es-AR"/>
              </w:rPr>
              <w:t xml:space="preserve">Agente de Calificación de Riesgo, </w:t>
            </w:r>
            <w:r w:rsidR="00431FC4">
              <w:rPr>
                <w:lang w:val="es-AR"/>
              </w:rPr>
              <w:t>en fecha</w:t>
            </w:r>
            <w:r w:rsidR="00431FC4" w:rsidRPr="00431FC4">
              <w:rPr>
                <w:lang w:val="es-AR"/>
              </w:rPr>
              <w:t xml:space="preserve"> 5 de diciembre de 2019</w:t>
            </w:r>
            <w:r w:rsidR="00431FC4">
              <w:rPr>
                <w:lang w:val="es-AR"/>
              </w:rPr>
              <w:t>.</w:t>
            </w:r>
            <w:r w:rsidR="00722C21">
              <w:rPr>
                <w:lang w:val="es-AR"/>
              </w:rPr>
              <w:t xml:space="preserve"> </w:t>
            </w:r>
            <w:r w:rsidR="00722C21" w:rsidRPr="00A32A19">
              <w:t xml:space="preserve">(f) A la fecha del presente, </w:t>
            </w:r>
            <w:r w:rsidR="00722C21">
              <w:t xml:space="preserve">únicamente se encuentran vigentes las siguientes clases de </w:t>
            </w:r>
            <w:r w:rsidR="00722C21" w:rsidRPr="00A32A19">
              <w:t xml:space="preserve">obligaciones negociables: </w:t>
            </w:r>
            <w:r w:rsidR="00722C21" w:rsidRPr="00ED542A">
              <w:t>la Clase XIV cuyo vencimiento opera el 14.12.19</w:t>
            </w:r>
            <w:r w:rsidR="00722C21">
              <w:t xml:space="preserve">, </w:t>
            </w:r>
            <w:r w:rsidR="00AF50AC">
              <w:t>la Clase XV Serie II con vencimiento el 23.3.21</w:t>
            </w:r>
            <w:r w:rsidR="00722C21">
              <w:t>y la Clase XVI (Serie II) cuyo vencimiento opera el 23.03.2021</w:t>
            </w:r>
            <w:r w:rsidR="00722C21" w:rsidRPr="00ED542A">
              <w:t xml:space="preserve"> (g</w:t>
            </w:r>
            <w:bookmarkStart w:id="0" w:name="_GoBack"/>
            <w:bookmarkEnd w:id="0"/>
            <w:r w:rsidR="00722C21" w:rsidRPr="0095247F">
              <w:t>) El Emisor no registra deudas con privilegios o garantías a la fecha del presente</w:t>
            </w:r>
            <w:r w:rsidR="00722C21" w:rsidRPr="00ED542A">
              <w:t>.</w:t>
            </w:r>
          </w:p>
          <w:p w14:paraId="026245B8" w14:textId="77777777" w:rsidR="00722C21" w:rsidRDefault="00722C21" w:rsidP="00722C21"/>
          <w:p w14:paraId="469B7016" w14:textId="080D87B0" w:rsidR="00431FC4" w:rsidRPr="00431FC4" w:rsidRDefault="00431FC4" w:rsidP="00431FC4">
            <w:pPr>
              <w:widowControl w:val="0"/>
              <w:rPr>
                <w:lang w:val="es-AR"/>
              </w:rPr>
            </w:pPr>
          </w:p>
        </w:tc>
      </w:tr>
    </w:tbl>
    <w:p w14:paraId="04A677E7" w14:textId="77777777" w:rsidR="0075627A" w:rsidRDefault="0075627A" w:rsidP="00AF50AC">
      <w:pPr>
        <w:widowControl w:val="0"/>
      </w:pPr>
    </w:p>
    <w:sectPr w:rsidR="0075627A" w:rsidSect="00714ADD">
      <w:pgSz w:w="11907" w:h="16839" w:code="9"/>
      <w:pgMar w:top="1134" w:right="2892" w:bottom="1134" w:left="2892"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11198" w14:textId="77777777" w:rsidR="00722C21" w:rsidRDefault="00722C21" w:rsidP="00722C21">
      <w:r>
        <w:separator/>
      </w:r>
    </w:p>
  </w:endnote>
  <w:endnote w:type="continuationSeparator" w:id="0">
    <w:p w14:paraId="1481D649" w14:textId="77777777" w:rsidR="00722C21" w:rsidRDefault="00722C21" w:rsidP="0072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E80C8" w14:textId="77777777" w:rsidR="00722C21" w:rsidRDefault="00722C21" w:rsidP="00722C21">
      <w:r>
        <w:separator/>
      </w:r>
    </w:p>
  </w:footnote>
  <w:footnote w:type="continuationSeparator" w:id="0">
    <w:p w14:paraId="578F5DDE" w14:textId="77777777" w:rsidR="00722C21" w:rsidRDefault="00722C21" w:rsidP="00722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13"/>
    <w:rsid w:val="00013429"/>
    <w:rsid w:val="00042B3C"/>
    <w:rsid w:val="00056944"/>
    <w:rsid w:val="00057C85"/>
    <w:rsid w:val="00070CE5"/>
    <w:rsid w:val="000D2CF0"/>
    <w:rsid w:val="000E604C"/>
    <w:rsid w:val="00116850"/>
    <w:rsid w:val="001175AE"/>
    <w:rsid w:val="0012068D"/>
    <w:rsid w:val="0013110D"/>
    <w:rsid w:val="00181426"/>
    <w:rsid w:val="00183842"/>
    <w:rsid w:val="00187858"/>
    <w:rsid w:val="001C21A2"/>
    <w:rsid w:val="001D5B0D"/>
    <w:rsid w:val="001F21B9"/>
    <w:rsid w:val="001F37FA"/>
    <w:rsid w:val="00235BB4"/>
    <w:rsid w:val="0024545F"/>
    <w:rsid w:val="0024573A"/>
    <w:rsid w:val="002564C8"/>
    <w:rsid w:val="00281F3F"/>
    <w:rsid w:val="002E3A3F"/>
    <w:rsid w:val="003736A1"/>
    <w:rsid w:val="003A7A29"/>
    <w:rsid w:val="003F3A77"/>
    <w:rsid w:val="00422FC2"/>
    <w:rsid w:val="00431FC4"/>
    <w:rsid w:val="00440AD9"/>
    <w:rsid w:val="004575A7"/>
    <w:rsid w:val="00484F3F"/>
    <w:rsid w:val="004A3183"/>
    <w:rsid w:val="004A5EE2"/>
    <w:rsid w:val="004D1EC2"/>
    <w:rsid w:val="004E53F6"/>
    <w:rsid w:val="00503951"/>
    <w:rsid w:val="00506393"/>
    <w:rsid w:val="0051073D"/>
    <w:rsid w:val="005252AD"/>
    <w:rsid w:val="005C050D"/>
    <w:rsid w:val="005F6463"/>
    <w:rsid w:val="0066512B"/>
    <w:rsid w:val="006831AD"/>
    <w:rsid w:val="006B3E07"/>
    <w:rsid w:val="006B7CB0"/>
    <w:rsid w:val="006C5A83"/>
    <w:rsid w:val="006E19F7"/>
    <w:rsid w:val="006E3FBB"/>
    <w:rsid w:val="00714ADD"/>
    <w:rsid w:val="00722C21"/>
    <w:rsid w:val="0075627A"/>
    <w:rsid w:val="00761509"/>
    <w:rsid w:val="00770D41"/>
    <w:rsid w:val="007A2586"/>
    <w:rsid w:val="007A6364"/>
    <w:rsid w:val="007E3930"/>
    <w:rsid w:val="008475FE"/>
    <w:rsid w:val="008B542B"/>
    <w:rsid w:val="009035E0"/>
    <w:rsid w:val="00905F8E"/>
    <w:rsid w:val="0095247F"/>
    <w:rsid w:val="00961DDC"/>
    <w:rsid w:val="00971BAB"/>
    <w:rsid w:val="009A2A4E"/>
    <w:rsid w:val="009A680A"/>
    <w:rsid w:val="00A36E86"/>
    <w:rsid w:val="00A90D5E"/>
    <w:rsid w:val="00AB1663"/>
    <w:rsid w:val="00AE613A"/>
    <w:rsid w:val="00AF50AC"/>
    <w:rsid w:val="00B21C3D"/>
    <w:rsid w:val="00B7316B"/>
    <w:rsid w:val="00B82A14"/>
    <w:rsid w:val="00B95525"/>
    <w:rsid w:val="00B97970"/>
    <w:rsid w:val="00BB7279"/>
    <w:rsid w:val="00BB7D01"/>
    <w:rsid w:val="00C0164F"/>
    <w:rsid w:val="00C04761"/>
    <w:rsid w:val="00C210EA"/>
    <w:rsid w:val="00C22CF1"/>
    <w:rsid w:val="00C25CAE"/>
    <w:rsid w:val="00C274BE"/>
    <w:rsid w:val="00C600B7"/>
    <w:rsid w:val="00C61088"/>
    <w:rsid w:val="00CC45A4"/>
    <w:rsid w:val="00CC7061"/>
    <w:rsid w:val="00D13774"/>
    <w:rsid w:val="00D3289F"/>
    <w:rsid w:val="00D62BF5"/>
    <w:rsid w:val="00D92204"/>
    <w:rsid w:val="00DA0305"/>
    <w:rsid w:val="00DA6A09"/>
    <w:rsid w:val="00E11313"/>
    <w:rsid w:val="00E61CE3"/>
    <w:rsid w:val="00E662CF"/>
    <w:rsid w:val="00E66629"/>
    <w:rsid w:val="00E759C4"/>
    <w:rsid w:val="00E8692C"/>
    <w:rsid w:val="00E906D4"/>
    <w:rsid w:val="00EC7C9D"/>
    <w:rsid w:val="00ED542A"/>
    <w:rsid w:val="00EF7799"/>
    <w:rsid w:val="00F12C5D"/>
    <w:rsid w:val="00F335C0"/>
    <w:rsid w:val="00F53F9F"/>
    <w:rsid w:val="00F71787"/>
    <w:rsid w:val="00F77044"/>
    <w:rsid w:val="00FC5A63"/>
    <w:rsid w:val="00FD199E"/>
    <w:rsid w:val="00FE5923"/>
    <w:rsid w:val="00FF2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1874"/>
  <w15:docId w15:val="{82ABDE38-5510-4D7F-81D4-C4EDB608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313"/>
    <w:pPr>
      <w:jc w:val="both"/>
    </w:pPr>
    <w:rPr>
      <w:rFonts w:ascii="Times New Roman" w:hAnsi="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545F"/>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45F"/>
    <w:rPr>
      <w:rFonts w:ascii="Tahoma" w:hAnsi="Tahoma" w:cs="Tahoma"/>
      <w:sz w:val="16"/>
      <w:szCs w:val="16"/>
      <w:lang w:val="es-ES" w:eastAsia="en-US"/>
    </w:rPr>
  </w:style>
  <w:style w:type="character" w:styleId="Refdecomentario">
    <w:name w:val="annotation reference"/>
    <w:basedOn w:val="Fuentedeprrafopredeter"/>
    <w:uiPriority w:val="99"/>
    <w:semiHidden/>
    <w:unhideWhenUsed/>
    <w:rsid w:val="00E906D4"/>
    <w:rPr>
      <w:sz w:val="16"/>
      <w:szCs w:val="16"/>
    </w:rPr>
  </w:style>
  <w:style w:type="paragraph" w:styleId="Textocomentario">
    <w:name w:val="annotation text"/>
    <w:basedOn w:val="Normal"/>
    <w:link w:val="TextocomentarioCar"/>
    <w:uiPriority w:val="99"/>
    <w:semiHidden/>
    <w:unhideWhenUsed/>
    <w:rsid w:val="00E906D4"/>
    <w:rPr>
      <w:sz w:val="20"/>
      <w:szCs w:val="20"/>
    </w:rPr>
  </w:style>
  <w:style w:type="character" w:customStyle="1" w:styleId="TextocomentarioCar">
    <w:name w:val="Texto comentario Car"/>
    <w:basedOn w:val="Fuentedeprrafopredeter"/>
    <w:link w:val="Textocomentario"/>
    <w:uiPriority w:val="99"/>
    <w:semiHidden/>
    <w:rsid w:val="00E906D4"/>
    <w:rPr>
      <w:rFonts w:ascii="Times New Roman"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E906D4"/>
    <w:rPr>
      <w:b/>
      <w:bCs/>
    </w:rPr>
  </w:style>
  <w:style w:type="character" w:customStyle="1" w:styleId="AsuntodelcomentarioCar">
    <w:name w:val="Asunto del comentario Car"/>
    <w:basedOn w:val="TextocomentarioCar"/>
    <w:link w:val="Asuntodelcomentario"/>
    <w:uiPriority w:val="99"/>
    <w:semiHidden/>
    <w:rsid w:val="00E906D4"/>
    <w:rPr>
      <w:rFonts w:ascii="Times New Roman" w:hAnsi="Times New Roman"/>
      <w:b/>
      <w:bCs/>
      <w:lang w:eastAsia="en-US"/>
    </w:rPr>
  </w:style>
  <w:style w:type="paragraph" w:styleId="Textonotapie">
    <w:name w:val="footnote text"/>
    <w:basedOn w:val="Normal"/>
    <w:link w:val="TextonotapieCar"/>
    <w:uiPriority w:val="99"/>
    <w:semiHidden/>
    <w:unhideWhenUsed/>
    <w:rsid w:val="00722C21"/>
    <w:rPr>
      <w:sz w:val="20"/>
      <w:szCs w:val="20"/>
    </w:rPr>
  </w:style>
  <w:style w:type="character" w:customStyle="1" w:styleId="TextonotapieCar">
    <w:name w:val="Texto nota pie Car"/>
    <w:basedOn w:val="Fuentedeprrafopredeter"/>
    <w:link w:val="Textonotapie"/>
    <w:uiPriority w:val="99"/>
    <w:semiHidden/>
    <w:rsid w:val="00722C21"/>
    <w:rPr>
      <w:rFonts w:ascii="Times New Roman" w:hAnsi="Times New Roman"/>
      <w:lang w:eastAsia="en-US"/>
    </w:rPr>
  </w:style>
  <w:style w:type="character" w:styleId="Refdenotaalpie">
    <w:name w:val="footnote reference"/>
    <w:basedOn w:val="Fuentedeprrafopredeter"/>
    <w:uiPriority w:val="99"/>
    <w:semiHidden/>
    <w:unhideWhenUsed/>
    <w:rsid w:val="00722C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313008">
      <w:bodyDiv w:val="1"/>
      <w:marLeft w:val="0"/>
      <w:marRight w:val="0"/>
      <w:marTop w:val="0"/>
      <w:marBottom w:val="0"/>
      <w:divBdr>
        <w:top w:val="none" w:sz="0" w:space="0" w:color="auto"/>
        <w:left w:val="none" w:sz="0" w:space="0" w:color="auto"/>
        <w:bottom w:val="none" w:sz="0" w:space="0" w:color="auto"/>
        <w:right w:val="none" w:sz="0" w:space="0" w:color="auto"/>
      </w:divBdr>
    </w:div>
    <w:div w:id="1595892566">
      <w:bodyDiv w:val="1"/>
      <w:marLeft w:val="0"/>
      <w:marRight w:val="0"/>
      <w:marTop w:val="0"/>
      <w:marBottom w:val="0"/>
      <w:divBdr>
        <w:top w:val="none" w:sz="0" w:space="0" w:color="auto"/>
        <w:left w:val="none" w:sz="0" w:space="0" w:color="auto"/>
        <w:bottom w:val="none" w:sz="0" w:space="0" w:color="auto"/>
        <w:right w:val="none" w:sz="0" w:space="0" w:color="auto"/>
      </w:divBdr>
    </w:div>
    <w:div w:id="183842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4D6EB-718F-44DC-B014-66B23223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1335</Words>
  <Characters>7345</Characters>
  <Application>Microsoft Office Word</Application>
  <DocSecurity>4</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Estudio Beccar Varela</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mtutzer</dc:creator>
  <cp:lastModifiedBy>Joaquin Vallejos</cp:lastModifiedBy>
  <cp:revision>2</cp:revision>
  <dcterms:created xsi:type="dcterms:W3CDTF">2019-12-09T22:12:00Z</dcterms:created>
  <dcterms:modified xsi:type="dcterms:W3CDTF">2019-12-09T22:12:00Z</dcterms:modified>
</cp:coreProperties>
</file>