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257D" w:rsidRPr="003F1E37" w:rsidRDefault="00DB257D" w:rsidP="00DB257D">
      <w:pPr>
        <w:widowControl w:val="0"/>
        <w:ind w:left="0" w:firstLine="0"/>
        <w:jc w:val="center"/>
        <w:rPr>
          <w:rFonts w:ascii="Times New Roman" w:eastAsia="Times New Roman" w:hAnsi="Times New Roman" w:cs="Times New Roman"/>
          <w:b/>
          <w:bCs/>
          <w:smallCaps/>
          <w:sz w:val="20"/>
          <w:szCs w:val="20"/>
          <w:bdr w:val="single" w:sz="4" w:space="0" w:color="auto"/>
          <w:lang w:val="es-ES_tradnl"/>
        </w:rPr>
      </w:pPr>
      <w:bookmarkStart w:id="0" w:name="_GoBack"/>
      <w:bookmarkEnd w:id="0"/>
      <w:r w:rsidRPr="003F1E37">
        <w:rPr>
          <w:rFonts w:ascii="Times New Roman" w:eastAsia="Times New Roman" w:hAnsi="Times New Roman" w:cs="Times New Roman"/>
          <w:b/>
          <w:bCs/>
          <w:smallCaps/>
          <w:sz w:val="20"/>
          <w:szCs w:val="20"/>
          <w:lang w:val="es-ES_tradnl"/>
        </w:rPr>
        <w:t>Aviso de Suscripción</w:t>
      </w:r>
    </w:p>
    <w:p w:rsidR="00DB257D" w:rsidRPr="003F1E37" w:rsidRDefault="00DB257D" w:rsidP="00DB257D">
      <w:pPr>
        <w:widowControl w:val="0"/>
        <w:ind w:left="0" w:firstLine="0"/>
        <w:jc w:val="center"/>
        <w:rPr>
          <w:rFonts w:ascii="Times New Roman" w:eastAsia="Times New Roman" w:hAnsi="Times New Roman" w:cs="Times New Roman"/>
          <w:sz w:val="20"/>
          <w:szCs w:val="20"/>
          <w:lang w:val="es-ES_tradnl"/>
        </w:rPr>
      </w:pPr>
    </w:p>
    <w:p w:rsidR="00DB257D" w:rsidRPr="003F1E37" w:rsidRDefault="00C90190" w:rsidP="00DB257D">
      <w:pPr>
        <w:widowControl w:val="0"/>
        <w:ind w:left="0" w:firstLine="0"/>
        <w:jc w:val="center"/>
        <w:rPr>
          <w:rFonts w:ascii="Times New Roman" w:eastAsia="Times New Roman" w:hAnsi="Times New Roman" w:cs="Times New Roman"/>
          <w:noProof/>
          <w:sz w:val="20"/>
          <w:szCs w:val="20"/>
          <w:lang w:eastAsia="es-AR"/>
        </w:rPr>
      </w:pPr>
      <w:r w:rsidRPr="003F1E37">
        <w:rPr>
          <w:rFonts w:ascii="Times New Roman" w:hAnsi="Times New Roman" w:cs="Times New Roman"/>
          <w:noProof/>
          <w:color w:val="000000"/>
          <w:sz w:val="20"/>
          <w:szCs w:val="20"/>
          <w:lang w:eastAsia="es-AR"/>
        </w:rPr>
        <w:drawing>
          <wp:inline distT="0" distB="0" distL="0" distR="0">
            <wp:extent cx="1984075" cy="319178"/>
            <wp:effectExtent l="0" t="0" r="0" b="0"/>
            <wp:docPr id="5" name="image3.jpg" descr="logo-FCA (1)"/>
            <wp:cNvGraphicFramePr/>
            <a:graphic xmlns:a="http://schemas.openxmlformats.org/drawingml/2006/main">
              <a:graphicData uri="http://schemas.openxmlformats.org/drawingml/2006/picture">
                <pic:pic xmlns:pic="http://schemas.openxmlformats.org/drawingml/2006/picture">
                  <pic:nvPicPr>
                    <pic:cNvPr id="0" name="image3.jpg" descr="logo-FCA (1)"/>
                    <pic:cNvPicPr preferRelativeResize="0"/>
                  </pic:nvPicPr>
                  <pic:blipFill>
                    <a:blip r:embed="rId8" cstate="print"/>
                    <a:srcRect/>
                    <a:stretch>
                      <a:fillRect/>
                    </a:stretch>
                  </pic:blipFill>
                  <pic:spPr>
                    <a:xfrm>
                      <a:off x="0" y="0"/>
                      <a:ext cx="2189833" cy="352278"/>
                    </a:xfrm>
                    <a:prstGeom prst="rect">
                      <a:avLst/>
                    </a:prstGeom>
                    <a:ln/>
                  </pic:spPr>
                </pic:pic>
              </a:graphicData>
            </a:graphic>
          </wp:inline>
        </w:drawing>
      </w:r>
    </w:p>
    <w:p w:rsidR="00DB257D" w:rsidRPr="003F1E37" w:rsidRDefault="00DB257D" w:rsidP="00DB257D">
      <w:pPr>
        <w:widowControl w:val="0"/>
        <w:ind w:left="0" w:firstLine="0"/>
        <w:jc w:val="center"/>
        <w:rPr>
          <w:rFonts w:ascii="Times New Roman" w:eastAsia="Times New Roman" w:hAnsi="Times New Roman" w:cs="Times New Roman"/>
          <w:sz w:val="20"/>
          <w:szCs w:val="20"/>
          <w:lang w:val="es-ES_tradnl"/>
        </w:rPr>
      </w:pPr>
    </w:p>
    <w:p w:rsidR="00DB257D" w:rsidRPr="003F1E37" w:rsidRDefault="00DB257D" w:rsidP="00DB257D">
      <w:pPr>
        <w:widowControl w:val="0"/>
        <w:ind w:left="0" w:firstLine="0"/>
        <w:jc w:val="center"/>
        <w:rPr>
          <w:rFonts w:ascii="Times New Roman" w:eastAsia="Times New Roman" w:hAnsi="Times New Roman" w:cs="Times New Roman"/>
          <w:b/>
          <w:bCs/>
          <w:smallCaps/>
          <w:sz w:val="20"/>
          <w:szCs w:val="20"/>
        </w:rPr>
      </w:pPr>
      <w:r w:rsidRPr="003F1E37">
        <w:rPr>
          <w:rFonts w:ascii="Times New Roman" w:eastAsia="Times New Roman" w:hAnsi="Times New Roman" w:cs="Times New Roman"/>
          <w:b/>
          <w:bCs/>
          <w:smallCaps/>
          <w:sz w:val="20"/>
          <w:szCs w:val="20"/>
        </w:rPr>
        <w:t>FCA Compañía Financiera S.A.</w:t>
      </w:r>
    </w:p>
    <w:p w:rsidR="00DB257D" w:rsidRPr="003F1E37" w:rsidRDefault="00DB257D" w:rsidP="00DB257D">
      <w:pPr>
        <w:widowControl w:val="0"/>
        <w:ind w:left="0" w:firstLine="0"/>
        <w:jc w:val="center"/>
        <w:rPr>
          <w:rFonts w:ascii="Times New Roman" w:eastAsia="Times New Roman" w:hAnsi="Times New Roman" w:cs="Times New Roman"/>
          <w:sz w:val="20"/>
          <w:szCs w:val="20"/>
          <w:lang w:val="es-ES_tradnl"/>
        </w:rPr>
      </w:pPr>
      <w:r w:rsidRPr="003F1E37">
        <w:rPr>
          <w:rFonts w:ascii="Times New Roman" w:eastAsia="Times New Roman" w:hAnsi="Times New Roman" w:cs="Times New Roman"/>
          <w:i/>
          <w:sz w:val="20"/>
          <w:szCs w:val="20"/>
          <w:lang w:val="es-ES_tradnl"/>
        </w:rPr>
        <w:t>como Emisor</w:t>
      </w:r>
    </w:p>
    <w:p w:rsidR="00DB257D" w:rsidRPr="003F1E37" w:rsidRDefault="00DB257D" w:rsidP="00D85C0C">
      <w:pPr>
        <w:widowControl w:val="0"/>
        <w:autoSpaceDE w:val="0"/>
        <w:autoSpaceDN w:val="0"/>
        <w:adjustRightInd w:val="0"/>
        <w:ind w:left="0" w:firstLine="0"/>
        <w:jc w:val="center"/>
        <w:outlineLvl w:val="1"/>
        <w:rPr>
          <w:rFonts w:ascii="Times New Roman" w:eastAsia="Calibri" w:hAnsi="Times New Roman" w:cs="Times New Roman"/>
          <w:b/>
          <w:bCs/>
          <w:smallCaps/>
          <w:sz w:val="20"/>
          <w:szCs w:val="20"/>
        </w:rPr>
      </w:pPr>
    </w:p>
    <w:p w:rsidR="00DC1E16" w:rsidRPr="003F1E37" w:rsidRDefault="001D7DAA" w:rsidP="00D85C0C">
      <w:pPr>
        <w:widowControl w:val="0"/>
        <w:autoSpaceDE w:val="0"/>
        <w:autoSpaceDN w:val="0"/>
        <w:adjustRightInd w:val="0"/>
        <w:ind w:left="0" w:firstLine="0"/>
        <w:jc w:val="center"/>
        <w:outlineLvl w:val="1"/>
        <w:rPr>
          <w:rFonts w:ascii="Times New Roman" w:eastAsia="Calibri" w:hAnsi="Times New Roman" w:cs="Times New Roman"/>
          <w:b/>
          <w:bCs/>
          <w:smallCaps/>
          <w:sz w:val="20"/>
          <w:szCs w:val="20"/>
        </w:rPr>
      </w:pPr>
      <w:bookmarkStart w:id="1" w:name="_Hlk5613812"/>
      <w:r w:rsidRPr="003F1E37">
        <w:rPr>
          <w:rFonts w:ascii="Times New Roman" w:eastAsia="Calibri" w:hAnsi="Times New Roman" w:cs="Times New Roman"/>
          <w:b/>
          <w:bCs/>
          <w:smallCaps/>
          <w:sz w:val="20"/>
          <w:szCs w:val="20"/>
        </w:rPr>
        <w:t xml:space="preserve">Emisor Frecuente Registro </w:t>
      </w:r>
      <w:r w:rsidR="002A71E5" w:rsidRPr="003F1E37">
        <w:rPr>
          <w:rFonts w:ascii="Times New Roman" w:eastAsia="Calibri" w:hAnsi="Times New Roman" w:cs="Times New Roman"/>
          <w:b/>
          <w:bCs/>
          <w:smallCaps/>
          <w:sz w:val="20"/>
          <w:szCs w:val="20"/>
        </w:rPr>
        <w:t xml:space="preserve">N°2 </w:t>
      </w:r>
      <w:r w:rsidRPr="003F1E37">
        <w:rPr>
          <w:rFonts w:ascii="Times New Roman" w:eastAsia="Calibri" w:hAnsi="Times New Roman" w:cs="Times New Roman"/>
          <w:b/>
          <w:bCs/>
          <w:smallCaps/>
          <w:sz w:val="20"/>
          <w:szCs w:val="20"/>
        </w:rPr>
        <w:t>para la emisión de Obligaciones Negociables simples no convertibles en acciones</w:t>
      </w:r>
      <w:r w:rsidR="002A71E5" w:rsidRPr="003F1E37">
        <w:rPr>
          <w:rFonts w:ascii="Times New Roman" w:eastAsia="Calibri" w:hAnsi="Times New Roman" w:cs="Times New Roman"/>
          <w:b/>
          <w:bCs/>
          <w:smallCaps/>
          <w:sz w:val="20"/>
          <w:szCs w:val="20"/>
        </w:rPr>
        <w:t xml:space="preserve">, </w:t>
      </w:r>
      <w:r w:rsidRPr="003F1E37">
        <w:rPr>
          <w:rFonts w:ascii="Times New Roman" w:eastAsia="Calibri" w:hAnsi="Times New Roman" w:cs="Times New Roman"/>
          <w:b/>
          <w:bCs/>
          <w:smallCaps/>
          <w:sz w:val="20"/>
          <w:szCs w:val="20"/>
        </w:rPr>
        <w:t>con o sin garantía</w:t>
      </w:r>
      <w:r w:rsidR="002A71E5" w:rsidRPr="003F1E37">
        <w:rPr>
          <w:rFonts w:ascii="Times New Roman" w:eastAsia="Calibri" w:hAnsi="Times New Roman" w:cs="Times New Roman"/>
          <w:b/>
          <w:bCs/>
          <w:smallCaps/>
          <w:sz w:val="20"/>
          <w:szCs w:val="20"/>
        </w:rPr>
        <w:t xml:space="preserve">, </w:t>
      </w:r>
      <w:r w:rsidRPr="003F1E37">
        <w:rPr>
          <w:rFonts w:ascii="Times New Roman" w:eastAsia="Calibri" w:hAnsi="Times New Roman" w:cs="Times New Roman"/>
          <w:b/>
          <w:bCs/>
          <w:smallCaps/>
          <w:sz w:val="20"/>
          <w:szCs w:val="20"/>
        </w:rPr>
        <w:t>subordinadas o no subordinadas</w:t>
      </w:r>
      <w:r w:rsidR="002A71E5" w:rsidRPr="003F1E37">
        <w:rPr>
          <w:rFonts w:ascii="Times New Roman" w:eastAsia="Calibri" w:hAnsi="Times New Roman" w:cs="Times New Roman"/>
          <w:b/>
          <w:bCs/>
          <w:smallCaps/>
          <w:sz w:val="20"/>
          <w:szCs w:val="20"/>
        </w:rPr>
        <w:t xml:space="preserve">, </w:t>
      </w:r>
      <w:r w:rsidRPr="003F1E37">
        <w:rPr>
          <w:rFonts w:ascii="Times New Roman" w:eastAsia="Calibri" w:hAnsi="Times New Roman" w:cs="Times New Roman"/>
          <w:b/>
          <w:bCs/>
          <w:smallCaps/>
          <w:sz w:val="20"/>
          <w:szCs w:val="20"/>
        </w:rPr>
        <w:t xml:space="preserve">por un monto de hasta </w:t>
      </w:r>
      <w:r w:rsidR="002A71E5" w:rsidRPr="003F1E37">
        <w:rPr>
          <w:rFonts w:ascii="Times New Roman" w:eastAsia="Calibri" w:hAnsi="Times New Roman" w:cs="Times New Roman"/>
          <w:b/>
          <w:bCs/>
          <w:smallCaps/>
          <w:sz w:val="20"/>
          <w:szCs w:val="20"/>
        </w:rPr>
        <w:t xml:space="preserve">U$S100.000.000 </w:t>
      </w:r>
      <w:r w:rsidR="00C90190" w:rsidRPr="003F1E37">
        <w:rPr>
          <w:rFonts w:ascii="Times New Roman" w:eastAsia="Calibri" w:hAnsi="Times New Roman" w:cs="Times New Roman"/>
          <w:b/>
          <w:bCs/>
          <w:smallCaps/>
          <w:sz w:val="20"/>
          <w:szCs w:val="20"/>
        </w:rPr>
        <w:t>(</w:t>
      </w:r>
      <w:r w:rsidRPr="003F1E37">
        <w:rPr>
          <w:rFonts w:ascii="Times New Roman" w:eastAsia="Calibri" w:hAnsi="Times New Roman" w:cs="Times New Roman"/>
          <w:b/>
          <w:bCs/>
          <w:smallCaps/>
          <w:sz w:val="20"/>
          <w:szCs w:val="20"/>
        </w:rPr>
        <w:t>Dólares Estadounidenses cien millones</w:t>
      </w:r>
      <w:r w:rsidR="00C90190" w:rsidRPr="003F1E37">
        <w:rPr>
          <w:rFonts w:ascii="Times New Roman" w:eastAsia="Calibri" w:hAnsi="Times New Roman" w:cs="Times New Roman"/>
          <w:b/>
          <w:bCs/>
          <w:smallCaps/>
          <w:sz w:val="20"/>
          <w:szCs w:val="20"/>
        </w:rPr>
        <w:t xml:space="preserve">) </w:t>
      </w:r>
      <w:r w:rsidR="002A71E5" w:rsidRPr="003F1E37">
        <w:rPr>
          <w:rFonts w:ascii="Times New Roman" w:eastAsia="Calibri" w:hAnsi="Times New Roman" w:cs="Times New Roman"/>
          <w:b/>
          <w:bCs/>
          <w:smallCaps/>
          <w:sz w:val="20"/>
          <w:szCs w:val="20"/>
        </w:rPr>
        <w:t>(</w:t>
      </w:r>
      <w:r w:rsidRPr="003F1E37">
        <w:rPr>
          <w:rFonts w:ascii="Times New Roman" w:eastAsia="Calibri" w:hAnsi="Times New Roman" w:cs="Times New Roman"/>
          <w:b/>
          <w:bCs/>
          <w:smallCaps/>
          <w:sz w:val="20"/>
          <w:szCs w:val="20"/>
        </w:rPr>
        <w:t>o su equivalente en UVAs</w:t>
      </w:r>
      <w:r w:rsidR="002A71E5" w:rsidRPr="003F1E37">
        <w:rPr>
          <w:rFonts w:ascii="Times New Roman" w:eastAsia="Calibri" w:hAnsi="Times New Roman" w:cs="Times New Roman"/>
          <w:b/>
          <w:bCs/>
          <w:smallCaps/>
          <w:sz w:val="20"/>
          <w:szCs w:val="20"/>
        </w:rPr>
        <w:t>)</w:t>
      </w:r>
    </w:p>
    <w:bookmarkEnd w:id="1"/>
    <w:p w:rsidR="00DB257D" w:rsidRPr="003F1E37" w:rsidRDefault="00DB257D" w:rsidP="00DB257D">
      <w:pPr>
        <w:widowControl w:val="0"/>
        <w:ind w:left="0" w:firstLine="0"/>
        <w:jc w:val="center"/>
        <w:rPr>
          <w:rFonts w:ascii="Times New Roman" w:eastAsia="Times New Roman" w:hAnsi="Times New Roman" w:cs="Times New Roman"/>
          <w:sz w:val="20"/>
          <w:szCs w:val="20"/>
        </w:rPr>
      </w:pPr>
    </w:p>
    <w:p w:rsidR="00DB257D" w:rsidRPr="003F1E37" w:rsidRDefault="00DB257D" w:rsidP="00DB257D">
      <w:pPr>
        <w:widowControl w:val="0"/>
        <w:autoSpaceDE w:val="0"/>
        <w:autoSpaceDN w:val="0"/>
        <w:adjustRightInd w:val="0"/>
        <w:ind w:left="0" w:firstLine="0"/>
        <w:jc w:val="center"/>
        <w:outlineLvl w:val="1"/>
        <w:rPr>
          <w:rFonts w:ascii="Times New Roman" w:eastAsia="Calibri" w:hAnsi="Times New Roman" w:cs="Times New Roman"/>
          <w:b/>
          <w:bCs/>
          <w:smallCaps/>
          <w:sz w:val="20"/>
          <w:szCs w:val="20"/>
        </w:rPr>
      </w:pPr>
      <w:r w:rsidRPr="003F1E37">
        <w:rPr>
          <w:rFonts w:ascii="Times New Roman" w:eastAsia="Calibri" w:hAnsi="Times New Roman" w:cs="Times New Roman"/>
          <w:b/>
          <w:bCs/>
          <w:smallCaps/>
          <w:sz w:val="20"/>
          <w:szCs w:val="20"/>
        </w:rPr>
        <w:t xml:space="preserve">Obligaciones Negociables Clase </w:t>
      </w:r>
      <w:r w:rsidR="00F932C4" w:rsidRPr="003F1E37">
        <w:rPr>
          <w:rFonts w:ascii="Times New Roman" w:eastAsia="Calibri" w:hAnsi="Times New Roman" w:cs="Times New Roman"/>
          <w:b/>
          <w:bCs/>
          <w:smallCaps/>
          <w:sz w:val="20"/>
          <w:szCs w:val="20"/>
        </w:rPr>
        <w:t>XVIII</w:t>
      </w:r>
      <w:r w:rsidR="00D35E79" w:rsidRPr="003F1E37">
        <w:rPr>
          <w:rFonts w:ascii="Times New Roman" w:eastAsia="Calibri" w:hAnsi="Times New Roman" w:cs="Times New Roman"/>
          <w:b/>
          <w:bCs/>
          <w:smallCaps/>
          <w:sz w:val="20"/>
          <w:szCs w:val="20"/>
        </w:rPr>
        <w:t>, a ser emitidas en una o dos Series</w:t>
      </w:r>
    </w:p>
    <w:p w:rsidR="00DC1E16" w:rsidRPr="003F1E37" w:rsidRDefault="00DC1E16" w:rsidP="00DC1E16">
      <w:pPr>
        <w:widowControl w:val="0"/>
        <w:autoSpaceDE w:val="0"/>
        <w:autoSpaceDN w:val="0"/>
        <w:adjustRightInd w:val="0"/>
        <w:ind w:left="0" w:firstLine="0"/>
        <w:jc w:val="center"/>
        <w:outlineLvl w:val="1"/>
        <w:rPr>
          <w:rFonts w:ascii="Times New Roman" w:eastAsia="Calibri" w:hAnsi="Times New Roman" w:cs="Times New Roman"/>
          <w:bCs/>
          <w:smallCaps/>
          <w:sz w:val="20"/>
          <w:szCs w:val="20"/>
        </w:rPr>
      </w:pPr>
      <w:r w:rsidRPr="003F1E37">
        <w:rPr>
          <w:rFonts w:ascii="Times New Roman" w:eastAsia="Calibri" w:hAnsi="Times New Roman" w:cs="Times New Roman"/>
          <w:bCs/>
          <w:smallCaps/>
          <w:sz w:val="20"/>
          <w:szCs w:val="20"/>
        </w:rPr>
        <w:t>obligaciones negociables simples, no convertibles en acciones, no garantizadas</w:t>
      </w:r>
    </w:p>
    <w:p w:rsidR="00DC1E16" w:rsidRPr="003F1E37" w:rsidRDefault="00DC1E16" w:rsidP="00DC1E16">
      <w:pPr>
        <w:widowControl w:val="0"/>
        <w:autoSpaceDE w:val="0"/>
        <w:autoSpaceDN w:val="0"/>
        <w:adjustRightInd w:val="0"/>
        <w:ind w:left="0" w:firstLine="0"/>
        <w:jc w:val="center"/>
        <w:outlineLvl w:val="1"/>
        <w:rPr>
          <w:rFonts w:ascii="Times New Roman" w:eastAsia="Calibri" w:hAnsi="Times New Roman" w:cs="Times New Roman"/>
          <w:bCs/>
          <w:smallCaps/>
          <w:sz w:val="20"/>
          <w:szCs w:val="20"/>
        </w:rPr>
      </w:pPr>
      <w:r w:rsidRPr="003F1E37">
        <w:rPr>
          <w:rFonts w:ascii="Times New Roman" w:eastAsia="Calibri" w:hAnsi="Times New Roman" w:cs="Times New Roman"/>
          <w:bCs/>
          <w:smallCaps/>
          <w:sz w:val="20"/>
          <w:szCs w:val="20"/>
        </w:rPr>
        <w:t>A ser emitidas bajo el régimen de Emisor Frecuente</w:t>
      </w:r>
    </w:p>
    <w:p w:rsidR="007341F7" w:rsidRDefault="00DC1E16" w:rsidP="00DC1E16">
      <w:pPr>
        <w:widowControl w:val="0"/>
        <w:autoSpaceDE w:val="0"/>
        <w:autoSpaceDN w:val="0"/>
        <w:adjustRightInd w:val="0"/>
        <w:ind w:left="0" w:firstLine="0"/>
        <w:jc w:val="center"/>
        <w:outlineLvl w:val="1"/>
        <w:rPr>
          <w:rFonts w:ascii="Times New Roman" w:eastAsia="Calibri" w:hAnsi="Times New Roman" w:cs="Times New Roman"/>
          <w:bCs/>
          <w:smallCaps/>
          <w:sz w:val="20"/>
          <w:szCs w:val="20"/>
        </w:rPr>
      </w:pPr>
      <w:r w:rsidRPr="003F1E37">
        <w:rPr>
          <w:rFonts w:ascii="Times New Roman" w:eastAsia="Calibri" w:hAnsi="Times New Roman" w:cs="Times New Roman"/>
          <w:bCs/>
          <w:smallCaps/>
          <w:sz w:val="20"/>
          <w:szCs w:val="20"/>
        </w:rPr>
        <w:t>por hasta un valor nominal máximo</w:t>
      </w:r>
      <w:r w:rsidR="004B59D5" w:rsidRPr="003F1E37">
        <w:rPr>
          <w:rFonts w:ascii="Times New Roman" w:eastAsia="Calibri" w:hAnsi="Times New Roman" w:cs="Times New Roman"/>
          <w:bCs/>
          <w:smallCaps/>
          <w:sz w:val="20"/>
          <w:szCs w:val="20"/>
        </w:rPr>
        <w:t xml:space="preserve"> en conjunto</w:t>
      </w:r>
      <w:r w:rsidRPr="003F1E37">
        <w:rPr>
          <w:rFonts w:ascii="Times New Roman" w:eastAsia="Calibri" w:hAnsi="Times New Roman" w:cs="Times New Roman"/>
          <w:bCs/>
          <w:smallCaps/>
          <w:sz w:val="20"/>
          <w:szCs w:val="20"/>
        </w:rPr>
        <w:t xml:space="preserve"> de hasta $1.000.000.000</w:t>
      </w:r>
      <w:r w:rsidR="001D7DAA" w:rsidRPr="003F1E37">
        <w:rPr>
          <w:rFonts w:ascii="Times New Roman" w:eastAsia="Calibri" w:hAnsi="Times New Roman" w:cs="Times New Roman"/>
          <w:bCs/>
          <w:smallCaps/>
          <w:sz w:val="20"/>
          <w:szCs w:val="20"/>
        </w:rPr>
        <w:t xml:space="preserve"> (Pesos mil millones) </w:t>
      </w:r>
    </w:p>
    <w:p w:rsidR="00DB257D" w:rsidRPr="003F1E37" w:rsidRDefault="00DB257D" w:rsidP="00DC1E16">
      <w:pPr>
        <w:widowControl w:val="0"/>
        <w:autoSpaceDE w:val="0"/>
        <w:autoSpaceDN w:val="0"/>
        <w:adjustRightInd w:val="0"/>
        <w:ind w:left="0" w:firstLine="0"/>
        <w:jc w:val="center"/>
        <w:outlineLvl w:val="1"/>
        <w:rPr>
          <w:rFonts w:ascii="Times New Roman" w:eastAsia="Calibri" w:hAnsi="Times New Roman" w:cs="Times New Roman"/>
          <w:smallCaps/>
          <w:color w:val="4F81BD"/>
          <w:sz w:val="20"/>
          <w:szCs w:val="20"/>
        </w:rPr>
      </w:pPr>
      <w:r w:rsidRPr="003F1E37">
        <w:rPr>
          <w:rFonts w:ascii="Times New Roman" w:eastAsia="Calibri" w:hAnsi="Times New Roman" w:cs="Times New Roman"/>
          <w:bCs/>
          <w:smallCaps/>
          <w:sz w:val="20"/>
          <w:szCs w:val="20"/>
        </w:rPr>
        <w:t>(el “</w:t>
      </w:r>
      <w:r w:rsidRPr="003F1E37">
        <w:rPr>
          <w:rFonts w:ascii="Times New Roman" w:eastAsia="Calibri" w:hAnsi="Times New Roman" w:cs="Times New Roman"/>
          <w:bCs/>
          <w:smallCaps/>
          <w:sz w:val="20"/>
          <w:szCs w:val="20"/>
          <w:u w:val="single"/>
        </w:rPr>
        <w:t>Valor Nominal Máximo</w:t>
      </w:r>
      <w:r w:rsidRPr="003F1E37">
        <w:rPr>
          <w:rFonts w:ascii="Times New Roman" w:eastAsia="Calibri" w:hAnsi="Times New Roman" w:cs="Times New Roman"/>
          <w:bCs/>
          <w:smallCaps/>
          <w:sz w:val="20"/>
          <w:szCs w:val="20"/>
        </w:rPr>
        <w:t>”)</w:t>
      </w:r>
      <w:r w:rsidR="006B339B" w:rsidRPr="003F1E37">
        <w:rPr>
          <w:rFonts w:ascii="Times New Roman" w:eastAsia="Calibri" w:hAnsi="Times New Roman" w:cs="Times New Roman"/>
          <w:bCs/>
          <w:smallCaps/>
          <w:sz w:val="20"/>
          <w:szCs w:val="20"/>
        </w:rPr>
        <w:t xml:space="preserve"> </w:t>
      </w:r>
      <w:r w:rsidRPr="003F1E37">
        <w:rPr>
          <w:rFonts w:ascii="Times New Roman" w:eastAsia="Calibri" w:hAnsi="Times New Roman" w:cs="Times New Roman"/>
          <w:bCs/>
          <w:smallCaps/>
          <w:sz w:val="20"/>
          <w:szCs w:val="20"/>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89"/>
      </w:tblGrid>
      <w:tr w:rsidR="00DB257D" w:rsidRPr="00950255" w:rsidTr="00DC1E16">
        <w:trPr>
          <w:jc w:val="center"/>
        </w:trPr>
        <w:tc>
          <w:tcPr>
            <w:tcW w:w="4889" w:type="dxa"/>
          </w:tcPr>
          <w:p w:rsidR="00DB257D" w:rsidRPr="003F1E37" w:rsidRDefault="00DB257D" w:rsidP="002A71E5">
            <w:pPr>
              <w:widowControl w:val="0"/>
              <w:jc w:val="center"/>
              <w:rPr>
                <w:rFonts w:ascii="Times New Roman" w:eastAsia="Times New Roman" w:hAnsi="Times New Roman"/>
                <w:bCs/>
                <w:smallCaps/>
                <w:lang w:val="es-AR"/>
              </w:rPr>
            </w:pPr>
            <w:bookmarkStart w:id="2" w:name="_Hlk5613932"/>
          </w:p>
        </w:tc>
        <w:tc>
          <w:tcPr>
            <w:tcW w:w="4889" w:type="dxa"/>
          </w:tcPr>
          <w:p w:rsidR="00DB257D" w:rsidRPr="003F1E37" w:rsidRDefault="00DB257D" w:rsidP="00DB257D">
            <w:pPr>
              <w:widowControl w:val="0"/>
              <w:jc w:val="center"/>
              <w:rPr>
                <w:rFonts w:ascii="Times New Roman" w:eastAsia="Times New Roman" w:hAnsi="Times New Roman"/>
              </w:rPr>
            </w:pPr>
          </w:p>
        </w:tc>
      </w:tr>
    </w:tbl>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559"/>
      </w:tblGrid>
      <w:tr w:rsidR="00F932C4" w:rsidRPr="00950255" w:rsidTr="00D844AF">
        <w:tc>
          <w:tcPr>
            <w:tcW w:w="5070" w:type="dxa"/>
          </w:tcPr>
          <w:bookmarkEnd w:id="2"/>
          <w:p w:rsidR="00F932C4" w:rsidRPr="00950255" w:rsidRDefault="00F932C4" w:rsidP="00F932C4">
            <w:pPr>
              <w:widowControl w:val="0"/>
              <w:rPr>
                <w:b/>
                <w:smallCaps/>
                <w:sz w:val="20"/>
                <w:szCs w:val="20"/>
              </w:rPr>
            </w:pPr>
            <w:r w:rsidRPr="00950255">
              <w:rPr>
                <w:b/>
                <w:smallCaps/>
                <w:sz w:val="20"/>
                <w:szCs w:val="20"/>
              </w:rPr>
              <w:t xml:space="preserve">Serie I </w:t>
            </w:r>
          </w:p>
          <w:p w:rsidR="00F932C4" w:rsidRPr="00950255" w:rsidRDefault="00F932C4" w:rsidP="00F932C4">
            <w:pPr>
              <w:widowControl w:val="0"/>
              <w:rPr>
                <w:smallCaps/>
                <w:sz w:val="20"/>
                <w:szCs w:val="20"/>
              </w:rPr>
            </w:pPr>
            <w:r w:rsidRPr="00950255">
              <w:rPr>
                <w:smallCaps/>
                <w:sz w:val="20"/>
                <w:szCs w:val="20"/>
              </w:rPr>
              <w:t xml:space="preserve">Por un valor nominal de referencia denominado en UVAs equivalente a $250.000.000 (Pesos doscientos cincuenta millones), convertidos al valor Uva Inicial, ampliable por hasta el Valor Nominal Máximo con vencimiento a los </w:t>
            </w:r>
            <w:r w:rsidR="007341F7">
              <w:rPr>
                <w:smallCaps/>
                <w:sz w:val="20"/>
                <w:szCs w:val="20"/>
              </w:rPr>
              <w:t>24</w:t>
            </w:r>
            <w:r w:rsidRPr="00950255">
              <w:rPr>
                <w:smallCaps/>
                <w:sz w:val="20"/>
                <w:szCs w:val="20"/>
              </w:rPr>
              <w:t xml:space="preserve"> (</w:t>
            </w:r>
            <w:r w:rsidR="007341F7">
              <w:rPr>
                <w:smallCaps/>
                <w:sz w:val="20"/>
                <w:szCs w:val="20"/>
              </w:rPr>
              <w:t>veinticuatro</w:t>
            </w:r>
            <w:r w:rsidRPr="00950255">
              <w:rPr>
                <w:smallCaps/>
                <w:sz w:val="20"/>
                <w:szCs w:val="20"/>
              </w:rPr>
              <w:t xml:space="preserve">) meses desde la fecha de emisión y liquidación. A tasa </w:t>
            </w:r>
            <w:r w:rsidR="00AE14A2" w:rsidRPr="00950255">
              <w:rPr>
                <w:smallCaps/>
                <w:sz w:val="20"/>
                <w:szCs w:val="20"/>
              </w:rPr>
              <w:t>fija</w:t>
            </w:r>
            <w:r w:rsidRPr="00950255">
              <w:rPr>
                <w:smallCaps/>
                <w:sz w:val="20"/>
                <w:szCs w:val="20"/>
              </w:rPr>
              <w:t>. Precio de suscripción: 100% del valor nominal</w:t>
            </w:r>
          </w:p>
          <w:p w:rsidR="00F932C4" w:rsidRPr="00950255" w:rsidRDefault="00F932C4" w:rsidP="00F932C4">
            <w:pPr>
              <w:widowControl w:val="0"/>
              <w:rPr>
                <w:smallCaps/>
                <w:sz w:val="20"/>
                <w:szCs w:val="20"/>
              </w:rPr>
            </w:pPr>
          </w:p>
        </w:tc>
        <w:tc>
          <w:tcPr>
            <w:tcW w:w="4559" w:type="dxa"/>
          </w:tcPr>
          <w:p w:rsidR="00F932C4" w:rsidRPr="00950255" w:rsidRDefault="00F932C4" w:rsidP="00F932C4">
            <w:pPr>
              <w:widowControl w:val="0"/>
              <w:rPr>
                <w:b/>
                <w:smallCaps/>
                <w:sz w:val="20"/>
                <w:szCs w:val="20"/>
              </w:rPr>
            </w:pPr>
            <w:r w:rsidRPr="00950255">
              <w:rPr>
                <w:b/>
                <w:smallCaps/>
                <w:sz w:val="20"/>
                <w:szCs w:val="20"/>
              </w:rPr>
              <w:t xml:space="preserve">Serie II </w:t>
            </w:r>
          </w:p>
          <w:p w:rsidR="00F932C4" w:rsidRPr="00950255" w:rsidRDefault="00F932C4" w:rsidP="00F932C4">
            <w:pPr>
              <w:widowControl w:val="0"/>
              <w:rPr>
                <w:smallCaps/>
                <w:sz w:val="20"/>
                <w:szCs w:val="20"/>
              </w:rPr>
            </w:pPr>
            <w:r w:rsidRPr="00950255">
              <w:rPr>
                <w:smallCaps/>
                <w:sz w:val="20"/>
                <w:szCs w:val="20"/>
              </w:rPr>
              <w:t>Por un valor nominal de referencia de hasta $250.000.000 (Pesos doscientos cincuenta millones) ampliable por hasta el Valor Nominal Máximo con vencimiento a los 12 (doce) meses de la Fecha de Emisión y Liquidación. A tasa variable. Precio de suscripción: 100% del valor nominal</w:t>
            </w:r>
          </w:p>
        </w:tc>
      </w:tr>
    </w:tbl>
    <w:p w:rsidR="00DB257D" w:rsidRPr="00950255" w:rsidRDefault="00DB257D" w:rsidP="00DB257D">
      <w:pPr>
        <w:widowControl w:val="0"/>
        <w:ind w:left="0" w:firstLine="0"/>
        <w:jc w:val="both"/>
        <w:rPr>
          <w:rFonts w:ascii="Times New Roman" w:eastAsia="Times New Roman" w:hAnsi="Times New Roman" w:cs="Times New Roman"/>
          <w:i/>
          <w:sz w:val="20"/>
          <w:szCs w:val="20"/>
        </w:rPr>
      </w:pPr>
      <w:r w:rsidRPr="00950255">
        <w:rPr>
          <w:rFonts w:ascii="Times New Roman" w:eastAsia="Times New Roman" w:hAnsi="Times New Roman" w:cs="Times New Roman"/>
          <w:i/>
          <w:smallCaps/>
          <w:sz w:val="20"/>
          <w:szCs w:val="20"/>
        </w:rPr>
        <w:t xml:space="preserve">* </w:t>
      </w:r>
      <w:r w:rsidRPr="00950255">
        <w:rPr>
          <w:rFonts w:ascii="Times New Roman" w:eastAsia="Times New Roman" w:hAnsi="Times New Roman" w:cs="Times New Roman"/>
          <w:sz w:val="20"/>
          <w:szCs w:val="20"/>
        </w:rPr>
        <w:t>La sumatoria del monto de emisión de la Obligaciones Negociables Serie I y de las Obligaciones Negociables Serie II, no puede superar el Valor Nominal Máximo de $</w:t>
      </w:r>
      <w:r w:rsidR="00543CCD" w:rsidRPr="00950255">
        <w:rPr>
          <w:rFonts w:ascii="Times New Roman" w:eastAsia="Times New Roman" w:hAnsi="Times New Roman" w:cs="Times New Roman"/>
          <w:sz w:val="20"/>
          <w:szCs w:val="20"/>
        </w:rPr>
        <w:t>1.0</w:t>
      </w:r>
      <w:r w:rsidRPr="00950255">
        <w:rPr>
          <w:rFonts w:ascii="Times New Roman" w:eastAsia="Times New Roman" w:hAnsi="Times New Roman" w:cs="Times New Roman"/>
          <w:sz w:val="20"/>
          <w:szCs w:val="20"/>
        </w:rPr>
        <w:t xml:space="preserve">00.000.000 </w:t>
      </w:r>
      <w:r w:rsidR="001D7DAA" w:rsidRPr="00950255">
        <w:rPr>
          <w:rFonts w:ascii="Times New Roman" w:eastAsia="Times New Roman" w:hAnsi="Times New Roman" w:cs="Times New Roman"/>
          <w:sz w:val="20"/>
          <w:szCs w:val="20"/>
        </w:rPr>
        <w:t xml:space="preserve">(Pesos mil millones) </w:t>
      </w:r>
      <w:r w:rsidRPr="00950255">
        <w:rPr>
          <w:rFonts w:ascii="Times New Roman" w:eastAsia="Times New Roman" w:hAnsi="Times New Roman" w:cs="Times New Roman"/>
          <w:sz w:val="20"/>
          <w:szCs w:val="20"/>
        </w:rPr>
        <w:t xml:space="preserve">o su equivalente en UVAs, sin perjuicio de que cada una de las series podrá ser emitida por un monto nominal mayor o menor al Valor Nominal de Referencia </w:t>
      </w:r>
      <w:r w:rsidR="002A71E5" w:rsidRPr="00950255">
        <w:rPr>
          <w:rFonts w:ascii="Times New Roman" w:eastAsia="Times New Roman" w:hAnsi="Times New Roman" w:cs="Times New Roman"/>
          <w:sz w:val="20"/>
          <w:szCs w:val="20"/>
        </w:rPr>
        <w:t>respectivo</w:t>
      </w:r>
      <w:r w:rsidRPr="00950255">
        <w:rPr>
          <w:rFonts w:ascii="Times New Roman" w:eastAsia="Times New Roman" w:hAnsi="Times New Roman" w:cs="Times New Roman"/>
          <w:sz w:val="20"/>
          <w:szCs w:val="20"/>
        </w:rPr>
        <w:t>. Para más información véase</w:t>
      </w:r>
      <w:r w:rsidRPr="00950255">
        <w:rPr>
          <w:rFonts w:ascii="Times New Roman" w:eastAsia="Times New Roman" w:hAnsi="Times New Roman" w:cs="Times New Roman"/>
          <w:i/>
          <w:sz w:val="20"/>
          <w:szCs w:val="20"/>
        </w:rPr>
        <w:t xml:space="preserve"> </w:t>
      </w:r>
      <w:r w:rsidR="008B7B7A" w:rsidRPr="00950255">
        <w:rPr>
          <w:rFonts w:ascii="Times New Roman" w:eastAsia="Times New Roman" w:hAnsi="Times New Roman" w:cs="Times New Roman"/>
          <w:i/>
          <w:sz w:val="20"/>
          <w:szCs w:val="20"/>
        </w:rPr>
        <w:t>“</w:t>
      </w:r>
      <w:bookmarkStart w:id="3" w:name="II"/>
      <w:r w:rsidR="004E1C9D" w:rsidRPr="00950255">
        <w:rPr>
          <w:rFonts w:ascii="Times New Roman" w:eastAsia="Times New Roman" w:hAnsi="Times New Roman" w:cs="Times New Roman"/>
          <w:i/>
          <w:sz w:val="20"/>
          <w:szCs w:val="20"/>
        </w:rPr>
        <w:t>Oferta de los Valores Negociables</w:t>
      </w:r>
      <w:bookmarkEnd w:id="3"/>
      <w:r w:rsidR="004E1C9D" w:rsidRPr="00950255">
        <w:rPr>
          <w:rFonts w:ascii="Times New Roman" w:eastAsia="Times New Roman" w:hAnsi="Times New Roman" w:cs="Times New Roman"/>
          <w:i/>
          <w:sz w:val="20"/>
          <w:szCs w:val="20"/>
        </w:rPr>
        <w:t xml:space="preserve"> - </w:t>
      </w:r>
      <w:r w:rsidR="008B7B7A" w:rsidRPr="00950255">
        <w:rPr>
          <w:rFonts w:ascii="Times New Roman" w:eastAsia="Times New Roman" w:hAnsi="Times New Roman" w:cs="Times New Roman"/>
          <w:i/>
          <w:sz w:val="20"/>
          <w:szCs w:val="20"/>
        </w:rPr>
        <w:t xml:space="preserve">Términos y Condiciones </w:t>
      </w:r>
      <w:r w:rsidR="004E1C9D" w:rsidRPr="00950255">
        <w:rPr>
          <w:rFonts w:ascii="Times New Roman" w:eastAsia="Times New Roman" w:hAnsi="Times New Roman" w:cs="Times New Roman"/>
          <w:i/>
          <w:sz w:val="20"/>
          <w:szCs w:val="20"/>
        </w:rPr>
        <w:t xml:space="preserve">generales </w:t>
      </w:r>
      <w:r w:rsidR="008B7B7A" w:rsidRPr="00950255">
        <w:rPr>
          <w:rFonts w:ascii="Times New Roman" w:eastAsia="Times New Roman" w:hAnsi="Times New Roman" w:cs="Times New Roman"/>
          <w:i/>
          <w:sz w:val="20"/>
          <w:szCs w:val="20"/>
        </w:rPr>
        <w:t xml:space="preserve">de las Obligaciones Negociables Clase </w:t>
      </w:r>
      <w:r w:rsidR="00F932C4" w:rsidRPr="00950255">
        <w:rPr>
          <w:rFonts w:ascii="Times New Roman" w:eastAsia="Times New Roman" w:hAnsi="Times New Roman" w:cs="Times New Roman"/>
          <w:i/>
          <w:sz w:val="20"/>
          <w:szCs w:val="20"/>
        </w:rPr>
        <w:t>XVIII</w:t>
      </w:r>
      <w:r w:rsidR="008B7B7A" w:rsidRPr="00950255">
        <w:rPr>
          <w:rFonts w:ascii="Times New Roman" w:eastAsia="Times New Roman" w:hAnsi="Times New Roman" w:cs="Times New Roman"/>
          <w:i/>
          <w:sz w:val="20"/>
          <w:szCs w:val="20"/>
        </w:rPr>
        <w:t xml:space="preserve"> – Monto de la Emisión”</w:t>
      </w:r>
      <w:r w:rsidR="004E1C9D" w:rsidRPr="00950255">
        <w:rPr>
          <w:rFonts w:ascii="Times New Roman" w:eastAsia="Times New Roman" w:hAnsi="Times New Roman" w:cs="Times New Roman"/>
          <w:i/>
          <w:sz w:val="20"/>
          <w:szCs w:val="20"/>
        </w:rPr>
        <w:t xml:space="preserve"> </w:t>
      </w:r>
      <w:r w:rsidRPr="00950255">
        <w:rPr>
          <w:rFonts w:ascii="Times New Roman" w:eastAsia="Times New Roman" w:hAnsi="Times New Roman" w:cs="Times New Roman"/>
          <w:sz w:val="20"/>
          <w:szCs w:val="20"/>
        </w:rPr>
        <w:t>del Suplemento de Pr</w:t>
      </w:r>
      <w:r w:rsidR="00C52E80" w:rsidRPr="00950255">
        <w:rPr>
          <w:rFonts w:ascii="Times New Roman" w:eastAsia="Times New Roman" w:hAnsi="Times New Roman" w:cs="Times New Roman"/>
          <w:sz w:val="20"/>
          <w:szCs w:val="20"/>
        </w:rPr>
        <w:t>ospecto</w:t>
      </w:r>
      <w:r w:rsidRPr="00950255">
        <w:rPr>
          <w:rFonts w:ascii="Times New Roman" w:eastAsia="Times New Roman" w:hAnsi="Times New Roman" w:cs="Times New Roman"/>
          <w:sz w:val="20"/>
          <w:szCs w:val="20"/>
        </w:rPr>
        <w:t>.</w:t>
      </w:r>
    </w:p>
    <w:p w:rsidR="00DB257D" w:rsidRPr="00950255" w:rsidRDefault="00DB257D" w:rsidP="00DB257D">
      <w:pPr>
        <w:widowControl w:val="0"/>
        <w:ind w:left="0" w:firstLine="0"/>
        <w:jc w:val="both"/>
        <w:rPr>
          <w:rFonts w:ascii="Times New Roman" w:eastAsia="Times New Roman" w:hAnsi="Times New Roman" w:cs="Times New Roman"/>
          <w:sz w:val="20"/>
          <w:szCs w:val="20"/>
        </w:rPr>
      </w:pPr>
    </w:p>
    <w:p w:rsidR="00DB257D" w:rsidRPr="00950255" w:rsidRDefault="00DB257D" w:rsidP="00DB257D">
      <w:pPr>
        <w:widowControl w:val="0"/>
        <w:ind w:left="0" w:firstLine="0"/>
        <w:jc w:val="both"/>
        <w:rPr>
          <w:rFonts w:ascii="Times New Roman" w:eastAsia="Times New Roman" w:hAnsi="Times New Roman" w:cs="Times New Roman"/>
          <w:sz w:val="20"/>
          <w:szCs w:val="20"/>
          <w:lang w:val="es-ES_tradnl"/>
        </w:rPr>
      </w:pPr>
      <w:r w:rsidRPr="00950255">
        <w:rPr>
          <w:rFonts w:ascii="Times New Roman" w:eastAsia="Times New Roman" w:hAnsi="Times New Roman" w:cs="Times New Roman"/>
          <w:sz w:val="20"/>
          <w:szCs w:val="20"/>
          <w:lang w:val="es-ES_tradnl"/>
        </w:rPr>
        <w:t xml:space="preserve">Se comunica al público inversor en general que </w:t>
      </w:r>
      <w:r w:rsidRPr="00950255">
        <w:rPr>
          <w:rFonts w:ascii="Times New Roman" w:eastAsia="Times New Roman" w:hAnsi="Times New Roman" w:cs="Times New Roman"/>
          <w:sz w:val="20"/>
          <w:szCs w:val="20"/>
        </w:rPr>
        <w:t xml:space="preserve">FCA Compañía Financiera S.A. </w:t>
      </w:r>
      <w:r w:rsidRPr="00950255">
        <w:rPr>
          <w:rFonts w:ascii="Times New Roman" w:eastAsia="Times New Roman" w:hAnsi="Times New Roman" w:cs="Times New Roman"/>
          <w:sz w:val="20"/>
          <w:szCs w:val="20"/>
          <w:lang w:val="es-ES_tradnl"/>
        </w:rPr>
        <w:t>(el “</w:t>
      </w:r>
      <w:r w:rsidRPr="00950255">
        <w:rPr>
          <w:rFonts w:ascii="Times New Roman" w:eastAsia="Times New Roman" w:hAnsi="Times New Roman" w:cs="Times New Roman"/>
          <w:sz w:val="20"/>
          <w:szCs w:val="20"/>
          <w:u w:val="single"/>
          <w:lang w:val="es-ES_tradnl"/>
        </w:rPr>
        <w:t>Emisor</w:t>
      </w:r>
      <w:r w:rsidRPr="00950255">
        <w:rPr>
          <w:rFonts w:ascii="Times New Roman" w:eastAsia="Times New Roman" w:hAnsi="Times New Roman" w:cs="Times New Roman"/>
          <w:sz w:val="20"/>
          <w:szCs w:val="20"/>
          <w:lang w:val="es-ES_tradnl"/>
        </w:rPr>
        <w:t xml:space="preserve">”), ofrece en suscripción las obligaciones negociables clase </w:t>
      </w:r>
      <w:r w:rsidR="00F932C4" w:rsidRPr="00950255">
        <w:rPr>
          <w:rFonts w:ascii="Times New Roman" w:eastAsia="Times New Roman" w:hAnsi="Times New Roman" w:cs="Times New Roman"/>
          <w:sz w:val="20"/>
          <w:szCs w:val="20"/>
          <w:lang w:val="es-ES_tradnl"/>
        </w:rPr>
        <w:t>XVIII</w:t>
      </w:r>
      <w:r w:rsidRPr="00950255">
        <w:rPr>
          <w:rFonts w:ascii="Times New Roman" w:eastAsia="Times New Roman" w:hAnsi="Times New Roman" w:cs="Times New Roman"/>
          <w:sz w:val="20"/>
          <w:szCs w:val="20"/>
          <w:lang w:val="es-ES_tradnl"/>
        </w:rPr>
        <w:t xml:space="preserve"> serie I</w:t>
      </w:r>
      <w:r w:rsidRPr="00950255">
        <w:rPr>
          <w:rFonts w:ascii="Times New Roman" w:eastAsia="Times New Roman" w:hAnsi="Times New Roman" w:cs="Times New Roman"/>
          <w:bCs/>
          <w:smallCaps/>
          <w:sz w:val="20"/>
          <w:szCs w:val="20"/>
        </w:rPr>
        <w:t xml:space="preserve"> </w:t>
      </w:r>
      <w:r w:rsidRPr="00950255">
        <w:rPr>
          <w:rFonts w:ascii="Times New Roman" w:eastAsia="Times New Roman" w:hAnsi="Times New Roman" w:cs="Times New Roman"/>
          <w:bCs/>
          <w:sz w:val="20"/>
          <w:szCs w:val="20"/>
        </w:rPr>
        <w:t xml:space="preserve">a tasa </w:t>
      </w:r>
      <w:r w:rsidR="00AE14A2" w:rsidRPr="00950255">
        <w:rPr>
          <w:rFonts w:ascii="Times New Roman" w:eastAsia="Times New Roman" w:hAnsi="Times New Roman" w:cs="Times New Roman"/>
          <w:bCs/>
          <w:sz w:val="20"/>
          <w:szCs w:val="20"/>
        </w:rPr>
        <w:t>fija</w:t>
      </w:r>
      <w:r w:rsidRPr="00950255">
        <w:rPr>
          <w:rFonts w:ascii="Times New Roman" w:eastAsia="Times New Roman" w:hAnsi="Times New Roman" w:cs="Times New Roman"/>
          <w:bCs/>
          <w:sz w:val="20"/>
          <w:szCs w:val="20"/>
        </w:rPr>
        <w:t xml:space="preserve">, con vencimiento a los </w:t>
      </w:r>
      <w:r w:rsidR="007341F7">
        <w:rPr>
          <w:rFonts w:ascii="Times New Roman" w:eastAsia="Times New Roman" w:hAnsi="Times New Roman" w:cs="Times New Roman"/>
          <w:bCs/>
          <w:sz w:val="20"/>
          <w:szCs w:val="20"/>
        </w:rPr>
        <w:t>24</w:t>
      </w:r>
      <w:r w:rsidR="00F932C4" w:rsidRPr="00950255">
        <w:rPr>
          <w:rFonts w:ascii="Times New Roman" w:eastAsia="Times New Roman" w:hAnsi="Times New Roman" w:cs="Times New Roman"/>
          <w:bCs/>
          <w:sz w:val="20"/>
          <w:szCs w:val="20"/>
        </w:rPr>
        <w:t xml:space="preserve"> </w:t>
      </w:r>
      <w:r w:rsidRPr="00950255">
        <w:rPr>
          <w:rFonts w:ascii="Times New Roman" w:eastAsia="Times New Roman" w:hAnsi="Times New Roman" w:cs="Times New Roman"/>
          <w:bCs/>
          <w:sz w:val="20"/>
          <w:szCs w:val="20"/>
        </w:rPr>
        <w:t>(</w:t>
      </w:r>
      <w:r w:rsidR="007341F7">
        <w:rPr>
          <w:rFonts w:ascii="Times New Roman" w:eastAsia="Times New Roman" w:hAnsi="Times New Roman" w:cs="Times New Roman"/>
          <w:bCs/>
          <w:sz w:val="20"/>
          <w:szCs w:val="20"/>
        </w:rPr>
        <w:t>veinticuatro</w:t>
      </w:r>
      <w:r w:rsidRPr="00950255">
        <w:rPr>
          <w:rFonts w:ascii="Times New Roman" w:eastAsia="Times New Roman" w:hAnsi="Times New Roman" w:cs="Times New Roman"/>
          <w:bCs/>
          <w:sz w:val="20"/>
          <w:szCs w:val="20"/>
        </w:rPr>
        <w:t>) meses</w:t>
      </w:r>
      <w:r w:rsidRPr="00950255">
        <w:rPr>
          <w:rFonts w:ascii="Times New Roman" w:eastAsia="Times New Roman" w:hAnsi="Times New Roman" w:cs="Times New Roman"/>
          <w:b/>
          <w:sz w:val="20"/>
          <w:szCs w:val="20"/>
        </w:rPr>
        <w:t xml:space="preserve"> </w:t>
      </w:r>
      <w:r w:rsidRPr="00950255">
        <w:rPr>
          <w:rFonts w:ascii="Times New Roman" w:eastAsia="Times New Roman" w:hAnsi="Times New Roman" w:cs="Times New Roman"/>
          <w:bCs/>
          <w:sz w:val="20"/>
          <w:szCs w:val="20"/>
        </w:rPr>
        <w:t xml:space="preserve">desde la Fecha de Emisión </w:t>
      </w:r>
      <w:r w:rsidR="008B7B7A" w:rsidRPr="00950255">
        <w:rPr>
          <w:rFonts w:ascii="Times New Roman" w:eastAsia="Times New Roman" w:hAnsi="Times New Roman" w:cs="Times New Roman"/>
          <w:bCs/>
          <w:sz w:val="20"/>
          <w:szCs w:val="20"/>
        </w:rPr>
        <w:t>y Liquidación</w:t>
      </w:r>
      <w:r w:rsidRPr="00950255">
        <w:rPr>
          <w:rFonts w:ascii="Times New Roman" w:eastAsia="Times New Roman" w:hAnsi="Times New Roman" w:cs="Times New Roman"/>
          <w:bCs/>
          <w:sz w:val="20"/>
          <w:szCs w:val="20"/>
        </w:rPr>
        <w:t xml:space="preserve"> (conforme dicho término se define más adelante</w:t>
      </w:r>
      <w:r w:rsidR="00372E32" w:rsidRPr="00950255">
        <w:rPr>
          <w:rFonts w:ascii="Times New Roman" w:eastAsia="Times New Roman" w:hAnsi="Times New Roman" w:cs="Times New Roman"/>
          <w:bCs/>
          <w:sz w:val="20"/>
          <w:szCs w:val="20"/>
        </w:rPr>
        <w:t>)</w:t>
      </w:r>
      <w:r w:rsidRPr="00950255">
        <w:rPr>
          <w:rFonts w:ascii="Times New Roman" w:eastAsia="Times New Roman" w:hAnsi="Times New Roman" w:cs="Times New Roman"/>
          <w:bCs/>
          <w:sz w:val="20"/>
          <w:szCs w:val="20"/>
        </w:rPr>
        <w:t xml:space="preserve"> por un valor nominal de referencia </w:t>
      </w:r>
      <w:r w:rsidR="00F932C4" w:rsidRPr="00950255">
        <w:rPr>
          <w:rFonts w:ascii="Times New Roman" w:eastAsia="Times New Roman" w:hAnsi="Times New Roman" w:cs="Times New Roman"/>
          <w:bCs/>
          <w:sz w:val="20"/>
          <w:szCs w:val="20"/>
        </w:rPr>
        <w:t>denominado en Unidades de Valor Adquisitivo equivalente a $250.000.000</w:t>
      </w:r>
      <w:r w:rsidR="00E76C30" w:rsidRPr="00950255">
        <w:rPr>
          <w:rFonts w:ascii="Times New Roman" w:eastAsia="Times New Roman" w:hAnsi="Times New Roman" w:cs="Times New Roman"/>
          <w:bCs/>
          <w:sz w:val="20"/>
          <w:szCs w:val="20"/>
        </w:rPr>
        <w:t xml:space="preserve"> (Pesos doscientos cincuenta millones)</w:t>
      </w:r>
      <w:r w:rsidR="00F932C4" w:rsidRPr="00950255">
        <w:rPr>
          <w:rFonts w:ascii="Times New Roman" w:eastAsia="Times New Roman" w:hAnsi="Times New Roman" w:cs="Times New Roman"/>
          <w:bCs/>
          <w:sz w:val="20"/>
          <w:szCs w:val="20"/>
        </w:rPr>
        <w:t xml:space="preserve">, convertidos al </w:t>
      </w:r>
      <w:r w:rsidR="00E76C30" w:rsidRPr="00950255">
        <w:rPr>
          <w:rFonts w:ascii="Times New Roman" w:eastAsia="Times New Roman" w:hAnsi="Times New Roman" w:cs="Times New Roman"/>
          <w:bCs/>
          <w:sz w:val="20"/>
          <w:szCs w:val="20"/>
        </w:rPr>
        <w:t xml:space="preserve">Valor </w:t>
      </w:r>
      <w:r w:rsidR="00F932C4" w:rsidRPr="00950255">
        <w:rPr>
          <w:rFonts w:ascii="Times New Roman" w:eastAsia="Times New Roman" w:hAnsi="Times New Roman" w:cs="Times New Roman"/>
          <w:bCs/>
          <w:sz w:val="20"/>
          <w:szCs w:val="20"/>
        </w:rPr>
        <w:t>UVA Inicial</w:t>
      </w:r>
      <w:r w:rsidR="00E76C30" w:rsidRPr="00950255">
        <w:rPr>
          <w:rFonts w:ascii="Times New Roman" w:eastAsia="Times New Roman" w:hAnsi="Times New Roman" w:cs="Times New Roman"/>
          <w:bCs/>
          <w:sz w:val="20"/>
          <w:szCs w:val="20"/>
        </w:rPr>
        <w:t xml:space="preserve"> (conforme dicho término se define más adelante)</w:t>
      </w:r>
      <w:r w:rsidRPr="00950255">
        <w:rPr>
          <w:rFonts w:ascii="Times New Roman" w:eastAsia="Times New Roman" w:hAnsi="Times New Roman" w:cs="Times New Roman"/>
          <w:bCs/>
          <w:sz w:val="20"/>
          <w:szCs w:val="20"/>
        </w:rPr>
        <w:t>, ampliable por hasta el Valor Nominal Máximo</w:t>
      </w:r>
      <w:r w:rsidRPr="00950255">
        <w:rPr>
          <w:rFonts w:ascii="Times New Roman" w:eastAsia="Times New Roman" w:hAnsi="Times New Roman" w:cs="Times New Roman"/>
          <w:sz w:val="20"/>
          <w:szCs w:val="20"/>
          <w:lang w:val="es-ES_tradnl"/>
        </w:rPr>
        <w:t xml:space="preserve"> (las “</w:t>
      </w:r>
      <w:r w:rsidRPr="00950255">
        <w:rPr>
          <w:rFonts w:ascii="Times New Roman" w:eastAsia="Times New Roman" w:hAnsi="Times New Roman" w:cs="Times New Roman"/>
          <w:sz w:val="20"/>
          <w:szCs w:val="20"/>
          <w:u w:val="single"/>
          <w:lang w:val="es-ES_tradnl"/>
        </w:rPr>
        <w:t>Obligaciones Negociables Serie I</w:t>
      </w:r>
      <w:r w:rsidRPr="00950255">
        <w:rPr>
          <w:rFonts w:ascii="Times New Roman" w:eastAsia="Times New Roman" w:hAnsi="Times New Roman" w:cs="Times New Roman"/>
          <w:sz w:val="20"/>
          <w:szCs w:val="20"/>
          <w:lang w:val="es-ES_tradnl"/>
        </w:rPr>
        <w:t xml:space="preserve">”) y las obligaciones negociables clase </w:t>
      </w:r>
      <w:r w:rsidR="00F932C4" w:rsidRPr="00950255">
        <w:rPr>
          <w:rFonts w:ascii="Times New Roman" w:eastAsia="Times New Roman" w:hAnsi="Times New Roman" w:cs="Times New Roman"/>
          <w:sz w:val="20"/>
          <w:szCs w:val="20"/>
          <w:lang w:val="es-ES_tradnl"/>
        </w:rPr>
        <w:t>XVIII</w:t>
      </w:r>
      <w:r w:rsidR="00543CCD" w:rsidRPr="00950255">
        <w:rPr>
          <w:rFonts w:ascii="Times New Roman" w:eastAsia="Times New Roman" w:hAnsi="Times New Roman" w:cs="Times New Roman"/>
          <w:sz w:val="20"/>
          <w:szCs w:val="20"/>
          <w:lang w:val="es-ES_tradnl"/>
        </w:rPr>
        <w:t xml:space="preserve"> serie II</w:t>
      </w:r>
      <w:r w:rsidRPr="00950255">
        <w:rPr>
          <w:rFonts w:ascii="Times New Roman" w:eastAsia="Times New Roman" w:hAnsi="Times New Roman" w:cs="Times New Roman"/>
          <w:sz w:val="20"/>
          <w:szCs w:val="20"/>
          <w:lang w:val="es-ES_tradnl"/>
        </w:rPr>
        <w:t xml:space="preserve"> </w:t>
      </w:r>
      <w:r w:rsidR="008B7B7A" w:rsidRPr="00950255">
        <w:rPr>
          <w:rFonts w:ascii="Times New Roman" w:eastAsia="Times New Roman" w:hAnsi="Times New Roman" w:cs="Times New Roman"/>
          <w:sz w:val="20"/>
          <w:szCs w:val="20"/>
          <w:lang w:val="es-ES_tradnl"/>
        </w:rPr>
        <w:t>a</w:t>
      </w:r>
      <w:r w:rsidR="00891683" w:rsidRPr="00950255">
        <w:rPr>
          <w:rFonts w:ascii="Times New Roman" w:eastAsia="Times New Roman" w:hAnsi="Times New Roman" w:cs="Times New Roman"/>
          <w:sz w:val="20"/>
          <w:szCs w:val="20"/>
          <w:lang w:val="es-ES_tradnl"/>
        </w:rPr>
        <w:t xml:space="preserve"> tasa</w:t>
      </w:r>
      <w:r w:rsidR="008B7B7A" w:rsidRPr="00950255">
        <w:rPr>
          <w:rFonts w:ascii="Times New Roman" w:eastAsia="Times New Roman" w:hAnsi="Times New Roman" w:cs="Times New Roman"/>
          <w:sz w:val="20"/>
          <w:szCs w:val="20"/>
          <w:lang w:val="es-ES_tradnl"/>
        </w:rPr>
        <w:t xml:space="preserve"> </w:t>
      </w:r>
      <w:r w:rsidR="00F932C4" w:rsidRPr="00950255">
        <w:rPr>
          <w:rFonts w:ascii="Times New Roman" w:eastAsia="Times New Roman" w:hAnsi="Times New Roman" w:cs="Times New Roman"/>
          <w:bCs/>
          <w:sz w:val="20"/>
          <w:szCs w:val="20"/>
        </w:rPr>
        <w:t>variable</w:t>
      </w:r>
      <w:r w:rsidRPr="00950255">
        <w:rPr>
          <w:rFonts w:ascii="Times New Roman" w:eastAsia="Times New Roman" w:hAnsi="Times New Roman" w:cs="Times New Roman"/>
          <w:bCs/>
          <w:sz w:val="20"/>
          <w:szCs w:val="20"/>
        </w:rPr>
        <w:t xml:space="preserve">, con vencimiento a los </w:t>
      </w:r>
      <w:r w:rsidR="00F932C4" w:rsidRPr="00950255">
        <w:rPr>
          <w:rFonts w:ascii="Times New Roman" w:eastAsia="Times New Roman" w:hAnsi="Times New Roman" w:cs="Times New Roman"/>
          <w:bCs/>
          <w:sz w:val="20"/>
          <w:szCs w:val="20"/>
        </w:rPr>
        <w:t xml:space="preserve">12 </w:t>
      </w:r>
      <w:r w:rsidR="006B339B" w:rsidRPr="00950255">
        <w:rPr>
          <w:rFonts w:ascii="Times New Roman" w:eastAsia="Times New Roman" w:hAnsi="Times New Roman" w:cs="Times New Roman"/>
          <w:bCs/>
          <w:sz w:val="20"/>
          <w:szCs w:val="20"/>
        </w:rPr>
        <w:t>(</w:t>
      </w:r>
      <w:r w:rsidR="00F932C4" w:rsidRPr="00950255">
        <w:rPr>
          <w:rFonts w:ascii="Times New Roman" w:eastAsia="Times New Roman" w:hAnsi="Times New Roman" w:cs="Times New Roman"/>
          <w:bCs/>
          <w:sz w:val="20"/>
          <w:szCs w:val="20"/>
        </w:rPr>
        <w:t>doce</w:t>
      </w:r>
      <w:r w:rsidR="006B339B" w:rsidRPr="00950255">
        <w:rPr>
          <w:rFonts w:ascii="Times New Roman" w:eastAsia="Times New Roman" w:hAnsi="Times New Roman" w:cs="Times New Roman"/>
          <w:bCs/>
          <w:sz w:val="20"/>
          <w:szCs w:val="20"/>
        </w:rPr>
        <w:t xml:space="preserve">) </w:t>
      </w:r>
      <w:r w:rsidRPr="00950255">
        <w:rPr>
          <w:rFonts w:ascii="Times New Roman" w:eastAsia="Times New Roman" w:hAnsi="Times New Roman" w:cs="Times New Roman"/>
          <w:bCs/>
          <w:sz w:val="20"/>
          <w:szCs w:val="20"/>
        </w:rPr>
        <w:t xml:space="preserve">meses desde la Fecha de Emisión </w:t>
      </w:r>
      <w:r w:rsidR="008B7B7A" w:rsidRPr="00950255">
        <w:rPr>
          <w:rFonts w:ascii="Times New Roman" w:eastAsia="Times New Roman" w:hAnsi="Times New Roman" w:cs="Times New Roman"/>
          <w:bCs/>
          <w:sz w:val="20"/>
          <w:szCs w:val="20"/>
        </w:rPr>
        <w:t>y Liquidación</w:t>
      </w:r>
      <w:r w:rsidRPr="00950255">
        <w:rPr>
          <w:rFonts w:ascii="Times New Roman" w:eastAsia="Times New Roman" w:hAnsi="Times New Roman" w:cs="Times New Roman"/>
          <w:bCs/>
          <w:sz w:val="20"/>
          <w:szCs w:val="20"/>
        </w:rPr>
        <w:t xml:space="preserve"> por un valor nominal de referencia </w:t>
      </w:r>
      <w:r w:rsidR="00F932C4" w:rsidRPr="00950255">
        <w:rPr>
          <w:rFonts w:ascii="Times New Roman" w:eastAsia="Times New Roman" w:hAnsi="Times New Roman" w:cs="Times New Roman"/>
          <w:bCs/>
          <w:sz w:val="20"/>
          <w:szCs w:val="20"/>
        </w:rPr>
        <w:t>de hasta</w:t>
      </w:r>
      <w:r w:rsidRPr="00950255">
        <w:rPr>
          <w:rFonts w:ascii="Times New Roman" w:eastAsia="Times New Roman" w:hAnsi="Times New Roman" w:cs="Times New Roman"/>
          <w:bCs/>
          <w:sz w:val="20"/>
          <w:szCs w:val="20"/>
        </w:rPr>
        <w:t xml:space="preserve"> $</w:t>
      </w:r>
      <w:r w:rsidR="00543CCD" w:rsidRPr="00950255">
        <w:rPr>
          <w:rFonts w:ascii="Times New Roman" w:eastAsia="Times New Roman" w:hAnsi="Times New Roman" w:cs="Times New Roman"/>
          <w:bCs/>
          <w:sz w:val="20"/>
          <w:szCs w:val="20"/>
        </w:rPr>
        <w:t>2</w:t>
      </w:r>
      <w:r w:rsidRPr="00950255">
        <w:rPr>
          <w:rFonts w:ascii="Times New Roman" w:eastAsia="Times New Roman" w:hAnsi="Times New Roman" w:cs="Times New Roman"/>
          <w:bCs/>
          <w:sz w:val="20"/>
          <w:szCs w:val="20"/>
        </w:rPr>
        <w:t>50.000.000</w:t>
      </w:r>
      <w:r w:rsidR="00E76C30" w:rsidRPr="00950255">
        <w:rPr>
          <w:rFonts w:ascii="Times New Roman" w:eastAsia="Times New Roman" w:hAnsi="Times New Roman" w:cs="Times New Roman"/>
          <w:bCs/>
          <w:sz w:val="20"/>
          <w:szCs w:val="20"/>
        </w:rPr>
        <w:t xml:space="preserve"> (Pesos doscientos cincuenta millones)</w:t>
      </w:r>
      <w:r w:rsidR="00DC1E16" w:rsidRPr="00950255">
        <w:rPr>
          <w:rFonts w:ascii="Times New Roman" w:eastAsia="Times New Roman" w:hAnsi="Times New Roman" w:cs="Times New Roman"/>
          <w:bCs/>
          <w:sz w:val="20"/>
          <w:szCs w:val="20"/>
        </w:rPr>
        <w:t xml:space="preserve">, </w:t>
      </w:r>
      <w:r w:rsidRPr="00950255">
        <w:rPr>
          <w:rFonts w:ascii="Times New Roman" w:eastAsia="Times New Roman" w:hAnsi="Times New Roman" w:cs="Times New Roman"/>
          <w:bCs/>
          <w:sz w:val="20"/>
          <w:szCs w:val="20"/>
        </w:rPr>
        <w:t>ampliable por hasta el Valor Nominal Máximo</w:t>
      </w:r>
      <w:r w:rsidRPr="00950255" w:rsidDel="00237087">
        <w:rPr>
          <w:rFonts w:ascii="Times New Roman" w:eastAsia="Times New Roman" w:hAnsi="Times New Roman" w:cs="Times New Roman"/>
          <w:sz w:val="20"/>
          <w:szCs w:val="20"/>
          <w:lang w:val="es-ES_tradnl"/>
        </w:rPr>
        <w:t xml:space="preserve"> </w:t>
      </w:r>
      <w:r w:rsidRPr="00950255">
        <w:rPr>
          <w:rFonts w:ascii="Times New Roman" w:eastAsia="Times New Roman" w:hAnsi="Times New Roman" w:cs="Times New Roman"/>
          <w:sz w:val="20"/>
          <w:szCs w:val="20"/>
          <w:lang w:val="es-ES_tradnl"/>
        </w:rPr>
        <w:t>(las “</w:t>
      </w:r>
      <w:r w:rsidRPr="00950255">
        <w:rPr>
          <w:rFonts w:ascii="Times New Roman" w:eastAsia="Times New Roman" w:hAnsi="Times New Roman" w:cs="Times New Roman"/>
          <w:sz w:val="20"/>
          <w:szCs w:val="20"/>
          <w:u w:val="single"/>
          <w:lang w:val="es-ES_tradnl"/>
        </w:rPr>
        <w:t>Obligaciones Negociables Serie II</w:t>
      </w:r>
      <w:r w:rsidRPr="00950255">
        <w:rPr>
          <w:rFonts w:ascii="Times New Roman" w:eastAsia="Times New Roman" w:hAnsi="Times New Roman" w:cs="Times New Roman"/>
          <w:sz w:val="20"/>
          <w:szCs w:val="20"/>
          <w:lang w:val="es-ES_tradnl"/>
        </w:rPr>
        <w:t>” y, en conjunto con las Obligaciones Negociables Serie I, las “</w:t>
      </w:r>
      <w:r w:rsidRPr="00950255">
        <w:rPr>
          <w:rFonts w:ascii="Times New Roman" w:eastAsia="Times New Roman" w:hAnsi="Times New Roman" w:cs="Times New Roman"/>
          <w:sz w:val="20"/>
          <w:szCs w:val="20"/>
          <w:u w:val="single"/>
          <w:lang w:val="es-ES_tradnl"/>
        </w:rPr>
        <w:t>Obligaciones Negociables</w:t>
      </w:r>
      <w:r w:rsidRPr="00950255">
        <w:rPr>
          <w:rFonts w:ascii="Times New Roman" w:eastAsia="Times New Roman" w:hAnsi="Times New Roman" w:cs="Times New Roman"/>
          <w:sz w:val="20"/>
          <w:szCs w:val="20"/>
          <w:lang w:val="es-ES_tradnl"/>
        </w:rPr>
        <w:t>” o las “</w:t>
      </w:r>
      <w:r w:rsidRPr="00950255">
        <w:rPr>
          <w:rFonts w:ascii="Times New Roman" w:eastAsia="Times New Roman" w:hAnsi="Times New Roman" w:cs="Times New Roman"/>
          <w:sz w:val="20"/>
          <w:szCs w:val="20"/>
          <w:u w:val="single"/>
          <w:lang w:val="es-ES_tradnl"/>
        </w:rPr>
        <w:t xml:space="preserve">Obligaciones Negociables Clase </w:t>
      </w:r>
      <w:r w:rsidR="00F932C4" w:rsidRPr="00950255">
        <w:rPr>
          <w:rFonts w:ascii="Times New Roman" w:eastAsia="Times New Roman" w:hAnsi="Times New Roman" w:cs="Times New Roman"/>
          <w:sz w:val="20"/>
          <w:szCs w:val="20"/>
          <w:u w:val="single"/>
          <w:lang w:val="es-ES_tradnl"/>
        </w:rPr>
        <w:t>XVIII</w:t>
      </w:r>
      <w:r w:rsidRPr="00950255">
        <w:rPr>
          <w:rFonts w:ascii="Times New Roman" w:eastAsia="Times New Roman" w:hAnsi="Times New Roman" w:cs="Times New Roman"/>
          <w:sz w:val="20"/>
          <w:szCs w:val="20"/>
          <w:lang w:val="es-ES_tradnl"/>
        </w:rPr>
        <w:t>”) a ser emitidas bajo el régimen de emisor frecuente de conformidad con lo dispuesto en la Sección VIII, Capítulo V, Título II de las Normas de la Comisión Nacional de Valores (según T.O. 2013 y mods. las “</w:t>
      </w:r>
      <w:r w:rsidRPr="00950255">
        <w:rPr>
          <w:rFonts w:ascii="Times New Roman" w:eastAsia="Times New Roman" w:hAnsi="Times New Roman" w:cs="Times New Roman"/>
          <w:sz w:val="20"/>
          <w:szCs w:val="20"/>
          <w:u w:val="single"/>
          <w:lang w:val="es-ES_tradnl"/>
        </w:rPr>
        <w:t>Normas de la CNV</w:t>
      </w:r>
      <w:r w:rsidRPr="00950255">
        <w:rPr>
          <w:rFonts w:ascii="Times New Roman" w:eastAsia="Times New Roman" w:hAnsi="Times New Roman" w:cs="Times New Roman"/>
          <w:sz w:val="20"/>
          <w:szCs w:val="20"/>
          <w:lang w:val="es-ES_tradnl"/>
        </w:rPr>
        <w:t xml:space="preserve">”) y de acuerdo con el </w:t>
      </w:r>
      <w:r w:rsidRPr="00950255">
        <w:rPr>
          <w:rFonts w:ascii="Times New Roman" w:eastAsia="Times New Roman" w:hAnsi="Times New Roman" w:cs="Times New Roman"/>
          <w:bCs/>
          <w:sz w:val="20"/>
          <w:szCs w:val="20"/>
        </w:rPr>
        <w:t xml:space="preserve">prospecto de emisor frecuente Registro N°2 de fecha </w:t>
      </w:r>
      <w:r w:rsidR="00543CCD" w:rsidRPr="00950255">
        <w:rPr>
          <w:rFonts w:ascii="Times New Roman" w:eastAsia="Times New Roman" w:hAnsi="Times New Roman" w:cs="Times New Roman"/>
          <w:bCs/>
          <w:sz w:val="20"/>
          <w:szCs w:val="20"/>
        </w:rPr>
        <w:t>11</w:t>
      </w:r>
      <w:r w:rsidRPr="00950255">
        <w:rPr>
          <w:rFonts w:ascii="Times New Roman" w:eastAsia="Times New Roman" w:hAnsi="Times New Roman" w:cs="Times New Roman"/>
          <w:bCs/>
          <w:sz w:val="20"/>
          <w:szCs w:val="20"/>
        </w:rPr>
        <w:t xml:space="preserve"> de </w:t>
      </w:r>
      <w:r w:rsidR="00543CCD" w:rsidRPr="00950255">
        <w:rPr>
          <w:rFonts w:ascii="Times New Roman" w:eastAsia="Times New Roman" w:hAnsi="Times New Roman" w:cs="Times New Roman"/>
          <w:bCs/>
          <w:sz w:val="20"/>
          <w:szCs w:val="20"/>
        </w:rPr>
        <w:t>marzo</w:t>
      </w:r>
      <w:r w:rsidRPr="00950255">
        <w:rPr>
          <w:rFonts w:ascii="Times New Roman" w:eastAsia="Times New Roman" w:hAnsi="Times New Roman" w:cs="Times New Roman"/>
          <w:bCs/>
          <w:sz w:val="20"/>
          <w:szCs w:val="20"/>
        </w:rPr>
        <w:t xml:space="preserve"> de 20</w:t>
      </w:r>
      <w:r w:rsidR="00543CCD" w:rsidRPr="00950255">
        <w:rPr>
          <w:rFonts w:ascii="Times New Roman" w:eastAsia="Times New Roman" w:hAnsi="Times New Roman" w:cs="Times New Roman"/>
          <w:bCs/>
          <w:sz w:val="20"/>
          <w:szCs w:val="20"/>
        </w:rPr>
        <w:t>20</w:t>
      </w:r>
      <w:r w:rsidRPr="00950255">
        <w:rPr>
          <w:rFonts w:ascii="Times New Roman" w:eastAsia="Times New Roman" w:hAnsi="Times New Roman" w:cs="Times New Roman"/>
          <w:bCs/>
          <w:sz w:val="20"/>
          <w:szCs w:val="20"/>
        </w:rPr>
        <w:t xml:space="preserve"> para la emisión de obligaciones negociables simples no convertibles en acciones, con o sin garantía, subordinadas o no subordinadas, </w:t>
      </w:r>
      <w:r w:rsidRPr="00950255">
        <w:rPr>
          <w:rFonts w:ascii="Times New Roman" w:eastAsia="Times New Roman" w:hAnsi="Times New Roman" w:cs="Times New Roman"/>
          <w:sz w:val="20"/>
          <w:szCs w:val="20"/>
        </w:rPr>
        <w:t xml:space="preserve">por un monto de hasta U$S100.000.000 </w:t>
      </w:r>
      <w:r w:rsidRPr="00950255">
        <w:rPr>
          <w:rFonts w:ascii="Times New Roman" w:eastAsia="Times New Roman" w:hAnsi="Times New Roman" w:cs="Times New Roman"/>
          <w:sz w:val="20"/>
          <w:szCs w:val="20"/>
          <w:lang w:val="es-ES_tradnl"/>
        </w:rPr>
        <w:t>(o su equivalente en otras monedas, unidades monetarias, unidades de medida o unidades de valor)</w:t>
      </w:r>
      <w:r w:rsidRPr="00950255">
        <w:rPr>
          <w:rFonts w:ascii="Times New Roman" w:eastAsia="Times New Roman" w:hAnsi="Times New Roman" w:cs="Times New Roman"/>
          <w:sz w:val="20"/>
          <w:szCs w:val="20"/>
        </w:rPr>
        <w:t xml:space="preserve">, autorizado por Resolución Nº </w:t>
      </w:r>
      <w:r w:rsidR="008B7B7A" w:rsidRPr="00950255">
        <w:rPr>
          <w:rFonts w:ascii="Times New Roman" w:eastAsia="Times New Roman" w:hAnsi="Times New Roman" w:cs="Times New Roman"/>
          <w:sz w:val="20"/>
          <w:szCs w:val="20"/>
        </w:rPr>
        <w:t xml:space="preserve">19.925 de fecha </w:t>
      </w:r>
      <w:r w:rsidR="008B7B7A" w:rsidRPr="00950255">
        <w:rPr>
          <w:rFonts w:ascii="Times New Roman" w:eastAsia="Times New Roman" w:hAnsi="Times New Roman" w:cs="Times New Roman"/>
          <w:bCs/>
          <w:smallCaps/>
          <w:sz w:val="20"/>
          <w:szCs w:val="20"/>
        </w:rPr>
        <w:t xml:space="preserve">12 </w:t>
      </w:r>
      <w:r w:rsidR="008B7B7A" w:rsidRPr="00950255">
        <w:rPr>
          <w:rFonts w:ascii="Times New Roman" w:eastAsia="Times New Roman" w:hAnsi="Times New Roman" w:cs="Times New Roman"/>
          <w:sz w:val="20"/>
          <w:szCs w:val="20"/>
        </w:rPr>
        <w:t>de diciembre de 2018 de la Comisión Nacional de Valores</w:t>
      </w:r>
      <w:r w:rsidRPr="00950255">
        <w:rPr>
          <w:rFonts w:ascii="Times New Roman" w:eastAsia="Times New Roman" w:hAnsi="Times New Roman" w:cs="Times New Roman"/>
          <w:sz w:val="20"/>
          <w:szCs w:val="20"/>
        </w:rPr>
        <w:t xml:space="preserve"> (la “</w:t>
      </w:r>
      <w:r w:rsidRPr="00950255">
        <w:rPr>
          <w:rFonts w:ascii="Times New Roman" w:eastAsia="Times New Roman" w:hAnsi="Times New Roman" w:cs="Times New Roman"/>
          <w:sz w:val="20"/>
          <w:szCs w:val="20"/>
          <w:u w:val="single"/>
        </w:rPr>
        <w:t>CNV</w:t>
      </w:r>
      <w:r w:rsidRPr="00950255">
        <w:rPr>
          <w:rFonts w:ascii="Times New Roman" w:eastAsia="Times New Roman" w:hAnsi="Times New Roman" w:cs="Times New Roman"/>
          <w:sz w:val="20"/>
          <w:szCs w:val="20"/>
        </w:rPr>
        <w:t xml:space="preserve">”) y por Disposición de la Gerencia de Emisoras de la CNV N° </w:t>
      </w:r>
      <w:r w:rsidR="008B7B7A" w:rsidRPr="00950255">
        <w:rPr>
          <w:rFonts w:ascii="Times New Roman" w:eastAsia="Times New Roman" w:hAnsi="Times New Roman" w:cs="Times New Roman"/>
          <w:sz w:val="20"/>
          <w:szCs w:val="20"/>
        </w:rPr>
        <w:t>DI-2020-14-APN-GE#</w:t>
      </w:r>
      <w:r w:rsidR="00372E32" w:rsidRPr="00950255">
        <w:rPr>
          <w:rFonts w:ascii="Times New Roman" w:eastAsia="Times New Roman" w:hAnsi="Times New Roman" w:cs="Times New Roman"/>
          <w:sz w:val="20"/>
          <w:szCs w:val="20"/>
        </w:rPr>
        <w:t>CNV de fecha 9 de marzo de 2020</w:t>
      </w:r>
      <w:r w:rsidRPr="00950255">
        <w:rPr>
          <w:rFonts w:ascii="Times New Roman" w:eastAsia="Times New Roman" w:hAnsi="Times New Roman" w:cs="Times New Roman"/>
          <w:sz w:val="20"/>
          <w:szCs w:val="20"/>
        </w:rPr>
        <w:t xml:space="preserve"> (el “</w:t>
      </w:r>
      <w:r w:rsidRPr="00950255">
        <w:rPr>
          <w:rFonts w:ascii="Times New Roman" w:eastAsia="Times New Roman" w:hAnsi="Times New Roman" w:cs="Times New Roman"/>
          <w:sz w:val="20"/>
          <w:szCs w:val="20"/>
          <w:u w:val="single"/>
        </w:rPr>
        <w:t>Prospecto</w:t>
      </w:r>
      <w:r w:rsidRPr="00950255">
        <w:rPr>
          <w:rFonts w:ascii="Times New Roman" w:eastAsia="Times New Roman" w:hAnsi="Times New Roman" w:cs="Times New Roman"/>
          <w:sz w:val="20"/>
          <w:szCs w:val="20"/>
        </w:rPr>
        <w:t xml:space="preserve">”) y de acuerdo con los principales términos y condiciones que se resumen a continuación que forman parte y deben ser leídos conjuntamente con el suplemento de prospecto de fecha </w:t>
      </w:r>
      <w:r w:rsidR="007341F7">
        <w:rPr>
          <w:rFonts w:ascii="Times New Roman" w:eastAsia="Times New Roman" w:hAnsi="Times New Roman" w:cs="Times New Roman"/>
          <w:sz w:val="20"/>
          <w:szCs w:val="20"/>
        </w:rPr>
        <w:t>6</w:t>
      </w:r>
      <w:r w:rsidR="00E7325F">
        <w:rPr>
          <w:rFonts w:ascii="Times New Roman" w:eastAsia="Times New Roman" w:hAnsi="Times New Roman" w:cs="Times New Roman"/>
          <w:sz w:val="20"/>
          <w:szCs w:val="20"/>
        </w:rPr>
        <w:t xml:space="preserve"> </w:t>
      </w:r>
      <w:r w:rsidRPr="00950255">
        <w:rPr>
          <w:rFonts w:ascii="Times New Roman" w:eastAsia="Times New Roman" w:hAnsi="Times New Roman" w:cs="Times New Roman"/>
          <w:sz w:val="20"/>
          <w:szCs w:val="20"/>
        </w:rPr>
        <w:t xml:space="preserve">de </w:t>
      </w:r>
      <w:r w:rsidR="00F932C4" w:rsidRPr="00950255">
        <w:rPr>
          <w:rFonts w:ascii="Times New Roman" w:eastAsia="Times New Roman" w:hAnsi="Times New Roman" w:cs="Times New Roman"/>
          <w:sz w:val="20"/>
          <w:szCs w:val="20"/>
        </w:rPr>
        <w:t xml:space="preserve">noviembre </w:t>
      </w:r>
      <w:r w:rsidRPr="00950255">
        <w:rPr>
          <w:rFonts w:ascii="Times New Roman" w:eastAsia="Times New Roman" w:hAnsi="Times New Roman" w:cs="Times New Roman"/>
          <w:sz w:val="20"/>
          <w:szCs w:val="20"/>
        </w:rPr>
        <w:t>de 20</w:t>
      </w:r>
      <w:r w:rsidR="00543CCD" w:rsidRPr="00950255">
        <w:rPr>
          <w:rFonts w:ascii="Times New Roman" w:eastAsia="Times New Roman" w:hAnsi="Times New Roman" w:cs="Times New Roman"/>
          <w:sz w:val="20"/>
          <w:szCs w:val="20"/>
        </w:rPr>
        <w:t>20</w:t>
      </w:r>
      <w:r w:rsidRPr="00950255">
        <w:rPr>
          <w:rFonts w:ascii="Times New Roman" w:eastAsia="Times New Roman" w:hAnsi="Times New Roman" w:cs="Times New Roman"/>
          <w:sz w:val="20"/>
          <w:szCs w:val="20"/>
        </w:rPr>
        <w:t xml:space="preserve"> (el “</w:t>
      </w:r>
      <w:r w:rsidRPr="00950255">
        <w:rPr>
          <w:rFonts w:ascii="Times New Roman" w:eastAsia="Times New Roman" w:hAnsi="Times New Roman" w:cs="Times New Roman"/>
          <w:sz w:val="20"/>
          <w:szCs w:val="20"/>
          <w:u w:val="single"/>
        </w:rPr>
        <w:t>Suplemento de Prospecto</w:t>
      </w:r>
      <w:r w:rsidRPr="00950255">
        <w:rPr>
          <w:rFonts w:ascii="Times New Roman" w:eastAsia="Times New Roman" w:hAnsi="Times New Roman" w:cs="Times New Roman"/>
          <w:sz w:val="20"/>
          <w:szCs w:val="20"/>
        </w:rPr>
        <w:t xml:space="preserve">”) publicado en </w:t>
      </w:r>
      <w:r w:rsidRPr="00950255">
        <w:rPr>
          <w:rFonts w:ascii="Times New Roman" w:eastAsia="Times New Roman" w:hAnsi="Times New Roman" w:cs="Times New Roman"/>
          <w:sz w:val="20"/>
          <w:szCs w:val="20"/>
          <w:lang w:val="es-ES_tradnl"/>
        </w:rPr>
        <w:t xml:space="preserve">el </w:t>
      </w:r>
      <w:r w:rsidRPr="00950255">
        <w:rPr>
          <w:rFonts w:ascii="Times New Roman" w:eastAsia="Times New Roman" w:hAnsi="Times New Roman" w:cs="Times New Roman"/>
          <w:sz w:val="20"/>
          <w:szCs w:val="20"/>
        </w:rPr>
        <w:t>boletín diario de la Bolsa de Comercio de Buenos Aires S.A. (la “</w:t>
      </w:r>
      <w:r w:rsidRPr="00950255">
        <w:rPr>
          <w:rFonts w:ascii="Times New Roman" w:eastAsia="Times New Roman" w:hAnsi="Times New Roman" w:cs="Times New Roman"/>
          <w:sz w:val="20"/>
          <w:szCs w:val="20"/>
          <w:u w:val="single"/>
        </w:rPr>
        <w:t>BCBA</w:t>
      </w:r>
      <w:r w:rsidRPr="00950255">
        <w:rPr>
          <w:rFonts w:ascii="Times New Roman" w:eastAsia="Times New Roman" w:hAnsi="Times New Roman" w:cs="Times New Roman"/>
          <w:sz w:val="20"/>
          <w:szCs w:val="20"/>
        </w:rPr>
        <w:t>”) –</w:t>
      </w:r>
      <w:r w:rsidRPr="00950255">
        <w:rPr>
          <w:rFonts w:ascii="Times New Roman" w:eastAsia="Times New Roman" w:hAnsi="Times New Roman" w:cs="Times New Roman"/>
          <w:sz w:val="20"/>
          <w:szCs w:val="20"/>
          <w:lang w:val="es-ES_tradnl"/>
        </w:rPr>
        <w:t xml:space="preserve">en virtud del ejercicio de la facultad delegada por </w:t>
      </w:r>
      <w:r w:rsidRPr="00950255">
        <w:rPr>
          <w:rFonts w:ascii="Times New Roman" w:eastAsia="Times New Roman" w:hAnsi="Times New Roman" w:cs="Times New Roman"/>
          <w:sz w:val="20"/>
          <w:szCs w:val="20"/>
        </w:rPr>
        <w:t>Bolsas y Mercados Argentinos S.A. (“</w:t>
      </w:r>
      <w:r w:rsidRPr="00950255">
        <w:rPr>
          <w:rFonts w:ascii="Times New Roman" w:eastAsia="Times New Roman" w:hAnsi="Times New Roman" w:cs="Times New Roman"/>
          <w:sz w:val="20"/>
          <w:szCs w:val="20"/>
          <w:u w:val="single"/>
        </w:rPr>
        <w:t>BYMA</w:t>
      </w:r>
      <w:r w:rsidRPr="00950255">
        <w:rPr>
          <w:rFonts w:ascii="Times New Roman" w:eastAsia="Times New Roman" w:hAnsi="Times New Roman" w:cs="Times New Roman"/>
          <w:sz w:val="20"/>
          <w:szCs w:val="20"/>
        </w:rPr>
        <w:t xml:space="preserve">”) </w:t>
      </w:r>
      <w:r w:rsidRPr="00950255">
        <w:rPr>
          <w:rFonts w:ascii="Times New Roman" w:eastAsia="Times New Roman" w:hAnsi="Times New Roman" w:cs="Times New Roman"/>
          <w:sz w:val="20"/>
          <w:szCs w:val="20"/>
          <w:lang w:val="es-ES_tradnl"/>
        </w:rPr>
        <w:t>a la BCBA conforme lo dispuesto por la Resolución N° 18.629 de la CNV– (el “</w:t>
      </w:r>
      <w:r w:rsidRPr="00950255">
        <w:rPr>
          <w:rFonts w:ascii="Times New Roman" w:eastAsia="Times New Roman" w:hAnsi="Times New Roman" w:cs="Times New Roman"/>
          <w:sz w:val="20"/>
          <w:szCs w:val="20"/>
          <w:u w:val="single"/>
          <w:lang w:val="es-ES_tradnl"/>
        </w:rPr>
        <w:t>Boletín de la BCBA</w:t>
      </w:r>
      <w:r w:rsidRPr="00950255">
        <w:rPr>
          <w:rFonts w:ascii="Times New Roman" w:eastAsia="Times New Roman" w:hAnsi="Times New Roman" w:cs="Times New Roman"/>
          <w:sz w:val="20"/>
          <w:szCs w:val="20"/>
          <w:lang w:val="es-ES_tradnl"/>
        </w:rPr>
        <w:t xml:space="preserve">”), en la página web de la CNV </w:t>
      </w:r>
      <w:hyperlink r:id="rId9" w:history="1">
        <w:r w:rsidR="004A4C11" w:rsidRPr="00950255">
          <w:rPr>
            <w:rStyle w:val="Hipervnculo"/>
            <w:rFonts w:ascii="Times New Roman" w:eastAsia="Times New Roman" w:hAnsi="Times New Roman" w:cs="Times New Roman"/>
            <w:sz w:val="20"/>
            <w:szCs w:val="20"/>
            <w:lang w:val="es-ES_tradnl"/>
          </w:rPr>
          <w:t>www.cnv.gov.ar</w:t>
        </w:r>
      </w:hyperlink>
      <w:r w:rsidRPr="00950255">
        <w:rPr>
          <w:rFonts w:ascii="Times New Roman" w:eastAsia="Times New Roman" w:hAnsi="Times New Roman" w:cs="Times New Roman"/>
          <w:sz w:val="20"/>
          <w:szCs w:val="20"/>
          <w:lang w:val="es-ES_tradnl"/>
        </w:rPr>
        <w:t>, bajo el ítem “</w:t>
      </w:r>
      <w:r w:rsidR="00E76C30" w:rsidRPr="00950255">
        <w:rPr>
          <w:rFonts w:ascii="Times New Roman" w:eastAsia="Times New Roman" w:hAnsi="Times New Roman" w:cs="Times New Roman"/>
          <w:i/>
          <w:iCs/>
          <w:sz w:val="20"/>
          <w:szCs w:val="20"/>
          <w:lang w:val="es-ES_tradnl"/>
        </w:rPr>
        <w:t>Empresas – FCA Compañía Financiera S.A.</w:t>
      </w:r>
      <w:r w:rsidRPr="00950255">
        <w:rPr>
          <w:rFonts w:ascii="Times New Roman" w:eastAsia="Times New Roman" w:hAnsi="Times New Roman" w:cs="Times New Roman"/>
          <w:sz w:val="20"/>
          <w:szCs w:val="20"/>
          <w:lang w:val="es-ES_tradnl"/>
        </w:rPr>
        <w:t>” (la “</w:t>
      </w:r>
      <w:r w:rsidRPr="00950255">
        <w:rPr>
          <w:rFonts w:ascii="Times New Roman" w:eastAsia="Times New Roman" w:hAnsi="Times New Roman" w:cs="Times New Roman"/>
          <w:sz w:val="20"/>
          <w:szCs w:val="20"/>
          <w:u w:val="single"/>
          <w:lang w:val="es-ES_tradnl"/>
        </w:rPr>
        <w:t>Página Web de la CNV</w:t>
      </w:r>
      <w:r w:rsidRPr="00950255">
        <w:rPr>
          <w:rFonts w:ascii="Times New Roman" w:eastAsia="Times New Roman" w:hAnsi="Times New Roman" w:cs="Times New Roman"/>
          <w:sz w:val="20"/>
          <w:szCs w:val="20"/>
          <w:lang w:val="es-ES_tradnl"/>
        </w:rPr>
        <w:t xml:space="preserve">”), </w:t>
      </w:r>
      <w:r w:rsidRPr="00950255">
        <w:rPr>
          <w:rFonts w:ascii="Times New Roman" w:eastAsia="Times New Roman" w:hAnsi="Times New Roman" w:cs="Times New Roman"/>
          <w:sz w:val="20"/>
          <w:szCs w:val="20"/>
        </w:rPr>
        <w:t xml:space="preserve">en la página web del Emisor, </w:t>
      </w:r>
      <w:hyperlink r:id="rId10" w:history="1">
        <w:r w:rsidRPr="00950255">
          <w:rPr>
            <w:rFonts w:ascii="Times New Roman" w:eastAsia="Times New Roman" w:hAnsi="Times New Roman" w:cs="Times New Roman"/>
            <w:color w:val="0000FF"/>
            <w:sz w:val="20"/>
            <w:szCs w:val="20"/>
            <w:u w:val="single"/>
          </w:rPr>
          <w:t>www.fcafinanciera.com.ar</w:t>
        </w:r>
      </w:hyperlink>
      <w:r w:rsidRPr="00950255">
        <w:rPr>
          <w:rFonts w:ascii="Times New Roman" w:eastAsia="Times New Roman" w:hAnsi="Times New Roman" w:cs="Times New Roman"/>
          <w:sz w:val="20"/>
          <w:szCs w:val="20"/>
        </w:rPr>
        <w:t>, (la “</w:t>
      </w:r>
      <w:r w:rsidRPr="00950255">
        <w:rPr>
          <w:rFonts w:ascii="Times New Roman" w:eastAsia="Times New Roman" w:hAnsi="Times New Roman" w:cs="Times New Roman"/>
          <w:sz w:val="20"/>
          <w:szCs w:val="20"/>
          <w:u w:val="single"/>
        </w:rPr>
        <w:t>Página Web de FCA</w:t>
      </w:r>
      <w:r w:rsidRPr="00950255">
        <w:rPr>
          <w:rFonts w:ascii="Times New Roman" w:eastAsia="Times New Roman" w:hAnsi="Times New Roman" w:cs="Times New Roman"/>
          <w:sz w:val="20"/>
          <w:szCs w:val="20"/>
        </w:rPr>
        <w:t xml:space="preserve">”) y </w:t>
      </w:r>
      <w:r w:rsidRPr="00950255">
        <w:rPr>
          <w:rFonts w:ascii="Times New Roman" w:eastAsia="Times New Roman" w:hAnsi="Times New Roman" w:cs="Times New Roman"/>
          <w:sz w:val="20"/>
          <w:szCs w:val="20"/>
          <w:lang w:val="es-ES_tradnl"/>
        </w:rPr>
        <w:t xml:space="preserve">en la página </w:t>
      </w:r>
      <w:r w:rsidRPr="00950255">
        <w:rPr>
          <w:rFonts w:ascii="Times New Roman" w:eastAsia="Times New Roman" w:hAnsi="Times New Roman" w:cs="Times New Roman"/>
          <w:i/>
          <w:sz w:val="20"/>
          <w:szCs w:val="20"/>
          <w:lang w:val="es-ES_tradnl"/>
        </w:rPr>
        <w:t>web</w:t>
      </w:r>
      <w:r w:rsidRPr="00950255">
        <w:rPr>
          <w:rFonts w:ascii="Times New Roman" w:eastAsia="Times New Roman" w:hAnsi="Times New Roman" w:cs="Times New Roman"/>
          <w:sz w:val="20"/>
          <w:szCs w:val="20"/>
          <w:lang w:val="es-ES_tradnl"/>
        </w:rPr>
        <w:t xml:space="preserve"> del </w:t>
      </w:r>
      <w:r w:rsidRPr="00950255">
        <w:rPr>
          <w:rFonts w:ascii="Times New Roman" w:eastAsia="Times New Roman" w:hAnsi="Times New Roman" w:cs="Times New Roman"/>
          <w:bCs/>
          <w:sz w:val="20"/>
          <w:szCs w:val="20"/>
          <w:lang w:val="es-ES_tradnl"/>
        </w:rPr>
        <w:t>Mercado Abierto Electrónico S.A.</w:t>
      </w:r>
      <w:r w:rsidRPr="00950255">
        <w:rPr>
          <w:rFonts w:ascii="Times New Roman" w:eastAsia="Times New Roman" w:hAnsi="Times New Roman" w:cs="Times New Roman"/>
          <w:sz w:val="20"/>
          <w:szCs w:val="20"/>
          <w:lang w:val="es-ES_tradnl"/>
        </w:rPr>
        <w:t xml:space="preserve">, </w:t>
      </w:r>
      <w:hyperlink r:id="rId11" w:history="1">
        <w:r w:rsidRPr="00950255">
          <w:rPr>
            <w:rFonts w:ascii="Times New Roman" w:eastAsia="Times New Roman" w:hAnsi="Times New Roman" w:cs="Times New Roman"/>
            <w:color w:val="0000FF"/>
            <w:sz w:val="20"/>
            <w:szCs w:val="20"/>
            <w:u w:val="single"/>
            <w:lang w:val="es-ES_tradnl"/>
          </w:rPr>
          <w:t>www.mae.com.ar</w:t>
        </w:r>
      </w:hyperlink>
      <w:r w:rsidRPr="00950255">
        <w:rPr>
          <w:rFonts w:ascii="Times New Roman" w:eastAsia="Times New Roman" w:hAnsi="Times New Roman" w:cs="Times New Roman"/>
          <w:sz w:val="20"/>
          <w:szCs w:val="20"/>
          <w:lang w:val="es-ES_tradnl"/>
        </w:rPr>
        <w:t xml:space="preserve"> (el “</w:t>
      </w:r>
      <w:r w:rsidRPr="00950255">
        <w:rPr>
          <w:rFonts w:ascii="Times New Roman" w:eastAsia="Times New Roman" w:hAnsi="Times New Roman" w:cs="Times New Roman"/>
          <w:sz w:val="20"/>
          <w:szCs w:val="20"/>
          <w:u w:val="single"/>
          <w:lang w:val="es-ES_tradnl"/>
        </w:rPr>
        <w:t>MAE</w:t>
      </w:r>
      <w:r w:rsidRPr="00950255">
        <w:rPr>
          <w:rFonts w:ascii="Times New Roman" w:eastAsia="Times New Roman" w:hAnsi="Times New Roman" w:cs="Times New Roman"/>
          <w:sz w:val="20"/>
          <w:szCs w:val="20"/>
          <w:lang w:val="es-ES_tradnl"/>
        </w:rPr>
        <w:t>”), bajo la sección “</w:t>
      </w:r>
      <w:r w:rsidRPr="00950255">
        <w:rPr>
          <w:rFonts w:ascii="Times New Roman" w:eastAsia="Times New Roman" w:hAnsi="Times New Roman" w:cs="Times New Roman"/>
          <w:i/>
          <w:sz w:val="20"/>
          <w:szCs w:val="20"/>
          <w:lang w:val="es-ES_tradnl"/>
        </w:rPr>
        <w:t>Mercado Primario</w:t>
      </w:r>
      <w:r w:rsidRPr="00950255">
        <w:rPr>
          <w:rFonts w:ascii="Times New Roman" w:eastAsia="Times New Roman" w:hAnsi="Times New Roman" w:cs="Times New Roman"/>
          <w:sz w:val="20"/>
          <w:szCs w:val="20"/>
          <w:lang w:val="es-ES_tradnl"/>
        </w:rPr>
        <w:t>” (la “</w:t>
      </w:r>
      <w:r w:rsidRPr="00950255">
        <w:rPr>
          <w:rFonts w:ascii="Times New Roman" w:eastAsia="Times New Roman" w:hAnsi="Times New Roman" w:cs="Times New Roman"/>
          <w:sz w:val="20"/>
          <w:szCs w:val="20"/>
          <w:u w:val="single"/>
          <w:lang w:val="es-ES_tradnl"/>
        </w:rPr>
        <w:t>Página Web del MAE</w:t>
      </w:r>
      <w:r w:rsidRPr="00950255">
        <w:rPr>
          <w:rFonts w:ascii="Times New Roman" w:eastAsia="Times New Roman" w:hAnsi="Times New Roman" w:cs="Times New Roman"/>
          <w:sz w:val="20"/>
          <w:szCs w:val="20"/>
          <w:lang w:val="es-ES_tradnl"/>
        </w:rPr>
        <w:t>”). El Suplemento de Pr</w:t>
      </w:r>
      <w:r w:rsidR="00543CCD" w:rsidRPr="00950255">
        <w:rPr>
          <w:rFonts w:ascii="Times New Roman" w:eastAsia="Times New Roman" w:hAnsi="Times New Roman" w:cs="Times New Roman"/>
          <w:sz w:val="20"/>
          <w:szCs w:val="20"/>
          <w:lang w:val="es-ES_tradnl"/>
        </w:rPr>
        <w:t>ospecto</w:t>
      </w:r>
      <w:r w:rsidRPr="00950255">
        <w:rPr>
          <w:rFonts w:ascii="Times New Roman" w:eastAsia="Times New Roman" w:hAnsi="Times New Roman" w:cs="Times New Roman"/>
          <w:sz w:val="20"/>
          <w:szCs w:val="20"/>
          <w:lang w:val="es-ES_tradnl"/>
        </w:rPr>
        <w:t xml:space="preserve"> se complementa y debe ser leído en conjunto con el Prospecto de fecha </w:t>
      </w:r>
      <w:r w:rsidR="00543CCD" w:rsidRPr="00950255">
        <w:rPr>
          <w:rFonts w:ascii="Times New Roman" w:eastAsia="Times New Roman" w:hAnsi="Times New Roman" w:cs="Times New Roman"/>
          <w:sz w:val="20"/>
          <w:szCs w:val="20"/>
          <w:lang w:val="es-ES_tradnl"/>
        </w:rPr>
        <w:t>11</w:t>
      </w:r>
      <w:r w:rsidRPr="00950255">
        <w:rPr>
          <w:rFonts w:ascii="Times New Roman" w:eastAsia="Times New Roman" w:hAnsi="Times New Roman" w:cs="Times New Roman"/>
          <w:sz w:val="20"/>
          <w:szCs w:val="20"/>
          <w:lang w:val="es-ES_tradnl"/>
        </w:rPr>
        <w:t xml:space="preserve"> de </w:t>
      </w:r>
      <w:r w:rsidR="00543CCD" w:rsidRPr="00950255">
        <w:rPr>
          <w:rFonts w:ascii="Times New Roman" w:eastAsia="Times New Roman" w:hAnsi="Times New Roman" w:cs="Times New Roman"/>
          <w:sz w:val="20"/>
          <w:szCs w:val="20"/>
          <w:lang w:val="es-ES_tradnl"/>
        </w:rPr>
        <w:t>marzo de 2020</w:t>
      </w:r>
      <w:r w:rsidRPr="00950255">
        <w:rPr>
          <w:rFonts w:ascii="Times New Roman" w:eastAsia="Times New Roman" w:hAnsi="Times New Roman" w:cs="Times New Roman"/>
          <w:sz w:val="20"/>
          <w:szCs w:val="20"/>
          <w:lang w:val="es-ES_tradnl"/>
        </w:rPr>
        <w:t xml:space="preserve">, cuya versión resumida ha sido publicada en el Boletín de la BCBA, en la Página Web de la CNV, en la Página Web del MAE y en la Página Web de FCA. </w:t>
      </w:r>
    </w:p>
    <w:p w:rsidR="00DB257D" w:rsidRPr="00950255" w:rsidRDefault="00DB257D" w:rsidP="00DB257D">
      <w:pPr>
        <w:widowControl w:val="0"/>
        <w:ind w:left="0" w:firstLine="0"/>
        <w:jc w:val="both"/>
        <w:rPr>
          <w:rFonts w:ascii="Times New Roman" w:eastAsia="Times New Roman" w:hAnsi="Times New Roman" w:cs="Times New Roman"/>
          <w:sz w:val="20"/>
          <w:szCs w:val="20"/>
          <w:lang w:val="es-ES_tradnl"/>
        </w:rPr>
      </w:pPr>
    </w:p>
    <w:p w:rsidR="00F53F0A" w:rsidRDefault="00DB257D" w:rsidP="007D2D81">
      <w:pPr>
        <w:widowControl w:val="0"/>
        <w:spacing w:line="0" w:lineRule="atLeast"/>
        <w:ind w:left="0" w:firstLine="0"/>
        <w:jc w:val="both"/>
        <w:rPr>
          <w:rFonts w:ascii="Times New Roman" w:eastAsia="Times New Roman" w:hAnsi="Times New Roman" w:cs="Times New Roman"/>
          <w:b/>
          <w:sz w:val="20"/>
          <w:szCs w:val="20"/>
          <w:lang w:val="es-ES_tradnl"/>
        </w:rPr>
      </w:pPr>
      <w:r w:rsidRPr="00950255">
        <w:rPr>
          <w:rFonts w:ascii="Times New Roman" w:eastAsia="Times New Roman" w:hAnsi="Times New Roman" w:cs="Times New Roman"/>
          <w:b/>
          <w:sz w:val="20"/>
          <w:szCs w:val="20"/>
          <w:lang w:val="es-ES_tradnl"/>
        </w:rPr>
        <w:t xml:space="preserve">Todos los términos que comiencen en mayúscula que no se encuentren expresamente definidos en el presente </w:t>
      </w:r>
      <w:r w:rsidR="001D7DAA" w:rsidRPr="00950255">
        <w:rPr>
          <w:rFonts w:ascii="Times New Roman" w:eastAsia="Times New Roman" w:hAnsi="Times New Roman" w:cs="Times New Roman"/>
          <w:b/>
          <w:sz w:val="20"/>
          <w:szCs w:val="20"/>
          <w:lang w:val="es-ES_tradnl"/>
        </w:rPr>
        <w:t>Aviso de Suscripción</w:t>
      </w:r>
      <w:r w:rsidRPr="00950255">
        <w:rPr>
          <w:rFonts w:ascii="Times New Roman" w:eastAsia="Times New Roman" w:hAnsi="Times New Roman" w:cs="Times New Roman"/>
          <w:b/>
          <w:sz w:val="20"/>
          <w:szCs w:val="20"/>
          <w:lang w:val="es-ES_tradnl"/>
        </w:rPr>
        <w:t>, tendrán el significado que se les asigna en el Prospecto y/o en el Suplemento de P</w:t>
      </w:r>
      <w:r w:rsidR="00C52E80" w:rsidRPr="00950255">
        <w:rPr>
          <w:rFonts w:ascii="Times New Roman" w:eastAsia="Times New Roman" w:hAnsi="Times New Roman" w:cs="Times New Roman"/>
          <w:b/>
          <w:sz w:val="20"/>
          <w:szCs w:val="20"/>
          <w:lang w:val="es-ES_tradnl"/>
        </w:rPr>
        <w:t>rospecto</w:t>
      </w:r>
      <w:r w:rsidRPr="00950255">
        <w:rPr>
          <w:rFonts w:ascii="Times New Roman" w:eastAsia="Times New Roman" w:hAnsi="Times New Roman" w:cs="Times New Roman"/>
          <w:b/>
          <w:sz w:val="20"/>
          <w:szCs w:val="20"/>
          <w:lang w:val="es-ES_tradnl"/>
        </w:rPr>
        <w:t>.</w:t>
      </w:r>
    </w:p>
    <w:p w:rsidR="00F53F0A" w:rsidRDefault="00F53F0A" w:rsidP="007D2D81">
      <w:pPr>
        <w:widowControl w:val="0"/>
        <w:spacing w:line="0" w:lineRule="atLeast"/>
        <w:ind w:left="0" w:firstLine="0"/>
        <w:jc w:val="both"/>
        <w:rPr>
          <w:rFonts w:ascii="Times New Roman" w:eastAsia="Times New Roman" w:hAnsi="Times New Roman" w:cs="Times New Roman"/>
          <w:smallCaps/>
          <w:sz w:val="20"/>
          <w:szCs w:val="20"/>
          <w:lang w:val="es-ES_tradnl"/>
        </w:rPr>
      </w:pPr>
    </w:p>
    <w:p w:rsidR="00F53F0A" w:rsidRDefault="00DB257D" w:rsidP="00F53F0A">
      <w:pPr>
        <w:spacing w:line="0" w:lineRule="atLeast"/>
        <w:ind w:left="0" w:firstLine="0"/>
        <w:jc w:val="both"/>
        <w:rPr>
          <w:rFonts w:ascii="Times New Roman" w:eastAsia="Times New Roman" w:hAnsi="Times New Roman" w:cs="Times New Roman"/>
          <w:color w:val="000000"/>
          <w:sz w:val="20"/>
          <w:szCs w:val="20"/>
          <w:lang w:val="es-ES_tradnl" w:eastAsia="es-MX"/>
        </w:rPr>
      </w:pPr>
      <w:r w:rsidRPr="00950255">
        <w:rPr>
          <w:rFonts w:ascii="Times New Roman" w:eastAsia="Times New Roman" w:hAnsi="Times New Roman" w:cs="Times New Roman"/>
          <w:b/>
          <w:bCs/>
          <w:color w:val="000000"/>
          <w:sz w:val="20"/>
          <w:szCs w:val="20"/>
          <w:lang w:val="es-ES_tradnl" w:eastAsia="es-MX"/>
        </w:rPr>
        <w:lastRenderedPageBreak/>
        <w:t>1) Organizadores y Colocadores</w:t>
      </w:r>
      <w:r w:rsidRPr="00950255">
        <w:rPr>
          <w:rFonts w:ascii="Times New Roman" w:eastAsia="Times New Roman" w:hAnsi="Times New Roman" w:cs="Times New Roman"/>
          <w:color w:val="000000"/>
          <w:sz w:val="20"/>
          <w:szCs w:val="20"/>
          <w:lang w:val="es-ES_tradnl" w:eastAsia="es-MX"/>
        </w:rPr>
        <w:t>: Banco de Galicia y Buenos Aires S.A.U.</w:t>
      </w:r>
      <w:r w:rsidR="00891683" w:rsidRPr="00950255">
        <w:rPr>
          <w:rFonts w:ascii="Times New Roman" w:eastAsia="Times New Roman" w:hAnsi="Times New Roman" w:cs="Times New Roman"/>
          <w:color w:val="000000"/>
          <w:sz w:val="20"/>
          <w:szCs w:val="20"/>
          <w:lang w:val="es-ES_tradnl" w:eastAsia="es-MX"/>
        </w:rPr>
        <w:t xml:space="preserve"> (“</w:t>
      </w:r>
      <w:r w:rsidR="00891683" w:rsidRPr="00950255">
        <w:rPr>
          <w:rFonts w:ascii="Times New Roman" w:eastAsia="Times New Roman" w:hAnsi="Times New Roman" w:cs="Times New Roman"/>
          <w:color w:val="000000"/>
          <w:sz w:val="20"/>
          <w:szCs w:val="20"/>
          <w:u w:val="single"/>
          <w:lang w:val="es-ES_tradnl" w:eastAsia="es-MX"/>
        </w:rPr>
        <w:t>Banco Galicia</w:t>
      </w:r>
      <w:r w:rsidR="00891683" w:rsidRPr="00950255">
        <w:rPr>
          <w:rFonts w:ascii="Times New Roman" w:eastAsia="Times New Roman" w:hAnsi="Times New Roman" w:cs="Times New Roman"/>
          <w:color w:val="000000"/>
          <w:sz w:val="20"/>
          <w:szCs w:val="20"/>
          <w:lang w:val="es-ES_tradnl" w:eastAsia="es-MX"/>
        </w:rPr>
        <w:t>”)</w:t>
      </w:r>
      <w:r w:rsidRPr="00950255">
        <w:rPr>
          <w:rFonts w:ascii="Times New Roman" w:eastAsia="Times New Roman" w:hAnsi="Times New Roman" w:cs="Times New Roman"/>
          <w:color w:val="000000"/>
          <w:sz w:val="20"/>
          <w:szCs w:val="20"/>
          <w:lang w:val="es-ES_tradnl" w:eastAsia="es-MX"/>
        </w:rPr>
        <w:t xml:space="preserve">, con domicilio sito en la calle Tte. Gral. J. D. Perón 430 (C1038AAI), Ciudad Autónoma de Buenos Aires, </w:t>
      </w:r>
      <w:r w:rsidRPr="00D844AF">
        <w:rPr>
          <w:rFonts w:ascii="Times New Roman" w:hAnsi="Times New Roman"/>
          <w:color w:val="000000"/>
          <w:sz w:val="20"/>
          <w:lang w:val="es-ES_tradnl"/>
        </w:rPr>
        <w:t>At.</w:t>
      </w:r>
      <w:r w:rsidR="002D138D" w:rsidRPr="00D844AF">
        <w:rPr>
          <w:rFonts w:ascii="Times New Roman" w:hAnsi="Times New Roman"/>
          <w:color w:val="000000"/>
          <w:sz w:val="20"/>
          <w:lang w:val="es-ES_tradnl"/>
        </w:rPr>
        <w:t xml:space="preserve"> </w:t>
      </w:r>
      <w:r w:rsidR="002D138D" w:rsidRPr="00D844AF">
        <w:rPr>
          <w:rFonts w:ascii="Times New Roman" w:hAnsi="Times New Roman"/>
          <w:color w:val="000000"/>
          <w:sz w:val="20"/>
          <w:lang w:val="es-ES"/>
        </w:rPr>
        <w:t>Juan Ignacio Roldán, teléfono: 6329-3084,</w:t>
      </w:r>
      <w:r w:rsidR="002D138D" w:rsidRPr="00D844AF">
        <w:rPr>
          <w:rFonts w:ascii="Times New Roman" w:hAnsi="Times New Roman"/>
          <w:color w:val="000000"/>
          <w:sz w:val="20"/>
          <w:lang w:val="es-MX"/>
        </w:rPr>
        <w:t xml:space="preserve"> </w:t>
      </w:r>
      <w:r w:rsidR="002D138D" w:rsidRPr="00D844AF">
        <w:rPr>
          <w:rFonts w:ascii="Times New Roman" w:hAnsi="Times New Roman"/>
          <w:color w:val="000000"/>
          <w:sz w:val="20"/>
          <w:lang w:val="es-ES"/>
        </w:rPr>
        <w:t xml:space="preserve">email: </w:t>
      </w:r>
      <w:hyperlink r:id="rId12" w:history="1">
        <w:r w:rsidR="002D138D" w:rsidRPr="00D844AF">
          <w:rPr>
            <w:rStyle w:val="Hipervnculo"/>
            <w:rFonts w:ascii="Times New Roman" w:hAnsi="Times New Roman"/>
            <w:sz w:val="20"/>
            <w:lang w:val="es-ES"/>
          </w:rPr>
          <w:t>juan.i.roldan@bancogalicia.com.ar</w:t>
        </w:r>
      </w:hyperlink>
      <w:r w:rsidR="002D138D" w:rsidRPr="00950255">
        <w:rPr>
          <w:rFonts w:ascii="Times New Roman" w:eastAsia="Times New Roman" w:hAnsi="Times New Roman" w:cs="Times New Roman"/>
          <w:color w:val="000000"/>
          <w:sz w:val="20"/>
          <w:szCs w:val="20"/>
          <w:lang w:val="es-ES" w:eastAsia="es-MX"/>
        </w:rPr>
        <w:t xml:space="preserve"> </w:t>
      </w:r>
      <w:r w:rsidRPr="00950255">
        <w:rPr>
          <w:rFonts w:ascii="Times New Roman" w:eastAsia="Times New Roman" w:hAnsi="Times New Roman" w:cs="Times New Roman"/>
          <w:color w:val="000000"/>
          <w:sz w:val="20"/>
          <w:szCs w:val="20"/>
          <w:lang w:val="es-ES_tradnl" w:eastAsia="es-MX"/>
        </w:rPr>
        <w:t xml:space="preserve">y </w:t>
      </w:r>
      <w:r w:rsidR="007D46D7" w:rsidRPr="00950255">
        <w:rPr>
          <w:rFonts w:ascii="Times New Roman" w:eastAsia="Times New Roman" w:hAnsi="Times New Roman" w:cs="Times New Roman"/>
          <w:color w:val="000000"/>
          <w:sz w:val="20"/>
          <w:szCs w:val="20"/>
          <w:lang w:val="es-ES_tradnl" w:eastAsia="es-MX"/>
        </w:rPr>
        <w:t xml:space="preserve">Banco </w:t>
      </w:r>
      <w:r w:rsidR="00F7472B" w:rsidRPr="00950255">
        <w:rPr>
          <w:rFonts w:ascii="Times New Roman" w:eastAsia="Times New Roman" w:hAnsi="Times New Roman" w:cs="Times New Roman"/>
          <w:color w:val="000000"/>
          <w:sz w:val="20"/>
          <w:szCs w:val="20"/>
          <w:lang w:val="es-ES_tradnl" w:eastAsia="es-MX"/>
        </w:rPr>
        <w:t>Patagonia</w:t>
      </w:r>
      <w:r w:rsidRPr="00950255">
        <w:rPr>
          <w:rFonts w:ascii="Times New Roman" w:eastAsia="Times New Roman" w:hAnsi="Times New Roman" w:cs="Times New Roman"/>
          <w:color w:val="000000"/>
          <w:sz w:val="20"/>
          <w:szCs w:val="20"/>
          <w:lang w:val="es-ES_tradnl" w:eastAsia="es-MX"/>
        </w:rPr>
        <w:t xml:space="preserve"> S.A.</w:t>
      </w:r>
      <w:r w:rsidR="00891683" w:rsidRPr="00950255">
        <w:rPr>
          <w:rFonts w:ascii="Times New Roman" w:eastAsia="Times New Roman" w:hAnsi="Times New Roman" w:cs="Times New Roman"/>
          <w:color w:val="000000"/>
          <w:sz w:val="20"/>
          <w:szCs w:val="20"/>
          <w:lang w:val="es-ES_tradnl" w:eastAsia="es-MX"/>
        </w:rPr>
        <w:t xml:space="preserve"> </w:t>
      </w:r>
      <w:r w:rsidR="00891683" w:rsidRPr="00950255">
        <w:rPr>
          <w:rFonts w:ascii="Times New Roman" w:eastAsia="Times New Roman" w:hAnsi="Times New Roman" w:cs="Times New Roman"/>
          <w:color w:val="000000"/>
          <w:sz w:val="20"/>
          <w:szCs w:val="20"/>
          <w:lang w:val="es-ES" w:eastAsia="es-MX"/>
        </w:rPr>
        <w:t>(“</w:t>
      </w:r>
      <w:r w:rsidR="00891683" w:rsidRPr="00950255">
        <w:rPr>
          <w:rFonts w:ascii="Times New Roman" w:eastAsia="Times New Roman" w:hAnsi="Times New Roman" w:cs="Times New Roman"/>
          <w:color w:val="000000"/>
          <w:sz w:val="20"/>
          <w:szCs w:val="20"/>
          <w:u w:val="single"/>
          <w:lang w:val="es-ES_tradnl" w:eastAsia="es-MX"/>
        </w:rPr>
        <w:t>Banco Patagonia</w:t>
      </w:r>
      <w:r w:rsidR="00891683" w:rsidRPr="00950255">
        <w:rPr>
          <w:rFonts w:ascii="Times New Roman" w:eastAsia="Times New Roman" w:hAnsi="Times New Roman" w:cs="Times New Roman"/>
          <w:color w:val="000000"/>
          <w:sz w:val="20"/>
          <w:szCs w:val="20"/>
          <w:lang w:val="es-ES_tradnl" w:eastAsia="es-MX"/>
        </w:rPr>
        <w:t>” y junto con Banco Galicia, los “</w:t>
      </w:r>
      <w:r w:rsidR="00891683" w:rsidRPr="00950255">
        <w:rPr>
          <w:rFonts w:ascii="Times New Roman" w:eastAsia="Times New Roman" w:hAnsi="Times New Roman" w:cs="Times New Roman"/>
          <w:color w:val="000000"/>
          <w:sz w:val="20"/>
          <w:szCs w:val="20"/>
          <w:u w:val="single"/>
          <w:lang w:val="es-ES_tradnl" w:eastAsia="es-MX"/>
        </w:rPr>
        <w:t>Organizadores</w:t>
      </w:r>
      <w:r w:rsidR="00891683" w:rsidRPr="00950255">
        <w:rPr>
          <w:rFonts w:ascii="Times New Roman" w:eastAsia="Times New Roman" w:hAnsi="Times New Roman" w:cs="Times New Roman"/>
          <w:color w:val="000000"/>
          <w:sz w:val="20"/>
          <w:szCs w:val="20"/>
          <w:lang w:val="es-ES_tradnl" w:eastAsia="es-MX"/>
        </w:rPr>
        <w:t>” y los “</w:t>
      </w:r>
      <w:r w:rsidR="00891683" w:rsidRPr="00950255">
        <w:rPr>
          <w:rFonts w:ascii="Times New Roman" w:eastAsia="Times New Roman" w:hAnsi="Times New Roman" w:cs="Times New Roman"/>
          <w:color w:val="000000"/>
          <w:sz w:val="20"/>
          <w:szCs w:val="20"/>
          <w:u w:val="single"/>
          <w:lang w:val="es-ES_tradnl" w:eastAsia="es-MX"/>
        </w:rPr>
        <w:t>Colocadores</w:t>
      </w:r>
      <w:r w:rsidR="00891683" w:rsidRPr="00950255">
        <w:rPr>
          <w:rFonts w:ascii="Times New Roman" w:eastAsia="Times New Roman" w:hAnsi="Times New Roman" w:cs="Times New Roman"/>
          <w:color w:val="000000"/>
          <w:sz w:val="20"/>
          <w:szCs w:val="20"/>
          <w:lang w:val="es-ES_tradnl" w:eastAsia="es-MX"/>
        </w:rPr>
        <w:t>” según corresponda)</w:t>
      </w:r>
      <w:r w:rsidRPr="00950255">
        <w:rPr>
          <w:rFonts w:ascii="Times New Roman" w:eastAsia="Times New Roman" w:hAnsi="Times New Roman" w:cs="Times New Roman"/>
          <w:color w:val="000000"/>
          <w:sz w:val="20"/>
          <w:szCs w:val="20"/>
          <w:lang w:val="es-ES_tradnl" w:eastAsia="es-MX"/>
        </w:rPr>
        <w:t xml:space="preserve">, con domicilio sito en </w:t>
      </w:r>
      <w:r w:rsidR="00F7472B" w:rsidRPr="00EA1915">
        <w:rPr>
          <w:rFonts w:ascii="Times New Roman" w:hAnsi="Times New Roman"/>
          <w:color w:val="000000"/>
          <w:sz w:val="20"/>
        </w:rPr>
        <w:t>Av. de Mayo 701 Piso 24</w:t>
      </w:r>
      <w:r w:rsidRPr="00EA1915">
        <w:rPr>
          <w:rFonts w:ascii="Times New Roman" w:hAnsi="Times New Roman"/>
          <w:color w:val="000000"/>
          <w:sz w:val="20"/>
          <w:lang w:val="es-ES_tradnl"/>
        </w:rPr>
        <w:t>, (</w:t>
      </w:r>
      <w:r w:rsidR="00F7472B" w:rsidRPr="00EA1915">
        <w:rPr>
          <w:rFonts w:ascii="Times New Roman" w:hAnsi="Times New Roman"/>
          <w:color w:val="000000"/>
          <w:sz w:val="20"/>
          <w:lang w:val="es-ES_tradnl"/>
        </w:rPr>
        <w:t>C1084AAC</w:t>
      </w:r>
      <w:r w:rsidRPr="00EA1915">
        <w:rPr>
          <w:rFonts w:ascii="Times New Roman" w:hAnsi="Times New Roman"/>
          <w:color w:val="000000"/>
          <w:sz w:val="20"/>
          <w:lang w:val="es-ES_tradnl"/>
        </w:rPr>
        <w:t>)</w:t>
      </w:r>
      <w:r w:rsidRPr="00EA1915">
        <w:rPr>
          <w:rFonts w:ascii="Times New Roman" w:hAnsi="Times New Roman"/>
          <w:color w:val="000000"/>
          <w:sz w:val="20"/>
        </w:rPr>
        <w:t>,</w:t>
      </w:r>
      <w:r w:rsidRPr="00EA1915">
        <w:rPr>
          <w:rFonts w:ascii="Times New Roman" w:hAnsi="Times New Roman"/>
          <w:color w:val="000000"/>
          <w:sz w:val="20"/>
          <w:lang w:val="es-ES_tradnl"/>
        </w:rPr>
        <w:t xml:space="preserve"> Ciudad Autónoma de Buenos Aires</w:t>
      </w:r>
      <w:r w:rsidRPr="002A6656">
        <w:rPr>
          <w:rFonts w:ascii="Times New Roman" w:eastAsia="Times New Roman" w:hAnsi="Times New Roman" w:cs="Times New Roman"/>
          <w:color w:val="000000"/>
          <w:sz w:val="20"/>
          <w:szCs w:val="20"/>
          <w:lang w:val="es-ES_tradnl" w:eastAsia="es-MX"/>
        </w:rPr>
        <w:t>,</w:t>
      </w:r>
      <w:r w:rsidRPr="00EA1915">
        <w:rPr>
          <w:rFonts w:ascii="Times New Roman" w:hAnsi="Times New Roman"/>
          <w:color w:val="000000"/>
          <w:sz w:val="20"/>
          <w:lang w:val="es-ES_tradnl"/>
        </w:rPr>
        <w:t xml:space="preserve"> At:</w:t>
      </w:r>
      <w:r w:rsidRPr="00EA1915">
        <w:rPr>
          <w:rFonts w:ascii="Times New Roman" w:hAnsi="Times New Roman"/>
          <w:color w:val="000000"/>
          <w:sz w:val="20"/>
          <w:lang w:val="es-ES"/>
        </w:rPr>
        <w:t xml:space="preserve"> </w:t>
      </w:r>
      <w:r w:rsidR="002A6656" w:rsidRPr="002A6656">
        <w:rPr>
          <w:rFonts w:ascii="Times New Roman" w:hAnsi="Times New Roman"/>
          <w:bCs/>
          <w:sz w:val="20"/>
        </w:rPr>
        <w:t>Guido Messi / Leandro Navarro / Eduardo Medina;</w:t>
      </w:r>
      <w:r w:rsidR="002D138D" w:rsidRPr="00EA1915">
        <w:rPr>
          <w:rFonts w:ascii="Times New Roman" w:hAnsi="Times New Roman"/>
          <w:color w:val="000000"/>
          <w:sz w:val="20"/>
          <w:lang w:val="es-ES"/>
        </w:rPr>
        <w:t xml:space="preserve"> teléfono: </w:t>
      </w:r>
      <w:r w:rsidR="002A6656" w:rsidRPr="002A6656">
        <w:rPr>
          <w:rFonts w:ascii="Times New Roman" w:eastAsia="Times New Roman" w:hAnsi="Times New Roman" w:cs="Times New Roman"/>
          <w:bCs/>
          <w:color w:val="000000"/>
          <w:sz w:val="20"/>
          <w:szCs w:val="20"/>
          <w:lang w:eastAsia="es-MX"/>
        </w:rPr>
        <w:t>4343-5150</w:t>
      </w:r>
      <w:r w:rsidR="002D138D" w:rsidRPr="002A6656">
        <w:rPr>
          <w:rFonts w:ascii="Times New Roman" w:eastAsia="Times New Roman" w:hAnsi="Times New Roman" w:cs="Times New Roman"/>
          <w:color w:val="000000"/>
          <w:sz w:val="20"/>
          <w:szCs w:val="20"/>
          <w:lang w:val="es-ES" w:eastAsia="es-MX"/>
        </w:rPr>
        <w:t>,</w:t>
      </w:r>
      <w:r w:rsidR="002D138D" w:rsidRPr="00EA1915">
        <w:rPr>
          <w:rFonts w:ascii="Times New Roman" w:hAnsi="Times New Roman"/>
          <w:color w:val="000000"/>
          <w:sz w:val="20"/>
          <w:lang w:val="es-ES"/>
        </w:rPr>
        <w:t xml:space="preserve"> e-mail: </w:t>
      </w:r>
      <w:hyperlink r:id="rId13" w:history="1">
        <w:r w:rsidR="002A6656" w:rsidRPr="002A6656">
          <w:rPr>
            <w:rStyle w:val="Hipervnculo"/>
            <w:rFonts w:ascii="Times New Roman" w:eastAsia="Times New Roman" w:hAnsi="Times New Roman" w:cs="Times New Roman"/>
            <w:bCs/>
            <w:sz w:val="20"/>
            <w:szCs w:val="20"/>
            <w:lang w:eastAsia="es-MX"/>
          </w:rPr>
          <w:t>gmessi@bancopatagonia.com.ar</w:t>
        </w:r>
      </w:hyperlink>
      <w:r w:rsidR="002A6656" w:rsidRPr="002A6656">
        <w:rPr>
          <w:rFonts w:ascii="Times New Roman" w:eastAsia="Times New Roman" w:hAnsi="Times New Roman" w:cs="Times New Roman"/>
          <w:bCs/>
          <w:color w:val="000000"/>
          <w:sz w:val="20"/>
          <w:szCs w:val="20"/>
          <w:lang w:eastAsia="es-MX"/>
        </w:rPr>
        <w:t xml:space="preserve"> / </w:t>
      </w:r>
      <w:hyperlink r:id="rId14" w:history="1">
        <w:r w:rsidR="002A6656" w:rsidRPr="002A6656">
          <w:rPr>
            <w:rStyle w:val="Hipervnculo"/>
            <w:rFonts w:ascii="Times New Roman" w:eastAsia="Times New Roman" w:hAnsi="Times New Roman" w:cs="Times New Roman"/>
            <w:bCs/>
            <w:sz w:val="20"/>
            <w:szCs w:val="20"/>
            <w:lang w:eastAsia="es-MX"/>
          </w:rPr>
          <w:t>lnavarro@bancopatagonia.com.ar</w:t>
        </w:r>
      </w:hyperlink>
      <w:r w:rsidR="002A6656" w:rsidRPr="002A6656">
        <w:rPr>
          <w:rFonts w:ascii="Times New Roman" w:eastAsia="Times New Roman" w:hAnsi="Times New Roman" w:cs="Times New Roman"/>
          <w:bCs/>
          <w:color w:val="000000"/>
          <w:sz w:val="20"/>
          <w:szCs w:val="20"/>
          <w:lang w:eastAsia="es-MX"/>
        </w:rPr>
        <w:t xml:space="preserve"> / </w:t>
      </w:r>
      <w:hyperlink r:id="rId15" w:history="1">
        <w:r w:rsidR="002A6656" w:rsidRPr="002A6656">
          <w:rPr>
            <w:rStyle w:val="Hipervnculo"/>
            <w:rFonts w:ascii="Times New Roman" w:eastAsia="Times New Roman" w:hAnsi="Times New Roman" w:cs="Times New Roman"/>
            <w:bCs/>
            <w:sz w:val="20"/>
            <w:szCs w:val="20"/>
            <w:lang w:eastAsia="es-MX"/>
          </w:rPr>
          <w:t>emedina@bancopatagonia.com.ar</w:t>
        </w:r>
      </w:hyperlink>
      <w:r w:rsidR="002A6656">
        <w:rPr>
          <w:rFonts w:ascii="Times New Roman" w:eastAsia="Times New Roman" w:hAnsi="Times New Roman" w:cs="Times New Roman"/>
          <w:color w:val="000000"/>
          <w:sz w:val="20"/>
          <w:szCs w:val="20"/>
          <w:lang w:val="es-ES" w:eastAsia="es-MX"/>
        </w:rPr>
        <w:t>.</w:t>
      </w:r>
    </w:p>
    <w:p w:rsidR="00F53F0A" w:rsidRDefault="00F53F0A" w:rsidP="007D2D81">
      <w:pPr>
        <w:widowControl w:val="0"/>
        <w:spacing w:line="0" w:lineRule="atLeast"/>
        <w:ind w:left="0" w:firstLine="0"/>
        <w:contextualSpacing/>
        <w:jc w:val="both"/>
        <w:rPr>
          <w:rFonts w:ascii="Times New Roman" w:eastAsia="Times New Roman" w:hAnsi="Times New Roman" w:cs="Times New Roman"/>
          <w:sz w:val="20"/>
          <w:szCs w:val="20"/>
          <w:lang w:val="es-ES_tradnl"/>
        </w:rPr>
      </w:pPr>
    </w:p>
    <w:p w:rsidR="00D47E83" w:rsidRPr="00D47E83" w:rsidRDefault="00D47E83" w:rsidP="007D2D81">
      <w:pPr>
        <w:widowControl w:val="0"/>
        <w:spacing w:line="0" w:lineRule="atLeast"/>
        <w:ind w:left="0" w:firstLine="0"/>
        <w:contextualSpacing/>
        <w:jc w:val="both"/>
        <w:rPr>
          <w:rFonts w:ascii="Times New Roman" w:eastAsia="Times New Roman" w:hAnsi="Times New Roman" w:cs="Times New Roman"/>
          <w:sz w:val="20"/>
          <w:szCs w:val="20"/>
          <w:lang w:val="es-ES_tradnl"/>
        </w:rPr>
      </w:pPr>
      <w:r>
        <w:rPr>
          <w:rFonts w:ascii="Times New Roman" w:eastAsia="Times New Roman" w:hAnsi="Times New Roman" w:cs="Times New Roman"/>
          <w:b/>
          <w:bCs/>
          <w:sz w:val="20"/>
          <w:szCs w:val="20"/>
          <w:lang w:val="es-ES_tradnl"/>
        </w:rPr>
        <w:t>2) Agente Creador:</w:t>
      </w:r>
      <w:r>
        <w:rPr>
          <w:rFonts w:ascii="Times New Roman" w:eastAsia="Times New Roman" w:hAnsi="Times New Roman" w:cs="Times New Roman"/>
          <w:sz w:val="20"/>
          <w:szCs w:val="20"/>
          <w:lang w:val="es-ES_tradnl"/>
        </w:rPr>
        <w:t xml:space="preserve"> </w:t>
      </w:r>
      <w:r w:rsidRPr="00D47E83">
        <w:rPr>
          <w:rFonts w:ascii="Times New Roman" w:eastAsia="Times New Roman" w:hAnsi="Times New Roman" w:cs="Times New Roman"/>
          <w:sz w:val="20"/>
          <w:szCs w:val="20"/>
          <w:lang w:val="es-ES_tradnl"/>
        </w:rPr>
        <w:t>Banco</w:t>
      </w:r>
      <w:r w:rsidRPr="00D844AF">
        <w:rPr>
          <w:rFonts w:ascii="Times New Roman" w:hAnsi="Times New Roman"/>
          <w:sz w:val="20"/>
          <w:lang w:val="es-ES_tradnl"/>
        </w:rPr>
        <w:t xml:space="preserve"> de </w:t>
      </w:r>
      <w:r w:rsidRPr="00D47E83">
        <w:rPr>
          <w:rFonts w:ascii="Times New Roman" w:eastAsia="Times New Roman" w:hAnsi="Times New Roman" w:cs="Times New Roman"/>
          <w:sz w:val="20"/>
          <w:szCs w:val="20"/>
          <w:lang w:val="es-ES_tradnl"/>
        </w:rPr>
        <w:t>Galicia y Buenos Aires S.A.U. será el encargado de generar en el Sistema SIOPEL el pliego de licitación de la colocación primaria de las Obligaciones Negociables.</w:t>
      </w:r>
    </w:p>
    <w:p w:rsidR="00D47E83" w:rsidRDefault="00D47E83" w:rsidP="007D2D81">
      <w:pPr>
        <w:widowControl w:val="0"/>
        <w:spacing w:line="0" w:lineRule="atLeast"/>
        <w:ind w:left="0" w:firstLine="0"/>
        <w:contextualSpacing/>
        <w:jc w:val="both"/>
        <w:rPr>
          <w:rFonts w:ascii="Times New Roman" w:eastAsia="Times New Roman" w:hAnsi="Times New Roman" w:cs="Times New Roman"/>
          <w:sz w:val="20"/>
          <w:szCs w:val="20"/>
          <w:lang w:val="es-ES_tradnl"/>
        </w:rPr>
      </w:pPr>
    </w:p>
    <w:p w:rsidR="00F53F0A" w:rsidRDefault="00D47E83" w:rsidP="007D2D81">
      <w:pPr>
        <w:widowControl w:val="0"/>
        <w:spacing w:line="0" w:lineRule="atLeast"/>
        <w:ind w:left="0" w:firstLine="0"/>
        <w:contextualSpacing/>
        <w:jc w:val="both"/>
        <w:rPr>
          <w:rFonts w:ascii="Times New Roman" w:eastAsia="Times New Roman" w:hAnsi="Times New Roman" w:cs="Times New Roman"/>
          <w:sz w:val="20"/>
          <w:szCs w:val="20"/>
          <w:lang w:val="es-ES_tradnl"/>
        </w:rPr>
      </w:pPr>
      <w:r>
        <w:rPr>
          <w:rFonts w:ascii="Times New Roman" w:eastAsia="Times New Roman" w:hAnsi="Times New Roman" w:cs="Times New Roman"/>
          <w:b/>
          <w:sz w:val="20"/>
          <w:szCs w:val="20"/>
          <w:lang w:val="es-ES_tradnl"/>
        </w:rPr>
        <w:t>3</w:t>
      </w:r>
      <w:r w:rsidR="00DB257D" w:rsidRPr="00950255">
        <w:rPr>
          <w:rFonts w:ascii="Times New Roman" w:eastAsia="Times New Roman" w:hAnsi="Times New Roman" w:cs="Times New Roman"/>
          <w:b/>
          <w:sz w:val="20"/>
          <w:szCs w:val="20"/>
          <w:lang w:val="es-ES_tradnl"/>
        </w:rPr>
        <w:t>) Período de Difusión Pública:</w:t>
      </w:r>
      <w:r w:rsidR="00DB257D" w:rsidRPr="00950255">
        <w:rPr>
          <w:rFonts w:ascii="Times New Roman" w:eastAsia="Times New Roman" w:hAnsi="Times New Roman" w:cs="Times New Roman"/>
          <w:sz w:val="20"/>
          <w:szCs w:val="20"/>
          <w:lang w:val="es-ES_tradnl"/>
        </w:rPr>
        <w:t xml:space="preserve"> Comenzará el </w:t>
      </w:r>
      <w:r w:rsidR="007341F7">
        <w:rPr>
          <w:rFonts w:ascii="Times New Roman" w:eastAsia="Times New Roman" w:hAnsi="Times New Roman" w:cs="Times New Roman"/>
          <w:sz w:val="20"/>
          <w:szCs w:val="20"/>
        </w:rPr>
        <w:t>9</w:t>
      </w:r>
      <w:r w:rsidR="007341F7" w:rsidRPr="00950255" w:rsidDel="00C52E80">
        <w:rPr>
          <w:rFonts w:ascii="Times New Roman" w:eastAsia="Times New Roman" w:hAnsi="Times New Roman" w:cs="Times New Roman"/>
          <w:bCs/>
          <w:sz w:val="20"/>
          <w:szCs w:val="20"/>
        </w:rPr>
        <w:t xml:space="preserve"> </w:t>
      </w:r>
      <w:r w:rsidR="00DB257D" w:rsidRPr="00950255">
        <w:rPr>
          <w:rFonts w:ascii="Times New Roman" w:eastAsia="Times New Roman" w:hAnsi="Times New Roman" w:cs="Times New Roman"/>
          <w:sz w:val="20"/>
          <w:szCs w:val="20"/>
          <w:lang w:val="es-ES_tradnl"/>
        </w:rPr>
        <w:t xml:space="preserve">de </w:t>
      </w:r>
      <w:r w:rsidR="00F7472B" w:rsidRPr="00950255">
        <w:rPr>
          <w:rFonts w:ascii="Times New Roman" w:eastAsia="Times New Roman" w:hAnsi="Times New Roman" w:cs="Times New Roman"/>
          <w:sz w:val="20"/>
          <w:szCs w:val="20"/>
          <w:lang w:val="es-ES_tradnl"/>
        </w:rPr>
        <w:t xml:space="preserve">noviembre </w:t>
      </w:r>
      <w:r w:rsidR="00DB257D" w:rsidRPr="00950255">
        <w:rPr>
          <w:rFonts w:ascii="Times New Roman" w:eastAsia="Times New Roman" w:hAnsi="Times New Roman" w:cs="Times New Roman"/>
          <w:sz w:val="20"/>
          <w:szCs w:val="20"/>
          <w:lang w:val="es-ES_tradnl"/>
        </w:rPr>
        <w:t>de 20</w:t>
      </w:r>
      <w:r w:rsidR="00C52E80" w:rsidRPr="00950255">
        <w:rPr>
          <w:rFonts w:ascii="Times New Roman" w:eastAsia="Times New Roman" w:hAnsi="Times New Roman" w:cs="Times New Roman"/>
          <w:sz w:val="20"/>
          <w:szCs w:val="20"/>
          <w:lang w:val="es-ES_tradnl"/>
        </w:rPr>
        <w:t>20</w:t>
      </w:r>
      <w:r w:rsidR="00DB257D" w:rsidRPr="00950255">
        <w:rPr>
          <w:rFonts w:ascii="Times New Roman" w:eastAsia="Times New Roman" w:hAnsi="Times New Roman" w:cs="Times New Roman"/>
          <w:sz w:val="20"/>
          <w:szCs w:val="20"/>
          <w:lang w:val="es-ES_tradnl"/>
        </w:rPr>
        <w:t xml:space="preserve"> y finalizará el </w:t>
      </w:r>
      <w:r w:rsidR="007341F7">
        <w:rPr>
          <w:rFonts w:ascii="Times New Roman" w:eastAsia="Times New Roman" w:hAnsi="Times New Roman" w:cs="Times New Roman"/>
          <w:sz w:val="20"/>
          <w:szCs w:val="20"/>
        </w:rPr>
        <w:t>1</w:t>
      </w:r>
      <w:r w:rsidR="00545CFC">
        <w:rPr>
          <w:rFonts w:ascii="Times New Roman" w:eastAsia="Times New Roman" w:hAnsi="Times New Roman" w:cs="Times New Roman"/>
          <w:sz w:val="20"/>
          <w:szCs w:val="20"/>
        </w:rPr>
        <w:t>0</w:t>
      </w:r>
      <w:r w:rsidR="007341F7" w:rsidRPr="00950255" w:rsidDel="00C52E80">
        <w:rPr>
          <w:rFonts w:ascii="Times New Roman" w:eastAsia="Times New Roman" w:hAnsi="Times New Roman" w:cs="Times New Roman"/>
          <w:bCs/>
          <w:sz w:val="20"/>
          <w:szCs w:val="20"/>
        </w:rPr>
        <w:t xml:space="preserve"> </w:t>
      </w:r>
      <w:r w:rsidR="00DB257D" w:rsidRPr="00950255">
        <w:rPr>
          <w:rFonts w:ascii="Times New Roman" w:eastAsia="Times New Roman" w:hAnsi="Times New Roman" w:cs="Times New Roman"/>
          <w:sz w:val="20"/>
          <w:szCs w:val="20"/>
          <w:lang w:val="es-ES_tradnl"/>
        </w:rPr>
        <w:t xml:space="preserve">de </w:t>
      </w:r>
      <w:r w:rsidR="00F7472B" w:rsidRPr="00950255">
        <w:rPr>
          <w:rFonts w:ascii="Times New Roman" w:eastAsia="Times New Roman" w:hAnsi="Times New Roman" w:cs="Times New Roman"/>
          <w:sz w:val="20"/>
          <w:szCs w:val="20"/>
          <w:lang w:val="es-ES_tradnl"/>
        </w:rPr>
        <w:t xml:space="preserve">noviembre </w:t>
      </w:r>
      <w:r w:rsidR="00DB257D" w:rsidRPr="00950255">
        <w:rPr>
          <w:rFonts w:ascii="Times New Roman" w:eastAsia="Times New Roman" w:hAnsi="Times New Roman" w:cs="Times New Roman"/>
          <w:sz w:val="20"/>
          <w:szCs w:val="20"/>
          <w:lang w:val="es-ES_tradnl"/>
        </w:rPr>
        <w:t>de 20</w:t>
      </w:r>
      <w:r w:rsidR="00C52E80" w:rsidRPr="00950255">
        <w:rPr>
          <w:rFonts w:ascii="Times New Roman" w:eastAsia="Times New Roman" w:hAnsi="Times New Roman" w:cs="Times New Roman"/>
          <w:sz w:val="20"/>
          <w:szCs w:val="20"/>
          <w:lang w:val="es-ES_tradnl"/>
        </w:rPr>
        <w:t>20</w:t>
      </w:r>
      <w:r w:rsidR="00DB257D" w:rsidRPr="00950255">
        <w:rPr>
          <w:rFonts w:ascii="Times New Roman" w:eastAsia="Times New Roman" w:hAnsi="Times New Roman" w:cs="Times New Roman"/>
          <w:sz w:val="20"/>
          <w:szCs w:val="20"/>
          <w:lang w:val="es-ES_tradnl"/>
        </w:rPr>
        <w:t>.</w:t>
      </w:r>
    </w:p>
    <w:p w:rsidR="00F53F0A" w:rsidRDefault="00F53F0A" w:rsidP="007D2D81">
      <w:pPr>
        <w:widowControl w:val="0"/>
        <w:spacing w:line="0" w:lineRule="atLeast"/>
        <w:ind w:left="0" w:firstLine="0"/>
        <w:jc w:val="both"/>
        <w:rPr>
          <w:rFonts w:ascii="Times New Roman" w:eastAsia="Times New Roman" w:hAnsi="Times New Roman" w:cs="Times New Roman"/>
          <w:sz w:val="20"/>
          <w:szCs w:val="20"/>
          <w:lang w:val="es-ES_tradnl"/>
        </w:rPr>
      </w:pPr>
    </w:p>
    <w:p w:rsidR="00F53F0A" w:rsidRDefault="00D47E83" w:rsidP="007D2D81">
      <w:pPr>
        <w:widowControl w:val="0"/>
        <w:spacing w:line="0" w:lineRule="atLeast"/>
        <w:ind w:left="0" w:firstLine="0"/>
        <w:jc w:val="both"/>
        <w:rPr>
          <w:rFonts w:ascii="Times New Roman" w:eastAsia="Times New Roman" w:hAnsi="Times New Roman" w:cs="Times New Roman"/>
          <w:sz w:val="20"/>
          <w:szCs w:val="20"/>
          <w:lang w:val="es-ES_tradnl"/>
        </w:rPr>
      </w:pPr>
      <w:r>
        <w:rPr>
          <w:rFonts w:ascii="Times New Roman" w:eastAsia="Times New Roman" w:hAnsi="Times New Roman" w:cs="Times New Roman"/>
          <w:b/>
          <w:sz w:val="20"/>
          <w:szCs w:val="20"/>
          <w:lang w:val="es-ES_tradnl"/>
        </w:rPr>
        <w:t>4</w:t>
      </w:r>
      <w:r w:rsidR="00DB257D" w:rsidRPr="00950255">
        <w:rPr>
          <w:rFonts w:ascii="Times New Roman" w:eastAsia="Times New Roman" w:hAnsi="Times New Roman" w:cs="Times New Roman"/>
          <w:b/>
          <w:sz w:val="20"/>
          <w:szCs w:val="20"/>
          <w:lang w:val="es-ES_tradnl"/>
        </w:rPr>
        <w:t>) Período de Subasta Pública:</w:t>
      </w:r>
      <w:r w:rsidR="00DB257D" w:rsidRPr="00950255">
        <w:rPr>
          <w:rFonts w:ascii="Times New Roman" w:eastAsia="Times New Roman" w:hAnsi="Times New Roman" w:cs="Times New Roman"/>
          <w:sz w:val="20"/>
          <w:szCs w:val="20"/>
          <w:lang w:val="es-ES_tradnl"/>
        </w:rPr>
        <w:t xml:space="preserve"> Comenzará a las 10 horas y finalizará a las 16 horas del </w:t>
      </w:r>
      <w:r w:rsidR="007341F7">
        <w:rPr>
          <w:rFonts w:ascii="Times New Roman" w:eastAsia="Times New Roman" w:hAnsi="Times New Roman" w:cs="Times New Roman"/>
          <w:bCs/>
          <w:smallCaps/>
          <w:sz w:val="20"/>
          <w:szCs w:val="20"/>
        </w:rPr>
        <w:t>1</w:t>
      </w:r>
      <w:r w:rsidR="00012651">
        <w:rPr>
          <w:rFonts w:ascii="Times New Roman" w:eastAsia="Times New Roman" w:hAnsi="Times New Roman" w:cs="Times New Roman"/>
          <w:bCs/>
          <w:smallCaps/>
          <w:sz w:val="20"/>
          <w:szCs w:val="20"/>
        </w:rPr>
        <w:t>1</w:t>
      </w:r>
      <w:r w:rsidR="007341F7" w:rsidRPr="00950255">
        <w:rPr>
          <w:rFonts w:ascii="Times New Roman" w:eastAsia="Times New Roman" w:hAnsi="Times New Roman" w:cs="Times New Roman"/>
          <w:bCs/>
          <w:smallCaps/>
          <w:sz w:val="20"/>
          <w:szCs w:val="20"/>
        </w:rPr>
        <w:t xml:space="preserve"> </w:t>
      </w:r>
      <w:r w:rsidR="00DB257D" w:rsidRPr="00950255">
        <w:rPr>
          <w:rFonts w:ascii="Times New Roman" w:eastAsia="Times New Roman" w:hAnsi="Times New Roman" w:cs="Times New Roman"/>
          <w:sz w:val="20"/>
          <w:szCs w:val="20"/>
          <w:lang w:val="es-ES_tradnl"/>
        </w:rPr>
        <w:t xml:space="preserve">de </w:t>
      </w:r>
      <w:r w:rsidR="00F7472B" w:rsidRPr="00950255">
        <w:rPr>
          <w:rFonts w:ascii="Times New Roman" w:eastAsia="Times New Roman" w:hAnsi="Times New Roman" w:cs="Times New Roman"/>
          <w:sz w:val="20"/>
          <w:szCs w:val="20"/>
          <w:lang w:val="es-ES_tradnl"/>
        </w:rPr>
        <w:t xml:space="preserve">noviembre </w:t>
      </w:r>
      <w:r w:rsidR="00DB257D" w:rsidRPr="00950255">
        <w:rPr>
          <w:rFonts w:ascii="Times New Roman" w:eastAsia="Times New Roman" w:hAnsi="Times New Roman" w:cs="Times New Roman"/>
          <w:sz w:val="20"/>
          <w:szCs w:val="20"/>
          <w:lang w:val="es-ES_tradnl"/>
        </w:rPr>
        <w:t>de</w:t>
      </w:r>
      <w:r w:rsidR="000E3169" w:rsidRPr="00950255">
        <w:rPr>
          <w:rFonts w:ascii="Times New Roman" w:eastAsia="Times New Roman" w:hAnsi="Times New Roman" w:cs="Times New Roman"/>
          <w:sz w:val="20"/>
          <w:szCs w:val="20"/>
          <w:lang w:val="es-ES_tradnl"/>
        </w:rPr>
        <w:t xml:space="preserve"> 2020</w:t>
      </w:r>
      <w:r w:rsidR="00DB257D" w:rsidRPr="00950255">
        <w:rPr>
          <w:rFonts w:ascii="Times New Roman" w:eastAsia="Times New Roman" w:hAnsi="Times New Roman" w:cs="Times New Roman"/>
          <w:sz w:val="20"/>
          <w:szCs w:val="20"/>
          <w:lang w:val="es-ES_tradnl"/>
        </w:rPr>
        <w:t>. Durante el Período de Subasta Pública los Inversores interesados en la adquisición de las Obligaciones Negociables, podrán asignar a los Colocadores o a los agentes del MAE las órdenes de compra en firme y vinculantes de las Obligaciones Negociables que deseen suscribir (las “</w:t>
      </w:r>
      <w:r w:rsidR="00DB257D" w:rsidRPr="00950255">
        <w:rPr>
          <w:rFonts w:ascii="Times New Roman" w:eastAsia="Times New Roman" w:hAnsi="Times New Roman" w:cs="Times New Roman"/>
          <w:sz w:val="20"/>
          <w:szCs w:val="20"/>
          <w:u w:val="single"/>
          <w:lang w:val="es-ES_tradnl"/>
        </w:rPr>
        <w:t>Órdenes</w:t>
      </w:r>
      <w:r w:rsidR="00DB257D" w:rsidRPr="00950255">
        <w:rPr>
          <w:rFonts w:ascii="Times New Roman" w:eastAsia="Times New Roman" w:hAnsi="Times New Roman" w:cs="Times New Roman"/>
          <w:sz w:val="20"/>
          <w:szCs w:val="20"/>
          <w:lang w:val="es-ES_tradnl"/>
        </w:rPr>
        <w:t xml:space="preserve">”). </w:t>
      </w:r>
    </w:p>
    <w:p w:rsidR="00F53F0A" w:rsidRDefault="00F53F0A" w:rsidP="007D2D81">
      <w:pPr>
        <w:widowControl w:val="0"/>
        <w:spacing w:line="0" w:lineRule="atLeast"/>
        <w:ind w:left="0" w:firstLine="0"/>
        <w:jc w:val="both"/>
        <w:rPr>
          <w:rFonts w:ascii="Times New Roman" w:eastAsia="Times New Roman" w:hAnsi="Times New Roman" w:cs="Times New Roman"/>
          <w:sz w:val="20"/>
          <w:szCs w:val="20"/>
          <w:lang w:val="es-ES_tradnl"/>
        </w:rPr>
      </w:pPr>
    </w:p>
    <w:p w:rsidR="00F53F0A" w:rsidRDefault="00A3180E" w:rsidP="007D2D81">
      <w:pPr>
        <w:widowControl w:val="0"/>
        <w:spacing w:line="0" w:lineRule="atLeast"/>
        <w:ind w:left="0" w:firstLine="0"/>
        <w:jc w:val="both"/>
        <w:rPr>
          <w:rFonts w:ascii="Times New Roman" w:eastAsia="Times New Roman" w:hAnsi="Times New Roman" w:cs="Times New Roman"/>
          <w:sz w:val="20"/>
          <w:szCs w:val="20"/>
        </w:rPr>
      </w:pPr>
      <w:r w:rsidRPr="00950255">
        <w:rPr>
          <w:rFonts w:ascii="Times New Roman" w:eastAsia="Times New Roman" w:hAnsi="Times New Roman" w:cs="Times New Roman"/>
          <w:sz w:val="20"/>
          <w:szCs w:val="20"/>
        </w:rPr>
        <w:t>Durante el Período de Subasta Pública, los Colocadores y los Agentes del MAE</w:t>
      </w:r>
      <w:r w:rsidR="00CE142A">
        <w:rPr>
          <w:rFonts w:ascii="Times New Roman" w:eastAsia="Times New Roman" w:hAnsi="Times New Roman" w:cs="Times New Roman"/>
          <w:sz w:val="20"/>
          <w:szCs w:val="20"/>
        </w:rPr>
        <w:t xml:space="preserve"> </w:t>
      </w:r>
      <w:r w:rsidR="00CE142A" w:rsidRPr="00CE142A">
        <w:rPr>
          <w:rFonts w:ascii="Times New Roman" w:eastAsia="Times New Roman" w:hAnsi="Times New Roman" w:cs="Times New Roman"/>
          <w:sz w:val="20"/>
          <w:szCs w:val="20"/>
        </w:rPr>
        <w:t>(</w:t>
      </w:r>
      <w:r w:rsidR="00CE142A">
        <w:rPr>
          <w:rFonts w:ascii="Times New Roman" w:eastAsia="Times New Roman" w:hAnsi="Times New Roman" w:cs="Times New Roman"/>
          <w:sz w:val="20"/>
          <w:szCs w:val="20"/>
        </w:rPr>
        <w:t>aquellos</w:t>
      </w:r>
      <w:r w:rsidR="00CE142A" w:rsidRPr="00CE142A">
        <w:rPr>
          <w:rFonts w:ascii="Times New Roman" w:eastAsia="Times New Roman" w:hAnsi="Times New Roman" w:cs="Times New Roman"/>
          <w:sz w:val="20"/>
          <w:szCs w:val="20"/>
        </w:rPr>
        <w:t xml:space="preserve"> agentes (distintos de los Colocadores y de los Subcolocadores, de corresponder) adherentes del MAE, los agentes habilitados y/o demás agentes habilitados que oportunamente serán autorizados por el </w:t>
      </w:r>
      <w:r w:rsidR="00CE142A" w:rsidRPr="000F3C7E">
        <w:rPr>
          <w:rFonts w:ascii="Times New Roman" w:eastAsia="Times New Roman" w:hAnsi="Times New Roman" w:cs="Times New Roman"/>
          <w:sz w:val="20"/>
          <w:szCs w:val="20"/>
        </w:rPr>
        <w:t>Agente Creador</w:t>
      </w:r>
      <w:r w:rsidR="00CE142A" w:rsidRPr="00CE142A">
        <w:rPr>
          <w:rFonts w:ascii="Times New Roman" w:eastAsia="Times New Roman" w:hAnsi="Times New Roman" w:cs="Times New Roman"/>
          <w:sz w:val="20"/>
          <w:szCs w:val="20"/>
        </w:rPr>
        <w:t xml:space="preserve"> para ingresar Ofertas)</w:t>
      </w:r>
      <w:r w:rsidRPr="00950255">
        <w:rPr>
          <w:rFonts w:ascii="Times New Roman" w:eastAsia="Times New Roman" w:hAnsi="Times New Roman" w:cs="Times New Roman"/>
          <w:sz w:val="20"/>
          <w:szCs w:val="20"/>
        </w:rPr>
        <w:t>, que sean habilitados</w:t>
      </w:r>
      <w:r w:rsidR="00CE142A">
        <w:rPr>
          <w:rFonts w:ascii="Times New Roman" w:eastAsia="Times New Roman" w:hAnsi="Times New Roman" w:cs="Times New Roman"/>
          <w:sz w:val="20"/>
          <w:szCs w:val="20"/>
        </w:rPr>
        <w:t xml:space="preserve"> </w:t>
      </w:r>
      <w:r w:rsidR="00CE142A" w:rsidRPr="00CE142A">
        <w:rPr>
          <w:rFonts w:ascii="Times New Roman" w:eastAsia="Times New Roman" w:hAnsi="Times New Roman" w:cs="Times New Roman"/>
          <w:sz w:val="20"/>
          <w:szCs w:val="20"/>
        </w:rPr>
        <w:t xml:space="preserve">por el Agente Creador </w:t>
      </w:r>
      <w:r w:rsidRPr="00950255">
        <w:rPr>
          <w:rFonts w:ascii="Times New Roman" w:eastAsia="Times New Roman" w:hAnsi="Times New Roman" w:cs="Times New Roman"/>
          <w:sz w:val="20"/>
          <w:szCs w:val="20"/>
        </w:rPr>
        <w:t>a tal efecto, podrán participar en la rueda y ver las Ofertas a medida que las mismas se vayan ingresando en el sistema a través del sistema “SIOPEL” del MAE. Los Agentes del MAE (distintos de los Colocadores y de los Subcolocadores, de corresponder) podrán ser habilitados</w:t>
      </w:r>
      <w:r w:rsidR="00CE142A" w:rsidRPr="00D844AF">
        <w:t xml:space="preserve"> </w:t>
      </w:r>
      <w:r w:rsidR="00CE142A" w:rsidRPr="00CE142A">
        <w:rPr>
          <w:rFonts w:ascii="Times New Roman" w:eastAsia="Times New Roman" w:hAnsi="Times New Roman" w:cs="Times New Roman"/>
          <w:sz w:val="20"/>
          <w:szCs w:val="20"/>
        </w:rPr>
        <w:t>por el Agente Creador</w:t>
      </w:r>
      <w:r w:rsidRPr="00950255">
        <w:rPr>
          <w:rFonts w:ascii="Times New Roman" w:eastAsia="Times New Roman" w:hAnsi="Times New Roman" w:cs="Times New Roman"/>
          <w:sz w:val="20"/>
          <w:szCs w:val="20"/>
        </w:rPr>
        <w:t xml:space="preserve"> para participar en la licitación pública. Todos aquellos Agentes del MAE que requieran la habilitación correspondiente </w:t>
      </w:r>
      <w:r w:rsidR="00CE142A" w:rsidRPr="00CE142A">
        <w:rPr>
          <w:rFonts w:ascii="Times New Roman" w:eastAsia="Times New Roman" w:hAnsi="Times New Roman" w:cs="Times New Roman"/>
          <w:sz w:val="20"/>
          <w:szCs w:val="20"/>
        </w:rPr>
        <w:t xml:space="preserve">al Agente Creador </w:t>
      </w:r>
      <w:r w:rsidRPr="00950255">
        <w:rPr>
          <w:rFonts w:ascii="Times New Roman" w:eastAsia="Times New Roman" w:hAnsi="Times New Roman" w:cs="Times New Roman"/>
          <w:sz w:val="20"/>
          <w:szCs w:val="20"/>
        </w:rPr>
        <w:t>para participar de la rueda deberán, con una anticipación de 24 (veinticuatro) horas previas al inicio del Período de Subasta Pública, solicitar ser dados de alta en la rueda, debiendo acreditar para ello entre otras cuestiones, su inscripción ante la CNV como “Agente Registrado” en los términos de la Ley de Mercado de Capitales,</w:t>
      </w:r>
      <w:r w:rsidR="00AE14A2" w:rsidRPr="00950255">
        <w:rPr>
          <w:rFonts w:ascii="Times New Roman" w:eastAsia="Times New Roman" w:hAnsi="Times New Roman" w:cs="Times New Roman"/>
          <w:sz w:val="20"/>
          <w:szCs w:val="20"/>
        </w:rPr>
        <w:t xml:space="preserve"> </w:t>
      </w:r>
      <w:r w:rsidRPr="00950255">
        <w:rPr>
          <w:rFonts w:ascii="Times New Roman" w:eastAsia="Times New Roman" w:hAnsi="Times New Roman" w:cs="Times New Roman"/>
          <w:sz w:val="20"/>
          <w:szCs w:val="20"/>
        </w:rPr>
        <w:t>el cumplimiento de las normas en materia de prevención de lavado de activos y financiación del terrorismo de forma satisfactoria para los Colocadores, quienes observarán y respetarán en todo momento el trato igualitario entre aquéllos.</w:t>
      </w:r>
    </w:p>
    <w:p w:rsidR="00F53F0A" w:rsidRDefault="00F53F0A" w:rsidP="007D2D81">
      <w:pPr>
        <w:widowControl w:val="0"/>
        <w:spacing w:line="0" w:lineRule="atLeast"/>
        <w:ind w:left="0" w:firstLine="0"/>
        <w:jc w:val="both"/>
        <w:rPr>
          <w:rFonts w:ascii="Times New Roman" w:eastAsia="Times New Roman" w:hAnsi="Times New Roman" w:cs="Times New Roman"/>
          <w:sz w:val="20"/>
          <w:szCs w:val="20"/>
        </w:rPr>
      </w:pPr>
    </w:p>
    <w:p w:rsidR="00F53F0A" w:rsidRDefault="00DB257D" w:rsidP="007D2D81">
      <w:pPr>
        <w:widowControl w:val="0"/>
        <w:spacing w:line="0" w:lineRule="atLeast"/>
        <w:ind w:left="0" w:firstLine="0"/>
        <w:jc w:val="both"/>
        <w:rPr>
          <w:rFonts w:ascii="Times New Roman" w:eastAsia="Times New Roman" w:hAnsi="Times New Roman" w:cs="Times New Roman"/>
          <w:snapToGrid w:val="0"/>
          <w:sz w:val="20"/>
          <w:szCs w:val="20"/>
        </w:rPr>
      </w:pPr>
      <w:r w:rsidRPr="00950255">
        <w:rPr>
          <w:rFonts w:ascii="Times New Roman" w:eastAsia="Times New Roman" w:hAnsi="Times New Roman" w:cs="Times New Roman"/>
          <w:snapToGrid w:val="0"/>
          <w:sz w:val="20"/>
          <w:szCs w:val="20"/>
        </w:rPr>
        <w:t>Los Colocadores y los Agentes del MAE serán los responsables de activar e ingresar las Órdenes —que los Inversores hubieran cursado a través suyo— como ofertas (las “</w:t>
      </w:r>
      <w:r w:rsidRPr="00950255">
        <w:rPr>
          <w:rFonts w:ascii="Times New Roman" w:eastAsia="Times New Roman" w:hAnsi="Times New Roman" w:cs="Times New Roman"/>
          <w:snapToGrid w:val="0"/>
          <w:sz w:val="20"/>
          <w:szCs w:val="20"/>
          <w:u w:val="single"/>
        </w:rPr>
        <w:t>Ofertas</w:t>
      </w:r>
      <w:r w:rsidRPr="00950255">
        <w:rPr>
          <w:rFonts w:ascii="Times New Roman" w:eastAsia="Times New Roman" w:hAnsi="Times New Roman" w:cs="Times New Roman"/>
          <w:snapToGrid w:val="0"/>
          <w:sz w:val="20"/>
          <w:szCs w:val="20"/>
        </w:rPr>
        <w:t xml:space="preserve">”) en la rueda en que se encuentre habilitada la </w:t>
      </w:r>
      <w:r w:rsidR="00A3180E" w:rsidRPr="00950255">
        <w:rPr>
          <w:rFonts w:ascii="Times New Roman" w:eastAsia="Times New Roman" w:hAnsi="Times New Roman" w:cs="Times New Roman"/>
          <w:snapToGrid w:val="0"/>
          <w:sz w:val="20"/>
          <w:szCs w:val="20"/>
        </w:rPr>
        <w:t xml:space="preserve">subasta pública </w:t>
      </w:r>
      <w:r w:rsidRPr="00950255">
        <w:rPr>
          <w:rFonts w:ascii="Times New Roman" w:eastAsia="Times New Roman" w:hAnsi="Times New Roman" w:cs="Times New Roman"/>
          <w:snapToGrid w:val="0"/>
          <w:sz w:val="20"/>
          <w:szCs w:val="20"/>
        </w:rPr>
        <w:t xml:space="preserve">de las Obligaciones Negociables. Dichas Ofertas serán irrevocables y no podrán ser retiradas. Solo las Ofertas participarán del proceso de Subasta Pública y serán adjudicadas de conformidad con el procedimiento que se prevé en los títulos </w:t>
      </w:r>
      <w:r w:rsidR="008B7B7A" w:rsidRPr="00950255">
        <w:rPr>
          <w:rFonts w:ascii="Times New Roman" w:eastAsia="Times New Roman" w:hAnsi="Times New Roman" w:cs="Times New Roman"/>
          <w:i/>
          <w:snapToGrid w:val="0"/>
          <w:sz w:val="20"/>
          <w:szCs w:val="20"/>
        </w:rPr>
        <w:t>“Adjudicación y Prorrateo”</w:t>
      </w:r>
      <w:r w:rsidRPr="00950255">
        <w:rPr>
          <w:rFonts w:ascii="Times New Roman" w:eastAsia="Times New Roman" w:hAnsi="Times New Roman" w:cs="Times New Roman"/>
          <w:snapToGrid w:val="0"/>
          <w:sz w:val="20"/>
          <w:szCs w:val="20"/>
        </w:rPr>
        <w:t xml:space="preserve"> del Suplemento de Prospecto. </w:t>
      </w:r>
      <w:r w:rsidR="008B7B7A" w:rsidRPr="00950255">
        <w:rPr>
          <w:rFonts w:ascii="Times New Roman" w:eastAsia="Times New Roman" w:hAnsi="Times New Roman" w:cs="Times New Roman"/>
          <w:snapToGrid w:val="0"/>
          <w:sz w:val="20"/>
          <w:szCs w:val="20"/>
        </w:rPr>
        <w:t>Podrán remitirse Órdenes para el Tramo Competitivo y Órdenes para el Tramo No Competitivo</w:t>
      </w:r>
      <w:r w:rsidR="002A71E5" w:rsidRPr="00950255">
        <w:rPr>
          <w:rFonts w:ascii="Times New Roman" w:eastAsia="Times New Roman" w:hAnsi="Times New Roman" w:cs="Times New Roman"/>
          <w:snapToGrid w:val="0"/>
          <w:sz w:val="20"/>
          <w:szCs w:val="20"/>
        </w:rPr>
        <w:t xml:space="preserve"> de una o ambas series de las Obligaciones Negociables</w:t>
      </w:r>
      <w:r w:rsidR="008B7B7A" w:rsidRPr="00950255">
        <w:rPr>
          <w:rFonts w:ascii="Times New Roman" w:eastAsia="Times New Roman" w:hAnsi="Times New Roman" w:cs="Times New Roman"/>
          <w:snapToGrid w:val="0"/>
          <w:sz w:val="20"/>
          <w:szCs w:val="20"/>
        </w:rPr>
        <w:t>.</w:t>
      </w:r>
      <w:r w:rsidRPr="00950255">
        <w:rPr>
          <w:rFonts w:ascii="Times New Roman" w:eastAsia="Times New Roman" w:hAnsi="Times New Roman" w:cs="Times New Roman"/>
          <w:snapToGrid w:val="0"/>
          <w:sz w:val="20"/>
          <w:szCs w:val="20"/>
        </w:rPr>
        <w:t xml:space="preserve"> </w:t>
      </w:r>
    </w:p>
    <w:p w:rsidR="00F53F0A" w:rsidRDefault="00F53F0A" w:rsidP="007D2D81">
      <w:pPr>
        <w:widowControl w:val="0"/>
        <w:spacing w:line="0" w:lineRule="atLeast"/>
        <w:ind w:left="0" w:firstLine="0"/>
        <w:jc w:val="both"/>
        <w:rPr>
          <w:rFonts w:ascii="Times New Roman" w:eastAsia="Times New Roman" w:hAnsi="Times New Roman" w:cs="Times New Roman"/>
          <w:snapToGrid w:val="0"/>
          <w:sz w:val="20"/>
          <w:szCs w:val="20"/>
        </w:rPr>
      </w:pPr>
    </w:p>
    <w:p w:rsidR="00F53F0A" w:rsidRDefault="008B7B7A" w:rsidP="007D2D81">
      <w:pPr>
        <w:widowControl w:val="0"/>
        <w:spacing w:line="0" w:lineRule="atLeast"/>
        <w:ind w:left="0" w:firstLine="0"/>
        <w:jc w:val="both"/>
        <w:rPr>
          <w:rFonts w:ascii="Times New Roman" w:eastAsia="Times New Roman" w:hAnsi="Times New Roman" w:cs="Times New Roman"/>
          <w:sz w:val="20"/>
          <w:szCs w:val="20"/>
        </w:rPr>
      </w:pPr>
      <w:r w:rsidRPr="00950255">
        <w:rPr>
          <w:rFonts w:ascii="Times New Roman" w:eastAsia="Times New Roman" w:hAnsi="Times New Roman" w:cs="Times New Roman"/>
          <w:sz w:val="20"/>
          <w:szCs w:val="20"/>
        </w:rPr>
        <w:t xml:space="preserve">Si como resultado del prorrateo bajo el mecanismo de adjudicación arriba descripto, el valor nominal a adjudicar a una Oferta contiene decimales por debajo de los </w:t>
      </w:r>
      <w:r w:rsidR="00891683" w:rsidRPr="00950255">
        <w:rPr>
          <w:rFonts w:ascii="Times New Roman" w:eastAsia="Times New Roman" w:hAnsi="Times New Roman" w:cs="Times New Roman"/>
          <w:sz w:val="20"/>
          <w:szCs w:val="20"/>
        </w:rPr>
        <w:t xml:space="preserve">0,50 UVA </w:t>
      </w:r>
      <w:r w:rsidRPr="00950255">
        <w:rPr>
          <w:rFonts w:ascii="Times New Roman" w:eastAsia="Times New Roman" w:hAnsi="Times New Roman" w:cs="Times New Roman"/>
          <w:sz w:val="20"/>
          <w:szCs w:val="20"/>
        </w:rPr>
        <w:t>para las Obligaciones Negociables Serie I, o</w:t>
      </w:r>
      <w:r w:rsidR="00891683" w:rsidRPr="00950255">
        <w:rPr>
          <w:rFonts w:ascii="Times New Roman" w:eastAsia="Times New Roman" w:hAnsi="Times New Roman" w:cs="Times New Roman"/>
          <w:sz w:val="20"/>
          <w:szCs w:val="20"/>
        </w:rPr>
        <w:t xml:space="preserve"> $0,50</w:t>
      </w:r>
      <w:r w:rsidRPr="00950255">
        <w:rPr>
          <w:rFonts w:ascii="Times New Roman" w:eastAsia="Times New Roman" w:hAnsi="Times New Roman" w:cs="Times New Roman"/>
          <w:sz w:val="20"/>
          <w:szCs w:val="20"/>
        </w:rPr>
        <w:t xml:space="preserve"> para las Obligaciones Negociables Serie II, los mismos serán suprimidos a efectos de redondear el valor nominal de las Obligaciones Negociables a adjudicar. Contrariamente, si contiene decimales iguales o por encima de </w:t>
      </w:r>
      <w:r w:rsidR="00891683" w:rsidRPr="00950255">
        <w:rPr>
          <w:rFonts w:ascii="Times New Roman" w:eastAsia="Times New Roman" w:hAnsi="Times New Roman" w:cs="Times New Roman"/>
          <w:sz w:val="20"/>
          <w:szCs w:val="20"/>
        </w:rPr>
        <w:t>0,50 UVA</w:t>
      </w:r>
      <w:r w:rsidRPr="00950255">
        <w:rPr>
          <w:rFonts w:ascii="Times New Roman" w:eastAsia="Times New Roman" w:hAnsi="Times New Roman" w:cs="Times New Roman"/>
          <w:sz w:val="20"/>
          <w:szCs w:val="20"/>
        </w:rPr>
        <w:t xml:space="preserve"> para las Obligaciones Negociables Serie I, o de </w:t>
      </w:r>
      <w:r w:rsidR="00891683" w:rsidRPr="00950255">
        <w:rPr>
          <w:rFonts w:ascii="Times New Roman" w:eastAsia="Times New Roman" w:hAnsi="Times New Roman" w:cs="Times New Roman"/>
          <w:sz w:val="20"/>
          <w:szCs w:val="20"/>
        </w:rPr>
        <w:t>$0,50</w:t>
      </w:r>
      <w:r w:rsidRPr="00950255">
        <w:rPr>
          <w:rFonts w:ascii="Times New Roman" w:eastAsia="Times New Roman" w:hAnsi="Times New Roman" w:cs="Times New Roman"/>
          <w:sz w:val="20"/>
          <w:szCs w:val="20"/>
        </w:rPr>
        <w:t xml:space="preserve"> para las Obligaciones Negociables Serie II, los mismos serán ponderados hacia arriba, otorgando </w:t>
      </w:r>
      <w:r w:rsidR="00891683" w:rsidRPr="00950255">
        <w:rPr>
          <w:rFonts w:ascii="Times New Roman" w:eastAsia="Times New Roman" w:hAnsi="Times New Roman" w:cs="Times New Roman"/>
          <w:sz w:val="20"/>
          <w:szCs w:val="20"/>
        </w:rPr>
        <w:t>1 UVA</w:t>
      </w:r>
      <w:r w:rsidRPr="00950255">
        <w:rPr>
          <w:rFonts w:ascii="Times New Roman" w:eastAsia="Times New Roman" w:hAnsi="Times New Roman" w:cs="Times New Roman"/>
          <w:sz w:val="20"/>
          <w:szCs w:val="20"/>
        </w:rPr>
        <w:t xml:space="preserve"> al valor nominal de la Serie I o </w:t>
      </w:r>
      <w:r w:rsidR="00891683" w:rsidRPr="00950255">
        <w:rPr>
          <w:rFonts w:ascii="Times New Roman" w:eastAsia="Times New Roman" w:hAnsi="Times New Roman" w:cs="Times New Roman"/>
          <w:sz w:val="20"/>
          <w:szCs w:val="20"/>
        </w:rPr>
        <w:t>$</w:t>
      </w:r>
      <w:r w:rsidRPr="00950255">
        <w:rPr>
          <w:rFonts w:ascii="Times New Roman" w:eastAsia="Times New Roman" w:hAnsi="Times New Roman" w:cs="Times New Roman"/>
          <w:sz w:val="20"/>
          <w:szCs w:val="20"/>
        </w:rPr>
        <w:t>1 al valor nominal de la Serie II</w:t>
      </w:r>
      <w:r w:rsidR="002A71E5" w:rsidRPr="00950255">
        <w:rPr>
          <w:rFonts w:ascii="Times New Roman" w:eastAsia="Times New Roman" w:hAnsi="Times New Roman" w:cs="Times New Roman"/>
          <w:sz w:val="20"/>
          <w:szCs w:val="20"/>
        </w:rPr>
        <w:t xml:space="preserve">, según corresponda, </w:t>
      </w:r>
      <w:r w:rsidRPr="00950255">
        <w:rPr>
          <w:rFonts w:ascii="Times New Roman" w:eastAsia="Times New Roman" w:hAnsi="Times New Roman" w:cs="Times New Roman"/>
          <w:sz w:val="20"/>
          <w:szCs w:val="20"/>
        </w:rPr>
        <w:t>de las Obligaciones Negociables a adjudicar</w:t>
      </w:r>
      <w:r w:rsidR="00DB257D" w:rsidRPr="00950255">
        <w:rPr>
          <w:rFonts w:ascii="Times New Roman" w:eastAsia="Times New Roman" w:hAnsi="Times New Roman" w:cs="Times New Roman"/>
          <w:sz w:val="20"/>
          <w:szCs w:val="20"/>
        </w:rPr>
        <w:t xml:space="preserve">. </w:t>
      </w:r>
    </w:p>
    <w:p w:rsidR="00F53F0A" w:rsidRDefault="00F53F0A" w:rsidP="007D2D81">
      <w:pPr>
        <w:widowControl w:val="0"/>
        <w:spacing w:line="0" w:lineRule="atLeast"/>
        <w:ind w:left="0" w:firstLine="0"/>
        <w:jc w:val="both"/>
        <w:rPr>
          <w:rFonts w:ascii="Times New Roman" w:eastAsia="Times New Roman" w:hAnsi="Times New Roman" w:cs="Times New Roman"/>
          <w:snapToGrid w:val="0"/>
          <w:sz w:val="20"/>
          <w:szCs w:val="20"/>
        </w:rPr>
      </w:pPr>
    </w:p>
    <w:p w:rsidR="00D47E83" w:rsidRPr="00D844AF" w:rsidRDefault="00D47E83" w:rsidP="00D47E83">
      <w:pPr>
        <w:widowControl w:val="0"/>
        <w:spacing w:line="0" w:lineRule="atLeast"/>
        <w:ind w:left="0" w:firstLine="0"/>
        <w:jc w:val="both"/>
        <w:rPr>
          <w:rFonts w:ascii="Times New Roman" w:hAnsi="Times New Roman"/>
          <w:sz w:val="20"/>
        </w:rPr>
      </w:pPr>
      <w:r>
        <w:rPr>
          <w:rFonts w:ascii="Times New Roman" w:eastAsia="Times New Roman" w:hAnsi="Times New Roman" w:cs="Times New Roman"/>
          <w:b/>
          <w:sz w:val="20"/>
          <w:szCs w:val="20"/>
          <w:lang w:val="es-ES_tradnl"/>
        </w:rPr>
        <w:t>5</w:t>
      </w:r>
      <w:r w:rsidR="00DB257D" w:rsidRPr="00950255">
        <w:rPr>
          <w:rFonts w:ascii="Times New Roman" w:eastAsia="Times New Roman" w:hAnsi="Times New Roman" w:cs="Times New Roman"/>
          <w:b/>
          <w:sz w:val="20"/>
          <w:szCs w:val="20"/>
          <w:lang w:val="es-ES_tradnl"/>
        </w:rPr>
        <w:t>) Suspensión, interrupción y/o prórroga del Período de Difusión Pública y del Período de Subasta Pública:</w:t>
      </w:r>
      <w:r w:rsidR="00DB257D" w:rsidRPr="00950255">
        <w:rPr>
          <w:rFonts w:ascii="Times New Roman" w:eastAsia="Times New Roman" w:hAnsi="Times New Roman" w:cs="Times New Roman"/>
          <w:sz w:val="20"/>
          <w:szCs w:val="20"/>
          <w:lang w:val="es-ES_tradnl"/>
        </w:rPr>
        <w:t xml:space="preserve"> </w:t>
      </w:r>
      <w:r w:rsidRPr="00D844AF">
        <w:rPr>
          <w:rFonts w:ascii="Times New Roman" w:hAnsi="Times New Roman"/>
          <w:sz w:val="20"/>
        </w:rPr>
        <w:t xml:space="preserve">Los Colocadores, conforme las instrucciones que reciban del </w:t>
      </w:r>
      <w:r w:rsidRPr="00D47E83">
        <w:rPr>
          <w:rFonts w:ascii="Times New Roman" w:eastAsia="Times New Roman" w:hAnsi="Times New Roman" w:cs="Times New Roman"/>
          <w:sz w:val="20"/>
          <w:szCs w:val="20"/>
        </w:rPr>
        <w:t>Emisor, podrán, hasta la finalización del Período de Subasta Pública, suspender, interrumpir y/o prorrogar, el Período de Difusión Pública y/o el Período de Subasta Pública,</w:t>
      </w:r>
      <w:r w:rsidRPr="00D844AF">
        <w:rPr>
          <w:rFonts w:ascii="Times New Roman" w:hAnsi="Times New Roman"/>
          <w:sz w:val="20"/>
        </w:rPr>
        <w:t xml:space="preserve"> </w:t>
      </w:r>
      <w:r w:rsidRPr="00D47E83">
        <w:rPr>
          <w:rFonts w:ascii="Times New Roman" w:eastAsia="Times New Roman" w:hAnsi="Times New Roman" w:cs="Times New Roman"/>
          <w:sz w:val="20"/>
          <w:szCs w:val="20"/>
        </w:rPr>
        <w:t xml:space="preserve">en cuyo caso dicha alteración </w:t>
      </w:r>
      <w:r w:rsidRPr="00D844AF">
        <w:rPr>
          <w:rFonts w:ascii="Times New Roman" w:hAnsi="Times New Roman"/>
          <w:sz w:val="20"/>
        </w:rPr>
        <w:t xml:space="preserve">será informada con anterioridad a la finalización del período </w:t>
      </w:r>
      <w:r w:rsidRPr="00D47E83">
        <w:rPr>
          <w:rFonts w:ascii="Times New Roman" w:eastAsia="Times New Roman" w:hAnsi="Times New Roman" w:cs="Times New Roman"/>
          <w:sz w:val="20"/>
          <w:szCs w:val="20"/>
        </w:rPr>
        <w:t>correspondiente</w:t>
      </w:r>
      <w:r w:rsidRPr="00D844AF">
        <w:rPr>
          <w:rFonts w:ascii="Times New Roman" w:hAnsi="Times New Roman"/>
          <w:sz w:val="20"/>
        </w:rPr>
        <w:t xml:space="preserve"> mediante un aviso a ser </w:t>
      </w:r>
      <w:r w:rsidRPr="00D47E83">
        <w:rPr>
          <w:rFonts w:ascii="Times New Roman" w:eastAsia="Times New Roman" w:hAnsi="Times New Roman" w:cs="Times New Roman"/>
          <w:sz w:val="20"/>
          <w:szCs w:val="20"/>
        </w:rPr>
        <w:t xml:space="preserve">(i) presentado para su publicación en el Boletín Diario de la BCBA, en virtud del ejercicio de la facultad delegada por BYMA a la BCBA conforme lo dispuesto por la Resolución N° 18.629 de la CNV; (ii) publicado en la Página Web de la CNV; (iii) publicado en la Página Web del MAE y (iv) publicado en la </w:t>
      </w:r>
      <w:r w:rsidRPr="00D844AF">
        <w:rPr>
          <w:rFonts w:ascii="Times New Roman" w:hAnsi="Times New Roman"/>
          <w:sz w:val="20"/>
        </w:rPr>
        <w:t>Página Web Institucional</w:t>
      </w:r>
      <w:r w:rsidRPr="00D47E83">
        <w:rPr>
          <w:rFonts w:ascii="Times New Roman" w:eastAsia="Times New Roman" w:hAnsi="Times New Roman" w:cs="Times New Roman"/>
          <w:sz w:val="20"/>
          <w:szCs w:val="20"/>
        </w:rPr>
        <w:t>. En dicho caso, los inversores que hubieran presentado Ofertas podrán a su solo criterio y sin penalidad alguna, retirar las mismas en cualquier momento anterior a la finalización del Período de Subasta Pública</w:t>
      </w:r>
      <w:r w:rsidRPr="00D844AF">
        <w:rPr>
          <w:rFonts w:ascii="Times New Roman" w:hAnsi="Times New Roman"/>
          <w:sz w:val="20"/>
        </w:rPr>
        <w:t>.</w:t>
      </w:r>
    </w:p>
    <w:p w:rsidR="00D47E83" w:rsidRPr="00D844AF" w:rsidRDefault="00D47E83" w:rsidP="00D47E83">
      <w:pPr>
        <w:widowControl w:val="0"/>
        <w:spacing w:line="0" w:lineRule="atLeast"/>
        <w:ind w:left="0" w:firstLine="0"/>
        <w:jc w:val="both"/>
        <w:rPr>
          <w:rFonts w:ascii="Times New Roman" w:hAnsi="Times New Roman"/>
          <w:sz w:val="20"/>
        </w:rPr>
      </w:pPr>
    </w:p>
    <w:p w:rsidR="00D47E83" w:rsidRPr="00EA1915" w:rsidRDefault="00D47E83" w:rsidP="00D47E83">
      <w:pPr>
        <w:widowControl w:val="0"/>
        <w:spacing w:line="0" w:lineRule="atLeast"/>
        <w:ind w:left="0" w:firstLine="0"/>
        <w:jc w:val="both"/>
        <w:rPr>
          <w:rFonts w:ascii="Times New Roman" w:eastAsia="Times New Roman" w:hAnsi="Times New Roman" w:cs="Times New Roman"/>
          <w:sz w:val="20"/>
          <w:szCs w:val="20"/>
        </w:rPr>
      </w:pPr>
      <w:r w:rsidRPr="00D47E83">
        <w:rPr>
          <w:rFonts w:ascii="Times New Roman" w:eastAsia="Times New Roman" w:hAnsi="Times New Roman" w:cs="Times New Roman"/>
          <w:sz w:val="20"/>
          <w:szCs w:val="20"/>
        </w:rPr>
        <w:t xml:space="preserve">La terminación, suspensión y/o prórroga del Período de Difusión Pública y/o del Período de Subasta Pública no generará responsabilidad alguna ni al Emisor ni a los Colocadores, ni otorgará a los inversores que hayan presentado Órdenes, ni a los Agentes del MAE y/o adherentes de este que hayan presentado Ofertas, derecho a compensación y/o indemnización alguna. en caso de terminación del </w:t>
      </w:r>
      <w:r>
        <w:rPr>
          <w:rFonts w:ascii="Times New Roman" w:eastAsia="Times New Roman" w:hAnsi="Times New Roman" w:cs="Times New Roman"/>
          <w:sz w:val="20"/>
          <w:szCs w:val="20"/>
        </w:rPr>
        <w:t xml:space="preserve">Período </w:t>
      </w:r>
      <w:r w:rsidRPr="00D47E83">
        <w:rPr>
          <w:rFonts w:ascii="Times New Roman" w:eastAsia="Times New Roman" w:hAnsi="Times New Roman" w:cs="Times New Roman"/>
          <w:sz w:val="20"/>
          <w:szCs w:val="20"/>
        </w:rPr>
        <w:t>Difusión pública y/o del Período de Subasta Pública, todas las Ofertas que en su caso se hayan presentado hasta ese momento quedarán automáticamente sin efecto.</w:t>
      </w:r>
    </w:p>
    <w:p w:rsidR="00F53F0A" w:rsidRDefault="00F53F0A" w:rsidP="00D47E83">
      <w:pPr>
        <w:widowControl w:val="0"/>
        <w:spacing w:line="0" w:lineRule="atLeast"/>
        <w:ind w:left="0" w:firstLine="0"/>
        <w:jc w:val="both"/>
        <w:rPr>
          <w:rFonts w:ascii="Times New Roman" w:eastAsia="Times New Roman" w:hAnsi="Times New Roman" w:cs="Times New Roman"/>
          <w:sz w:val="20"/>
          <w:szCs w:val="20"/>
        </w:rPr>
      </w:pPr>
    </w:p>
    <w:p w:rsidR="00F53F0A" w:rsidRDefault="00D47E83" w:rsidP="007D2D81">
      <w:pPr>
        <w:widowControl w:val="0"/>
        <w:spacing w:line="0" w:lineRule="atLeast"/>
        <w:ind w:left="0" w:firstLine="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lang w:val="es-ES_tradnl"/>
        </w:rPr>
        <w:t>6</w:t>
      </w:r>
      <w:r w:rsidR="00DB257D" w:rsidRPr="00950255">
        <w:rPr>
          <w:rFonts w:ascii="Times New Roman" w:eastAsia="Times New Roman" w:hAnsi="Times New Roman" w:cs="Times New Roman"/>
          <w:b/>
          <w:sz w:val="20"/>
          <w:szCs w:val="20"/>
          <w:lang w:val="es-ES_tradnl"/>
        </w:rPr>
        <w:t>) Aviso de Resultados:</w:t>
      </w:r>
      <w:r w:rsidR="00DB257D" w:rsidRPr="00950255">
        <w:rPr>
          <w:rFonts w:ascii="Times New Roman" w:eastAsia="Times New Roman" w:hAnsi="Times New Roman" w:cs="Times New Roman"/>
          <w:sz w:val="20"/>
          <w:szCs w:val="20"/>
          <w:lang w:val="es-ES_tradnl"/>
        </w:rPr>
        <w:t xml:space="preserve"> </w:t>
      </w:r>
      <w:r w:rsidR="00DB257D" w:rsidRPr="00950255">
        <w:rPr>
          <w:rFonts w:ascii="Times New Roman" w:eastAsia="Times New Roman" w:hAnsi="Times New Roman" w:cs="Times New Roman"/>
          <w:sz w:val="20"/>
          <w:szCs w:val="20"/>
        </w:rPr>
        <w:t>Tras la finalización del</w:t>
      </w:r>
      <w:r w:rsidR="00DB257D" w:rsidRPr="00950255">
        <w:rPr>
          <w:rFonts w:ascii="Times New Roman" w:eastAsia="Times New Roman" w:hAnsi="Times New Roman" w:cs="Times New Roman"/>
          <w:sz w:val="20"/>
          <w:szCs w:val="20"/>
          <w:lang w:val="es-ES_tradnl"/>
        </w:rPr>
        <w:t xml:space="preserve"> Período de Subasta Pública, se informará a los Inversores, respecto de cada </w:t>
      </w:r>
      <w:r w:rsidR="002A71E5" w:rsidRPr="00950255">
        <w:rPr>
          <w:rFonts w:ascii="Times New Roman" w:eastAsia="Times New Roman" w:hAnsi="Times New Roman" w:cs="Times New Roman"/>
          <w:sz w:val="20"/>
          <w:szCs w:val="20"/>
          <w:lang w:val="es-ES_tradnl"/>
        </w:rPr>
        <w:t>S</w:t>
      </w:r>
      <w:r w:rsidR="00DB257D" w:rsidRPr="00950255">
        <w:rPr>
          <w:rFonts w:ascii="Times New Roman" w:eastAsia="Times New Roman" w:hAnsi="Times New Roman" w:cs="Times New Roman"/>
          <w:sz w:val="20"/>
          <w:szCs w:val="20"/>
          <w:lang w:val="es-ES_tradnl"/>
        </w:rPr>
        <w:t xml:space="preserve">erie, </w:t>
      </w:r>
      <w:r w:rsidR="00AE14A2" w:rsidRPr="00950255">
        <w:rPr>
          <w:rFonts w:ascii="Times New Roman" w:eastAsia="Times New Roman" w:hAnsi="Times New Roman" w:cs="Times New Roman"/>
          <w:sz w:val="20"/>
          <w:szCs w:val="20"/>
        </w:rPr>
        <w:t xml:space="preserve">la Tasa Aplicable </w:t>
      </w:r>
      <w:r w:rsidR="00DB257D" w:rsidRPr="00950255">
        <w:rPr>
          <w:rFonts w:ascii="Times New Roman" w:eastAsia="Times New Roman" w:hAnsi="Times New Roman" w:cs="Times New Roman"/>
          <w:sz w:val="20"/>
          <w:szCs w:val="20"/>
        </w:rPr>
        <w:t xml:space="preserve">de las Obligaciones Negociables Serie I, </w:t>
      </w:r>
      <w:r w:rsidR="008B7B7A" w:rsidRPr="00950255">
        <w:rPr>
          <w:rFonts w:ascii="Times New Roman" w:eastAsia="Times New Roman" w:hAnsi="Times New Roman" w:cs="Times New Roman"/>
          <w:sz w:val="20"/>
          <w:szCs w:val="20"/>
        </w:rPr>
        <w:t xml:space="preserve">y </w:t>
      </w:r>
      <w:r w:rsidR="00AE14A2" w:rsidRPr="00950255">
        <w:rPr>
          <w:rFonts w:ascii="Times New Roman" w:eastAsia="Times New Roman" w:hAnsi="Times New Roman" w:cs="Times New Roman"/>
          <w:sz w:val="20"/>
          <w:szCs w:val="20"/>
        </w:rPr>
        <w:t>el Margen de Corte</w:t>
      </w:r>
      <w:r w:rsidR="00AE14A2" w:rsidRPr="00950255" w:rsidDel="00AE14A2">
        <w:rPr>
          <w:rFonts w:ascii="Times New Roman" w:eastAsia="Times New Roman" w:hAnsi="Times New Roman" w:cs="Times New Roman"/>
          <w:sz w:val="20"/>
          <w:szCs w:val="20"/>
        </w:rPr>
        <w:t xml:space="preserve"> </w:t>
      </w:r>
      <w:r w:rsidR="008B7B7A" w:rsidRPr="00950255">
        <w:rPr>
          <w:rFonts w:ascii="Times New Roman" w:eastAsia="Times New Roman" w:hAnsi="Times New Roman" w:cs="Times New Roman"/>
          <w:sz w:val="20"/>
          <w:szCs w:val="20"/>
        </w:rPr>
        <w:t>de las Obligaciones Negociables Serie II</w:t>
      </w:r>
      <w:r w:rsidR="00DB257D" w:rsidRPr="00950255">
        <w:rPr>
          <w:rFonts w:ascii="Times New Roman" w:eastAsia="Times New Roman" w:hAnsi="Times New Roman" w:cs="Times New Roman"/>
          <w:sz w:val="20"/>
          <w:szCs w:val="20"/>
          <w:lang w:val="es-ES_tradnl"/>
        </w:rPr>
        <w:t xml:space="preserve">, </w:t>
      </w:r>
      <w:r w:rsidR="00DB257D" w:rsidRPr="00950255">
        <w:rPr>
          <w:rFonts w:ascii="Times New Roman" w:eastAsia="Times New Roman" w:hAnsi="Times New Roman" w:cs="Times New Roman"/>
          <w:sz w:val="20"/>
          <w:szCs w:val="20"/>
        </w:rPr>
        <w:t>el</w:t>
      </w:r>
      <w:r w:rsidR="00DB257D" w:rsidRPr="00950255">
        <w:rPr>
          <w:rFonts w:ascii="Times New Roman" w:eastAsia="Times New Roman" w:hAnsi="Times New Roman" w:cs="Times New Roman"/>
          <w:color w:val="000000"/>
          <w:sz w:val="20"/>
          <w:szCs w:val="20"/>
        </w:rPr>
        <w:t xml:space="preserve"> valor nominal a emitir, la Fecha de Vencimiento, las Fechas de Amortización, las Fechas de </w:t>
      </w:r>
      <w:r w:rsidR="00DB257D" w:rsidRPr="00950255">
        <w:rPr>
          <w:rFonts w:ascii="Times New Roman" w:eastAsia="Times New Roman" w:hAnsi="Times New Roman" w:cs="Times New Roman"/>
          <w:color w:val="000000"/>
          <w:sz w:val="20"/>
          <w:szCs w:val="20"/>
        </w:rPr>
        <w:lastRenderedPageBreak/>
        <w:t xml:space="preserve">Pago de Intereses y la Fecha de Emisión mediante un aviso a ser publicado (i) en el Boletín Diario de la BCBA, en virtud del ejercicio de la facultad delegada por BYMA a la BCBA conforme lo dispuesto por la Resolución N° 18.629 de la CNV; (ii) en la Página Web de la CNV; (iii) en la Página Web del MAE y en la </w:t>
      </w:r>
      <w:r w:rsidR="00DB257D" w:rsidRPr="00950255">
        <w:rPr>
          <w:rFonts w:ascii="Times New Roman" w:eastAsia="Times New Roman" w:hAnsi="Times New Roman" w:cs="Times New Roman"/>
          <w:color w:val="000000"/>
          <w:sz w:val="20"/>
          <w:szCs w:val="20"/>
          <w:lang w:val="es-MX"/>
        </w:rPr>
        <w:t>Página Web Institucional</w:t>
      </w:r>
      <w:r w:rsidR="00DB257D" w:rsidRPr="00950255" w:rsidDel="008B06B1">
        <w:rPr>
          <w:rFonts w:ascii="Times New Roman" w:eastAsia="Times New Roman" w:hAnsi="Times New Roman" w:cs="Times New Roman"/>
          <w:color w:val="000000"/>
          <w:sz w:val="20"/>
          <w:szCs w:val="20"/>
        </w:rPr>
        <w:t xml:space="preserve"> </w:t>
      </w:r>
      <w:r w:rsidR="00DB257D" w:rsidRPr="00950255">
        <w:rPr>
          <w:rFonts w:ascii="Times New Roman" w:eastAsia="Times New Roman" w:hAnsi="Times New Roman" w:cs="Times New Roman"/>
          <w:color w:val="000000"/>
          <w:sz w:val="20"/>
          <w:szCs w:val="20"/>
        </w:rPr>
        <w:t>(el “</w:t>
      </w:r>
      <w:r w:rsidR="00DB257D" w:rsidRPr="00950255">
        <w:rPr>
          <w:rFonts w:ascii="Times New Roman" w:eastAsia="Times New Roman" w:hAnsi="Times New Roman" w:cs="Times New Roman"/>
          <w:color w:val="000000"/>
          <w:sz w:val="20"/>
          <w:szCs w:val="20"/>
          <w:u w:val="single"/>
        </w:rPr>
        <w:t>Aviso de Resultados</w:t>
      </w:r>
      <w:r w:rsidR="00DB257D" w:rsidRPr="00950255">
        <w:rPr>
          <w:rFonts w:ascii="Times New Roman" w:eastAsia="Times New Roman" w:hAnsi="Times New Roman" w:cs="Times New Roman"/>
          <w:color w:val="000000"/>
          <w:sz w:val="20"/>
          <w:szCs w:val="20"/>
        </w:rPr>
        <w:t>”).</w:t>
      </w:r>
    </w:p>
    <w:p w:rsidR="00F53F0A" w:rsidRDefault="00F53F0A" w:rsidP="007D2D81">
      <w:pPr>
        <w:widowControl w:val="0"/>
        <w:spacing w:line="0" w:lineRule="atLeast"/>
        <w:ind w:left="0" w:firstLine="0"/>
        <w:jc w:val="both"/>
        <w:rPr>
          <w:rFonts w:ascii="Times New Roman" w:eastAsia="Times New Roman" w:hAnsi="Times New Roman" w:cs="Times New Roman"/>
          <w:sz w:val="20"/>
          <w:szCs w:val="20"/>
        </w:rPr>
      </w:pPr>
    </w:p>
    <w:p w:rsidR="00F53F0A" w:rsidRDefault="00D47E83" w:rsidP="007D2D81">
      <w:pPr>
        <w:widowControl w:val="0"/>
        <w:spacing w:line="0" w:lineRule="atLeast"/>
        <w:ind w:left="0" w:firstLine="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lang w:val="es-ES_tradnl"/>
        </w:rPr>
        <w:t>7</w:t>
      </w:r>
      <w:r w:rsidR="00DB257D" w:rsidRPr="00950255">
        <w:rPr>
          <w:rFonts w:ascii="Times New Roman" w:eastAsia="Times New Roman" w:hAnsi="Times New Roman" w:cs="Times New Roman"/>
          <w:b/>
          <w:sz w:val="20"/>
          <w:szCs w:val="20"/>
          <w:lang w:val="es-ES_tradnl"/>
        </w:rPr>
        <w:t>) Modalidad de Licitación</w:t>
      </w:r>
      <w:r w:rsidR="00DB257D" w:rsidRPr="00950255">
        <w:rPr>
          <w:rFonts w:ascii="Times New Roman" w:eastAsia="Times New Roman" w:hAnsi="Times New Roman" w:cs="Times New Roman"/>
          <w:sz w:val="20"/>
          <w:szCs w:val="20"/>
          <w:lang w:val="es-ES_tradnl"/>
        </w:rPr>
        <w:t xml:space="preserve">: </w:t>
      </w:r>
      <w:r w:rsidR="00DB257D" w:rsidRPr="00950255">
        <w:rPr>
          <w:rFonts w:ascii="Times New Roman" w:eastAsia="Times New Roman" w:hAnsi="Times New Roman" w:cs="Times New Roman"/>
          <w:sz w:val="20"/>
          <w:szCs w:val="20"/>
        </w:rPr>
        <w:t>La colocación primaria de las Obligaciones Negociables se realizará mediante subasta pública abierta con posibilidad de participación de todos los interesados, a través del módulo de licitaciones del sistema informático SIOPEL del MAE (el “</w:t>
      </w:r>
      <w:r w:rsidR="00DB257D" w:rsidRPr="00950255">
        <w:rPr>
          <w:rFonts w:ascii="Times New Roman" w:eastAsia="Times New Roman" w:hAnsi="Times New Roman" w:cs="Times New Roman"/>
          <w:sz w:val="20"/>
          <w:szCs w:val="20"/>
          <w:u w:val="single"/>
        </w:rPr>
        <w:t>Sistema SIOPEL</w:t>
      </w:r>
      <w:r w:rsidR="00DB257D" w:rsidRPr="00950255">
        <w:rPr>
          <w:rFonts w:ascii="Times New Roman" w:eastAsia="Times New Roman" w:hAnsi="Times New Roman" w:cs="Times New Roman"/>
          <w:sz w:val="20"/>
          <w:szCs w:val="20"/>
        </w:rPr>
        <w:t>”), un sistema que garantiza la transparencia y la igualdad de trato entre los Inversores, de conformidad con las Normas de la CNV.</w:t>
      </w:r>
      <w:r w:rsidR="00DB257D" w:rsidRPr="00950255">
        <w:rPr>
          <w:rFonts w:ascii="Times New Roman" w:eastAsia="Times New Roman" w:hAnsi="Times New Roman" w:cs="Times New Roman"/>
          <w:sz w:val="20"/>
          <w:szCs w:val="20"/>
          <w:lang w:val="es-ES"/>
        </w:rPr>
        <w:t xml:space="preserve"> </w:t>
      </w:r>
      <w:r w:rsidR="00DB257D" w:rsidRPr="00950255">
        <w:rPr>
          <w:rFonts w:ascii="Times New Roman" w:eastAsia="Times New Roman" w:hAnsi="Times New Roman" w:cs="Times New Roman"/>
          <w:sz w:val="20"/>
          <w:szCs w:val="20"/>
          <w:lang w:val="es-MX"/>
        </w:rPr>
        <w:t xml:space="preserve">La licitación pública que se realizará durante el Período de Subasta será de modalidad </w:t>
      </w:r>
      <w:r w:rsidR="00DB257D" w:rsidRPr="00950255">
        <w:rPr>
          <w:rFonts w:ascii="Times New Roman" w:eastAsia="Calibri" w:hAnsi="Times New Roman" w:cs="Times New Roman"/>
          <w:color w:val="000000"/>
          <w:sz w:val="20"/>
          <w:szCs w:val="20"/>
          <w:lang w:val="es-ES" w:eastAsia="es-ES"/>
        </w:rPr>
        <w:t xml:space="preserve">abierta </w:t>
      </w:r>
      <w:r w:rsidR="00DB257D" w:rsidRPr="00950255">
        <w:rPr>
          <w:rFonts w:ascii="Times New Roman" w:eastAsia="Times New Roman" w:hAnsi="Times New Roman" w:cs="Times New Roman"/>
          <w:sz w:val="20"/>
          <w:szCs w:val="20"/>
          <w:lang w:val="es-MX"/>
        </w:rPr>
        <w:t xml:space="preserve">conforme lo establece el artículo 8, inciso d), Sección II, Capítulo IV del Título VI de las Normas de la CNV, lo que implica que la totalidad de las ofertas ingresadas en el sistema “SIOPEL” del MAE serán accesibles para los participantes de la licitación pública a medida que las mismas se vayan ingresando en el mismo. Para más información al respecto, </w:t>
      </w:r>
      <w:r w:rsidR="008B7B7A" w:rsidRPr="00950255">
        <w:rPr>
          <w:rFonts w:ascii="Times New Roman" w:eastAsia="Times New Roman" w:hAnsi="Times New Roman" w:cs="Times New Roman"/>
          <w:sz w:val="20"/>
          <w:szCs w:val="20"/>
          <w:lang w:val="es-MX"/>
        </w:rPr>
        <w:t xml:space="preserve">véase </w:t>
      </w:r>
      <w:r w:rsidR="008B7B7A" w:rsidRPr="00950255">
        <w:rPr>
          <w:rFonts w:ascii="Times New Roman" w:eastAsia="Times New Roman" w:hAnsi="Times New Roman" w:cs="Times New Roman"/>
          <w:i/>
          <w:sz w:val="20"/>
          <w:szCs w:val="20"/>
        </w:rPr>
        <w:t>“Plan de Distribución”</w:t>
      </w:r>
      <w:r w:rsidR="000128E8" w:rsidRPr="00950255">
        <w:rPr>
          <w:rFonts w:ascii="Times New Roman" w:eastAsia="Times New Roman" w:hAnsi="Times New Roman" w:cs="Times New Roman"/>
          <w:sz w:val="20"/>
          <w:szCs w:val="20"/>
        </w:rPr>
        <w:t xml:space="preserve"> en el Suplemento de Prospecto.</w:t>
      </w:r>
      <w:r w:rsidR="00DB257D" w:rsidRPr="00950255">
        <w:rPr>
          <w:rFonts w:ascii="Times New Roman" w:eastAsia="Times New Roman" w:hAnsi="Times New Roman" w:cs="Times New Roman"/>
          <w:sz w:val="20"/>
          <w:szCs w:val="20"/>
        </w:rPr>
        <w:t xml:space="preserve"> </w:t>
      </w:r>
    </w:p>
    <w:p w:rsidR="00F53F0A" w:rsidRDefault="00F53F0A" w:rsidP="007D2D81">
      <w:pPr>
        <w:widowControl w:val="0"/>
        <w:spacing w:line="0" w:lineRule="atLeast"/>
        <w:ind w:left="0" w:firstLine="0"/>
        <w:jc w:val="both"/>
        <w:rPr>
          <w:rFonts w:ascii="Times New Roman" w:eastAsia="Times New Roman" w:hAnsi="Times New Roman" w:cs="Times New Roman"/>
          <w:i/>
          <w:sz w:val="20"/>
          <w:szCs w:val="20"/>
        </w:rPr>
      </w:pPr>
    </w:p>
    <w:p w:rsidR="00F53F0A" w:rsidRDefault="00D47E83" w:rsidP="007D2D81">
      <w:pPr>
        <w:widowControl w:val="0"/>
        <w:spacing w:line="0" w:lineRule="atLeast"/>
        <w:ind w:left="0" w:firstLine="0"/>
        <w:jc w:val="both"/>
        <w:rPr>
          <w:rFonts w:ascii="Times New Roman" w:eastAsia="Times New Roman" w:hAnsi="Times New Roman" w:cs="Times New Roman"/>
          <w:sz w:val="20"/>
          <w:szCs w:val="20"/>
          <w:lang w:val="es-ES_tradnl"/>
        </w:rPr>
      </w:pPr>
      <w:r>
        <w:rPr>
          <w:rFonts w:ascii="Times New Roman" w:eastAsia="Times New Roman" w:hAnsi="Times New Roman" w:cs="Times New Roman"/>
          <w:b/>
          <w:sz w:val="20"/>
          <w:szCs w:val="20"/>
          <w:lang w:val="es-ES_tradnl"/>
        </w:rPr>
        <w:t>8</w:t>
      </w:r>
      <w:r w:rsidR="00DB257D" w:rsidRPr="00950255">
        <w:rPr>
          <w:rFonts w:ascii="Times New Roman" w:eastAsia="Times New Roman" w:hAnsi="Times New Roman" w:cs="Times New Roman"/>
          <w:b/>
          <w:sz w:val="20"/>
          <w:szCs w:val="20"/>
          <w:lang w:val="es-ES_tradnl"/>
        </w:rPr>
        <w:t xml:space="preserve">) Fecha de Emisión </w:t>
      </w:r>
      <w:r w:rsidR="008B7B7A" w:rsidRPr="00950255">
        <w:rPr>
          <w:rFonts w:ascii="Times New Roman" w:eastAsia="Times New Roman" w:hAnsi="Times New Roman" w:cs="Times New Roman"/>
          <w:b/>
          <w:sz w:val="20"/>
          <w:szCs w:val="20"/>
          <w:lang w:val="es-ES_tradnl"/>
        </w:rPr>
        <w:t>y Liquidación</w:t>
      </w:r>
      <w:r w:rsidR="00DB257D" w:rsidRPr="00950255">
        <w:rPr>
          <w:rFonts w:ascii="Times New Roman" w:eastAsia="Times New Roman" w:hAnsi="Times New Roman" w:cs="Times New Roman"/>
          <w:b/>
          <w:sz w:val="20"/>
          <w:szCs w:val="20"/>
          <w:lang w:val="es-ES_tradnl"/>
        </w:rPr>
        <w:t>:</w:t>
      </w:r>
      <w:r w:rsidR="00DB257D" w:rsidRPr="00950255">
        <w:rPr>
          <w:rFonts w:ascii="Times New Roman" w:eastAsia="Times New Roman" w:hAnsi="Times New Roman" w:cs="Times New Roman"/>
          <w:sz w:val="20"/>
          <w:szCs w:val="20"/>
          <w:lang w:val="es-ES_tradnl"/>
        </w:rPr>
        <w:t xml:space="preserve"> Será el </w:t>
      </w:r>
      <w:r w:rsidR="007341F7">
        <w:rPr>
          <w:rFonts w:ascii="Times New Roman" w:eastAsia="Times New Roman" w:hAnsi="Times New Roman" w:cs="Times New Roman"/>
          <w:sz w:val="20"/>
          <w:szCs w:val="20"/>
        </w:rPr>
        <w:t>13</w:t>
      </w:r>
      <w:r w:rsidR="007341F7" w:rsidRPr="00950255" w:rsidDel="00496A36">
        <w:rPr>
          <w:rFonts w:ascii="Times New Roman" w:eastAsia="Times New Roman" w:hAnsi="Times New Roman" w:cs="Times New Roman"/>
          <w:bCs/>
          <w:sz w:val="20"/>
          <w:szCs w:val="20"/>
        </w:rPr>
        <w:t xml:space="preserve"> </w:t>
      </w:r>
      <w:r w:rsidR="00DB257D" w:rsidRPr="00950255">
        <w:rPr>
          <w:rFonts w:ascii="Times New Roman" w:eastAsia="Times New Roman" w:hAnsi="Times New Roman" w:cs="Times New Roman"/>
          <w:sz w:val="20"/>
          <w:szCs w:val="20"/>
          <w:lang w:val="es-ES_tradnl"/>
        </w:rPr>
        <w:t xml:space="preserve">de </w:t>
      </w:r>
      <w:r w:rsidR="00AE14A2" w:rsidRPr="00950255">
        <w:rPr>
          <w:rFonts w:ascii="Times New Roman" w:eastAsia="Times New Roman" w:hAnsi="Times New Roman" w:cs="Times New Roman"/>
          <w:sz w:val="20"/>
          <w:szCs w:val="20"/>
          <w:lang w:val="es-ES_tradnl"/>
        </w:rPr>
        <w:t xml:space="preserve">noviembre </w:t>
      </w:r>
      <w:r w:rsidR="00DB257D" w:rsidRPr="00950255">
        <w:rPr>
          <w:rFonts w:ascii="Times New Roman" w:eastAsia="Times New Roman" w:hAnsi="Times New Roman" w:cs="Times New Roman"/>
          <w:sz w:val="20"/>
          <w:szCs w:val="20"/>
          <w:lang w:val="es-ES_tradnl"/>
        </w:rPr>
        <w:t>de 20</w:t>
      </w:r>
      <w:r w:rsidR="00496A36" w:rsidRPr="00950255">
        <w:rPr>
          <w:rFonts w:ascii="Times New Roman" w:eastAsia="Times New Roman" w:hAnsi="Times New Roman" w:cs="Times New Roman"/>
          <w:sz w:val="20"/>
          <w:szCs w:val="20"/>
          <w:lang w:val="es-ES_tradnl"/>
        </w:rPr>
        <w:t>20</w:t>
      </w:r>
      <w:r w:rsidR="00DB257D" w:rsidRPr="00950255">
        <w:rPr>
          <w:rFonts w:ascii="Times New Roman" w:eastAsia="Times New Roman" w:hAnsi="Times New Roman" w:cs="Times New Roman"/>
          <w:sz w:val="20"/>
          <w:szCs w:val="20"/>
          <w:lang w:val="es-ES_tradnl"/>
        </w:rPr>
        <w:t>.</w:t>
      </w:r>
    </w:p>
    <w:p w:rsidR="00F53F0A" w:rsidRDefault="00F53F0A" w:rsidP="007D2D81">
      <w:pPr>
        <w:widowControl w:val="0"/>
        <w:spacing w:line="0" w:lineRule="atLeast"/>
        <w:ind w:left="0" w:firstLine="0"/>
        <w:jc w:val="both"/>
        <w:rPr>
          <w:rFonts w:ascii="Times New Roman" w:eastAsia="Times New Roman" w:hAnsi="Times New Roman" w:cs="Times New Roman"/>
          <w:sz w:val="20"/>
          <w:szCs w:val="20"/>
          <w:lang w:val="es-ES_tradnl"/>
        </w:rPr>
      </w:pPr>
    </w:p>
    <w:p w:rsidR="00F53F0A" w:rsidRDefault="00D47E83" w:rsidP="007D2D81">
      <w:pPr>
        <w:widowControl w:val="0"/>
        <w:spacing w:line="0" w:lineRule="atLeast"/>
        <w:ind w:left="0" w:firstLine="0"/>
        <w:contextualSpacing/>
        <w:jc w:val="both"/>
        <w:rPr>
          <w:rFonts w:ascii="Times New Roman" w:eastAsia="Times New Roman" w:hAnsi="Times New Roman" w:cs="Times New Roman"/>
          <w:sz w:val="20"/>
          <w:szCs w:val="20"/>
        </w:rPr>
      </w:pPr>
      <w:r>
        <w:rPr>
          <w:rFonts w:ascii="Times New Roman" w:eastAsia="Times New Roman" w:hAnsi="Times New Roman" w:cs="Times New Roman"/>
          <w:b/>
          <w:bCs/>
          <w:sz w:val="20"/>
          <w:szCs w:val="20"/>
          <w:lang w:val="es-ES_tradnl"/>
        </w:rPr>
        <w:t>9</w:t>
      </w:r>
      <w:r w:rsidR="00DB257D" w:rsidRPr="00950255">
        <w:rPr>
          <w:rFonts w:ascii="Times New Roman" w:eastAsia="Times New Roman" w:hAnsi="Times New Roman" w:cs="Times New Roman"/>
          <w:b/>
          <w:bCs/>
          <w:sz w:val="20"/>
          <w:szCs w:val="20"/>
          <w:lang w:val="es-ES_tradnl"/>
        </w:rPr>
        <w:t>) Monto de la Emisión</w:t>
      </w:r>
      <w:r w:rsidR="00DB257D" w:rsidRPr="00950255">
        <w:rPr>
          <w:rFonts w:ascii="Times New Roman" w:eastAsia="Times New Roman" w:hAnsi="Times New Roman" w:cs="Times New Roman"/>
          <w:b/>
          <w:sz w:val="20"/>
          <w:szCs w:val="20"/>
          <w:lang w:val="es-ES_tradnl"/>
        </w:rPr>
        <w:t>:</w:t>
      </w:r>
      <w:r w:rsidR="00DB257D" w:rsidRPr="00950255">
        <w:rPr>
          <w:rFonts w:ascii="Times New Roman" w:eastAsia="Times New Roman" w:hAnsi="Times New Roman" w:cs="Times New Roman"/>
          <w:sz w:val="20"/>
          <w:szCs w:val="20"/>
          <w:lang w:val="es-ES_tradnl"/>
        </w:rPr>
        <w:t xml:space="preserve"> </w:t>
      </w:r>
      <w:r w:rsidR="00DB257D" w:rsidRPr="00950255">
        <w:rPr>
          <w:rFonts w:ascii="Times New Roman" w:eastAsia="Times New Roman" w:hAnsi="Times New Roman" w:cs="Times New Roman"/>
          <w:color w:val="000000"/>
          <w:sz w:val="20"/>
          <w:szCs w:val="20"/>
        </w:rPr>
        <w:t xml:space="preserve">El valor nominal global total de las Obligaciones Negociables Clase </w:t>
      </w:r>
      <w:r w:rsidR="00F932C4" w:rsidRPr="00950255">
        <w:rPr>
          <w:rFonts w:ascii="Times New Roman" w:eastAsia="Times New Roman" w:hAnsi="Times New Roman" w:cs="Times New Roman"/>
          <w:color w:val="000000"/>
          <w:sz w:val="20"/>
          <w:szCs w:val="20"/>
        </w:rPr>
        <w:t>XVIII</w:t>
      </w:r>
      <w:r w:rsidR="00DB257D" w:rsidRPr="00950255">
        <w:rPr>
          <w:rFonts w:ascii="Times New Roman" w:eastAsia="Times New Roman" w:hAnsi="Times New Roman" w:cs="Times New Roman"/>
          <w:color w:val="000000"/>
          <w:sz w:val="20"/>
          <w:szCs w:val="20"/>
        </w:rPr>
        <w:t xml:space="preserve"> podrá alcanzar el monto máximo </w:t>
      </w:r>
      <w:r w:rsidR="00DB257D" w:rsidRPr="00950255">
        <w:rPr>
          <w:rFonts w:ascii="Times New Roman" w:eastAsia="Times New Roman" w:hAnsi="Times New Roman" w:cs="Times New Roman"/>
          <w:sz w:val="20"/>
          <w:szCs w:val="20"/>
        </w:rPr>
        <w:t xml:space="preserve">de hasta </w:t>
      </w:r>
      <w:r w:rsidR="00DB257D" w:rsidRPr="00950255">
        <w:rPr>
          <w:rFonts w:ascii="Times New Roman" w:eastAsia="Times New Roman" w:hAnsi="Times New Roman" w:cs="Times New Roman"/>
          <w:sz w:val="20"/>
          <w:szCs w:val="20"/>
          <w:lang w:val="es-ES"/>
        </w:rPr>
        <w:t>$</w:t>
      </w:r>
      <w:r w:rsidR="00FD7B9E" w:rsidRPr="00950255">
        <w:rPr>
          <w:rFonts w:ascii="Times New Roman" w:eastAsia="Times New Roman" w:hAnsi="Times New Roman" w:cs="Times New Roman"/>
          <w:bCs/>
          <w:smallCaps/>
          <w:sz w:val="20"/>
          <w:szCs w:val="20"/>
        </w:rPr>
        <w:t>1.000</w:t>
      </w:r>
      <w:r w:rsidR="00DB257D" w:rsidRPr="00950255">
        <w:rPr>
          <w:rFonts w:ascii="Times New Roman" w:eastAsia="Times New Roman" w:hAnsi="Times New Roman" w:cs="Times New Roman"/>
          <w:bCs/>
          <w:smallCaps/>
          <w:sz w:val="20"/>
          <w:szCs w:val="20"/>
        </w:rPr>
        <w:t>.000.000</w:t>
      </w:r>
      <w:r w:rsidR="000C193B" w:rsidRPr="00950255">
        <w:rPr>
          <w:rFonts w:ascii="Times New Roman" w:eastAsia="Times New Roman" w:hAnsi="Times New Roman" w:cs="Times New Roman"/>
          <w:bCs/>
          <w:smallCaps/>
          <w:sz w:val="20"/>
          <w:szCs w:val="20"/>
        </w:rPr>
        <w:t xml:space="preserve"> </w:t>
      </w:r>
      <w:r w:rsidR="000C193B" w:rsidRPr="00950255">
        <w:rPr>
          <w:rFonts w:ascii="Times New Roman" w:eastAsia="Times New Roman" w:hAnsi="Times New Roman" w:cs="Times New Roman"/>
          <w:color w:val="000000"/>
          <w:sz w:val="20"/>
          <w:szCs w:val="20"/>
        </w:rPr>
        <w:t>(Pesos mil millones)</w:t>
      </w:r>
      <w:r w:rsidR="00DB257D" w:rsidRPr="00950255">
        <w:rPr>
          <w:rFonts w:ascii="Times New Roman" w:eastAsia="Times New Roman" w:hAnsi="Times New Roman" w:cs="Times New Roman"/>
          <w:color w:val="000000"/>
          <w:sz w:val="20"/>
          <w:szCs w:val="20"/>
        </w:rPr>
        <w:t xml:space="preserve">. El valor nominal de referencia de las Obligaciones Negociables Serie I </w:t>
      </w:r>
      <w:r w:rsidR="001432F7" w:rsidRPr="00950255">
        <w:rPr>
          <w:rFonts w:ascii="Times New Roman" w:eastAsia="Times New Roman" w:hAnsi="Times New Roman" w:cs="Times New Roman"/>
          <w:color w:val="000000"/>
          <w:sz w:val="20"/>
          <w:szCs w:val="20"/>
        </w:rPr>
        <w:t xml:space="preserve">será el equivalente a $250.000.000 (Pesos doscientos cincuenta millones), convertidos al Valor UVA Inicial </w:t>
      </w:r>
      <w:r w:rsidR="00DB257D" w:rsidRPr="00950255">
        <w:rPr>
          <w:rFonts w:ascii="Times New Roman" w:eastAsia="Times New Roman" w:hAnsi="Times New Roman" w:cs="Times New Roman"/>
          <w:color w:val="000000"/>
          <w:sz w:val="20"/>
          <w:szCs w:val="20"/>
        </w:rPr>
        <w:t>(el “</w:t>
      </w:r>
      <w:r w:rsidR="00DB257D" w:rsidRPr="00950255">
        <w:rPr>
          <w:rFonts w:ascii="Times New Roman" w:eastAsia="Times New Roman" w:hAnsi="Times New Roman" w:cs="Times New Roman"/>
          <w:color w:val="000000"/>
          <w:sz w:val="20"/>
          <w:szCs w:val="20"/>
          <w:u w:val="single"/>
        </w:rPr>
        <w:t>Valor Nominal de Referencia de la Serie I</w:t>
      </w:r>
      <w:r w:rsidR="00DB257D" w:rsidRPr="00950255">
        <w:rPr>
          <w:rFonts w:ascii="Times New Roman" w:eastAsia="Times New Roman" w:hAnsi="Times New Roman" w:cs="Times New Roman"/>
          <w:color w:val="000000"/>
          <w:sz w:val="20"/>
          <w:szCs w:val="20"/>
        </w:rPr>
        <w:t xml:space="preserve">”). El valor nominal de referencia de las Obligaciones Negociables Serie II </w:t>
      </w:r>
      <w:r w:rsidR="001432F7" w:rsidRPr="00950255">
        <w:rPr>
          <w:rFonts w:ascii="Times New Roman" w:eastAsia="Times New Roman" w:hAnsi="Times New Roman" w:cs="Times New Roman"/>
          <w:color w:val="000000"/>
          <w:sz w:val="20"/>
          <w:szCs w:val="20"/>
        </w:rPr>
        <w:t xml:space="preserve">será de $250.000.000 (Pesos doscientos cincuenta millones) </w:t>
      </w:r>
      <w:r w:rsidR="00DB257D" w:rsidRPr="00950255">
        <w:rPr>
          <w:rFonts w:ascii="Times New Roman" w:eastAsia="Times New Roman" w:hAnsi="Times New Roman" w:cs="Times New Roman"/>
          <w:color w:val="000000"/>
          <w:sz w:val="20"/>
          <w:szCs w:val="20"/>
        </w:rPr>
        <w:t>(el “</w:t>
      </w:r>
      <w:r w:rsidR="00DB257D" w:rsidRPr="00950255">
        <w:rPr>
          <w:rFonts w:ascii="Times New Roman" w:eastAsia="Times New Roman" w:hAnsi="Times New Roman" w:cs="Times New Roman"/>
          <w:color w:val="000000"/>
          <w:sz w:val="20"/>
          <w:szCs w:val="20"/>
          <w:u w:val="single"/>
        </w:rPr>
        <w:t>Valor Nominal de Referencia de la Serie II</w:t>
      </w:r>
      <w:r w:rsidR="00DB257D" w:rsidRPr="00950255">
        <w:rPr>
          <w:rFonts w:ascii="Times New Roman" w:eastAsia="Times New Roman" w:hAnsi="Times New Roman" w:cs="Times New Roman"/>
          <w:color w:val="000000"/>
          <w:sz w:val="20"/>
          <w:szCs w:val="20"/>
        </w:rPr>
        <w:t xml:space="preserve">”). La sumatoria del monto de emisión de las Obligaciones Negociables Serie I y de las Obligaciones Negociables Serie II, no podrá superar el Valor Nominal Máximo, </w:t>
      </w:r>
      <w:r w:rsidR="00DB257D" w:rsidRPr="00950255">
        <w:rPr>
          <w:rFonts w:ascii="Times New Roman" w:eastAsia="Times New Roman" w:hAnsi="Times New Roman" w:cs="Times New Roman"/>
          <w:sz w:val="20"/>
          <w:szCs w:val="20"/>
        </w:rPr>
        <w:t xml:space="preserve">sin perjuicio de que la Serie I y/o la Serie II podrán ser emitidas por un monto nominal mayor o menor al Valor Nominal de Referencia de la Serie I y al Valor Nominal de Referencia de la Serie II. </w:t>
      </w:r>
    </w:p>
    <w:p w:rsidR="00F53F0A" w:rsidRDefault="00DB257D" w:rsidP="007D2D81">
      <w:pPr>
        <w:widowControl w:val="0"/>
        <w:spacing w:line="0" w:lineRule="atLeast"/>
        <w:ind w:left="0" w:firstLine="0"/>
        <w:contextualSpacing/>
        <w:jc w:val="both"/>
        <w:rPr>
          <w:rFonts w:ascii="Times New Roman" w:eastAsia="Times New Roman" w:hAnsi="Times New Roman" w:cs="Times New Roman"/>
          <w:sz w:val="20"/>
          <w:szCs w:val="20"/>
          <w:lang w:val="es-ES_tradnl"/>
        </w:rPr>
      </w:pPr>
      <w:r w:rsidRPr="00950255">
        <w:rPr>
          <w:rFonts w:ascii="Times New Roman" w:eastAsia="Times New Roman" w:hAnsi="Times New Roman" w:cs="Times New Roman"/>
          <w:color w:val="000000"/>
          <w:sz w:val="20"/>
          <w:szCs w:val="20"/>
        </w:rPr>
        <w:t xml:space="preserve"> </w:t>
      </w:r>
    </w:p>
    <w:p w:rsidR="00F53F0A" w:rsidRDefault="00D47E83" w:rsidP="007D2D81">
      <w:pPr>
        <w:widowControl w:val="0"/>
        <w:spacing w:line="0" w:lineRule="atLeast"/>
        <w:ind w:left="0" w:firstLine="0"/>
        <w:contextualSpacing/>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lang w:val="es-ES_tradnl"/>
        </w:rPr>
        <w:t>10</w:t>
      </w:r>
      <w:r w:rsidR="00DB257D" w:rsidRPr="00950255">
        <w:rPr>
          <w:rFonts w:ascii="Times New Roman" w:eastAsia="Times New Roman" w:hAnsi="Times New Roman" w:cs="Times New Roman"/>
          <w:b/>
          <w:sz w:val="20"/>
          <w:szCs w:val="20"/>
          <w:lang w:val="es-ES_tradnl"/>
        </w:rPr>
        <w:t xml:space="preserve">) </w:t>
      </w:r>
      <w:r w:rsidR="00DB257D" w:rsidRPr="00950255">
        <w:rPr>
          <w:rFonts w:ascii="Times New Roman" w:eastAsia="Times New Roman" w:hAnsi="Times New Roman" w:cs="Times New Roman"/>
          <w:b/>
          <w:sz w:val="20"/>
          <w:szCs w:val="20"/>
        </w:rPr>
        <w:t>Monto Mínimo de Suscripción de las Obligaciones Negociables Serie I</w:t>
      </w:r>
      <w:r w:rsidR="00DB257D" w:rsidRPr="00950255">
        <w:rPr>
          <w:rFonts w:ascii="Times New Roman" w:eastAsia="Times New Roman" w:hAnsi="Times New Roman" w:cs="Times New Roman"/>
          <w:b/>
          <w:sz w:val="20"/>
          <w:szCs w:val="20"/>
          <w:lang w:val="es-ES_tradnl"/>
        </w:rPr>
        <w:t>:</w:t>
      </w:r>
      <w:r w:rsidR="00DB257D" w:rsidRPr="00950255">
        <w:rPr>
          <w:rFonts w:ascii="Times New Roman" w:eastAsia="Times New Roman" w:hAnsi="Times New Roman" w:cs="Times New Roman"/>
          <w:sz w:val="20"/>
          <w:szCs w:val="20"/>
          <w:lang w:val="es-ES_tradnl"/>
        </w:rPr>
        <w:t xml:space="preserve"> </w:t>
      </w:r>
      <w:r w:rsidR="00E7325F">
        <w:rPr>
          <w:rFonts w:ascii="Times New Roman" w:eastAsia="Times New Roman" w:hAnsi="Times New Roman" w:cs="Times New Roman"/>
          <w:sz w:val="20"/>
          <w:szCs w:val="20"/>
          <w:lang w:val="es-ES_tradnl"/>
        </w:rPr>
        <w:t>16.</w:t>
      </w:r>
      <w:r w:rsidR="000F0D0D">
        <w:rPr>
          <w:rFonts w:ascii="Times New Roman" w:eastAsia="Times New Roman" w:hAnsi="Times New Roman" w:cs="Times New Roman"/>
          <w:sz w:val="20"/>
          <w:szCs w:val="20"/>
          <w:lang w:val="es-ES_tradnl"/>
        </w:rPr>
        <w:t>5</w:t>
      </w:r>
      <w:r w:rsidR="00E7325F">
        <w:rPr>
          <w:rFonts w:ascii="Times New Roman" w:eastAsia="Times New Roman" w:hAnsi="Times New Roman" w:cs="Times New Roman"/>
          <w:sz w:val="20"/>
          <w:szCs w:val="20"/>
          <w:lang w:val="es-ES_tradnl"/>
        </w:rPr>
        <w:t>00</w:t>
      </w:r>
      <w:r w:rsidR="00E7325F" w:rsidRPr="00950255">
        <w:rPr>
          <w:rFonts w:ascii="Times New Roman" w:eastAsia="Times New Roman" w:hAnsi="Times New Roman" w:cs="Times New Roman"/>
          <w:sz w:val="20"/>
          <w:szCs w:val="20"/>
          <w:lang w:val="es-ES_tradnl"/>
        </w:rPr>
        <w:t xml:space="preserve"> </w:t>
      </w:r>
      <w:r w:rsidR="001432F7" w:rsidRPr="00950255">
        <w:rPr>
          <w:rFonts w:ascii="Times New Roman" w:eastAsia="Times New Roman" w:hAnsi="Times New Roman" w:cs="Times New Roman"/>
          <w:sz w:val="20"/>
          <w:szCs w:val="20"/>
          <w:lang w:val="es-ES_tradnl"/>
        </w:rPr>
        <w:t>UVAs</w:t>
      </w:r>
      <w:r w:rsidR="001432F7" w:rsidRPr="00950255" w:rsidDel="001432F7">
        <w:rPr>
          <w:rFonts w:ascii="Times New Roman" w:eastAsia="Times New Roman" w:hAnsi="Times New Roman" w:cs="Times New Roman"/>
          <w:sz w:val="20"/>
          <w:szCs w:val="20"/>
          <w:lang w:val="es-ES_tradnl"/>
        </w:rPr>
        <w:t xml:space="preserve"> </w:t>
      </w:r>
      <w:r w:rsidR="000A1CDE" w:rsidRPr="00950255">
        <w:rPr>
          <w:rFonts w:ascii="Times New Roman" w:eastAsia="Times New Roman" w:hAnsi="Times New Roman" w:cs="Times New Roman"/>
          <w:sz w:val="20"/>
          <w:szCs w:val="20"/>
          <w:lang w:val="es-ES_tradnl"/>
        </w:rPr>
        <w:t xml:space="preserve">o aquel Monto Mínimo de Suscripción de las Obligaciones Negociables Serie I que sea informado mediante un aviso complementario al presente </w:t>
      </w:r>
      <w:r w:rsidR="007D64C2" w:rsidRPr="00950255">
        <w:rPr>
          <w:rFonts w:ascii="Times New Roman" w:eastAsia="Times New Roman" w:hAnsi="Times New Roman" w:cs="Times New Roman"/>
          <w:sz w:val="20"/>
          <w:szCs w:val="20"/>
          <w:lang w:val="es-ES"/>
        </w:rPr>
        <w:t>Aviso de Suscripción</w:t>
      </w:r>
      <w:r w:rsidR="007D64C2" w:rsidRPr="00950255">
        <w:rPr>
          <w:rFonts w:ascii="Times New Roman" w:eastAsia="Times New Roman" w:hAnsi="Times New Roman" w:cs="Times New Roman"/>
          <w:sz w:val="20"/>
          <w:szCs w:val="20"/>
          <w:lang w:val="es-ES_tradnl"/>
        </w:rPr>
        <w:t xml:space="preserve"> </w:t>
      </w:r>
      <w:r w:rsidR="000A1CDE" w:rsidRPr="00950255">
        <w:rPr>
          <w:rFonts w:ascii="Times New Roman" w:eastAsia="Times New Roman" w:hAnsi="Times New Roman" w:cs="Times New Roman"/>
          <w:sz w:val="20"/>
          <w:szCs w:val="20"/>
          <w:lang w:val="es-ES_tradnl"/>
        </w:rPr>
        <w:t>en cumplimiento con lo previsto al respecto por las Normas de la CNV.</w:t>
      </w:r>
      <w:r w:rsidR="000A1CDE" w:rsidRPr="00950255" w:rsidDel="000A1CDE">
        <w:rPr>
          <w:rFonts w:ascii="Times New Roman" w:eastAsia="Times New Roman" w:hAnsi="Times New Roman" w:cs="Times New Roman"/>
          <w:sz w:val="20"/>
          <w:szCs w:val="20"/>
          <w:highlight w:val="yellow"/>
          <w:lang w:val="es-ES_tradnl"/>
        </w:rPr>
        <w:t xml:space="preserve"> </w:t>
      </w:r>
    </w:p>
    <w:p w:rsidR="00F53F0A" w:rsidRDefault="00F53F0A" w:rsidP="007D2D81">
      <w:pPr>
        <w:widowControl w:val="0"/>
        <w:spacing w:line="0" w:lineRule="atLeast"/>
        <w:ind w:left="0" w:firstLine="0"/>
        <w:contextualSpacing/>
        <w:jc w:val="both"/>
        <w:rPr>
          <w:rFonts w:ascii="Times New Roman" w:eastAsia="Times New Roman" w:hAnsi="Times New Roman" w:cs="Times New Roman"/>
          <w:sz w:val="20"/>
          <w:szCs w:val="20"/>
        </w:rPr>
      </w:pPr>
    </w:p>
    <w:p w:rsidR="00F53F0A" w:rsidRDefault="00D47E83" w:rsidP="007D2D81">
      <w:pPr>
        <w:widowControl w:val="0"/>
        <w:spacing w:line="0" w:lineRule="atLeast"/>
        <w:ind w:left="0" w:firstLine="0"/>
        <w:contextualSpacing/>
        <w:jc w:val="both"/>
        <w:rPr>
          <w:rFonts w:ascii="Times New Roman" w:eastAsia="Times New Roman" w:hAnsi="Times New Roman" w:cs="Times New Roman"/>
          <w:sz w:val="20"/>
          <w:szCs w:val="20"/>
          <w:lang w:val="es-MX"/>
        </w:rPr>
      </w:pPr>
      <w:r w:rsidRPr="00950255">
        <w:rPr>
          <w:rFonts w:ascii="Times New Roman" w:eastAsia="Times New Roman" w:hAnsi="Times New Roman" w:cs="Times New Roman"/>
          <w:b/>
          <w:sz w:val="20"/>
          <w:szCs w:val="20"/>
        </w:rPr>
        <w:t>1</w:t>
      </w:r>
      <w:r>
        <w:rPr>
          <w:rFonts w:ascii="Times New Roman" w:eastAsia="Times New Roman" w:hAnsi="Times New Roman" w:cs="Times New Roman"/>
          <w:b/>
          <w:sz w:val="20"/>
          <w:szCs w:val="20"/>
        </w:rPr>
        <w:t>1</w:t>
      </w:r>
      <w:r w:rsidR="00DB257D" w:rsidRPr="00950255">
        <w:rPr>
          <w:rFonts w:ascii="Times New Roman" w:eastAsia="Times New Roman" w:hAnsi="Times New Roman" w:cs="Times New Roman"/>
          <w:b/>
          <w:sz w:val="20"/>
          <w:szCs w:val="20"/>
        </w:rPr>
        <w:t>) Monto Mínimo de Suscripción de las Obligaciones Negociables Serie II:</w:t>
      </w:r>
      <w:r w:rsidR="00DB257D" w:rsidRPr="00950255">
        <w:rPr>
          <w:rFonts w:ascii="Times New Roman" w:eastAsia="Times New Roman" w:hAnsi="Times New Roman" w:cs="Times New Roman"/>
          <w:sz w:val="20"/>
          <w:szCs w:val="20"/>
          <w:lang w:val="es-ES"/>
        </w:rPr>
        <w:t xml:space="preserve"> </w:t>
      </w:r>
      <w:r w:rsidR="007D64C2" w:rsidRPr="00950255">
        <w:rPr>
          <w:rFonts w:ascii="Times New Roman" w:eastAsia="Times New Roman" w:hAnsi="Times New Roman" w:cs="Times New Roman"/>
          <w:sz w:val="20"/>
          <w:szCs w:val="20"/>
          <w:lang w:val="es-ES"/>
        </w:rPr>
        <w:t>$1.000.000 (Pesos un millón)</w:t>
      </w:r>
      <w:r w:rsidR="0076418A" w:rsidRPr="00950255">
        <w:rPr>
          <w:rFonts w:ascii="Times New Roman" w:eastAsia="Times New Roman" w:hAnsi="Times New Roman" w:cs="Times New Roman"/>
          <w:sz w:val="20"/>
          <w:szCs w:val="20"/>
          <w:lang w:val="es-ES"/>
        </w:rPr>
        <w:t xml:space="preserve">, </w:t>
      </w:r>
      <w:r w:rsidR="000A1CDE" w:rsidRPr="00950255">
        <w:rPr>
          <w:rFonts w:ascii="Times New Roman" w:eastAsia="Times New Roman" w:hAnsi="Times New Roman" w:cs="Times New Roman"/>
          <w:sz w:val="20"/>
          <w:szCs w:val="20"/>
          <w:lang w:val="es-ES"/>
        </w:rPr>
        <w:t xml:space="preserve">o aquel Monto Mínimo de Suscripción de las Obligaciones Negociables Serie II que sea informado mediante un aviso complementario al presente </w:t>
      </w:r>
      <w:r w:rsidR="007D64C2" w:rsidRPr="00950255">
        <w:rPr>
          <w:rFonts w:ascii="Times New Roman" w:eastAsia="Times New Roman" w:hAnsi="Times New Roman" w:cs="Times New Roman"/>
          <w:sz w:val="20"/>
          <w:szCs w:val="20"/>
          <w:lang w:val="es-ES"/>
        </w:rPr>
        <w:t xml:space="preserve">Aviso de Suscripción </w:t>
      </w:r>
      <w:r w:rsidR="000A1CDE" w:rsidRPr="00950255">
        <w:rPr>
          <w:rFonts w:ascii="Times New Roman" w:eastAsia="Times New Roman" w:hAnsi="Times New Roman" w:cs="Times New Roman"/>
          <w:sz w:val="20"/>
          <w:szCs w:val="20"/>
          <w:lang w:val="es-ES"/>
        </w:rPr>
        <w:t>en cumplimiento con lo previsto al respecto por las Normas de la CNV.</w:t>
      </w:r>
      <w:r w:rsidR="000A1CDE" w:rsidRPr="00950255" w:rsidDel="000A1CDE">
        <w:rPr>
          <w:rFonts w:ascii="Times New Roman" w:eastAsia="Times New Roman" w:hAnsi="Times New Roman" w:cs="Times New Roman"/>
          <w:sz w:val="20"/>
          <w:szCs w:val="20"/>
          <w:highlight w:val="yellow"/>
          <w:lang w:val="es-ES"/>
        </w:rPr>
        <w:t xml:space="preserve"> </w:t>
      </w:r>
    </w:p>
    <w:p w:rsidR="00F53F0A" w:rsidRDefault="00DB257D" w:rsidP="007D2D81">
      <w:pPr>
        <w:widowControl w:val="0"/>
        <w:spacing w:line="0" w:lineRule="atLeast"/>
        <w:ind w:left="0" w:firstLine="0"/>
        <w:contextualSpacing/>
        <w:jc w:val="both"/>
        <w:rPr>
          <w:rFonts w:ascii="Times New Roman" w:eastAsia="Times New Roman" w:hAnsi="Times New Roman" w:cs="Times New Roman"/>
          <w:sz w:val="20"/>
          <w:szCs w:val="20"/>
        </w:rPr>
      </w:pPr>
      <w:r w:rsidRPr="00950255" w:rsidDel="004C745C">
        <w:rPr>
          <w:rFonts w:ascii="Times New Roman" w:eastAsia="Times New Roman" w:hAnsi="Times New Roman" w:cs="Times New Roman"/>
          <w:sz w:val="20"/>
          <w:szCs w:val="20"/>
          <w:lang w:val="es-MX"/>
        </w:rPr>
        <w:t xml:space="preserve"> </w:t>
      </w:r>
    </w:p>
    <w:p w:rsidR="00F53F0A" w:rsidRDefault="00D47E83" w:rsidP="007D2D81">
      <w:pPr>
        <w:widowControl w:val="0"/>
        <w:spacing w:line="0" w:lineRule="atLeast"/>
        <w:ind w:left="0" w:firstLine="0"/>
        <w:contextualSpacing/>
        <w:jc w:val="both"/>
        <w:rPr>
          <w:rFonts w:ascii="Times New Roman" w:eastAsia="Times New Roman" w:hAnsi="Times New Roman" w:cs="Times New Roman"/>
          <w:sz w:val="20"/>
          <w:szCs w:val="20"/>
        </w:rPr>
      </w:pPr>
      <w:r w:rsidRPr="00950255">
        <w:rPr>
          <w:rFonts w:ascii="Times New Roman" w:eastAsia="Times New Roman" w:hAnsi="Times New Roman" w:cs="Times New Roman"/>
          <w:b/>
          <w:sz w:val="20"/>
          <w:szCs w:val="20"/>
        </w:rPr>
        <w:t>1</w:t>
      </w:r>
      <w:r>
        <w:rPr>
          <w:rFonts w:ascii="Times New Roman" w:eastAsia="Times New Roman" w:hAnsi="Times New Roman" w:cs="Times New Roman"/>
          <w:b/>
          <w:sz w:val="20"/>
          <w:szCs w:val="20"/>
        </w:rPr>
        <w:t>2</w:t>
      </w:r>
      <w:r w:rsidR="00DB257D" w:rsidRPr="00950255">
        <w:rPr>
          <w:rFonts w:ascii="Times New Roman" w:eastAsia="Times New Roman" w:hAnsi="Times New Roman" w:cs="Times New Roman"/>
          <w:b/>
          <w:sz w:val="20"/>
          <w:szCs w:val="20"/>
        </w:rPr>
        <w:t xml:space="preserve">) Valor Nominal Unitario de las Obligaciones Negociables Serie I: </w:t>
      </w:r>
      <w:r w:rsidR="001432F7" w:rsidRPr="00950255">
        <w:rPr>
          <w:rFonts w:ascii="Times New Roman" w:eastAsia="Times New Roman" w:hAnsi="Times New Roman" w:cs="Times New Roman"/>
          <w:sz w:val="20"/>
          <w:szCs w:val="20"/>
        </w:rPr>
        <w:t>El valor nominal unitario de las Obligaciones Negociables Serie II será de 1 (una) UVA y múltiplos de 1 (una) UVA por encima de dicho monto.</w:t>
      </w:r>
    </w:p>
    <w:p w:rsidR="00F53F0A" w:rsidRDefault="00F53F0A" w:rsidP="007D2D81">
      <w:pPr>
        <w:widowControl w:val="0"/>
        <w:spacing w:line="0" w:lineRule="atLeast"/>
        <w:ind w:left="0" w:firstLine="0"/>
        <w:contextualSpacing/>
        <w:jc w:val="both"/>
        <w:rPr>
          <w:rFonts w:ascii="Times New Roman" w:eastAsia="Times New Roman" w:hAnsi="Times New Roman" w:cs="Times New Roman"/>
          <w:sz w:val="20"/>
          <w:szCs w:val="20"/>
        </w:rPr>
      </w:pPr>
    </w:p>
    <w:p w:rsidR="00F53F0A" w:rsidRDefault="00D47E83" w:rsidP="007D2D81">
      <w:pPr>
        <w:widowControl w:val="0"/>
        <w:spacing w:line="0" w:lineRule="atLeast"/>
        <w:ind w:left="0" w:firstLine="0"/>
        <w:contextualSpacing/>
        <w:jc w:val="both"/>
        <w:rPr>
          <w:rFonts w:ascii="Times New Roman" w:eastAsia="Times New Roman" w:hAnsi="Times New Roman" w:cs="Times New Roman"/>
          <w:sz w:val="20"/>
          <w:szCs w:val="20"/>
        </w:rPr>
      </w:pPr>
      <w:r w:rsidRPr="00950255">
        <w:rPr>
          <w:rFonts w:ascii="Times New Roman" w:eastAsia="Times New Roman" w:hAnsi="Times New Roman" w:cs="Times New Roman"/>
          <w:b/>
          <w:sz w:val="20"/>
          <w:szCs w:val="20"/>
        </w:rPr>
        <w:t>1</w:t>
      </w:r>
      <w:r>
        <w:rPr>
          <w:rFonts w:ascii="Times New Roman" w:eastAsia="Times New Roman" w:hAnsi="Times New Roman" w:cs="Times New Roman"/>
          <w:b/>
          <w:sz w:val="20"/>
          <w:szCs w:val="20"/>
        </w:rPr>
        <w:t>3</w:t>
      </w:r>
      <w:r w:rsidR="00DB257D" w:rsidRPr="00950255">
        <w:rPr>
          <w:rFonts w:ascii="Times New Roman" w:eastAsia="Times New Roman" w:hAnsi="Times New Roman" w:cs="Times New Roman"/>
          <w:b/>
          <w:sz w:val="20"/>
          <w:szCs w:val="20"/>
        </w:rPr>
        <w:t>) Valor Nominal Unitario de las Obligaciones Negociables Serie II:</w:t>
      </w:r>
      <w:r w:rsidR="00DB257D" w:rsidRPr="00950255">
        <w:rPr>
          <w:rFonts w:ascii="Times New Roman" w:eastAsia="Times New Roman" w:hAnsi="Times New Roman" w:cs="Times New Roman"/>
          <w:sz w:val="20"/>
          <w:szCs w:val="20"/>
        </w:rPr>
        <w:t xml:space="preserve"> </w:t>
      </w:r>
      <w:r w:rsidR="001432F7" w:rsidRPr="00950255">
        <w:rPr>
          <w:rFonts w:ascii="Times New Roman" w:eastAsia="Times New Roman" w:hAnsi="Times New Roman" w:cs="Times New Roman"/>
          <w:sz w:val="20"/>
          <w:szCs w:val="20"/>
        </w:rPr>
        <w:t>El valor nominal unitario de las Obligaciones Negociables Serie I será de $1 (Pesos uno) y múltiplos de $1 (Pesos uno) por encima de dicho monto.</w:t>
      </w:r>
      <w:r w:rsidR="001432F7" w:rsidRPr="00950255" w:rsidDel="000A1CDE">
        <w:rPr>
          <w:rFonts w:ascii="Times New Roman" w:eastAsia="Times New Roman" w:hAnsi="Times New Roman" w:cs="Times New Roman"/>
          <w:sz w:val="20"/>
          <w:szCs w:val="20"/>
        </w:rPr>
        <w:t xml:space="preserve"> </w:t>
      </w:r>
      <w:r w:rsidR="000A1CDE" w:rsidRPr="00950255" w:rsidDel="000A1CDE">
        <w:rPr>
          <w:rFonts w:ascii="Times New Roman" w:eastAsia="Times New Roman" w:hAnsi="Times New Roman" w:cs="Times New Roman"/>
          <w:sz w:val="20"/>
          <w:szCs w:val="20"/>
          <w:highlight w:val="yellow"/>
        </w:rPr>
        <w:t xml:space="preserve"> </w:t>
      </w:r>
    </w:p>
    <w:p w:rsidR="00F53F0A" w:rsidRDefault="00F53F0A" w:rsidP="007D2D81">
      <w:pPr>
        <w:widowControl w:val="0"/>
        <w:spacing w:line="0" w:lineRule="atLeast"/>
        <w:ind w:left="0" w:firstLine="0"/>
        <w:contextualSpacing/>
        <w:jc w:val="both"/>
        <w:rPr>
          <w:rFonts w:ascii="Times New Roman" w:eastAsia="Times New Roman" w:hAnsi="Times New Roman" w:cs="Times New Roman"/>
          <w:sz w:val="20"/>
          <w:szCs w:val="20"/>
        </w:rPr>
      </w:pPr>
    </w:p>
    <w:p w:rsidR="00F53F0A" w:rsidRDefault="00D47E83" w:rsidP="007D2D81">
      <w:pPr>
        <w:widowControl w:val="0"/>
        <w:spacing w:line="0" w:lineRule="atLeast"/>
        <w:ind w:left="0" w:firstLine="0"/>
        <w:contextualSpacing/>
        <w:jc w:val="both"/>
        <w:rPr>
          <w:rFonts w:ascii="Times New Roman" w:eastAsia="Times New Roman" w:hAnsi="Times New Roman" w:cs="Times New Roman"/>
          <w:sz w:val="20"/>
          <w:szCs w:val="20"/>
          <w:lang w:val="es-ES"/>
        </w:rPr>
      </w:pPr>
      <w:r w:rsidRPr="00950255">
        <w:rPr>
          <w:rFonts w:ascii="Times New Roman" w:eastAsia="Times New Roman" w:hAnsi="Times New Roman" w:cs="Times New Roman"/>
          <w:b/>
          <w:sz w:val="20"/>
          <w:szCs w:val="20"/>
        </w:rPr>
        <w:t>1</w:t>
      </w:r>
      <w:r>
        <w:rPr>
          <w:rFonts w:ascii="Times New Roman" w:eastAsia="Times New Roman" w:hAnsi="Times New Roman" w:cs="Times New Roman"/>
          <w:b/>
          <w:sz w:val="20"/>
          <w:szCs w:val="20"/>
        </w:rPr>
        <w:t>4</w:t>
      </w:r>
      <w:r w:rsidR="00DB257D" w:rsidRPr="00950255">
        <w:rPr>
          <w:rFonts w:ascii="Times New Roman" w:eastAsia="Times New Roman" w:hAnsi="Times New Roman" w:cs="Times New Roman"/>
          <w:b/>
          <w:sz w:val="20"/>
          <w:szCs w:val="20"/>
        </w:rPr>
        <w:t>) Unidad Mínima de Negociación de las Obligaciones Negociables Serie I:</w:t>
      </w:r>
      <w:r w:rsidR="00DB257D" w:rsidRPr="00950255">
        <w:rPr>
          <w:rFonts w:ascii="Times New Roman" w:eastAsia="Times New Roman" w:hAnsi="Times New Roman" w:cs="Times New Roman"/>
          <w:sz w:val="20"/>
          <w:szCs w:val="20"/>
          <w:lang w:val="es-ES"/>
        </w:rPr>
        <w:t xml:space="preserve"> </w:t>
      </w:r>
      <w:r w:rsidR="001432F7" w:rsidRPr="00950255">
        <w:rPr>
          <w:rFonts w:ascii="Times New Roman" w:eastAsia="Times New Roman" w:hAnsi="Times New Roman" w:cs="Times New Roman"/>
          <w:sz w:val="20"/>
          <w:szCs w:val="20"/>
          <w:lang w:val="es-ES"/>
        </w:rPr>
        <w:t xml:space="preserve">La unidad mínima de negociación de las Obligaciones Negociables Serie I será de </w:t>
      </w:r>
      <w:r w:rsidR="00E7325F">
        <w:rPr>
          <w:rFonts w:ascii="Times New Roman" w:eastAsia="Times New Roman" w:hAnsi="Times New Roman" w:cs="Times New Roman"/>
          <w:sz w:val="20"/>
          <w:szCs w:val="20"/>
          <w:lang w:val="es-ES_tradnl"/>
        </w:rPr>
        <w:t>16.</w:t>
      </w:r>
      <w:r w:rsidR="000F0D0D">
        <w:rPr>
          <w:rFonts w:ascii="Times New Roman" w:eastAsia="Times New Roman" w:hAnsi="Times New Roman" w:cs="Times New Roman"/>
          <w:sz w:val="20"/>
          <w:szCs w:val="20"/>
          <w:lang w:val="es-ES_tradnl"/>
        </w:rPr>
        <w:t>5</w:t>
      </w:r>
      <w:r w:rsidR="00E7325F">
        <w:rPr>
          <w:rFonts w:ascii="Times New Roman" w:eastAsia="Times New Roman" w:hAnsi="Times New Roman" w:cs="Times New Roman"/>
          <w:sz w:val="20"/>
          <w:szCs w:val="20"/>
          <w:lang w:val="es-ES_tradnl"/>
        </w:rPr>
        <w:t>00</w:t>
      </w:r>
      <w:r w:rsidR="00E7325F" w:rsidRPr="00950255">
        <w:rPr>
          <w:rFonts w:ascii="Times New Roman" w:eastAsia="Times New Roman" w:hAnsi="Times New Roman" w:cs="Times New Roman"/>
          <w:sz w:val="20"/>
          <w:szCs w:val="20"/>
          <w:lang w:val="es-ES"/>
        </w:rPr>
        <w:t xml:space="preserve"> </w:t>
      </w:r>
      <w:r w:rsidR="001432F7" w:rsidRPr="00950255">
        <w:rPr>
          <w:rFonts w:ascii="Times New Roman" w:eastAsia="Times New Roman" w:hAnsi="Times New Roman" w:cs="Times New Roman"/>
          <w:sz w:val="20"/>
          <w:szCs w:val="20"/>
          <w:lang w:val="es-ES"/>
        </w:rPr>
        <w:t>UVAs y múltiplos de 1 (una) UVA por encima de dicho monto.</w:t>
      </w:r>
      <w:r w:rsidR="001432F7" w:rsidRPr="00950255" w:rsidDel="007D6B71">
        <w:rPr>
          <w:rFonts w:ascii="Times New Roman" w:eastAsia="Times New Roman" w:hAnsi="Times New Roman" w:cs="Times New Roman"/>
          <w:sz w:val="20"/>
          <w:szCs w:val="20"/>
          <w:lang w:val="es-ES"/>
        </w:rPr>
        <w:t xml:space="preserve"> </w:t>
      </w:r>
    </w:p>
    <w:p w:rsidR="00F53F0A" w:rsidRDefault="00F53F0A" w:rsidP="007D2D81">
      <w:pPr>
        <w:widowControl w:val="0"/>
        <w:spacing w:line="0" w:lineRule="atLeast"/>
        <w:ind w:left="0" w:firstLine="0"/>
        <w:contextualSpacing/>
        <w:jc w:val="both"/>
        <w:rPr>
          <w:rFonts w:ascii="Times New Roman" w:eastAsia="Times New Roman" w:hAnsi="Times New Roman" w:cs="Times New Roman"/>
          <w:sz w:val="20"/>
          <w:szCs w:val="20"/>
          <w:lang w:val="es-ES"/>
        </w:rPr>
      </w:pPr>
    </w:p>
    <w:p w:rsidR="00F53F0A" w:rsidRDefault="00D47E83" w:rsidP="007D2D81">
      <w:pPr>
        <w:widowControl w:val="0"/>
        <w:spacing w:line="0" w:lineRule="atLeast"/>
        <w:ind w:left="0" w:firstLine="0"/>
        <w:contextualSpacing/>
        <w:jc w:val="both"/>
        <w:rPr>
          <w:rFonts w:ascii="Times New Roman" w:eastAsia="Times New Roman" w:hAnsi="Times New Roman" w:cs="Times New Roman"/>
          <w:sz w:val="20"/>
          <w:szCs w:val="20"/>
        </w:rPr>
      </w:pPr>
      <w:r w:rsidRPr="00950255">
        <w:rPr>
          <w:rFonts w:ascii="Times New Roman" w:eastAsia="Times New Roman" w:hAnsi="Times New Roman" w:cs="Times New Roman"/>
          <w:b/>
          <w:sz w:val="20"/>
          <w:szCs w:val="20"/>
          <w:lang w:val="es-ES"/>
        </w:rPr>
        <w:t>1</w:t>
      </w:r>
      <w:r>
        <w:rPr>
          <w:rFonts w:ascii="Times New Roman" w:eastAsia="Times New Roman" w:hAnsi="Times New Roman" w:cs="Times New Roman"/>
          <w:b/>
          <w:sz w:val="20"/>
          <w:szCs w:val="20"/>
          <w:lang w:val="es-ES"/>
        </w:rPr>
        <w:t>5</w:t>
      </w:r>
      <w:r w:rsidR="00DB257D" w:rsidRPr="00950255">
        <w:rPr>
          <w:rFonts w:ascii="Times New Roman" w:eastAsia="Times New Roman" w:hAnsi="Times New Roman" w:cs="Times New Roman"/>
          <w:b/>
          <w:sz w:val="20"/>
          <w:szCs w:val="20"/>
          <w:lang w:val="es-ES"/>
        </w:rPr>
        <w:t>) Unidad Mínima de Negociación de las Obligaciones Negociables Serie II:</w:t>
      </w:r>
      <w:r w:rsidR="00DB257D" w:rsidRPr="00950255">
        <w:rPr>
          <w:rFonts w:ascii="Times New Roman" w:eastAsia="Times New Roman" w:hAnsi="Times New Roman" w:cs="Times New Roman"/>
          <w:sz w:val="20"/>
          <w:szCs w:val="20"/>
          <w:lang w:val="es-ES"/>
        </w:rPr>
        <w:t xml:space="preserve"> </w:t>
      </w:r>
      <w:r w:rsidR="001432F7" w:rsidRPr="00950255">
        <w:rPr>
          <w:rFonts w:ascii="Times New Roman" w:eastAsia="Times New Roman" w:hAnsi="Times New Roman" w:cs="Times New Roman"/>
          <w:sz w:val="20"/>
          <w:szCs w:val="20"/>
          <w:lang w:val="es-ES"/>
        </w:rPr>
        <w:t>La unidad mínima de negociación de las Obligaciones Negociables Serie I</w:t>
      </w:r>
      <w:r w:rsidR="007D64C2" w:rsidRPr="00950255">
        <w:rPr>
          <w:rFonts w:ascii="Times New Roman" w:eastAsia="Times New Roman" w:hAnsi="Times New Roman" w:cs="Times New Roman"/>
          <w:sz w:val="20"/>
          <w:szCs w:val="20"/>
          <w:lang w:val="es-ES"/>
        </w:rPr>
        <w:t>I</w:t>
      </w:r>
      <w:r w:rsidR="001432F7" w:rsidRPr="00950255">
        <w:rPr>
          <w:rFonts w:ascii="Times New Roman" w:eastAsia="Times New Roman" w:hAnsi="Times New Roman" w:cs="Times New Roman"/>
          <w:sz w:val="20"/>
          <w:szCs w:val="20"/>
          <w:lang w:val="es-ES"/>
        </w:rPr>
        <w:t xml:space="preserve"> será de </w:t>
      </w:r>
      <w:r w:rsidR="007D64C2" w:rsidRPr="00950255">
        <w:rPr>
          <w:rFonts w:ascii="Times New Roman" w:eastAsia="Times New Roman" w:hAnsi="Times New Roman" w:cs="Times New Roman"/>
          <w:sz w:val="20"/>
          <w:szCs w:val="20"/>
          <w:lang w:val="es-ES"/>
        </w:rPr>
        <w:t>$1.000.000 (Pesos un millón)</w:t>
      </w:r>
      <w:r w:rsidR="00F53F0A" w:rsidRPr="007D2D81">
        <w:rPr>
          <w:rFonts w:ascii="Times New Roman" w:hAnsi="Times New Roman"/>
          <w:sz w:val="20"/>
          <w:lang w:val="es-ES"/>
        </w:rPr>
        <w:t xml:space="preserve"> </w:t>
      </w:r>
      <w:r w:rsidR="001432F7" w:rsidRPr="00950255">
        <w:rPr>
          <w:rFonts w:ascii="Times New Roman" w:eastAsia="Times New Roman" w:hAnsi="Times New Roman" w:cs="Times New Roman"/>
          <w:sz w:val="20"/>
          <w:szCs w:val="20"/>
          <w:lang w:val="es-ES"/>
        </w:rPr>
        <w:t>y múltiplos de $1 (Pesos uno) por encima de dicho monto.</w:t>
      </w:r>
      <w:r w:rsidR="001432F7" w:rsidRPr="00950255" w:rsidDel="007D6B71">
        <w:rPr>
          <w:rFonts w:ascii="Times New Roman" w:eastAsia="Times New Roman" w:hAnsi="Times New Roman" w:cs="Times New Roman"/>
          <w:sz w:val="20"/>
          <w:szCs w:val="20"/>
          <w:lang w:val="es-ES"/>
        </w:rPr>
        <w:t xml:space="preserve"> </w:t>
      </w:r>
    </w:p>
    <w:p w:rsidR="00F53F0A" w:rsidRDefault="00F53F0A" w:rsidP="007D2D81">
      <w:pPr>
        <w:widowControl w:val="0"/>
        <w:spacing w:line="0" w:lineRule="atLeast"/>
        <w:ind w:left="0" w:firstLine="0"/>
        <w:contextualSpacing/>
        <w:jc w:val="both"/>
        <w:rPr>
          <w:rFonts w:ascii="Times New Roman" w:eastAsia="Times New Roman" w:hAnsi="Times New Roman" w:cs="Times New Roman"/>
          <w:sz w:val="20"/>
          <w:szCs w:val="20"/>
        </w:rPr>
      </w:pPr>
    </w:p>
    <w:p w:rsidR="00F53F0A" w:rsidRDefault="00D47E83" w:rsidP="007D2D81">
      <w:pPr>
        <w:widowControl w:val="0"/>
        <w:spacing w:line="0" w:lineRule="atLeast"/>
        <w:ind w:left="0" w:firstLine="0"/>
        <w:jc w:val="both"/>
        <w:rPr>
          <w:rFonts w:ascii="Times New Roman" w:eastAsia="Times New Roman" w:hAnsi="Times New Roman" w:cs="Times New Roman"/>
          <w:sz w:val="20"/>
          <w:szCs w:val="20"/>
        </w:rPr>
      </w:pPr>
      <w:r w:rsidRPr="00950255">
        <w:rPr>
          <w:rFonts w:ascii="Times New Roman" w:eastAsia="Times New Roman" w:hAnsi="Times New Roman" w:cs="Times New Roman"/>
          <w:b/>
          <w:bCs/>
          <w:sz w:val="20"/>
          <w:szCs w:val="20"/>
        </w:rPr>
        <w:t>1</w:t>
      </w:r>
      <w:r>
        <w:rPr>
          <w:rFonts w:ascii="Times New Roman" w:eastAsia="Times New Roman" w:hAnsi="Times New Roman" w:cs="Times New Roman"/>
          <w:b/>
          <w:bCs/>
          <w:sz w:val="20"/>
          <w:szCs w:val="20"/>
        </w:rPr>
        <w:t>6</w:t>
      </w:r>
      <w:r w:rsidR="00DB257D" w:rsidRPr="00950255">
        <w:rPr>
          <w:rFonts w:ascii="Times New Roman" w:eastAsia="Times New Roman" w:hAnsi="Times New Roman" w:cs="Times New Roman"/>
          <w:b/>
          <w:bCs/>
          <w:sz w:val="20"/>
          <w:szCs w:val="20"/>
        </w:rPr>
        <w:t>)</w:t>
      </w:r>
      <w:r w:rsidR="00DB257D" w:rsidRPr="00950255">
        <w:rPr>
          <w:rFonts w:ascii="Times New Roman" w:eastAsia="Times New Roman" w:hAnsi="Times New Roman" w:cs="Times New Roman"/>
          <w:bCs/>
          <w:sz w:val="20"/>
          <w:szCs w:val="20"/>
        </w:rPr>
        <w:t xml:space="preserve"> </w:t>
      </w:r>
      <w:r w:rsidR="00DB257D" w:rsidRPr="00950255">
        <w:rPr>
          <w:rFonts w:ascii="Times New Roman" w:eastAsia="Times New Roman" w:hAnsi="Times New Roman" w:cs="Times New Roman"/>
          <w:b/>
          <w:bCs/>
          <w:sz w:val="20"/>
          <w:szCs w:val="20"/>
          <w:lang w:val="es-ES_tradnl"/>
        </w:rPr>
        <w:t>Moneda de</w:t>
      </w:r>
      <w:r w:rsidR="0006037B" w:rsidRPr="00950255">
        <w:rPr>
          <w:rFonts w:ascii="Times New Roman" w:eastAsia="Times New Roman" w:hAnsi="Times New Roman" w:cs="Times New Roman"/>
          <w:b/>
          <w:bCs/>
          <w:sz w:val="20"/>
          <w:szCs w:val="20"/>
          <w:lang w:val="es-ES_tradnl"/>
        </w:rPr>
        <w:t xml:space="preserve"> Denominación,</w:t>
      </w:r>
      <w:r w:rsidR="00DB257D" w:rsidRPr="00950255">
        <w:rPr>
          <w:rFonts w:ascii="Times New Roman" w:eastAsia="Times New Roman" w:hAnsi="Times New Roman" w:cs="Times New Roman"/>
          <w:b/>
          <w:bCs/>
          <w:sz w:val="20"/>
          <w:szCs w:val="20"/>
          <w:lang w:val="es-ES_tradnl"/>
        </w:rPr>
        <w:t xml:space="preserve"> Suscripción, Integración y Pago</w:t>
      </w:r>
      <w:r w:rsidR="00DB257D" w:rsidRPr="00950255">
        <w:rPr>
          <w:rFonts w:ascii="Times New Roman" w:eastAsia="Times New Roman" w:hAnsi="Times New Roman" w:cs="Times New Roman"/>
          <w:b/>
          <w:sz w:val="20"/>
          <w:szCs w:val="20"/>
          <w:lang w:val="es-ES_tradnl"/>
        </w:rPr>
        <w:t>:</w:t>
      </w:r>
      <w:r w:rsidR="00DB257D" w:rsidRPr="00950255">
        <w:rPr>
          <w:rFonts w:ascii="Times New Roman" w:eastAsia="Times New Roman" w:hAnsi="Times New Roman" w:cs="Times New Roman"/>
          <w:sz w:val="20"/>
          <w:szCs w:val="20"/>
          <w:lang w:val="es-ES_tradnl"/>
        </w:rPr>
        <w:t xml:space="preserve"> </w:t>
      </w:r>
      <w:r w:rsidR="00DB257D" w:rsidRPr="00950255">
        <w:rPr>
          <w:rFonts w:ascii="Times New Roman" w:eastAsia="Times New Roman" w:hAnsi="Times New Roman" w:cs="Times New Roman"/>
          <w:sz w:val="20"/>
          <w:szCs w:val="20"/>
        </w:rPr>
        <w:t>Las Obligaciones Negociables Serie I</w:t>
      </w:r>
      <w:r w:rsidR="0006037B" w:rsidRPr="00950255">
        <w:rPr>
          <w:rFonts w:ascii="Times New Roman" w:eastAsia="Times New Roman" w:hAnsi="Times New Roman" w:cs="Times New Roman"/>
          <w:sz w:val="20"/>
          <w:szCs w:val="20"/>
        </w:rPr>
        <w:t xml:space="preserve"> </w:t>
      </w:r>
      <w:r w:rsidR="001432F7" w:rsidRPr="00950255">
        <w:rPr>
          <w:rFonts w:ascii="Times New Roman" w:eastAsia="Times New Roman" w:hAnsi="Times New Roman" w:cs="Times New Roman"/>
          <w:sz w:val="20"/>
          <w:szCs w:val="20"/>
        </w:rPr>
        <w:t xml:space="preserve">están denominadas en UVAs y serán suscriptas e integradas en Pesos directamente por los inversores en la Fecha de Emisión y Liquidación al Valor Inicial de UVA (según dicho término se define a continuación). Asimismo, los pagos bajo las mismas se realizarán en Pesos a la Fecha de Vencimiento y en cada Fecha de Pago de Intereses. A los efectos del cálculo del valor equivalente en Pesos del capital en circulación para cada Fecha de Pago de Intereses y para el pago del capital en cada fecha de Amortización, se utilizará el valor de la UVA (o, en caso </w:t>
      </w:r>
      <w:r>
        <w:rPr>
          <w:rFonts w:ascii="Times New Roman" w:eastAsia="Times New Roman" w:hAnsi="Times New Roman" w:cs="Times New Roman"/>
          <w:sz w:val="20"/>
          <w:szCs w:val="20"/>
        </w:rPr>
        <w:t xml:space="preserve">de </w:t>
      </w:r>
      <w:r w:rsidR="001432F7" w:rsidRPr="00950255">
        <w:rPr>
          <w:rFonts w:ascii="Times New Roman" w:eastAsia="Times New Roman" w:hAnsi="Times New Roman" w:cs="Times New Roman"/>
          <w:sz w:val="20"/>
          <w:szCs w:val="20"/>
        </w:rPr>
        <w:t xml:space="preserve">que el BCRA suspenda la publicación de dicha variable, el Índice Sustituto, conforme dicho término se define más adelante) publicado para el </w:t>
      </w:r>
      <w:r w:rsidR="001432F7" w:rsidRPr="00D844AF">
        <w:rPr>
          <w:rFonts w:ascii="Times New Roman" w:hAnsi="Times New Roman"/>
          <w:sz w:val="20"/>
        </w:rPr>
        <w:t xml:space="preserve">quinto </w:t>
      </w:r>
      <w:r w:rsidR="000F0D0D">
        <w:rPr>
          <w:rFonts w:ascii="Times New Roman" w:eastAsia="Times New Roman" w:hAnsi="Times New Roman" w:cs="Times New Roman"/>
          <w:sz w:val="20"/>
          <w:szCs w:val="20"/>
        </w:rPr>
        <w:t>D</w:t>
      </w:r>
      <w:r w:rsidR="001432F7" w:rsidRPr="00EA1915">
        <w:rPr>
          <w:rFonts w:ascii="Times New Roman" w:eastAsia="Times New Roman" w:hAnsi="Times New Roman" w:cs="Times New Roman"/>
          <w:sz w:val="20"/>
          <w:szCs w:val="20"/>
        </w:rPr>
        <w:t>ía</w:t>
      </w:r>
      <w:r w:rsidR="000F0D0D">
        <w:rPr>
          <w:rFonts w:ascii="Times New Roman" w:eastAsia="Times New Roman" w:hAnsi="Times New Roman" w:cs="Times New Roman"/>
          <w:sz w:val="20"/>
          <w:szCs w:val="20"/>
        </w:rPr>
        <w:t xml:space="preserve"> Hábil</w:t>
      </w:r>
      <w:r w:rsidR="001432F7" w:rsidRPr="00D844AF">
        <w:rPr>
          <w:rFonts w:ascii="Times New Roman" w:hAnsi="Times New Roman"/>
          <w:sz w:val="20"/>
        </w:rPr>
        <w:t xml:space="preserve"> anterior</w:t>
      </w:r>
      <w:r w:rsidR="001432F7" w:rsidRPr="00950255">
        <w:rPr>
          <w:rFonts w:ascii="Times New Roman" w:eastAsia="Times New Roman" w:hAnsi="Times New Roman" w:cs="Times New Roman"/>
          <w:sz w:val="20"/>
          <w:szCs w:val="20"/>
        </w:rPr>
        <w:t xml:space="preserve"> a cada una de las Fechas de Pago (conforme dicho término se define más adelante). Las Obligaciones Negociables Serie II </w:t>
      </w:r>
      <w:r w:rsidR="0006037B" w:rsidRPr="00950255">
        <w:rPr>
          <w:rFonts w:ascii="Times New Roman" w:eastAsia="Times New Roman" w:hAnsi="Times New Roman" w:cs="Times New Roman"/>
          <w:sz w:val="20"/>
          <w:szCs w:val="20"/>
        </w:rPr>
        <w:t>están denominadas en Pesos y</w:t>
      </w:r>
      <w:r w:rsidR="00DB257D" w:rsidRPr="00950255">
        <w:rPr>
          <w:rFonts w:ascii="Times New Roman" w:eastAsia="Times New Roman" w:hAnsi="Times New Roman" w:cs="Times New Roman"/>
          <w:sz w:val="20"/>
          <w:szCs w:val="20"/>
        </w:rPr>
        <w:t xml:space="preserve"> serán suscriptas e integradas en Pesos, y todos los pagos que se efectúen bajo las mismas se realizarán en aquella misma moneda. </w:t>
      </w:r>
    </w:p>
    <w:p w:rsidR="00F53F0A" w:rsidRDefault="00F53F0A" w:rsidP="007D2D81">
      <w:pPr>
        <w:widowControl w:val="0"/>
        <w:spacing w:line="0" w:lineRule="atLeast"/>
        <w:ind w:left="0" w:firstLine="0"/>
        <w:jc w:val="both"/>
        <w:rPr>
          <w:rFonts w:ascii="Times New Roman" w:eastAsia="Times New Roman" w:hAnsi="Times New Roman" w:cs="Times New Roman"/>
          <w:sz w:val="20"/>
          <w:szCs w:val="20"/>
        </w:rPr>
      </w:pPr>
    </w:p>
    <w:p w:rsidR="00F53F0A" w:rsidRDefault="00D47E83" w:rsidP="007D2D81">
      <w:pPr>
        <w:widowControl w:val="0"/>
        <w:spacing w:line="0" w:lineRule="atLeast"/>
        <w:ind w:left="0" w:firstLine="0"/>
        <w:jc w:val="both"/>
        <w:rPr>
          <w:rFonts w:ascii="Times New Roman" w:eastAsia="Times New Roman" w:hAnsi="Times New Roman" w:cs="Times New Roman"/>
          <w:sz w:val="20"/>
          <w:szCs w:val="20"/>
        </w:rPr>
      </w:pPr>
      <w:r w:rsidRPr="00950255">
        <w:rPr>
          <w:rFonts w:ascii="Times New Roman" w:eastAsia="Times New Roman" w:hAnsi="Times New Roman" w:cs="Times New Roman"/>
          <w:b/>
          <w:sz w:val="20"/>
          <w:szCs w:val="20"/>
        </w:rPr>
        <w:t>1</w:t>
      </w:r>
      <w:r>
        <w:rPr>
          <w:rFonts w:ascii="Times New Roman" w:eastAsia="Times New Roman" w:hAnsi="Times New Roman" w:cs="Times New Roman"/>
          <w:b/>
          <w:sz w:val="20"/>
          <w:szCs w:val="20"/>
        </w:rPr>
        <w:t>7</w:t>
      </w:r>
      <w:r w:rsidR="00DB257D" w:rsidRPr="00950255">
        <w:rPr>
          <w:rFonts w:ascii="Times New Roman" w:eastAsia="Times New Roman" w:hAnsi="Times New Roman" w:cs="Times New Roman"/>
          <w:b/>
          <w:sz w:val="20"/>
          <w:szCs w:val="20"/>
        </w:rPr>
        <w:t>)</w:t>
      </w:r>
      <w:r w:rsidR="00DB257D" w:rsidRPr="00950255">
        <w:rPr>
          <w:rFonts w:ascii="Times New Roman" w:eastAsia="Times New Roman" w:hAnsi="Times New Roman" w:cs="Times New Roman"/>
          <w:sz w:val="20"/>
          <w:szCs w:val="20"/>
        </w:rPr>
        <w:t xml:space="preserve"> </w:t>
      </w:r>
      <w:r w:rsidR="00DB257D" w:rsidRPr="00950255">
        <w:rPr>
          <w:rFonts w:ascii="Times New Roman" w:eastAsia="Times New Roman" w:hAnsi="Times New Roman" w:cs="Times New Roman"/>
          <w:b/>
          <w:sz w:val="20"/>
          <w:szCs w:val="20"/>
        </w:rPr>
        <w:t>Valor UVA</w:t>
      </w:r>
      <w:r w:rsidR="002B5CAF" w:rsidRPr="00950255">
        <w:rPr>
          <w:rFonts w:ascii="Times New Roman" w:eastAsia="Times New Roman" w:hAnsi="Times New Roman" w:cs="Times New Roman"/>
          <w:b/>
          <w:sz w:val="20"/>
          <w:szCs w:val="20"/>
        </w:rPr>
        <w:t xml:space="preserve"> Inicial</w:t>
      </w:r>
      <w:r w:rsidR="00DB257D" w:rsidRPr="00950255">
        <w:rPr>
          <w:rFonts w:ascii="Times New Roman" w:eastAsia="Times New Roman" w:hAnsi="Times New Roman" w:cs="Times New Roman"/>
          <w:sz w:val="20"/>
          <w:szCs w:val="20"/>
        </w:rPr>
        <w:t>:</w:t>
      </w:r>
      <w:r w:rsidR="002B5CAF" w:rsidRPr="00950255">
        <w:rPr>
          <w:rFonts w:ascii="Times New Roman" w:eastAsia="Times New Roman" w:hAnsi="Times New Roman" w:cs="Times New Roman"/>
          <w:sz w:val="20"/>
          <w:szCs w:val="20"/>
        </w:rPr>
        <w:t xml:space="preserve"> </w:t>
      </w:r>
      <w:r w:rsidR="004A7DBA" w:rsidRPr="00950255">
        <w:rPr>
          <w:rFonts w:ascii="Times New Roman" w:eastAsia="Times New Roman" w:hAnsi="Times New Roman" w:cs="Times New Roman"/>
          <w:sz w:val="20"/>
          <w:szCs w:val="20"/>
        </w:rPr>
        <w:t xml:space="preserve">Será </w:t>
      </w:r>
      <w:r w:rsidR="004A7DBA" w:rsidRPr="00D47E83">
        <w:rPr>
          <w:rFonts w:ascii="Times New Roman" w:eastAsia="Times New Roman" w:hAnsi="Times New Roman" w:cs="Times New Roman"/>
          <w:sz w:val="20"/>
          <w:szCs w:val="20"/>
        </w:rPr>
        <w:t xml:space="preserve">de </w:t>
      </w:r>
      <w:r w:rsidR="00E50D62" w:rsidRPr="000F0D0D">
        <w:rPr>
          <w:rFonts w:ascii="Times New Roman" w:eastAsia="Times New Roman" w:hAnsi="Times New Roman" w:cs="Times New Roman"/>
          <w:sz w:val="20"/>
          <w:szCs w:val="20"/>
        </w:rPr>
        <w:t>$</w:t>
      </w:r>
      <w:r w:rsidRPr="000F0D0D">
        <w:rPr>
          <w:rFonts w:ascii="Times New Roman" w:eastAsia="Times New Roman" w:hAnsi="Times New Roman" w:cs="Times New Roman"/>
          <w:sz w:val="20"/>
          <w:szCs w:val="20"/>
        </w:rPr>
        <w:t>60,48</w:t>
      </w:r>
      <w:r w:rsidR="0000178F" w:rsidRPr="00D47E83">
        <w:rPr>
          <w:rFonts w:ascii="Times New Roman" w:eastAsia="Times New Roman" w:hAnsi="Times New Roman" w:cs="Times New Roman"/>
          <w:sz w:val="20"/>
          <w:szCs w:val="20"/>
        </w:rPr>
        <w:t xml:space="preserve"> (Pesos </w:t>
      </w:r>
      <w:r>
        <w:rPr>
          <w:rFonts w:ascii="Times New Roman" w:eastAsia="Times New Roman" w:hAnsi="Times New Roman" w:cs="Times New Roman"/>
          <w:sz w:val="20"/>
          <w:szCs w:val="20"/>
        </w:rPr>
        <w:t>sesenta con cuarenta y ocho centavos</w:t>
      </w:r>
      <w:r w:rsidRPr="00D47E83">
        <w:rPr>
          <w:rFonts w:ascii="Times New Roman" w:eastAsia="Times New Roman" w:hAnsi="Times New Roman" w:cs="Times New Roman"/>
          <w:sz w:val="20"/>
          <w:szCs w:val="20"/>
        </w:rPr>
        <w:t xml:space="preserve">), </w:t>
      </w:r>
      <w:r w:rsidR="007D6B71" w:rsidRPr="00D47E83">
        <w:rPr>
          <w:rFonts w:ascii="Times New Roman" w:eastAsia="Times New Roman" w:hAnsi="Times New Roman" w:cs="Times New Roman"/>
          <w:sz w:val="20"/>
          <w:szCs w:val="20"/>
        </w:rPr>
        <w:t>c</w:t>
      </w:r>
      <w:r w:rsidR="007D6B71" w:rsidRPr="00950255">
        <w:rPr>
          <w:rFonts w:ascii="Times New Roman" w:eastAsia="Times New Roman" w:hAnsi="Times New Roman" w:cs="Times New Roman"/>
          <w:sz w:val="20"/>
          <w:szCs w:val="20"/>
        </w:rPr>
        <w:t>orrespondiente a la cotización de la UVA publicada por el BCRA en su sitio web (</w:t>
      </w:r>
      <w:hyperlink r:id="rId16" w:history="1">
        <w:r w:rsidR="007D6B71" w:rsidRPr="00950255">
          <w:rPr>
            <w:rStyle w:val="Hipervnculo"/>
            <w:rFonts w:ascii="Times New Roman" w:eastAsia="Times New Roman" w:hAnsi="Times New Roman" w:cs="Times New Roman"/>
            <w:sz w:val="20"/>
            <w:szCs w:val="20"/>
          </w:rPr>
          <w:t>http://www.bcra.gov.ar/PublicacionesEstadisticas/Principales_variables.asp</w:t>
        </w:r>
      </w:hyperlink>
      <w:r w:rsidR="004A7DBA" w:rsidRPr="00950255">
        <w:rPr>
          <w:rFonts w:ascii="Times New Roman" w:eastAsia="Times New Roman" w:hAnsi="Times New Roman" w:cs="Times New Roman"/>
          <w:sz w:val="20"/>
          <w:szCs w:val="20"/>
        </w:rPr>
        <w:t xml:space="preserve">) para el </w:t>
      </w:r>
      <w:r w:rsidR="007341F7">
        <w:rPr>
          <w:rFonts w:ascii="Times New Roman" w:eastAsia="Times New Roman" w:hAnsi="Times New Roman" w:cs="Times New Roman"/>
          <w:sz w:val="20"/>
          <w:szCs w:val="20"/>
        </w:rPr>
        <w:t>6</w:t>
      </w:r>
      <w:r w:rsidR="001432F7" w:rsidRPr="00950255">
        <w:rPr>
          <w:rFonts w:ascii="Times New Roman" w:eastAsia="Times New Roman" w:hAnsi="Times New Roman" w:cs="Times New Roman"/>
          <w:sz w:val="20"/>
          <w:szCs w:val="20"/>
        </w:rPr>
        <w:t xml:space="preserve"> </w:t>
      </w:r>
      <w:r w:rsidR="007D6B71" w:rsidRPr="00950255">
        <w:rPr>
          <w:rFonts w:ascii="Times New Roman" w:eastAsia="Times New Roman" w:hAnsi="Times New Roman" w:cs="Times New Roman"/>
          <w:sz w:val="20"/>
          <w:szCs w:val="20"/>
        </w:rPr>
        <w:t xml:space="preserve">de </w:t>
      </w:r>
      <w:r w:rsidR="001432F7" w:rsidRPr="00950255">
        <w:rPr>
          <w:rFonts w:ascii="Times New Roman" w:eastAsia="Times New Roman" w:hAnsi="Times New Roman" w:cs="Times New Roman"/>
          <w:sz w:val="20"/>
          <w:szCs w:val="20"/>
        </w:rPr>
        <w:t xml:space="preserve">noviembre </w:t>
      </w:r>
      <w:r w:rsidR="007D6B71" w:rsidRPr="00950255">
        <w:rPr>
          <w:rFonts w:ascii="Times New Roman" w:eastAsia="Times New Roman" w:hAnsi="Times New Roman" w:cs="Times New Roman"/>
          <w:sz w:val="20"/>
          <w:szCs w:val="20"/>
        </w:rPr>
        <w:t>de 2020</w:t>
      </w:r>
      <w:r w:rsidR="00C10F75" w:rsidRPr="00950255">
        <w:rPr>
          <w:rFonts w:ascii="Times New Roman" w:eastAsia="Times New Roman" w:hAnsi="Times New Roman" w:cs="Times New Roman"/>
          <w:sz w:val="20"/>
          <w:szCs w:val="20"/>
        </w:rPr>
        <w:t>.</w:t>
      </w:r>
    </w:p>
    <w:p w:rsidR="00F53F0A" w:rsidRDefault="00F53F0A" w:rsidP="007D2D81">
      <w:pPr>
        <w:widowControl w:val="0"/>
        <w:spacing w:line="0" w:lineRule="atLeast"/>
        <w:ind w:left="0" w:firstLine="0"/>
        <w:jc w:val="both"/>
        <w:rPr>
          <w:rFonts w:ascii="Times New Roman" w:eastAsia="Times New Roman" w:hAnsi="Times New Roman" w:cs="Times New Roman"/>
          <w:sz w:val="20"/>
          <w:szCs w:val="20"/>
        </w:rPr>
      </w:pPr>
    </w:p>
    <w:p w:rsidR="00F53F0A" w:rsidRDefault="00D47E83" w:rsidP="007D2D81">
      <w:pPr>
        <w:widowControl w:val="0"/>
        <w:spacing w:line="0" w:lineRule="atLeast"/>
        <w:ind w:left="0" w:firstLine="0"/>
        <w:jc w:val="both"/>
        <w:rPr>
          <w:rFonts w:ascii="Times New Roman" w:eastAsia="Calibri" w:hAnsi="Times New Roman" w:cs="Times New Roman"/>
          <w:sz w:val="20"/>
          <w:szCs w:val="20"/>
          <w:lang w:val="es-MX" w:eastAsia="es-ES"/>
        </w:rPr>
      </w:pPr>
      <w:r w:rsidRPr="00950255">
        <w:rPr>
          <w:rFonts w:ascii="Times New Roman" w:eastAsia="Calibri" w:hAnsi="Times New Roman" w:cs="Times New Roman"/>
          <w:b/>
          <w:sz w:val="20"/>
          <w:szCs w:val="20"/>
          <w:lang w:val="es-MX" w:eastAsia="es-ES"/>
        </w:rPr>
        <w:t>1</w:t>
      </w:r>
      <w:r>
        <w:rPr>
          <w:rFonts w:ascii="Times New Roman" w:eastAsia="Calibri" w:hAnsi="Times New Roman" w:cs="Times New Roman"/>
          <w:b/>
          <w:sz w:val="20"/>
          <w:szCs w:val="20"/>
          <w:lang w:val="es-MX" w:eastAsia="es-ES"/>
        </w:rPr>
        <w:t>8</w:t>
      </w:r>
      <w:r w:rsidR="00DB257D" w:rsidRPr="00950255">
        <w:rPr>
          <w:rFonts w:ascii="Times New Roman" w:eastAsia="Calibri" w:hAnsi="Times New Roman" w:cs="Times New Roman"/>
          <w:b/>
          <w:sz w:val="20"/>
          <w:szCs w:val="20"/>
          <w:lang w:val="es-MX" w:eastAsia="es-ES"/>
        </w:rPr>
        <w:t xml:space="preserve">) Índice Sustituto: </w:t>
      </w:r>
      <w:r w:rsidR="005404EF" w:rsidRPr="00950255">
        <w:rPr>
          <w:rFonts w:ascii="Times New Roman" w:eastAsia="Calibri" w:hAnsi="Times New Roman" w:cs="Times New Roman"/>
          <w:sz w:val="20"/>
          <w:szCs w:val="20"/>
          <w:lang w:val="es-MX" w:eastAsia="es-ES"/>
        </w:rPr>
        <w:t xml:space="preserve">En caso que el BCRA dejare de publicar el valor de las UVA y/o por cualquier motivo las Obligaciones Negociables Serie I no pudieran actualizarse sobre la base de la UVA conforme con lo previsto en el </w:t>
      </w:r>
      <w:r w:rsidR="005404EF" w:rsidRPr="00950255">
        <w:rPr>
          <w:rFonts w:ascii="Times New Roman" w:eastAsia="Calibri" w:hAnsi="Times New Roman" w:cs="Times New Roman"/>
          <w:sz w:val="20"/>
          <w:szCs w:val="20"/>
          <w:lang w:val="es-MX" w:eastAsia="es-ES"/>
        </w:rPr>
        <w:lastRenderedPageBreak/>
        <w:t>Suplemento de Prospecto, a fin de calcular la actualización del capital pendiente de pago y en la medida que sea permitido por la normativa vigente, el Agente de Cálculo convertirá el monto total de Obligaciones Negociables Serie I en circulación, a Pesos, a la última cotización de las UVA publicada por el BCRA, y aplicará sobre dicho saldo desde la fecha de dicha conversión (i) el índice que la autoridad competente designe en su reemplazo, o (ii) en su defecto, la variación del CER informada por el BCRA, conforme se describe en el siguiente párrafo (el “</w:t>
      </w:r>
      <w:r w:rsidR="005404EF" w:rsidRPr="00950255">
        <w:rPr>
          <w:rFonts w:ascii="Times New Roman" w:eastAsia="Calibri" w:hAnsi="Times New Roman" w:cs="Times New Roman"/>
          <w:sz w:val="20"/>
          <w:szCs w:val="20"/>
          <w:u w:val="single"/>
          <w:lang w:val="es-MX" w:eastAsia="es-ES"/>
        </w:rPr>
        <w:t>Índice Sustituto</w:t>
      </w:r>
      <w:r w:rsidR="005404EF" w:rsidRPr="00950255">
        <w:rPr>
          <w:rFonts w:ascii="Times New Roman" w:eastAsia="Calibri" w:hAnsi="Times New Roman" w:cs="Times New Roman"/>
          <w:sz w:val="20"/>
          <w:szCs w:val="20"/>
          <w:lang w:val="es-MX" w:eastAsia="es-ES"/>
        </w:rPr>
        <w:t>”).</w:t>
      </w:r>
    </w:p>
    <w:p w:rsidR="00F53F0A" w:rsidRDefault="00F53F0A" w:rsidP="007D2D81">
      <w:pPr>
        <w:widowControl w:val="0"/>
        <w:spacing w:line="0" w:lineRule="atLeast"/>
        <w:ind w:left="0" w:firstLine="0"/>
        <w:jc w:val="both"/>
        <w:rPr>
          <w:rFonts w:ascii="Times New Roman" w:eastAsia="Calibri" w:hAnsi="Times New Roman" w:cs="Times New Roman"/>
          <w:sz w:val="20"/>
          <w:szCs w:val="20"/>
          <w:lang w:val="es-MX" w:eastAsia="es-ES"/>
        </w:rPr>
      </w:pPr>
    </w:p>
    <w:p w:rsidR="00F53F0A" w:rsidRDefault="005404EF" w:rsidP="007D2D81">
      <w:pPr>
        <w:widowControl w:val="0"/>
        <w:spacing w:line="0" w:lineRule="atLeast"/>
        <w:ind w:left="0" w:firstLine="0"/>
        <w:jc w:val="both"/>
        <w:rPr>
          <w:rFonts w:ascii="Times New Roman" w:eastAsia="Calibri" w:hAnsi="Times New Roman" w:cs="Times New Roman"/>
          <w:sz w:val="20"/>
          <w:szCs w:val="20"/>
          <w:lang w:eastAsia="es-ES"/>
        </w:rPr>
      </w:pPr>
      <w:r w:rsidRPr="00950255">
        <w:rPr>
          <w:rFonts w:ascii="Times New Roman" w:eastAsia="Calibri" w:hAnsi="Times New Roman" w:cs="Times New Roman"/>
          <w:sz w:val="20"/>
          <w:szCs w:val="20"/>
          <w:lang w:val="es-MX" w:eastAsia="es-ES"/>
        </w:rPr>
        <w:t xml:space="preserve">Para el supuesto del punto (ii) anterior, se considerará la cotización del CER publicada por el BCRA en su sitio </w:t>
      </w:r>
      <w:r w:rsidRPr="00950255">
        <w:rPr>
          <w:rFonts w:ascii="Times New Roman" w:eastAsia="Calibri" w:hAnsi="Times New Roman" w:cs="Times New Roman"/>
          <w:i/>
          <w:sz w:val="20"/>
          <w:szCs w:val="20"/>
          <w:lang w:val="es-MX" w:eastAsia="es-ES"/>
        </w:rPr>
        <w:t>web</w:t>
      </w:r>
      <w:r w:rsidRPr="00950255">
        <w:rPr>
          <w:rFonts w:ascii="Times New Roman" w:eastAsia="Calibri" w:hAnsi="Times New Roman" w:cs="Times New Roman"/>
          <w:sz w:val="20"/>
          <w:szCs w:val="20"/>
          <w:lang w:val="es-MX" w:eastAsia="es-ES"/>
        </w:rPr>
        <w:t xml:space="preserve"> (http://www.bcra.gov.ar/PublicacionesEstadisticas/Principales_variables.asp) correspondiente a la Fecha de Pago de Intereses correspondiente a las Obligaciones Negociables Serie I y/o la Fecha de Amortización de las Obligaciones Negociables Serie I y/o la Fecha de Vencimiento de las Obligaciones Negociables Serie I, según corresponda; estableciéndose, sin embargo, que respecto de la primera Fecha de Pago de Intereses o Fecha de Pago de Amortización correspondientes a las Obligaciones Negociables Serie I posterior a la conversión del capital referida, se utilizará la diferencia entre el valor del CER publicado por el BCRA en la fecha de la conversión del capital en Pesos y la última cotización que hubiera sido publicada en forma previa a dicha Fecha de Pago de Intereses correspondiente a las Obligaciones Negociables Serie I o Fecha de Amortización de las Obligaciones Negociables Serie I.</w:t>
      </w:r>
    </w:p>
    <w:p w:rsidR="00F53F0A" w:rsidRDefault="00F53F0A" w:rsidP="007D2D81">
      <w:pPr>
        <w:widowControl w:val="0"/>
        <w:spacing w:line="0" w:lineRule="atLeast"/>
        <w:ind w:left="0" w:firstLine="0"/>
        <w:jc w:val="both"/>
        <w:rPr>
          <w:rFonts w:ascii="Times New Roman" w:eastAsia="Calibri" w:hAnsi="Times New Roman" w:cs="Times New Roman"/>
          <w:sz w:val="20"/>
          <w:szCs w:val="20"/>
          <w:lang w:val="es-MX" w:eastAsia="es-ES"/>
        </w:rPr>
      </w:pPr>
    </w:p>
    <w:p w:rsidR="00F53F0A" w:rsidRDefault="005404EF" w:rsidP="007D2D81">
      <w:pPr>
        <w:widowControl w:val="0"/>
        <w:spacing w:line="0" w:lineRule="atLeast"/>
        <w:ind w:left="0" w:firstLine="0"/>
        <w:jc w:val="both"/>
        <w:rPr>
          <w:rFonts w:ascii="Times New Roman" w:eastAsia="Times New Roman" w:hAnsi="Times New Roman" w:cs="Times New Roman"/>
          <w:sz w:val="20"/>
          <w:szCs w:val="20"/>
        </w:rPr>
      </w:pPr>
      <w:r w:rsidRPr="00950255">
        <w:rPr>
          <w:rFonts w:ascii="Times New Roman" w:eastAsia="Calibri" w:hAnsi="Times New Roman" w:cs="Times New Roman"/>
          <w:sz w:val="20"/>
          <w:szCs w:val="20"/>
          <w:lang w:val="es-MX" w:eastAsia="es-ES"/>
        </w:rPr>
        <w:t>La actualización de capital será informada junto con la tasa de interés aplicable en el aviso de pago respectivo, que deberá ser oportunamente publicado por la Emisora en la Página Web de la CNV, en el Boletín Diario de la BCBA y en los sistemas de información del MAE</w:t>
      </w:r>
      <w:r w:rsidR="001432F7" w:rsidRPr="00950255">
        <w:rPr>
          <w:rFonts w:ascii="Times New Roman" w:eastAsia="Calibri" w:hAnsi="Times New Roman" w:cs="Times New Roman"/>
          <w:sz w:val="20"/>
          <w:szCs w:val="20"/>
          <w:lang w:val="es-MX" w:eastAsia="es-ES"/>
        </w:rPr>
        <w:t>.</w:t>
      </w:r>
      <w:r w:rsidRPr="00950255" w:rsidDel="005404EF">
        <w:rPr>
          <w:rFonts w:ascii="Times New Roman" w:eastAsia="Calibri" w:hAnsi="Times New Roman" w:cs="Times New Roman"/>
          <w:sz w:val="20"/>
          <w:szCs w:val="20"/>
          <w:highlight w:val="yellow"/>
          <w:lang w:val="es-MX" w:eastAsia="es-ES"/>
        </w:rPr>
        <w:t xml:space="preserve"> </w:t>
      </w:r>
    </w:p>
    <w:p w:rsidR="00F53F0A" w:rsidRDefault="00F53F0A" w:rsidP="007D2D81">
      <w:pPr>
        <w:widowControl w:val="0"/>
        <w:spacing w:line="0" w:lineRule="atLeast"/>
        <w:ind w:left="0" w:firstLine="0"/>
        <w:jc w:val="both"/>
        <w:rPr>
          <w:rFonts w:ascii="Times New Roman" w:eastAsia="Times New Roman" w:hAnsi="Times New Roman" w:cs="Times New Roman"/>
          <w:sz w:val="20"/>
          <w:szCs w:val="20"/>
          <w:lang w:val="es-ES_tradnl"/>
        </w:rPr>
      </w:pPr>
    </w:p>
    <w:p w:rsidR="00F53F0A" w:rsidRDefault="00D47E83" w:rsidP="007D2D81">
      <w:pPr>
        <w:widowControl w:val="0"/>
        <w:spacing w:line="0" w:lineRule="atLeast"/>
        <w:ind w:left="0" w:firstLine="0"/>
        <w:contextualSpacing/>
        <w:jc w:val="both"/>
        <w:rPr>
          <w:rFonts w:ascii="Times New Roman" w:eastAsia="Times New Roman" w:hAnsi="Times New Roman" w:cs="Times New Roman"/>
          <w:bCs/>
          <w:sz w:val="20"/>
          <w:szCs w:val="20"/>
          <w:lang w:val="es-ES_tradnl"/>
        </w:rPr>
      </w:pPr>
      <w:r w:rsidRPr="00950255">
        <w:rPr>
          <w:rFonts w:ascii="Times New Roman" w:eastAsia="Times New Roman" w:hAnsi="Times New Roman" w:cs="Times New Roman"/>
          <w:b/>
          <w:bCs/>
          <w:sz w:val="20"/>
          <w:szCs w:val="20"/>
          <w:lang w:val="es-ES_tradnl"/>
        </w:rPr>
        <w:t>1</w:t>
      </w:r>
      <w:r>
        <w:rPr>
          <w:rFonts w:ascii="Times New Roman" w:eastAsia="Times New Roman" w:hAnsi="Times New Roman" w:cs="Times New Roman"/>
          <w:b/>
          <w:bCs/>
          <w:sz w:val="20"/>
          <w:szCs w:val="20"/>
          <w:lang w:val="es-ES_tradnl"/>
        </w:rPr>
        <w:t>9</w:t>
      </w:r>
      <w:r w:rsidR="00DB257D" w:rsidRPr="00950255">
        <w:rPr>
          <w:rFonts w:ascii="Times New Roman" w:eastAsia="Times New Roman" w:hAnsi="Times New Roman" w:cs="Times New Roman"/>
          <w:b/>
          <w:bCs/>
          <w:sz w:val="20"/>
          <w:szCs w:val="20"/>
          <w:lang w:val="es-ES_tradnl"/>
        </w:rPr>
        <w:t>) Precio de Suscripción:</w:t>
      </w:r>
      <w:r w:rsidR="00DB257D" w:rsidRPr="00950255">
        <w:rPr>
          <w:rFonts w:ascii="Times New Roman" w:eastAsia="Times New Roman" w:hAnsi="Times New Roman" w:cs="Times New Roman"/>
          <w:bCs/>
          <w:sz w:val="20"/>
          <w:szCs w:val="20"/>
          <w:lang w:val="es-ES_tradnl"/>
        </w:rPr>
        <w:t xml:space="preserve"> 100% del valor nominal.</w:t>
      </w:r>
    </w:p>
    <w:p w:rsidR="00F53F0A" w:rsidRDefault="00F53F0A" w:rsidP="007D2D81">
      <w:pPr>
        <w:widowControl w:val="0"/>
        <w:spacing w:line="0" w:lineRule="atLeast"/>
        <w:ind w:left="0" w:firstLine="0"/>
        <w:jc w:val="both"/>
        <w:rPr>
          <w:rFonts w:ascii="Times New Roman" w:eastAsia="Times New Roman" w:hAnsi="Times New Roman" w:cs="Times New Roman"/>
          <w:sz w:val="20"/>
          <w:szCs w:val="20"/>
          <w:lang w:val="es-ES_tradnl"/>
        </w:rPr>
      </w:pPr>
    </w:p>
    <w:p w:rsidR="00F53F0A" w:rsidRDefault="00D47E83" w:rsidP="007D2D81">
      <w:pPr>
        <w:spacing w:line="0" w:lineRule="atLeast"/>
        <w:ind w:left="0" w:firstLine="0"/>
        <w:jc w:val="both"/>
        <w:rPr>
          <w:rFonts w:ascii="Times New Roman" w:eastAsia="Calibri" w:hAnsi="Times New Roman" w:cs="Times New Roman"/>
          <w:bCs/>
          <w:sz w:val="20"/>
          <w:szCs w:val="20"/>
          <w:lang w:val="es-ES_tradnl"/>
        </w:rPr>
      </w:pPr>
      <w:r>
        <w:rPr>
          <w:rFonts w:ascii="Times New Roman" w:eastAsia="Calibri" w:hAnsi="Times New Roman" w:cs="Times New Roman"/>
          <w:b/>
          <w:bCs/>
          <w:sz w:val="20"/>
          <w:szCs w:val="20"/>
          <w:lang w:val="es-ES_tradnl"/>
        </w:rPr>
        <w:t>20</w:t>
      </w:r>
      <w:r w:rsidR="00DB257D" w:rsidRPr="00950255">
        <w:rPr>
          <w:rFonts w:ascii="Times New Roman" w:eastAsia="Calibri" w:hAnsi="Times New Roman" w:cs="Times New Roman"/>
          <w:b/>
          <w:bCs/>
          <w:sz w:val="20"/>
          <w:szCs w:val="20"/>
          <w:lang w:val="es-ES_tradnl"/>
        </w:rPr>
        <w:t xml:space="preserve">) Tramo Competitivo y Tramo No Competitivo: </w:t>
      </w:r>
      <w:r w:rsidR="00C03810" w:rsidRPr="00950255">
        <w:rPr>
          <w:rFonts w:ascii="Times New Roman" w:eastAsia="Calibri" w:hAnsi="Times New Roman" w:cs="Times New Roman"/>
          <w:bCs/>
          <w:sz w:val="20"/>
          <w:szCs w:val="20"/>
        </w:rPr>
        <w:t>Constituirán Ofertas que conformarán el Tramo Competitivo de las Obligaciones Negociables Serie I, las Ofertas que indiquen una Tasa Solicitada y de las Obligaciones Negociables Serie II, las Ofertas que indiquen un Margen Solicitado.</w:t>
      </w:r>
      <w:r w:rsidR="00B4719E" w:rsidRPr="00950255">
        <w:rPr>
          <w:rFonts w:ascii="Times New Roman" w:eastAsia="Calibri" w:hAnsi="Times New Roman" w:cs="Times New Roman"/>
          <w:bCs/>
          <w:sz w:val="20"/>
          <w:szCs w:val="20"/>
          <w:lang w:val="es-ES_tradnl"/>
        </w:rPr>
        <w:t xml:space="preserve"> Sólo se aceptarán Ofertas para el Tramo Competitivo de las Obligaciones Negociables Serie I</w:t>
      </w:r>
      <w:r w:rsidR="00C03810" w:rsidRPr="00950255">
        <w:rPr>
          <w:rFonts w:ascii="Times New Roman" w:eastAsia="Calibri" w:hAnsi="Times New Roman" w:cs="Times New Roman"/>
          <w:bCs/>
          <w:sz w:val="20"/>
          <w:szCs w:val="20"/>
          <w:lang w:val="es-ES_tradnl"/>
        </w:rPr>
        <w:t xml:space="preserve"> aquellas que indiquen un valor nominal igual o mayor a </w:t>
      </w:r>
      <w:r w:rsidR="00CE142A" w:rsidRPr="00CE142A">
        <w:rPr>
          <w:rFonts w:ascii="Times New Roman" w:eastAsia="Calibri" w:hAnsi="Times New Roman" w:cs="Times New Roman"/>
          <w:bCs/>
          <w:sz w:val="20"/>
          <w:szCs w:val="20"/>
          <w:lang w:val="es-ES_tradnl"/>
        </w:rPr>
        <w:t>16.</w:t>
      </w:r>
      <w:r w:rsidR="000F0D0D">
        <w:rPr>
          <w:rFonts w:ascii="Times New Roman" w:eastAsia="Calibri" w:hAnsi="Times New Roman" w:cs="Times New Roman"/>
          <w:bCs/>
          <w:sz w:val="20"/>
          <w:szCs w:val="20"/>
          <w:lang w:val="es-ES_tradnl"/>
        </w:rPr>
        <w:t>5</w:t>
      </w:r>
      <w:r w:rsidR="00CE142A" w:rsidRPr="00CE142A">
        <w:rPr>
          <w:rFonts w:ascii="Times New Roman" w:eastAsia="Calibri" w:hAnsi="Times New Roman" w:cs="Times New Roman"/>
          <w:bCs/>
          <w:sz w:val="20"/>
          <w:szCs w:val="20"/>
          <w:lang w:val="es-ES_tradnl"/>
        </w:rPr>
        <w:t>00</w:t>
      </w:r>
      <w:r w:rsidR="00C03810" w:rsidRPr="00D844AF">
        <w:rPr>
          <w:rFonts w:ascii="Times New Roman" w:hAnsi="Times New Roman"/>
          <w:sz w:val="20"/>
          <w:lang w:val="es-ES"/>
        </w:rPr>
        <w:t xml:space="preserve"> </w:t>
      </w:r>
      <w:r w:rsidR="00C03810" w:rsidRPr="00D844AF">
        <w:rPr>
          <w:rFonts w:ascii="Times New Roman" w:hAnsi="Times New Roman"/>
          <w:sz w:val="20"/>
          <w:lang w:val="es-ES_tradnl"/>
        </w:rPr>
        <w:t>UVAs.</w:t>
      </w:r>
      <w:r w:rsidR="00B4719E" w:rsidRPr="00950255">
        <w:rPr>
          <w:rFonts w:ascii="Times New Roman" w:eastAsia="Calibri" w:hAnsi="Times New Roman" w:cs="Times New Roman"/>
          <w:bCs/>
          <w:sz w:val="20"/>
          <w:szCs w:val="20"/>
          <w:lang w:val="es-ES_tradnl"/>
        </w:rPr>
        <w:t xml:space="preserve"> Asimismo, solo se aceptarán Ofertas para el Tramo Competitivo de las Obligaciones Negociables Serie II </w:t>
      </w:r>
      <w:r w:rsidR="00C03810" w:rsidRPr="00950255">
        <w:rPr>
          <w:rFonts w:ascii="Times New Roman" w:eastAsia="Calibri" w:hAnsi="Times New Roman" w:cs="Times New Roman"/>
          <w:bCs/>
          <w:sz w:val="20"/>
          <w:szCs w:val="20"/>
          <w:lang w:val="es-ES_tradnl"/>
        </w:rPr>
        <w:t xml:space="preserve">aquellas que indiquen un valor nominal igual o mayor a </w:t>
      </w:r>
      <w:r w:rsidR="007D64C2" w:rsidRPr="00950255">
        <w:rPr>
          <w:rFonts w:ascii="Times New Roman" w:eastAsia="Calibri" w:hAnsi="Times New Roman" w:cs="Times New Roman"/>
          <w:bCs/>
          <w:sz w:val="20"/>
          <w:szCs w:val="20"/>
          <w:lang w:val="es-ES_tradnl"/>
        </w:rPr>
        <w:t>$1.000.000 (Pesos un millón)</w:t>
      </w:r>
      <w:r w:rsidR="0077072D" w:rsidRPr="00950255">
        <w:rPr>
          <w:rFonts w:ascii="Times New Roman" w:eastAsia="Calibri" w:hAnsi="Times New Roman" w:cs="Times New Roman"/>
          <w:bCs/>
          <w:sz w:val="20"/>
          <w:szCs w:val="20"/>
          <w:lang w:val="es-ES_tradnl"/>
        </w:rPr>
        <w:t>.</w:t>
      </w:r>
      <w:r w:rsidR="00B4719E" w:rsidRPr="00950255">
        <w:rPr>
          <w:rFonts w:ascii="Times New Roman" w:eastAsia="Calibri" w:hAnsi="Times New Roman" w:cs="Times New Roman"/>
          <w:bCs/>
          <w:sz w:val="20"/>
          <w:szCs w:val="20"/>
          <w:lang w:val="es-ES_tradnl"/>
        </w:rPr>
        <w:t xml:space="preserve"> Solo las Ofertas que conformen el Tramo Competitivo se tomarán en cuenta para la determinación de</w:t>
      </w:r>
      <w:r w:rsidR="00C03810" w:rsidRPr="00950255">
        <w:rPr>
          <w:rFonts w:ascii="Times New Roman" w:eastAsia="Calibri" w:hAnsi="Times New Roman" w:cs="Times New Roman"/>
          <w:bCs/>
          <w:sz w:val="20"/>
          <w:szCs w:val="20"/>
          <w:lang w:val="es-ES_tradnl"/>
        </w:rPr>
        <w:t xml:space="preserve"> </w:t>
      </w:r>
      <w:r w:rsidR="00B4719E" w:rsidRPr="00950255">
        <w:rPr>
          <w:rFonts w:ascii="Times New Roman" w:eastAsia="Calibri" w:hAnsi="Times New Roman" w:cs="Times New Roman"/>
          <w:bCs/>
          <w:sz w:val="20"/>
          <w:szCs w:val="20"/>
          <w:lang w:val="es-ES_tradnl"/>
        </w:rPr>
        <w:t>l</w:t>
      </w:r>
      <w:r w:rsidR="00C03810" w:rsidRPr="00950255">
        <w:rPr>
          <w:rFonts w:ascii="Times New Roman" w:eastAsia="Calibri" w:hAnsi="Times New Roman" w:cs="Times New Roman"/>
          <w:bCs/>
          <w:sz w:val="20"/>
          <w:szCs w:val="20"/>
          <w:lang w:val="es-ES_tradnl"/>
        </w:rPr>
        <w:t>a Tasa Aplicable</w:t>
      </w:r>
      <w:r w:rsidR="00B4719E" w:rsidRPr="00950255">
        <w:rPr>
          <w:rFonts w:ascii="Times New Roman" w:eastAsia="Calibri" w:hAnsi="Times New Roman" w:cs="Times New Roman"/>
          <w:bCs/>
          <w:sz w:val="20"/>
          <w:szCs w:val="20"/>
          <w:lang w:val="es-ES_tradnl"/>
        </w:rPr>
        <w:t xml:space="preserve"> de la Serie I y </w:t>
      </w:r>
      <w:r w:rsidR="00C03810" w:rsidRPr="00950255">
        <w:rPr>
          <w:rFonts w:ascii="Times New Roman" w:eastAsia="Calibri" w:hAnsi="Times New Roman" w:cs="Times New Roman"/>
          <w:bCs/>
          <w:sz w:val="20"/>
          <w:szCs w:val="20"/>
          <w:lang w:val="es-ES_tradnl"/>
        </w:rPr>
        <w:t>el Margen de Corte</w:t>
      </w:r>
      <w:r w:rsidR="00B4719E" w:rsidRPr="00950255">
        <w:rPr>
          <w:rFonts w:ascii="Times New Roman" w:eastAsia="Calibri" w:hAnsi="Times New Roman" w:cs="Times New Roman"/>
          <w:bCs/>
          <w:sz w:val="20"/>
          <w:szCs w:val="20"/>
          <w:lang w:val="es-ES_tradnl"/>
        </w:rPr>
        <w:t xml:space="preserve"> de la Serie II, según corresponda. </w:t>
      </w:r>
    </w:p>
    <w:p w:rsidR="00F53F0A" w:rsidRDefault="00F53F0A" w:rsidP="007D2D81">
      <w:pPr>
        <w:spacing w:line="0" w:lineRule="atLeast"/>
        <w:ind w:left="0" w:firstLine="0"/>
        <w:jc w:val="both"/>
        <w:rPr>
          <w:rFonts w:ascii="Times New Roman" w:eastAsia="Calibri" w:hAnsi="Times New Roman" w:cs="Times New Roman"/>
          <w:iCs/>
          <w:sz w:val="20"/>
          <w:szCs w:val="20"/>
        </w:rPr>
      </w:pPr>
    </w:p>
    <w:p w:rsidR="00F53F0A" w:rsidRDefault="00C03810" w:rsidP="007D2D81">
      <w:pPr>
        <w:spacing w:line="0" w:lineRule="atLeast"/>
        <w:ind w:left="0" w:firstLine="0"/>
        <w:jc w:val="both"/>
        <w:rPr>
          <w:rFonts w:ascii="Times New Roman" w:eastAsia="Times New Roman" w:hAnsi="Times New Roman" w:cs="Times New Roman"/>
          <w:color w:val="000000"/>
          <w:sz w:val="20"/>
          <w:szCs w:val="20"/>
        </w:rPr>
      </w:pPr>
      <w:r w:rsidRPr="00950255">
        <w:rPr>
          <w:rFonts w:ascii="Times New Roman" w:eastAsia="Times New Roman" w:hAnsi="Times New Roman" w:cs="Times New Roman"/>
          <w:color w:val="000000"/>
          <w:sz w:val="20"/>
          <w:szCs w:val="20"/>
        </w:rPr>
        <w:t xml:space="preserve">Constituirán Ofertas que conformarán el Tramo No Competitivo de las Obligaciones Negociables Serie I, las que no indiquen una Tasa Solicitada y, asimismo, conformarán el Tramo No Competitivo de las Obligaciones Negociables Serie II, las Ofertas que no indiquen un Margen Solicitado. Las Ofertas que conformen el Tramo No Competitivo no se tomarán en cuenta para la determinación de la Tasa Aplicable para el caso de las Obligaciones Negociables Serie I, o para la determinación del Margen de Corte en el caso de las Obligaciones Negociables Serie II. </w:t>
      </w:r>
      <w:r w:rsidRPr="00950255">
        <w:rPr>
          <w:rFonts w:ascii="Times New Roman" w:eastAsia="Times New Roman" w:hAnsi="Times New Roman" w:cs="Times New Roman"/>
          <w:sz w:val="20"/>
          <w:szCs w:val="20"/>
        </w:rPr>
        <w:t xml:space="preserve">A las </w:t>
      </w:r>
      <w:r w:rsidRPr="00950255">
        <w:rPr>
          <w:rFonts w:ascii="Times New Roman" w:eastAsia="Times New Roman" w:hAnsi="Times New Roman" w:cs="Times New Roman"/>
          <w:color w:val="000000"/>
          <w:sz w:val="20"/>
          <w:szCs w:val="20"/>
        </w:rPr>
        <w:t>Ofertas</w:t>
      </w:r>
      <w:r w:rsidRPr="00950255">
        <w:rPr>
          <w:rFonts w:ascii="Times New Roman" w:eastAsia="Times New Roman" w:hAnsi="Times New Roman" w:cs="Times New Roman"/>
          <w:sz w:val="20"/>
          <w:szCs w:val="20"/>
        </w:rPr>
        <w:t xml:space="preserve"> que conformen el Tramo No Competitivo se les aplicará la Tasa Aplicable o el Margen de Corte, según corresponda, que finalmente se determine bajo el Tramo Competitivo de la Serie que se trate.</w:t>
      </w:r>
      <w:r w:rsidR="00B4719E" w:rsidRPr="00950255">
        <w:rPr>
          <w:rFonts w:ascii="Times New Roman" w:eastAsia="Calibri" w:hAnsi="Times New Roman" w:cs="Times New Roman"/>
          <w:iCs/>
          <w:sz w:val="20"/>
          <w:szCs w:val="20"/>
        </w:rPr>
        <w:t xml:space="preserve"> </w:t>
      </w:r>
      <w:r w:rsidR="00C90190" w:rsidRPr="00950255">
        <w:rPr>
          <w:rFonts w:ascii="Times New Roman" w:eastAsia="Calibri" w:hAnsi="Times New Roman" w:cs="Times New Roman"/>
          <w:sz w:val="20"/>
          <w:szCs w:val="20"/>
          <w:lang w:val="es-ES"/>
        </w:rPr>
        <w:t>Para más información al respecto, véase “</w:t>
      </w:r>
      <w:r w:rsidRPr="00950255">
        <w:rPr>
          <w:rFonts w:ascii="Times New Roman" w:eastAsia="Calibri" w:hAnsi="Times New Roman" w:cs="Times New Roman"/>
          <w:i/>
          <w:iCs/>
          <w:sz w:val="20"/>
          <w:szCs w:val="20"/>
        </w:rPr>
        <w:t>Determinación del Margen de Corte y de la Tasa Aplicable de las Obligaciones Negociables Clase XVIII</w:t>
      </w:r>
      <w:r w:rsidR="00C90190" w:rsidRPr="00950255">
        <w:rPr>
          <w:rFonts w:ascii="Times New Roman" w:eastAsia="Calibri" w:hAnsi="Times New Roman" w:cs="Times New Roman"/>
          <w:i/>
          <w:iCs/>
          <w:sz w:val="20"/>
          <w:szCs w:val="20"/>
        </w:rPr>
        <w:t>”</w:t>
      </w:r>
      <w:r w:rsidR="00C90190" w:rsidRPr="00950255">
        <w:rPr>
          <w:rFonts w:ascii="Times New Roman" w:eastAsia="Calibri" w:hAnsi="Times New Roman" w:cs="Times New Roman"/>
          <w:iCs/>
          <w:sz w:val="20"/>
          <w:szCs w:val="20"/>
        </w:rPr>
        <w:t xml:space="preserve"> del Suplemento de Prospecto.</w:t>
      </w:r>
    </w:p>
    <w:p w:rsidR="00F53F0A" w:rsidRDefault="00F53F0A" w:rsidP="007D2D81">
      <w:pPr>
        <w:widowControl w:val="0"/>
        <w:spacing w:line="0" w:lineRule="atLeast"/>
        <w:ind w:left="0" w:firstLine="0"/>
        <w:contextualSpacing/>
        <w:jc w:val="both"/>
        <w:rPr>
          <w:rFonts w:ascii="Times New Roman" w:eastAsia="Times New Roman" w:hAnsi="Times New Roman" w:cs="Times New Roman"/>
          <w:b/>
          <w:bCs/>
          <w:sz w:val="20"/>
          <w:szCs w:val="20"/>
          <w:lang w:val="es-ES_tradnl"/>
        </w:rPr>
      </w:pPr>
    </w:p>
    <w:p w:rsidR="00F53F0A" w:rsidRDefault="00D47E83" w:rsidP="007D2D81">
      <w:pPr>
        <w:widowControl w:val="0"/>
        <w:spacing w:line="0" w:lineRule="atLeast"/>
        <w:ind w:left="0" w:firstLine="0"/>
        <w:jc w:val="both"/>
        <w:rPr>
          <w:rFonts w:ascii="Times New Roman" w:eastAsia="Times New Roman" w:hAnsi="Times New Roman" w:cs="Times New Roman"/>
          <w:sz w:val="20"/>
          <w:szCs w:val="20"/>
        </w:rPr>
      </w:pPr>
      <w:r w:rsidRPr="00950255">
        <w:rPr>
          <w:rFonts w:ascii="Times New Roman" w:eastAsia="Times New Roman" w:hAnsi="Times New Roman" w:cs="Times New Roman"/>
          <w:b/>
          <w:bCs/>
          <w:sz w:val="20"/>
          <w:szCs w:val="20"/>
          <w:lang w:val="es-ES_tradnl"/>
        </w:rPr>
        <w:t>2</w:t>
      </w:r>
      <w:r>
        <w:rPr>
          <w:rFonts w:ascii="Times New Roman" w:eastAsia="Times New Roman" w:hAnsi="Times New Roman" w:cs="Times New Roman"/>
          <w:b/>
          <w:bCs/>
          <w:sz w:val="20"/>
          <w:szCs w:val="20"/>
          <w:lang w:val="es-ES_tradnl"/>
        </w:rPr>
        <w:t>1</w:t>
      </w:r>
      <w:r w:rsidR="00DB257D" w:rsidRPr="00950255">
        <w:rPr>
          <w:rFonts w:ascii="Times New Roman" w:eastAsia="Times New Roman" w:hAnsi="Times New Roman" w:cs="Times New Roman"/>
          <w:b/>
          <w:bCs/>
          <w:sz w:val="20"/>
          <w:szCs w:val="20"/>
          <w:lang w:val="es-ES_tradnl"/>
        </w:rPr>
        <w:t>) Fecha de Vencimiento de las Obligaciones Negociables Serie I:</w:t>
      </w:r>
      <w:r w:rsidR="00DB257D" w:rsidRPr="00950255">
        <w:rPr>
          <w:rFonts w:ascii="Times New Roman" w:eastAsia="Times New Roman" w:hAnsi="Times New Roman" w:cs="Times New Roman"/>
          <w:bCs/>
          <w:sz w:val="20"/>
          <w:szCs w:val="20"/>
          <w:lang w:val="es-ES_tradnl"/>
        </w:rPr>
        <w:t xml:space="preserve"> </w:t>
      </w:r>
      <w:r w:rsidR="00DB257D" w:rsidRPr="00950255">
        <w:rPr>
          <w:rFonts w:ascii="Times New Roman" w:eastAsia="Times New Roman" w:hAnsi="Times New Roman" w:cs="Times New Roman"/>
          <w:sz w:val="20"/>
          <w:szCs w:val="20"/>
        </w:rPr>
        <w:t xml:space="preserve">las Obligaciones Negociables Serie I vencerán a los </w:t>
      </w:r>
      <w:r w:rsidR="007341F7">
        <w:rPr>
          <w:rFonts w:ascii="Times New Roman" w:eastAsia="Times New Roman" w:hAnsi="Times New Roman" w:cs="Times New Roman"/>
          <w:bCs/>
          <w:smallCaps/>
          <w:sz w:val="20"/>
          <w:szCs w:val="20"/>
        </w:rPr>
        <w:t>24</w:t>
      </w:r>
      <w:r w:rsidR="007341F7" w:rsidRPr="00950255">
        <w:rPr>
          <w:rFonts w:ascii="Times New Roman" w:eastAsia="Times New Roman" w:hAnsi="Times New Roman" w:cs="Times New Roman"/>
          <w:sz w:val="20"/>
          <w:szCs w:val="20"/>
        </w:rPr>
        <w:t xml:space="preserve"> </w:t>
      </w:r>
      <w:r w:rsidR="00DB257D" w:rsidRPr="00950255">
        <w:rPr>
          <w:rFonts w:ascii="Times New Roman" w:eastAsia="Times New Roman" w:hAnsi="Times New Roman" w:cs="Times New Roman"/>
          <w:sz w:val="20"/>
          <w:szCs w:val="20"/>
        </w:rPr>
        <w:t>(</w:t>
      </w:r>
      <w:r w:rsidR="007341F7">
        <w:rPr>
          <w:rFonts w:ascii="Times New Roman" w:eastAsia="Times New Roman" w:hAnsi="Times New Roman" w:cs="Times New Roman"/>
          <w:sz w:val="20"/>
          <w:szCs w:val="20"/>
        </w:rPr>
        <w:t>veinticuatro</w:t>
      </w:r>
      <w:r w:rsidR="00DB257D" w:rsidRPr="00950255">
        <w:rPr>
          <w:rFonts w:ascii="Times New Roman" w:eastAsia="Times New Roman" w:hAnsi="Times New Roman" w:cs="Times New Roman"/>
          <w:sz w:val="20"/>
          <w:szCs w:val="20"/>
        </w:rPr>
        <w:t xml:space="preserve">) meses computados desde la Fecha de Emisión y Liquidación, en la fecha que sea un número de día idéntico a la Fecha de Emisión y Liquidación, pero del correspondiente mes, o el Día Hábil inmediato posterior si dicha fecha no fuese un Día Hábil. </w:t>
      </w:r>
    </w:p>
    <w:p w:rsidR="00F53F0A" w:rsidRDefault="00F53F0A" w:rsidP="007D2D81">
      <w:pPr>
        <w:widowControl w:val="0"/>
        <w:spacing w:line="0" w:lineRule="atLeast"/>
        <w:ind w:left="0" w:firstLine="0"/>
        <w:jc w:val="both"/>
        <w:rPr>
          <w:rFonts w:ascii="Times New Roman" w:eastAsia="Times New Roman" w:hAnsi="Times New Roman" w:cs="Times New Roman"/>
          <w:sz w:val="20"/>
          <w:szCs w:val="20"/>
        </w:rPr>
      </w:pPr>
    </w:p>
    <w:p w:rsidR="00F53F0A" w:rsidRDefault="00D47E83" w:rsidP="007D2D81">
      <w:pPr>
        <w:widowControl w:val="0"/>
        <w:spacing w:line="0" w:lineRule="atLeast"/>
        <w:ind w:left="0" w:firstLine="0"/>
        <w:jc w:val="both"/>
        <w:rPr>
          <w:rFonts w:ascii="Times New Roman" w:eastAsia="Times New Roman" w:hAnsi="Times New Roman" w:cs="Times New Roman"/>
          <w:sz w:val="20"/>
          <w:szCs w:val="20"/>
        </w:rPr>
      </w:pPr>
      <w:r w:rsidRPr="00950255">
        <w:rPr>
          <w:rFonts w:ascii="Times New Roman" w:eastAsia="Times New Roman" w:hAnsi="Times New Roman" w:cs="Times New Roman"/>
          <w:b/>
          <w:sz w:val="20"/>
          <w:szCs w:val="20"/>
        </w:rPr>
        <w:t>2</w:t>
      </w:r>
      <w:r>
        <w:rPr>
          <w:rFonts w:ascii="Times New Roman" w:eastAsia="Times New Roman" w:hAnsi="Times New Roman" w:cs="Times New Roman"/>
          <w:b/>
          <w:sz w:val="20"/>
          <w:szCs w:val="20"/>
        </w:rPr>
        <w:t>2</w:t>
      </w:r>
      <w:r w:rsidR="00DB257D" w:rsidRPr="00950255">
        <w:rPr>
          <w:rFonts w:ascii="Times New Roman" w:eastAsia="Times New Roman" w:hAnsi="Times New Roman" w:cs="Times New Roman"/>
          <w:b/>
          <w:sz w:val="20"/>
          <w:szCs w:val="20"/>
        </w:rPr>
        <w:t xml:space="preserve">) Fecha de Vencimiento de las Obligaciones Negociables Serie II: </w:t>
      </w:r>
      <w:r w:rsidR="00DB257D" w:rsidRPr="00950255">
        <w:rPr>
          <w:rFonts w:ascii="Times New Roman" w:eastAsia="Times New Roman" w:hAnsi="Times New Roman" w:cs="Times New Roman"/>
          <w:sz w:val="20"/>
          <w:szCs w:val="20"/>
        </w:rPr>
        <w:t xml:space="preserve">Las Obligaciones Negociables Serie II vencerán a los </w:t>
      </w:r>
      <w:r w:rsidR="00C03810" w:rsidRPr="00950255">
        <w:rPr>
          <w:rFonts w:ascii="Times New Roman" w:eastAsia="Times New Roman" w:hAnsi="Times New Roman" w:cs="Times New Roman"/>
          <w:bCs/>
          <w:smallCaps/>
          <w:sz w:val="20"/>
          <w:szCs w:val="20"/>
        </w:rPr>
        <w:t xml:space="preserve">12 </w:t>
      </w:r>
      <w:r w:rsidR="00DB257D" w:rsidRPr="00950255">
        <w:rPr>
          <w:rFonts w:ascii="Times New Roman" w:eastAsia="Times New Roman" w:hAnsi="Times New Roman" w:cs="Times New Roman"/>
          <w:sz w:val="20"/>
          <w:szCs w:val="20"/>
        </w:rPr>
        <w:t>(</w:t>
      </w:r>
      <w:r w:rsidR="00C03810" w:rsidRPr="00950255">
        <w:rPr>
          <w:rFonts w:ascii="Times New Roman" w:eastAsia="Times New Roman" w:hAnsi="Times New Roman" w:cs="Times New Roman"/>
          <w:sz w:val="20"/>
          <w:szCs w:val="20"/>
        </w:rPr>
        <w:t>doce</w:t>
      </w:r>
      <w:r w:rsidR="00DB257D" w:rsidRPr="00950255">
        <w:rPr>
          <w:rFonts w:ascii="Times New Roman" w:eastAsia="Times New Roman" w:hAnsi="Times New Roman" w:cs="Times New Roman"/>
          <w:sz w:val="20"/>
          <w:szCs w:val="20"/>
        </w:rPr>
        <w:t>) meses computados desde la Fecha de Emisión y Liquidación, en la fecha que sea un número de día idéntico a la Fecha de Emisión y Liquidación, pero del correspondiente mes, o el Día Hábil inmediato posterior si dicha fecha no fuese un Día Hábil</w:t>
      </w:r>
      <w:r w:rsidR="00DB257D" w:rsidRPr="00950255">
        <w:rPr>
          <w:rFonts w:ascii="Times New Roman" w:eastAsia="Times New Roman" w:hAnsi="Times New Roman" w:cs="Times New Roman"/>
          <w:sz w:val="20"/>
          <w:szCs w:val="20"/>
          <w:lang w:val="es-MX"/>
        </w:rPr>
        <w:t>.</w:t>
      </w:r>
    </w:p>
    <w:p w:rsidR="00F53F0A" w:rsidRDefault="00F53F0A" w:rsidP="007D2D81">
      <w:pPr>
        <w:widowControl w:val="0"/>
        <w:spacing w:line="0" w:lineRule="atLeast"/>
        <w:ind w:left="0" w:firstLine="0"/>
        <w:jc w:val="both"/>
        <w:rPr>
          <w:rFonts w:ascii="Times New Roman" w:eastAsia="Times New Roman" w:hAnsi="Times New Roman" w:cs="Times New Roman"/>
          <w:sz w:val="20"/>
          <w:szCs w:val="20"/>
        </w:rPr>
      </w:pPr>
    </w:p>
    <w:p w:rsidR="00F53F0A" w:rsidRDefault="00D47E83" w:rsidP="007D2D81">
      <w:pPr>
        <w:widowControl w:val="0"/>
        <w:spacing w:line="0" w:lineRule="atLeast"/>
        <w:ind w:left="0" w:firstLine="0"/>
        <w:jc w:val="both"/>
        <w:rPr>
          <w:rFonts w:ascii="Times New Roman" w:eastAsia="Times New Roman" w:hAnsi="Times New Roman" w:cs="Times New Roman"/>
          <w:sz w:val="20"/>
          <w:szCs w:val="20"/>
        </w:rPr>
      </w:pPr>
      <w:r w:rsidRPr="00950255">
        <w:rPr>
          <w:rFonts w:ascii="Times New Roman" w:eastAsia="Times New Roman" w:hAnsi="Times New Roman" w:cs="Times New Roman"/>
          <w:b/>
          <w:sz w:val="20"/>
          <w:szCs w:val="20"/>
        </w:rPr>
        <w:t>2</w:t>
      </w:r>
      <w:r>
        <w:rPr>
          <w:rFonts w:ascii="Times New Roman" w:eastAsia="Times New Roman" w:hAnsi="Times New Roman" w:cs="Times New Roman"/>
          <w:b/>
          <w:sz w:val="20"/>
          <w:szCs w:val="20"/>
        </w:rPr>
        <w:t>3</w:t>
      </w:r>
      <w:r w:rsidR="00DB257D" w:rsidRPr="00950255">
        <w:rPr>
          <w:rFonts w:ascii="Times New Roman" w:eastAsia="Times New Roman" w:hAnsi="Times New Roman" w:cs="Times New Roman"/>
          <w:b/>
          <w:sz w:val="20"/>
          <w:szCs w:val="20"/>
        </w:rPr>
        <w:t>) Intereses:</w:t>
      </w:r>
      <w:r w:rsidR="00DB257D" w:rsidRPr="00950255">
        <w:rPr>
          <w:rFonts w:ascii="Times New Roman" w:eastAsia="Times New Roman" w:hAnsi="Times New Roman" w:cs="Times New Roman"/>
          <w:sz w:val="20"/>
          <w:szCs w:val="20"/>
        </w:rPr>
        <w:t xml:space="preserve"> Las Obligaciones Negociables devengarán intereses sobre el saldo de capital impago bajo aquellos títulos, desde la Fecha de Emisión y Liquidación hasta la Fecha de Vencimiento</w:t>
      </w:r>
      <w:r w:rsidR="00A16D1A" w:rsidRPr="00950255">
        <w:rPr>
          <w:rFonts w:ascii="Times New Roman" w:eastAsia="Times New Roman" w:hAnsi="Times New Roman" w:cs="Times New Roman"/>
          <w:sz w:val="20"/>
          <w:szCs w:val="20"/>
        </w:rPr>
        <w:t xml:space="preserve"> respectiva de cada serie</w:t>
      </w:r>
      <w:r w:rsidR="00DB257D" w:rsidRPr="00950255">
        <w:rPr>
          <w:rFonts w:ascii="Times New Roman" w:eastAsia="Times New Roman" w:hAnsi="Times New Roman" w:cs="Times New Roman"/>
          <w:sz w:val="20"/>
          <w:szCs w:val="20"/>
        </w:rPr>
        <w:t>. Los Intereses se calcularán sobre la base de un año de 365 días (cantidad de días transcurridos/365).</w:t>
      </w:r>
    </w:p>
    <w:p w:rsidR="00F53F0A" w:rsidRDefault="00F53F0A" w:rsidP="007D2D81">
      <w:pPr>
        <w:widowControl w:val="0"/>
        <w:spacing w:line="0" w:lineRule="atLeast"/>
        <w:ind w:left="0" w:firstLine="0"/>
        <w:jc w:val="both"/>
        <w:rPr>
          <w:rFonts w:ascii="Times New Roman" w:eastAsia="Times New Roman" w:hAnsi="Times New Roman" w:cs="Times New Roman"/>
          <w:sz w:val="20"/>
          <w:szCs w:val="20"/>
        </w:rPr>
      </w:pPr>
    </w:p>
    <w:p w:rsidR="00F53F0A" w:rsidRDefault="00DB257D" w:rsidP="007D2D81">
      <w:pPr>
        <w:widowControl w:val="0"/>
        <w:spacing w:line="0" w:lineRule="atLeast"/>
        <w:ind w:left="0" w:firstLine="0"/>
        <w:jc w:val="both"/>
        <w:rPr>
          <w:rFonts w:ascii="Times New Roman" w:eastAsia="Times New Roman" w:hAnsi="Times New Roman" w:cs="Times New Roman"/>
          <w:sz w:val="20"/>
          <w:szCs w:val="20"/>
        </w:rPr>
      </w:pPr>
      <w:r w:rsidRPr="00950255">
        <w:rPr>
          <w:rFonts w:ascii="Times New Roman" w:eastAsia="Times New Roman" w:hAnsi="Times New Roman" w:cs="Times New Roman"/>
          <w:sz w:val="20"/>
          <w:szCs w:val="20"/>
        </w:rPr>
        <w:t>En el supuesto en que el Emisor no abonare cualquier monto adeudado bajo las Obligaciones Negociables, el Emisor deberá abonar un interés moratorio equivalente al 50% de la tasa de interés correspondiente al período vencido e impago, que será complementario a dicha tasa de interés desde la fecha en que tales montos debieron ser cancelados y hasta su efectiva cancelación.</w:t>
      </w:r>
    </w:p>
    <w:p w:rsidR="00F53F0A" w:rsidRDefault="00F53F0A" w:rsidP="007D2D81">
      <w:pPr>
        <w:widowControl w:val="0"/>
        <w:spacing w:line="0" w:lineRule="atLeast"/>
        <w:ind w:left="0" w:firstLine="0"/>
        <w:jc w:val="both"/>
        <w:rPr>
          <w:rFonts w:ascii="Times New Roman" w:eastAsia="Times New Roman" w:hAnsi="Times New Roman" w:cs="Times New Roman"/>
          <w:sz w:val="20"/>
          <w:szCs w:val="20"/>
        </w:rPr>
      </w:pPr>
    </w:p>
    <w:p w:rsidR="00F53F0A" w:rsidRDefault="00D47E83" w:rsidP="007D2D81">
      <w:pPr>
        <w:widowControl w:val="0"/>
        <w:spacing w:line="0" w:lineRule="atLeast"/>
        <w:ind w:left="0" w:firstLine="0"/>
        <w:jc w:val="both"/>
        <w:rPr>
          <w:rFonts w:ascii="Times New Roman" w:eastAsia="Times New Roman" w:hAnsi="Times New Roman" w:cs="Times New Roman"/>
          <w:sz w:val="20"/>
          <w:szCs w:val="20"/>
          <w:lang w:val="es-ES"/>
        </w:rPr>
      </w:pPr>
      <w:r w:rsidRPr="00950255">
        <w:rPr>
          <w:rFonts w:ascii="Times New Roman" w:eastAsia="Times New Roman" w:hAnsi="Times New Roman" w:cs="Times New Roman"/>
          <w:b/>
          <w:bCs/>
          <w:sz w:val="20"/>
          <w:szCs w:val="20"/>
          <w:lang w:val="es-ES_tradnl"/>
        </w:rPr>
        <w:t>2</w:t>
      </w:r>
      <w:r>
        <w:rPr>
          <w:rFonts w:ascii="Times New Roman" w:eastAsia="Times New Roman" w:hAnsi="Times New Roman" w:cs="Times New Roman"/>
          <w:b/>
          <w:bCs/>
          <w:sz w:val="20"/>
          <w:szCs w:val="20"/>
          <w:lang w:val="es-ES_tradnl"/>
        </w:rPr>
        <w:t>4</w:t>
      </w:r>
      <w:r w:rsidR="00DB257D" w:rsidRPr="00950255">
        <w:rPr>
          <w:rFonts w:ascii="Times New Roman" w:eastAsia="Times New Roman" w:hAnsi="Times New Roman" w:cs="Times New Roman"/>
          <w:b/>
          <w:bCs/>
          <w:sz w:val="20"/>
          <w:szCs w:val="20"/>
          <w:lang w:val="es-ES_tradnl"/>
        </w:rPr>
        <w:t>) Tasa de Interés de las Obligaciones Negociables Serie I:</w:t>
      </w:r>
      <w:r w:rsidR="00DB257D" w:rsidRPr="00950255">
        <w:rPr>
          <w:rFonts w:ascii="Times New Roman" w:eastAsia="Times New Roman" w:hAnsi="Times New Roman" w:cs="Times New Roman"/>
          <w:bCs/>
          <w:sz w:val="20"/>
          <w:szCs w:val="20"/>
          <w:lang w:val="es-ES_tradnl"/>
        </w:rPr>
        <w:t xml:space="preserve"> </w:t>
      </w:r>
      <w:r w:rsidR="00C03810" w:rsidRPr="00950255">
        <w:rPr>
          <w:rFonts w:ascii="Times New Roman" w:eastAsia="Times New Roman" w:hAnsi="Times New Roman" w:cs="Times New Roman"/>
          <w:bCs/>
          <w:sz w:val="20"/>
          <w:szCs w:val="20"/>
        </w:rPr>
        <w:t>Se devengarán intereses a una tasa de interés fija, que será determinada luego del cierre del Período de Subasta Pública y antes de la Fecha de Emisión y Liquidación e informada mediante el Aviso de Resultados. Dicha determinación será efectuada sobre la base del resultado del proceso licitatorio, conforme se detalla en la sección “</w:t>
      </w:r>
      <w:r w:rsidR="00C03810" w:rsidRPr="00950255">
        <w:rPr>
          <w:rFonts w:ascii="Times New Roman" w:eastAsia="Times New Roman" w:hAnsi="Times New Roman" w:cs="Times New Roman"/>
          <w:bCs/>
          <w:i/>
          <w:sz w:val="20"/>
          <w:szCs w:val="20"/>
        </w:rPr>
        <w:t>Plan de Distribución</w:t>
      </w:r>
      <w:r w:rsidR="00C03810" w:rsidRPr="00950255">
        <w:rPr>
          <w:rFonts w:ascii="Times New Roman" w:eastAsia="Times New Roman" w:hAnsi="Times New Roman" w:cs="Times New Roman"/>
          <w:bCs/>
          <w:sz w:val="20"/>
          <w:szCs w:val="20"/>
        </w:rPr>
        <w:t>” del Suplemento de Prospecto.</w:t>
      </w:r>
    </w:p>
    <w:p w:rsidR="00F53F0A" w:rsidRDefault="00F53F0A" w:rsidP="007D2D81">
      <w:pPr>
        <w:widowControl w:val="0"/>
        <w:spacing w:line="0" w:lineRule="atLeast"/>
        <w:ind w:left="0" w:firstLine="0"/>
        <w:jc w:val="both"/>
        <w:rPr>
          <w:rFonts w:ascii="Times New Roman" w:eastAsia="Times New Roman" w:hAnsi="Times New Roman" w:cs="Times New Roman"/>
          <w:sz w:val="20"/>
          <w:szCs w:val="20"/>
          <w:lang w:val="es-ES"/>
        </w:rPr>
      </w:pPr>
    </w:p>
    <w:p w:rsidR="00F53F0A" w:rsidRDefault="00D47E83" w:rsidP="007D2D81">
      <w:pPr>
        <w:widowControl w:val="0"/>
        <w:spacing w:line="0" w:lineRule="atLeast"/>
        <w:ind w:left="0" w:firstLine="0"/>
        <w:jc w:val="both"/>
        <w:rPr>
          <w:rFonts w:ascii="Times New Roman" w:eastAsia="Times New Roman" w:hAnsi="Times New Roman" w:cs="Times New Roman"/>
          <w:sz w:val="20"/>
          <w:szCs w:val="20"/>
        </w:rPr>
      </w:pPr>
      <w:r w:rsidRPr="00950255">
        <w:rPr>
          <w:rFonts w:ascii="Times New Roman" w:eastAsia="Times New Roman" w:hAnsi="Times New Roman" w:cs="Times New Roman"/>
          <w:b/>
          <w:sz w:val="20"/>
          <w:szCs w:val="20"/>
        </w:rPr>
        <w:lastRenderedPageBreak/>
        <w:t>2</w:t>
      </w:r>
      <w:r>
        <w:rPr>
          <w:rFonts w:ascii="Times New Roman" w:eastAsia="Times New Roman" w:hAnsi="Times New Roman" w:cs="Times New Roman"/>
          <w:b/>
          <w:sz w:val="20"/>
          <w:szCs w:val="20"/>
        </w:rPr>
        <w:t>5</w:t>
      </w:r>
      <w:r w:rsidR="00DB257D" w:rsidRPr="00950255">
        <w:rPr>
          <w:rFonts w:ascii="Times New Roman" w:eastAsia="Times New Roman" w:hAnsi="Times New Roman" w:cs="Times New Roman"/>
          <w:b/>
          <w:sz w:val="20"/>
          <w:szCs w:val="20"/>
        </w:rPr>
        <w:t xml:space="preserve">) Tasa de Interés de las Obligaciones Negociables Serie II: </w:t>
      </w:r>
      <w:r w:rsidR="00C03810" w:rsidRPr="00950255">
        <w:rPr>
          <w:rFonts w:ascii="Times New Roman" w:eastAsia="Times New Roman" w:hAnsi="Times New Roman" w:cs="Times New Roman"/>
          <w:sz w:val="20"/>
          <w:szCs w:val="20"/>
          <w:lang w:val="es-ES_tradnl"/>
        </w:rPr>
        <w:t xml:space="preserve">Se devengarán a una tasa </w:t>
      </w:r>
      <w:r w:rsidR="00C03810" w:rsidRPr="00950255">
        <w:rPr>
          <w:rFonts w:ascii="Times New Roman" w:eastAsia="Times New Roman" w:hAnsi="Times New Roman" w:cs="Times New Roman"/>
          <w:sz w:val="20"/>
          <w:szCs w:val="20"/>
        </w:rPr>
        <w:t>variable, que será equivalente la suma de (i) la Tasa de Referencia, más el Margen de Corte (conforme dichos términos se definen a continuación).</w:t>
      </w:r>
    </w:p>
    <w:p w:rsidR="00F53F0A" w:rsidRDefault="00F53F0A" w:rsidP="007D2D81">
      <w:pPr>
        <w:widowControl w:val="0"/>
        <w:spacing w:line="0" w:lineRule="atLeast"/>
        <w:ind w:left="0" w:firstLine="0"/>
        <w:jc w:val="both"/>
        <w:rPr>
          <w:rFonts w:ascii="Times New Roman" w:eastAsia="Times New Roman" w:hAnsi="Times New Roman" w:cs="Times New Roman"/>
          <w:sz w:val="20"/>
          <w:szCs w:val="20"/>
        </w:rPr>
      </w:pPr>
    </w:p>
    <w:p w:rsidR="00F53F0A" w:rsidRDefault="00C03810" w:rsidP="007D2D81">
      <w:pPr>
        <w:widowControl w:val="0"/>
        <w:spacing w:line="0" w:lineRule="atLeast"/>
        <w:ind w:left="0" w:firstLine="0"/>
        <w:jc w:val="both"/>
        <w:rPr>
          <w:rFonts w:ascii="Times New Roman" w:eastAsia="Times New Roman" w:hAnsi="Times New Roman" w:cs="Times New Roman"/>
          <w:sz w:val="20"/>
          <w:szCs w:val="20"/>
          <w:lang w:val="es-ES"/>
        </w:rPr>
      </w:pPr>
      <w:r w:rsidRPr="00950255">
        <w:rPr>
          <w:rFonts w:ascii="Times New Roman" w:eastAsia="Times New Roman" w:hAnsi="Times New Roman" w:cs="Times New Roman"/>
          <w:sz w:val="20"/>
          <w:szCs w:val="20"/>
        </w:rPr>
        <w:t>“</w:t>
      </w:r>
      <w:r w:rsidRPr="00950255">
        <w:rPr>
          <w:rFonts w:ascii="Times New Roman" w:eastAsia="Times New Roman" w:hAnsi="Times New Roman" w:cs="Times New Roman"/>
          <w:sz w:val="20"/>
          <w:szCs w:val="20"/>
          <w:u w:val="single"/>
        </w:rPr>
        <w:t>Tasa de Referencia</w:t>
      </w:r>
      <w:r w:rsidRPr="00950255">
        <w:rPr>
          <w:rFonts w:ascii="Times New Roman" w:eastAsia="Times New Roman" w:hAnsi="Times New Roman" w:cs="Times New Roman"/>
          <w:sz w:val="20"/>
          <w:szCs w:val="20"/>
        </w:rPr>
        <w:t xml:space="preserve">” </w:t>
      </w:r>
      <w:r w:rsidRPr="00950255">
        <w:rPr>
          <w:rFonts w:ascii="Times New Roman" w:eastAsia="Times New Roman" w:hAnsi="Times New Roman" w:cs="Times New Roman"/>
          <w:sz w:val="20"/>
          <w:szCs w:val="20"/>
          <w:lang w:val="es-ES"/>
        </w:rPr>
        <w:t>Será el promedio aritmético simple de la tasa de interés para depósitos a plazo fijo de más de $ 1.000.000 (Pesos un millón) por períodos de entre treinta (30) y treinta y cinco (35) días de plazo de bancos privados de Argentina publicada por el BCRA (la “</w:t>
      </w:r>
      <w:r w:rsidRPr="00950255">
        <w:rPr>
          <w:rFonts w:ascii="Times New Roman" w:eastAsia="Times New Roman" w:hAnsi="Times New Roman" w:cs="Times New Roman"/>
          <w:sz w:val="20"/>
          <w:szCs w:val="20"/>
          <w:u w:val="single"/>
          <w:lang w:val="es-ES"/>
        </w:rPr>
        <w:t>Tasa BADLAR Privada</w:t>
      </w:r>
      <w:r w:rsidRPr="00950255">
        <w:rPr>
          <w:rFonts w:ascii="Times New Roman" w:eastAsia="Times New Roman" w:hAnsi="Times New Roman" w:cs="Times New Roman"/>
          <w:sz w:val="20"/>
          <w:szCs w:val="20"/>
          <w:lang w:val="es-ES"/>
        </w:rPr>
        <w:t>”), durante el período que se inicia el séptimo Día Hábil anterior al inicio de cada Período de Devengamiento de Intereses y finaliza el séptimo Día Hábil anterior a la Fecha de Pago de Intereses correspondiente, incluyendo el primer día, pero excluyendo el último día.</w:t>
      </w:r>
    </w:p>
    <w:p w:rsidR="00F53F0A" w:rsidRDefault="00F53F0A" w:rsidP="007D2D81">
      <w:pPr>
        <w:widowControl w:val="0"/>
        <w:spacing w:line="0" w:lineRule="atLeast"/>
        <w:ind w:left="0" w:firstLine="0"/>
        <w:jc w:val="both"/>
        <w:rPr>
          <w:rFonts w:ascii="Times New Roman" w:eastAsia="Times New Roman" w:hAnsi="Times New Roman" w:cs="Times New Roman"/>
          <w:sz w:val="20"/>
          <w:szCs w:val="20"/>
        </w:rPr>
      </w:pPr>
    </w:p>
    <w:p w:rsidR="00F53F0A" w:rsidRDefault="00C03810" w:rsidP="007D2D81">
      <w:pPr>
        <w:widowControl w:val="0"/>
        <w:spacing w:line="0" w:lineRule="atLeast"/>
        <w:ind w:left="0" w:firstLine="0"/>
        <w:jc w:val="both"/>
        <w:rPr>
          <w:rFonts w:ascii="Times New Roman" w:eastAsia="Times New Roman" w:hAnsi="Times New Roman" w:cs="Times New Roman"/>
          <w:sz w:val="20"/>
          <w:szCs w:val="20"/>
        </w:rPr>
      </w:pPr>
      <w:r w:rsidRPr="00950255">
        <w:rPr>
          <w:rFonts w:ascii="Times New Roman" w:eastAsia="Times New Roman" w:hAnsi="Times New Roman" w:cs="Times New Roman"/>
          <w:sz w:val="20"/>
          <w:szCs w:val="20"/>
        </w:rPr>
        <w:t>“</w:t>
      </w:r>
      <w:r w:rsidRPr="00950255">
        <w:rPr>
          <w:rFonts w:ascii="Times New Roman" w:eastAsia="Times New Roman" w:hAnsi="Times New Roman" w:cs="Times New Roman"/>
          <w:sz w:val="20"/>
          <w:szCs w:val="20"/>
          <w:u w:val="single"/>
        </w:rPr>
        <w:t>Margen de corte</w:t>
      </w:r>
      <w:r w:rsidRPr="00950255">
        <w:rPr>
          <w:rFonts w:ascii="Times New Roman" w:eastAsia="Times New Roman" w:hAnsi="Times New Roman" w:cs="Times New Roman"/>
          <w:sz w:val="20"/>
          <w:szCs w:val="20"/>
        </w:rPr>
        <w:t xml:space="preserve">” </w:t>
      </w:r>
      <w:r w:rsidRPr="00950255">
        <w:rPr>
          <w:rFonts w:ascii="Times New Roman" w:eastAsia="Times New Roman" w:hAnsi="Times New Roman" w:cs="Times New Roman"/>
          <w:sz w:val="20"/>
          <w:szCs w:val="20"/>
          <w:lang w:val="es-ES"/>
        </w:rPr>
        <w:t>Es la cantidad de puntos básicos (expresado en un porcentaje nominal anual truncado a dos decimales) a adicionarse a la Tasa de Referencia en cada Período de Devengamiento de Intereses. El Margen de Corte será determinado luego del cierre del Período de Subasta Pública y antes de la Fecha de Emisión y Liquidación e informado mediante el Aviso de Resultados. Para más información, véase la sección “</w:t>
      </w:r>
      <w:r w:rsidRPr="00950255">
        <w:rPr>
          <w:rFonts w:ascii="Times New Roman" w:eastAsia="Times New Roman" w:hAnsi="Times New Roman" w:cs="Times New Roman"/>
          <w:i/>
          <w:sz w:val="20"/>
          <w:szCs w:val="20"/>
          <w:lang w:val="es-ES"/>
        </w:rPr>
        <w:t>Plan de Distribución</w:t>
      </w:r>
      <w:r w:rsidRPr="00950255">
        <w:rPr>
          <w:rFonts w:ascii="Times New Roman" w:eastAsia="Times New Roman" w:hAnsi="Times New Roman" w:cs="Times New Roman"/>
          <w:sz w:val="20"/>
          <w:szCs w:val="20"/>
          <w:lang w:val="es-ES"/>
        </w:rPr>
        <w:t>” del Suplemento de Prospecto.</w:t>
      </w:r>
    </w:p>
    <w:p w:rsidR="00F53F0A" w:rsidRDefault="00F53F0A" w:rsidP="007D2D81">
      <w:pPr>
        <w:widowControl w:val="0"/>
        <w:spacing w:line="0" w:lineRule="atLeast"/>
        <w:ind w:left="0" w:firstLine="0"/>
        <w:jc w:val="both"/>
        <w:rPr>
          <w:rFonts w:ascii="Times New Roman" w:eastAsia="Times New Roman" w:hAnsi="Times New Roman" w:cs="Times New Roman"/>
          <w:sz w:val="20"/>
          <w:szCs w:val="20"/>
        </w:rPr>
      </w:pPr>
    </w:p>
    <w:p w:rsidR="00F53F0A" w:rsidRDefault="00D47E83" w:rsidP="007D2D81">
      <w:pPr>
        <w:widowControl w:val="0"/>
        <w:spacing w:line="0" w:lineRule="atLeast"/>
        <w:ind w:left="0" w:firstLine="0"/>
        <w:jc w:val="both"/>
        <w:rPr>
          <w:rFonts w:ascii="Times New Roman" w:eastAsia="Times New Roman" w:hAnsi="Times New Roman" w:cs="Times New Roman"/>
          <w:sz w:val="20"/>
          <w:szCs w:val="20"/>
        </w:rPr>
      </w:pPr>
      <w:r w:rsidRPr="00950255">
        <w:rPr>
          <w:rFonts w:ascii="Times New Roman" w:eastAsia="Times New Roman" w:hAnsi="Times New Roman" w:cs="Times New Roman"/>
          <w:b/>
          <w:sz w:val="20"/>
          <w:szCs w:val="20"/>
        </w:rPr>
        <w:t>2</w:t>
      </w:r>
      <w:r>
        <w:rPr>
          <w:rFonts w:ascii="Times New Roman" w:eastAsia="Times New Roman" w:hAnsi="Times New Roman" w:cs="Times New Roman"/>
          <w:b/>
          <w:sz w:val="20"/>
          <w:szCs w:val="20"/>
        </w:rPr>
        <w:t>6</w:t>
      </w:r>
      <w:r w:rsidR="00DB257D" w:rsidRPr="00950255">
        <w:rPr>
          <w:rFonts w:ascii="Times New Roman" w:eastAsia="Times New Roman" w:hAnsi="Times New Roman" w:cs="Times New Roman"/>
          <w:b/>
          <w:sz w:val="20"/>
          <w:szCs w:val="20"/>
        </w:rPr>
        <w:t xml:space="preserve">) </w:t>
      </w:r>
      <w:r w:rsidR="00DB257D" w:rsidRPr="00D844AF">
        <w:rPr>
          <w:rFonts w:ascii="Times New Roman" w:hAnsi="Times New Roman"/>
          <w:b/>
          <w:sz w:val="20"/>
        </w:rPr>
        <w:t>Fecha de Pago de Intereses</w:t>
      </w:r>
      <w:r w:rsidR="000A5783" w:rsidRPr="00D844AF">
        <w:rPr>
          <w:rFonts w:ascii="Times New Roman" w:hAnsi="Times New Roman"/>
          <w:b/>
          <w:sz w:val="20"/>
        </w:rPr>
        <w:t xml:space="preserve"> de las Obligaciones Negociables Serie I</w:t>
      </w:r>
      <w:r w:rsidR="00DB257D" w:rsidRPr="00950255">
        <w:rPr>
          <w:rFonts w:ascii="Times New Roman" w:eastAsia="Times New Roman" w:hAnsi="Times New Roman" w:cs="Times New Roman"/>
          <w:b/>
          <w:sz w:val="20"/>
          <w:szCs w:val="20"/>
        </w:rPr>
        <w:t>:</w:t>
      </w:r>
      <w:r w:rsidR="00DB257D" w:rsidRPr="00950255">
        <w:rPr>
          <w:rFonts w:ascii="Times New Roman" w:eastAsia="Times New Roman" w:hAnsi="Times New Roman" w:cs="Times New Roman"/>
          <w:sz w:val="20"/>
          <w:szCs w:val="20"/>
          <w:lang w:val="es-ES"/>
        </w:rPr>
        <w:t xml:space="preserve"> </w:t>
      </w:r>
      <w:r w:rsidR="00684E65" w:rsidRPr="00950255">
        <w:rPr>
          <w:rFonts w:ascii="Times New Roman" w:eastAsia="Times New Roman" w:hAnsi="Times New Roman" w:cs="Times New Roman"/>
          <w:sz w:val="20"/>
          <w:szCs w:val="20"/>
        </w:rPr>
        <w:t xml:space="preserve">Los Intereses de las Obligaciones Negociables </w:t>
      </w:r>
      <w:r w:rsidR="000A5783" w:rsidRPr="00950255">
        <w:rPr>
          <w:rFonts w:ascii="Times New Roman" w:eastAsia="Times New Roman" w:hAnsi="Times New Roman" w:cs="Times New Roman"/>
          <w:sz w:val="20"/>
          <w:szCs w:val="20"/>
        </w:rPr>
        <w:t xml:space="preserve">Serie I </w:t>
      </w:r>
      <w:r w:rsidR="00684E65" w:rsidRPr="00950255">
        <w:rPr>
          <w:rFonts w:ascii="Times New Roman" w:eastAsia="Times New Roman" w:hAnsi="Times New Roman" w:cs="Times New Roman"/>
          <w:sz w:val="20"/>
          <w:szCs w:val="20"/>
        </w:rPr>
        <w:t>serán pagaderos de forma trimestral, en las fechas que sean un número de día idéntico a la Fecha de Emisión y Liquidación, pero del correspondiente mes (cada una de ellas, una “</w:t>
      </w:r>
      <w:r w:rsidR="00684E65" w:rsidRPr="00950255">
        <w:rPr>
          <w:rFonts w:ascii="Times New Roman" w:eastAsia="Times New Roman" w:hAnsi="Times New Roman" w:cs="Times New Roman"/>
          <w:sz w:val="20"/>
          <w:szCs w:val="20"/>
          <w:u w:val="single"/>
        </w:rPr>
        <w:t>Fecha de Pago de Intereses</w:t>
      </w:r>
      <w:r w:rsidR="007D64C2" w:rsidRPr="00950255">
        <w:rPr>
          <w:rFonts w:ascii="Times New Roman" w:eastAsia="Times New Roman" w:hAnsi="Times New Roman" w:cs="Times New Roman"/>
          <w:sz w:val="20"/>
          <w:szCs w:val="20"/>
          <w:u w:val="single"/>
        </w:rPr>
        <w:t xml:space="preserve"> de las Obligaciones Negociables Serie I</w:t>
      </w:r>
      <w:r w:rsidR="00684E65" w:rsidRPr="00950255">
        <w:rPr>
          <w:rFonts w:ascii="Times New Roman" w:eastAsia="Times New Roman" w:hAnsi="Times New Roman" w:cs="Times New Roman"/>
          <w:sz w:val="20"/>
          <w:szCs w:val="20"/>
        </w:rPr>
        <w:t>”).</w:t>
      </w:r>
      <w:r w:rsidR="007D64C2" w:rsidRPr="00950255">
        <w:rPr>
          <w:rFonts w:ascii="Times New Roman" w:eastAsia="Times New Roman" w:hAnsi="Times New Roman" w:cs="Times New Roman"/>
          <w:sz w:val="20"/>
          <w:szCs w:val="20"/>
        </w:rPr>
        <w:t xml:space="preserve"> En caso de que alguna de las Fechas de Pago de Intereses de las Obligaciones Negociables Serie I no fuera un Día Hábil, los Intereses se pagarán el Día Hábil inmediato posterior con la misma validez y efecto como si el pago se hubiera efectuado en la fecha originalmente prevista, y no se devengarán intereses por el período comprendido entre dicha fecha y el Día Hábil en que se efectúe el pago, salvo con relación a las Fechas de Pago de Intereses de las Obligaciones Negociables Serie I coincidentes con una </w:t>
      </w:r>
      <w:r w:rsidR="00F53F0A" w:rsidRPr="007D2D81">
        <w:rPr>
          <w:rFonts w:ascii="Times New Roman" w:hAnsi="Times New Roman"/>
          <w:sz w:val="20"/>
        </w:rPr>
        <w:t>Fecha de Amortización</w:t>
      </w:r>
      <w:r w:rsidR="007D64C2" w:rsidRPr="00950255">
        <w:rPr>
          <w:rFonts w:ascii="Times New Roman" w:eastAsia="Times New Roman" w:hAnsi="Times New Roman" w:cs="Times New Roman"/>
          <w:sz w:val="20"/>
          <w:szCs w:val="20"/>
        </w:rPr>
        <w:t xml:space="preserve"> de las Obligaciones Negociables Serie I respecto de las cuales, en caso que no fuera un Día Hábil, el Emisor pagará los intereses devengados entre dicha fecha y la fecha en que efectivamente se realice el pago. Las Fechas de Pago de Intereses de las Obligaciones Negociables Serie I y las Fechas de Amortización de las Obligaciones Negociables Serie I serán informadas a los Inversores mediante el Aviso de Resultados. </w:t>
      </w:r>
    </w:p>
    <w:p w:rsidR="00F53F0A" w:rsidRDefault="00F53F0A" w:rsidP="007D2D81">
      <w:pPr>
        <w:widowControl w:val="0"/>
        <w:spacing w:line="0" w:lineRule="atLeast"/>
        <w:ind w:left="0" w:firstLine="0"/>
        <w:jc w:val="both"/>
        <w:rPr>
          <w:rFonts w:ascii="Times New Roman" w:eastAsia="Times New Roman" w:hAnsi="Times New Roman" w:cs="Times New Roman"/>
          <w:sz w:val="20"/>
          <w:szCs w:val="20"/>
        </w:rPr>
      </w:pPr>
    </w:p>
    <w:p w:rsidR="00F53F0A" w:rsidRPr="007D2D81" w:rsidRDefault="00D47E83" w:rsidP="007D2D81">
      <w:pPr>
        <w:widowControl w:val="0"/>
        <w:spacing w:line="0" w:lineRule="atLeast"/>
        <w:ind w:left="0" w:firstLine="0"/>
        <w:jc w:val="both"/>
        <w:rPr>
          <w:rFonts w:ascii="Times New Roman" w:hAnsi="Times New Roman"/>
          <w:sz w:val="20"/>
          <w:lang w:val="es-ES_tradnl"/>
        </w:rPr>
      </w:pPr>
      <w:r w:rsidRPr="00950255">
        <w:rPr>
          <w:rFonts w:ascii="Times New Roman" w:eastAsia="Times New Roman" w:hAnsi="Times New Roman" w:cs="Times New Roman"/>
          <w:b/>
          <w:sz w:val="20"/>
          <w:szCs w:val="20"/>
        </w:rPr>
        <w:t>2</w:t>
      </w:r>
      <w:r>
        <w:rPr>
          <w:rFonts w:ascii="Times New Roman" w:eastAsia="Times New Roman" w:hAnsi="Times New Roman" w:cs="Times New Roman"/>
          <w:b/>
          <w:sz w:val="20"/>
          <w:szCs w:val="20"/>
        </w:rPr>
        <w:t>7</w:t>
      </w:r>
      <w:r w:rsidR="00B2336D" w:rsidRPr="00950255">
        <w:rPr>
          <w:rFonts w:ascii="Times New Roman" w:eastAsia="Times New Roman" w:hAnsi="Times New Roman" w:cs="Times New Roman"/>
          <w:b/>
          <w:sz w:val="20"/>
          <w:szCs w:val="20"/>
        </w:rPr>
        <w:t xml:space="preserve">) </w:t>
      </w:r>
      <w:r w:rsidR="00B2336D" w:rsidRPr="00D844AF">
        <w:rPr>
          <w:rFonts w:ascii="Times New Roman" w:hAnsi="Times New Roman"/>
          <w:b/>
          <w:sz w:val="20"/>
        </w:rPr>
        <w:t>Fecha de Pago de Intereses de las Obligaciones Negociables Serie II:</w:t>
      </w:r>
      <w:r w:rsidR="00B2336D" w:rsidRPr="00950255">
        <w:rPr>
          <w:rFonts w:ascii="Times New Roman" w:eastAsia="Times New Roman" w:hAnsi="Times New Roman" w:cs="Times New Roman"/>
          <w:sz w:val="20"/>
          <w:szCs w:val="20"/>
          <w:lang w:val="es-ES"/>
        </w:rPr>
        <w:t xml:space="preserve"> </w:t>
      </w:r>
      <w:r w:rsidR="00B2336D" w:rsidRPr="00950255">
        <w:rPr>
          <w:rFonts w:ascii="Times New Roman" w:eastAsia="Times New Roman" w:hAnsi="Times New Roman" w:cs="Times New Roman"/>
          <w:sz w:val="20"/>
          <w:szCs w:val="20"/>
        </w:rPr>
        <w:t>Los Intereses de las Obligaciones Negociables Serie II serán pagaderos de forma trimestral, en las fechas que sean un número de día idéntico a la Fecha de Emisión y Liquidación, pero del correspondiente mes (cada una de ellas, una “</w:t>
      </w:r>
      <w:r w:rsidR="00B2336D" w:rsidRPr="00950255">
        <w:rPr>
          <w:rFonts w:ascii="Times New Roman" w:eastAsia="Times New Roman" w:hAnsi="Times New Roman" w:cs="Times New Roman"/>
          <w:sz w:val="20"/>
          <w:szCs w:val="20"/>
          <w:u w:val="single"/>
        </w:rPr>
        <w:t>Fecha de Pago de Intereses</w:t>
      </w:r>
      <w:r w:rsidR="007D64C2" w:rsidRPr="00950255">
        <w:rPr>
          <w:rFonts w:ascii="Times New Roman" w:eastAsia="Times New Roman" w:hAnsi="Times New Roman" w:cs="Times New Roman"/>
          <w:sz w:val="20"/>
          <w:szCs w:val="20"/>
          <w:u w:val="single"/>
        </w:rPr>
        <w:t xml:space="preserve"> de las Obligaciones Negociables Serie II</w:t>
      </w:r>
      <w:r w:rsidR="00B2336D" w:rsidRPr="00950255">
        <w:rPr>
          <w:rFonts w:ascii="Times New Roman" w:eastAsia="Times New Roman" w:hAnsi="Times New Roman" w:cs="Times New Roman"/>
          <w:sz w:val="20"/>
          <w:szCs w:val="20"/>
        </w:rPr>
        <w:t>”).</w:t>
      </w:r>
      <w:r w:rsidR="007D64C2" w:rsidRPr="00950255">
        <w:rPr>
          <w:rFonts w:ascii="Times New Roman" w:eastAsia="Times New Roman" w:hAnsi="Times New Roman" w:cs="Times New Roman"/>
          <w:sz w:val="20"/>
          <w:szCs w:val="20"/>
        </w:rPr>
        <w:t xml:space="preserve"> En caso de que alguna de las Fechas de Pago de Intereses de las Obligaciones Negociables Serie II no fuera un Día Hábil, los Intereses se pagarán el Día Hábil inmediato posterior con la misma validez y efecto como si el pago se hubiera efectuado en la fecha originalmente prevista, y no se devengarán intereses por el período comprendido entre dicha fecha y el Día Hábil en que se efectúe el pago, salvo con relación a las Fechas de Pago de Intereses de las Obligaciones Negociables Serie II coincidentes con una </w:t>
      </w:r>
      <w:r w:rsidR="00F53F0A" w:rsidRPr="007D2D81">
        <w:rPr>
          <w:rFonts w:ascii="Times New Roman" w:hAnsi="Times New Roman"/>
          <w:sz w:val="20"/>
        </w:rPr>
        <w:t>Fecha de Amortización</w:t>
      </w:r>
      <w:r w:rsidR="007D64C2" w:rsidRPr="00950255">
        <w:rPr>
          <w:rFonts w:ascii="Times New Roman" w:eastAsia="Times New Roman" w:hAnsi="Times New Roman" w:cs="Times New Roman"/>
          <w:sz w:val="20"/>
          <w:szCs w:val="20"/>
        </w:rPr>
        <w:t xml:space="preserve"> de las Obligaciones Negociables Serie II respecto de las cuales, en caso que no fuera un Día Hábil, el Emisor pagará los intereses devengados entre dicha fecha y la fecha en que efectivamente se realice el pago. Las Fechas de Pago de Intereses de las Obligaciones Negociables Serie II y las Fechas de Amortización de las Obligaciones Negociables Serie II serán informadas a los Inversores mediante el Aviso de Resultados.</w:t>
      </w:r>
    </w:p>
    <w:p w:rsidR="00F53F0A" w:rsidRDefault="00F53F0A" w:rsidP="007D2D81">
      <w:pPr>
        <w:widowControl w:val="0"/>
        <w:spacing w:line="0" w:lineRule="atLeast"/>
        <w:ind w:left="0" w:firstLine="0"/>
        <w:jc w:val="both"/>
        <w:rPr>
          <w:rFonts w:ascii="Times New Roman" w:eastAsia="Times New Roman" w:hAnsi="Times New Roman" w:cs="Times New Roman"/>
          <w:sz w:val="20"/>
          <w:szCs w:val="20"/>
          <w:lang w:val="es-ES_tradnl"/>
        </w:rPr>
      </w:pPr>
    </w:p>
    <w:p w:rsidR="00F53F0A" w:rsidRDefault="00D47E83" w:rsidP="007D2D81">
      <w:pPr>
        <w:widowControl w:val="0"/>
        <w:spacing w:line="0" w:lineRule="atLeast"/>
        <w:ind w:left="0" w:firstLine="0"/>
        <w:jc w:val="both"/>
        <w:rPr>
          <w:rFonts w:ascii="Times New Roman" w:eastAsia="Times New Roman" w:hAnsi="Times New Roman" w:cs="Times New Roman"/>
          <w:sz w:val="20"/>
          <w:szCs w:val="20"/>
        </w:rPr>
      </w:pPr>
      <w:r w:rsidRPr="00950255">
        <w:rPr>
          <w:rFonts w:ascii="Times New Roman" w:eastAsia="Times New Roman" w:hAnsi="Times New Roman" w:cs="Times New Roman"/>
          <w:b/>
          <w:bCs/>
          <w:sz w:val="20"/>
          <w:szCs w:val="20"/>
          <w:lang w:val="es-ES_tradnl"/>
        </w:rPr>
        <w:t>2</w:t>
      </w:r>
      <w:r>
        <w:rPr>
          <w:rFonts w:ascii="Times New Roman" w:eastAsia="Times New Roman" w:hAnsi="Times New Roman" w:cs="Times New Roman"/>
          <w:b/>
          <w:bCs/>
          <w:sz w:val="20"/>
          <w:szCs w:val="20"/>
          <w:lang w:val="es-ES_tradnl"/>
        </w:rPr>
        <w:t>8</w:t>
      </w:r>
      <w:r w:rsidR="00DB257D" w:rsidRPr="00950255">
        <w:rPr>
          <w:rFonts w:ascii="Times New Roman" w:eastAsia="Times New Roman" w:hAnsi="Times New Roman" w:cs="Times New Roman"/>
          <w:b/>
          <w:bCs/>
          <w:sz w:val="20"/>
          <w:szCs w:val="20"/>
          <w:lang w:val="es-ES_tradnl"/>
        </w:rPr>
        <w:t>) Amortización de las Obligaciones Negociables Serie I:</w:t>
      </w:r>
      <w:r w:rsidR="00DB257D" w:rsidRPr="00950255">
        <w:rPr>
          <w:rFonts w:ascii="Times New Roman" w:eastAsia="Times New Roman" w:hAnsi="Times New Roman" w:cs="Times New Roman"/>
          <w:bCs/>
          <w:sz w:val="20"/>
          <w:szCs w:val="20"/>
          <w:lang w:val="es-ES_tradnl"/>
        </w:rPr>
        <w:t xml:space="preserve"> </w:t>
      </w:r>
      <w:r w:rsidR="000D7071" w:rsidRPr="00950255">
        <w:rPr>
          <w:rFonts w:ascii="Times New Roman" w:eastAsia="Times New Roman" w:hAnsi="Times New Roman" w:cs="Times New Roman"/>
          <w:sz w:val="20"/>
          <w:szCs w:val="20"/>
          <w:lang w:val="es-ES_tradnl"/>
        </w:rPr>
        <w:t xml:space="preserve">El 100% del </w:t>
      </w:r>
      <w:r w:rsidR="000A5783" w:rsidRPr="00950255">
        <w:rPr>
          <w:rFonts w:ascii="Times New Roman" w:eastAsia="Times New Roman" w:hAnsi="Times New Roman" w:cs="Times New Roman"/>
          <w:sz w:val="20"/>
          <w:szCs w:val="20"/>
          <w:lang w:val="es-ES_tradnl"/>
        </w:rPr>
        <w:t>capital</w:t>
      </w:r>
      <w:r w:rsidR="000D7071" w:rsidRPr="00950255">
        <w:rPr>
          <w:rFonts w:ascii="Times New Roman" w:eastAsia="Times New Roman" w:hAnsi="Times New Roman" w:cs="Times New Roman"/>
          <w:sz w:val="20"/>
          <w:szCs w:val="20"/>
          <w:lang w:val="es-ES_tradnl"/>
        </w:rPr>
        <w:t xml:space="preserve"> de las Obligaciones Negociables Serie I será pagadero en </w:t>
      </w:r>
      <w:r w:rsidR="007341F7">
        <w:rPr>
          <w:rFonts w:ascii="Times New Roman" w:eastAsia="Times New Roman" w:hAnsi="Times New Roman" w:cs="Times New Roman"/>
          <w:sz w:val="20"/>
          <w:szCs w:val="20"/>
          <w:lang w:val="es-ES_tradnl"/>
        </w:rPr>
        <w:t>tres</w:t>
      </w:r>
      <w:r w:rsidR="007341F7" w:rsidRPr="00950255">
        <w:rPr>
          <w:rFonts w:ascii="Times New Roman" w:eastAsia="Times New Roman" w:hAnsi="Times New Roman" w:cs="Times New Roman"/>
          <w:sz w:val="20"/>
          <w:szCs w:val="20"/>
          <w:lang w:val="es-ES_tradnl"/>
        </w:rPr>
        <w:t xml:space="preserve"> </w:t>
      </w:r>
      <w:r w:rsidR="000D7071" w:rsidRPr="00950255">
        <w:rPr>
          <w:rFonts w:ascii="Times New Roman" w:eastAsia="Times New Roman" w:hAnsi="Times New Roman" w:cs="Times New Roman"/>
          <w:sz w:val="20"/>
          <w:szCs w:val="20"/>
          <w:lang w:val="es-ES_tradnl"/>
        </w:rPr>
        <w:t xml:space="preserve">cuotas: la primera a los </w:t>
      </w:r>
      <w:r w:rsidR="007341F7">
        <w:rPr>
          <w:rFonts w:ascii="Times New Roman" w:eastAsia="Times New Roman" w:hAnsi="Times New Roman" w:cs="Times New Roman"/>
          <w:sz w:val="20"/>
          <w:szCs w:val="20"/>
          <w:lang w:val="es-ES_tradnl"/>
        </w:rPr>
        <w:t>18</w:t>
      </w:r>
      <w:r w:rsidR="007341F7" w:rsidRPr="00950255">
        <w:rPr>
          <w:rFonts w:ascii="Times New Roman" w:eastAsia="Times New Roman" w:hAnsi="Times New Roman" w:cs="Times New Roman"/>
          <w:sz w:val="20"/>
          <w:szCs w:val="20"/>
          <w:lang w:val="es-ES_tradnl"/>
        </w:rPr>
        <w:t xml:space="preserve"> </w:t>
      </w:r>
      <w:r w:rsidR="000D7071" w:rsidRPr="00950255">
        <w:rPr>
          <w:rFonts w:ascii="Times New Roman" w:eastAsia="Times New Roman" w:hAnsi="Times New Roman" w:cs="Times New Roman"/>
          <w:sz w:val="20"/>
          <w:szCs w:val="20"/>
          <w:lang w:val="es-ES_tradnl"/>
        </w:rPr>
        <w:t>(</w:t>
      </w:r>
      <w:r w:rsidR="007341F7">
        <w:rPr>
          <w:rFonts w:ascii="Times New Roman" w:eastAsia="Times New Roman" w:hAnsi="Times New Roman" w:cs="Times New Roman"/>
          <w:sz w:val="20"/>
          <w:szCs w:val="20"/>
          <w:lang w:val="es-ES_tradnl"/>
        </w:rPr>
        <w:t>dieciocho</w:t>
      </w:r>
      <w:r w:rsidR="000D7071" w:rsidRPr="00950255">
        <w:rPr>
          <w:rFonts w:ascii="Times New Roman" w:eastAsia="Times New Roman" w:hAnsi="Times New Roman" w:cs="Times New Roman"/>
          <w:sz w:val="20"/>
          <w:szCs w:val="20"/>
          <w:lang w:val="es-ES_tradnl"/>
        </w:rPr>
        <w:t>) meses a contar desde la Fecha de Emisión y Liquidación</w:t>
      </w:r>
      <w:r w:rsidR="00CB077C">
        <w:rPr>
          <w:rFonts w:ascii="Times New Roman" w:eastAsia="Times New Roman" w:hAnsi="Times New Roman" w:cs="Times New Roman"/>
          <w:sz w:val="20"/>
          <w:szCs w:val="20"/>
          <w:lang w:val="es-ES_tradnl"/>
        </w:rPr>
        <w:t>, equivalente al 33,33% del capital</w:t>
      </w:r>
      <w:r w:rsidR="000D7071" w:rsidRPr="00950255">
        <w:rPr>
          <w:rFonts w:ascii="Times New Roman" w:eastAsia="Times New Roman" w:hAnsi="Times New Roman" w:cs="Times New Roman"/>
          <w:sz w:val="20"/>
          <w:szCs w:val="20"/>
          <w:lang w:val="es-ES_tradnl"/>
        </w:rPr>
        <w:t>, la segunda, a los 2</w:t>
      </w:r>
      <w:r w:rsidR="007341F7">
        <w:rPr>
          <w:rFonts w:ascii="Times New Roman" w:eastAsia="Times New Roman" w:hAnsi="Times New Roman" w:cs="Times New Roman"/>
          <w:sz w:val="20"/>
          <w:szCs w:val="20"/>
          <w:lang w:val="es-ES_tradnl"/>
        </w:rPr>
        <w:t>1</w:t>
      </w:r>
      <w:r w:rsidR="000D7071" w:rsidRPr="00950255">
        <w:rPr>
          <w:rFonts w:ascii="Times New Roman" w:eastAsia="Times New Roman" w:hAnsi="Times New Roman" w:cs="Times New Roman"/>
          <w:sz w:val="20"/>
          <w:szCs w:val="20"/>
          <w:lang w:val="es-ES_tradnl"/>
        </w:rPr>
        <w:t xml:space="preserve"> (</w:t>
      </w:r>
      <w:r w:rsidR="007341F7" w:rsidRPr="00950255">
        <w:rPr>
          <w:rFonts w:ascii="Times New Roman" w:eastAsia="Times New Roman" w:hAnsi="Times New Roman" w:cs="Times New Roman"/>
          <w:sz w:val="20"/>
          <w:szCs w:val="20"/>
          <w:lang w:val="es-ES_tradnl"/>
        </w:rPr>
        <w:t>veinti</w:t>
      </w:r>
      <w:r w:rsidR="007341F7">
        <w:rPr>
          <w:rFonts w:ascii="Times New Roman" w:eastAsia="Times New Roman" w:hAnsi="Times New Roman" w:cs="Times New Roman"/>
          <w:sz w:val="20"/>
          <w:szCs w:val="20"/>
          <w:lang w:val="es-ES_tradnl"/>
        </w:rPr>
        <w:t>ún</w:t>
      </w:r>
      <w:r w:rsidR="000D7071" w:rsidRPr="00950255">
        <w:rPr>
          <w:rFonts w:ascii="Times New Roman" w:eastAsia="Times New Roman" w:hAnsi="Times New Roman" w:cs="Times New Roman"/>
          <w:sz w:val="20"/>
          <w:szCs w:val="20"/>
          <w:lang w:val="es-ES_tradnl"/>
        </w:rPr>
        <w:t>) meses a contar desde la Fecha de Emisión y Liquidación</w:t>
      </w:r>
      <w:r w:rsidR="00CB077C">
        <w:rPr>
          <w:rFonts w:ascii="Times New Roman" w:eastAsia="Times New Roman" w:hAnsi="Times New Roman" w:cs="Times New Roman"/>
          <w:sz w:val="20"/>
          <w:szCs w:val="20"/>
          <w:lang w:val="es-ES_tradnl"/>
        </w:rPr>
        <w:t>, equivalente al 33,33% del capital</w:t>
      </w:r>
      <w:r w:rsidR="00C438AB">
        <w:rPr>
          <w:rFonts w:ascii="Times New Roman" w:eastAsia="Times New Roman" w:hAnsi="Times New Roman" w:cs="Times New Roman"/>
          <w:sz w:val="20"/>
          <w:szCs w:val="20"/>
          <w:lang w:val="es-ES_tradnl"/>
        </w:rPr>
        <w:t xml:space="preserve"> y</w:t>
      </w:r>
      <w:r w:rsidR="000D7071" w:rsidRPr="00950255">
        <w:rPr>
          <w:rFonts w:ascii="Times New Roman" w:eastAsia="Times New Roman" w:hAnsi="Times New Roman" w:cs="Times New Roman"/>
          <w:sz w:val="20"/>
          <w:szCs w:val="20"/>
          <w:lang w:val="es-ES_tradnl"/>
        </w:rPr>
        <w:t xml:space="preserve"> la última, en la Fecha de Vencimiento de la Serie I</w:t>
      </w:r>
      <w:r w:rsidR="00CB077C">
        <w:rPr>
          <w:rFonts w:ascii="Times New Roman" w:eastAsia="Times New Roman" w:hAnsi="Times New Roman" w:cs="Times New Roman"/>
          <w:sz w:val="20"/>
          <w:szCs w:val="20"/>
          <w:lang w:val="es-ES_tradnl"/>
        </w:rPr>
        <w:t>, equivalente al 33,34% del capital</w:t>
      </w:r>
      <w:r w:rsidR="000D7071" w:rsidRPr="00950255">
        <w:rPr>
          <w:rFonts w:ascii="Times New Roman" w:eastAsia="Times New Roman" w:hAnsi="Times New Roman" w:cs="Times New Roman"/>
          <w:sz w:val="20"/>
          <w:szCs w:val="20"/>
          <w:lang w:val="es-ES_tradnl"/>
        </w:rPr>
        <w:t xml:space="preserve"> (cada una de ellas, una “</w:t>
      </w:r>
      <w:r w:rsidR="000D7071" w:rsidRPr="00950255">
        <w:rPr>
          <w:rFonts w:ascii="Times New Roman" w:eastAsia="Times New Roman" w:hAnsi="Times New Roman" w:cs="Times New Roman"/>
          <w:sz w:val="20"/>
          <w:szCs w:val="20"/>
          <w:u w:val="single"/>
          <w:lang w:val="es-ES_tradnl"/>
        </w:rPr>
        <w:t>Fecha de Amortización de las Obligaciones Negociables Serie I</w:t>
      </w:r>
      <w:r w:rsidR="000D7071" w:rsidRPr="00950255">
        <w:rPr>
          <w:rFonts w:ascii="Times New Roman" w:eastAsia="Times New Roman" w:hAnsi="Times New Roman" w:cs="Times New Roman"/>
          <w:sz w:val="20"/>
          <w:szCs w:val="20"/>
          <w:lang w:val="es-ES_tradnl"/>
        </w:rPr>
        <w:t xml:space="preserve">”). Las Fechas de Amortización de las Obligaciones Negociables Serie I serán informadas en el Aviso de Resultados. </w:t>
      </w:r>
    </w:p>
    <w:p w:rsidR="00F53F0A" w:rsidRDefault="00F53F0A" w:rsidP="007D2D81">
      <w:pPr>
        <w:widowControl w:val="0"/>
        <w:spacing w:line="0" w:lineRule="atLeast"/>
        <w:ind w:left="0" w:firstLine="0"/>
        <w:jc w:val="both"/>
        <w:rPr>
          <w:rFonts w:ascii="Times New Roman" w:eastAsia="Times New Roman" w:hAnsi="Times New Roman" w:cs="Times New Roman"/>
          <w:sz w:val="20"/>
          <w:szCs w:val="20"/>
        </w:rPr>
      </w:pPr>
    </w:p>
    <w:p w:rsidR="00F53F0A" w:rsidRDefault="00D47E83" w:rsidP="007D2D81">
      <w:pPr>
        <w:widowControl w:val="0"/>
        <w:spacing w:line="0" w:lineRule="atLeast"/>
        <w:ind w:left="0" w:firstLine="0"/>
        <w:jc w:val="both"/>
        <w:rPr>
          <w:rFonts w:ascii="Times New Roman" w:eastAsia="Times New Roman" w:hAnsi="Times New Roman" w:cs="Times New Roman"/>
          <w:sz w:val="20"/>
          <w:szCs w:val="20"/>
          <w:lang w:val="es-ES_tradnl"/>
        </w:rPr>
      </w:pPr>
      <w:r w:rsidRPr="00950255">
        <w:rPr>
          <w:rFonts w:ascii="Times New Roman" w:eastAsia="Times New Roman" w:hAnsi="Times New Roman" w:cs="Times New Roman"/>
          <w:b/>
          <w:sz w:val="20"/>
          <w:szCs w:val="20"/>
          <w:lang w:val="es-ES_tradnl"/>
        </w:rPr>
        <w:t>2</w:t>
      </w:r>
      <w:r>
        <w:rPr>
          <w:rFonts w:ascii="Times New Roman" w:eastAsia="Times New Roman" w:hAnsi="Times New Roman" w:cs="Times New Roman"/>
          <w:b/>
          <w:sz w:val="20"/>
          <w:szCs w:val="20"/>
          <w:lang w:val="es-ES_tradnl"/>
        </w:rPr>
        <w:t>9</w:t>
      </w:r>
      <w:r w:rsidR="00DB257D" w:rsidRPr="00950255">
        <w:rPr>
          <w:rFonts w:ascii="Times New Roman" w:eastAsia="Times New Roman" w:hAnsi="Times New Roman" w:cs="Times New Roman"/>
          <w:b/>
          <w:sz w:val="20"/>
          <w:szCs w:val="20"/>
          <w:lang w:val="es-ES_tradnl"/>
        </w:rPr>
        <w:t xml:space="preserve">) Amortización de las Obligaciones Negociables Serie II: </w:t>
      </w:r>
      <w:r w:rsidR="000D7071" w:rsidRPr="00950255">
        <w:rPr>
          <w:rFonts w:ascii="Times New Roman" w:eastAsia="Times New Roman" w:hAnsi="Times New Roman" w:cs="Times New Roman"/>
          <w:sz w:val="20"/>
          <w:szCs w:val="20"/>
        </w:rPr>
        <w:t xml:space="preserve">El 100% del </w:t>
      </w:r>
      <w:r w:rsidR="00B2336D" w:rsidRPr="00950255">
        <w:rPr>
          <w:rFonts w:ascii="Times New Roman" w:eastAsia="Times New Roman" w:hAnsi="Times New Roman" w:cs="Times New Roman"/>
          <w:sz w:val="20"/>
          <w:szCs w:val="20"/>
        </w:rPr>
        <w:t>capital</w:t>
      </w:r>
      <w:r w:rsidR="000D7071" w:rsidRPr="00950255">
        <w:rPr>
          <w:rFonts w:ascii="Times New Roman" w:eastAsia="Times New Roman" w:hAnsi="Times New Roman" w:cs="Times New Roman"/>
          <w:sz w:val="20"/>
          <w:szCs w:val="20"/>
        </w:rPr>
        <w:t xml:space="preserve"> de las Obligaciones Negociables Serie II será pagadero en dos cuotas, la primera</w:t>
      </w:r>
      <w:r w:rsidR="003F1E37">
        <w:rPr>
          <w:rFonts w:ascii="Times New Roman" w:eastAsia="Times New Roman" w:hAnsi="Times New Roman" w:cs="Times New Roman"/>
          <w:sz w:val="20"/>
          <w:szCs w:val="20"/>
        </w:rPr>
        <w:t>,</w:t>
      </w:r>
      <w:r w:rsidR="000D7071" w:rsidRPr="00950255">
        <w:rPr>
          <w:rFonts w:ascii="Times New Roman" w:eastAsia="Times New Roman" w:hAnsi="Times New Roman" w:cs="Times New Roman"/>
          <w:sz w:val="20"/>
          <w:szCs w:val="20"/>
        </w:rPr>
        <w:t xml:space="preserve"> equivalente al 30% del capital, a los 9 (nueve) meses a contar desde la Fecha de Emisión y Liquidación, y la última</w:t>
      </w:r>
      <w:r w:rsidR="003F1E37">
        <w:rPr>
          <w:rFonts w:ascii="Times New Roman" w:eastAsia="Times New Roman" w:hAnsi="Times New Roman" w:cs="Times New Roman"/>
          <w:sz w:val="20"/>
          <w:szCs w:val="20"/>
        </w:rPr>
        <w:t>,</w:t>
      </w:r>
      <w:r w:rsidR="000D7071" w:rsidRPr="00950255">
        <w:rPr>
          <w:rFonts w:ascii="Times New Roman" w:eastAsia="Times New Roman" w:hAnsi="Times New Roman" w:cs="Times New Roman"/>
          <w:sz w:val="20"/>
          <w:szCs w:val="20"/>
        </w:rPr>
        <w:t xml:space="preserve"> equivalente al 70% del capital, en la Fecha de Vencimiento de la Serie II (cada una de ellas, una “</w:t>
      </w:r>
      <w:r w:rsidR="000D7071" w:rsidRPr="00950255">
        <w:rPr>
          <w:rFonts w:ascii="Times New Roman" w:eastAsia="Times New Roman" w:hAnsi="Times New Roman" w:cs="Times New Roman"/>
          <w:sz w:val="20"/>
          <w:szCs w:val="20"/>
          <w:u w:val="single"/>
        </w:rPr>
        <w:t>Fecha de Amortización de las Obligaciones Negociables Serie II</w:t>
      </w:r>
      <w:r w:rsidR="000D7071" w:rsidRPr="00950255">
        <w:rPr>
          <w:rFonts w:ascii="Times New Roman" w:eastAsia="Times New Roman" w:hAnsi="Times New Roman" w:cs="Times New Roman"/>
          <w:sz w:val="20"/>
          <w:szCs w:val="20"/>
        </w:rPr>
        <w:t>”).</w:t>
      </w:r>
      <w:r w:rsidR="0077072D" w:rsidRPr="00950255">
        <w:rPr>
          <w:rFonts w:ascii="Times New Roman" w:eastAsia="Times New Roman" w:hAnsi="Times New Roman" w:cs="Times New Roman"/>
          <w:sz w:val="20"/>
          <w:szCs w:val="20"/>
          <w:lang w:val="es-ES_tradnl"/>
        </w:rPr>
        <w:t xml:space="preserve"> </w:t>
      </w:r>
      <w:r w:rsidR="00DB257D" w:rsidRPr="00950255">
        <w:rPr>
          <w:rFonts w:ascii="Times New Roman" w:eastAsia="Times New Roman" w:hAnsi="Times New Roman" w:cs="Times New Roman"/>
          <w:sz w:val="20"/>
          <w:szCs w:val="20"/>
          <w:lang w:val="es-ES_tradnl"/>
        </w:rPr>
        <w:t>Las Fechas de Amortización</w:t>
      </w:r>
      <w:r w:rsidR="00B4719E" w:rsidRPr="00950255">
        <w:rPr>
          <w:rFonts w:ascii="Times New Roman" w:eastAsia="Times New Roman" w:hAnsi="Times New Roman" w:cs="Times New Roman"/>
          <w:sz w:val="20"/>
          <w:szCs w:val="20"/>
          <w:lang w:val="es-ES_tradnl"/>
        </w:rPr>
        <w:t xml:space="preserve"> de las Obligaciones Negociables Serie II</w:t>
      </w:r>
      <w:r w:rsidR="00DB257D" w:rsidRPr="00950255">
        <w:rPr>
          <w:rFonts w:ascii="Times New Roman" w:eastAsia="Times New Roman" w:hAnsi="Times New Roman" w:cs="Times New Roman"/>
          <w:sz w:val="20"/>
          <w:szCs w:val="20"/>
          <w:lang w:val="es-ES_tradnl"/>
        </w:rPr>
        <w:t xml:space="preserve"> serán informadas a los Inversores mediante el Aviso de Resultados.</w:t>
      </w:r>
    </w:p>
    <w:p w:rsidR="00F53F0A" w:rsidRDefault="00F53F0A" w:rsidP="007D2D81">
      <w:pPr>
        <w:widowControl w:val="0"/>
        <w:spacing w:line="0" w:lineRule="atLeast"/>
        <w:ind w:left="0" w:firstLine="0"/>
        <w:contextualSpacing/>
        <w:jc w:val="both"/>
        <w:rPr>
          <w:rFonts w:ascii="Times New Roman" w:eastAsia="Times New Roman" w:hAnsi="Times New Roman" w:cs="Times New Roman"/>
          <w:sz w:val="20"/>
          <w:szCs w:val="20"/>
          <w:lang w:val="es-ES_tradnl"/>
        </w:rPr>
      </w:pPr>
    </w:p>
    <w:p w:rsidR="00F53F0A" w:rsidRDefault="00D47E83" w:rsidP="007D2D81">
      <w:pPr>
        <w:autoSpaceDE w:val="0"/>
        <w:autoSpaceDN w:val="0"/>
        <w:adjustRightInd w:val="0"/>
        <w:spacing w:line="0" w:lineRule="atLeast"/>
        <w:ind w:left="0" w:firstLine="0"/>
        <w:jc w:val="both"/>
        <w:rPr>
          <w:rFonts w:ascii="Times New Roman" w:eastAsia="Times New Roman" w:hAnsi="Times New Roman" w:cs="Times New Roman"/>
          <w:color w:val="000000"/>
          <w:sz w:val="20"/>
          <w:szCs w:val="20"/>
          <w:lang w:val="es-ES" w:eastAsia="es-ES"/>
        </w:rPr>
      </w:pPr>
      <w:r>
        <w:rPr>
          <w:rFonts w:ascii="Times New Roman" w:eastAsia="Times New Roman" w:hAnsi="Times New Roman" w:cs="Times New Roman"/>
          <w:b/>
          <w:color w:val="000000"/>
          <w:sz w:val="20"/>
          <w:szCs w:val="20"/>
          <w:lang w:val="es-ES_tradnl" w:eastAsia="es-ES"/>
        </w:rPr>
        <w:t>30</w:t>
      </w:r>
      <w:r w:rsidR="00DB257D" w:rsidRPr="00950255">
        <w:rPr>
          <w:rFonts w:ascii="Times New Roman" w:eastAsia="Times New Roman" w:hAnsi="Times New Roman" w:cs="Times New Roman"/>
          <w:b/>
          <w:color w:val="000000"/>
          <w:sz w:val="20"/>
          <w:szCs w:val="20"/>
          <w:lang w:val="es-ES_tradnl" w:eastAsia="es-ES"/>
        </w:rPr>
        <w:t xml:space="preserve">) </w:t>
      </w:r>
      <w:r w:rsidR="00A16D1A" w:rsidRPr="00950255">
        <w:rPr>
          <w:rFonts w:ascii="Times New Roman" w:eastAsia="Times New Roman" w:hAnsi="Times New Roman" w:cs="Times New Roman"/>
          <w:b/>
          <w:color w:val="000000"/>
          <w:sz w:val="20"/>
          <w:szCs w:val="20"/>
          <w:lang w:val="es-ES_tradnl" w:eastAsia="es-ES"/>
        </w:rPr>
        <w:t>Elegibilidad</w:t>
      </w:r>
      <w:r w:rsidR="00DB257D" w:rsidRPr="00950255">
        <w:rPr>
          <w:rFonts w:ascii="Times New Roman" w:eastAsia="Times New Roman" w:hAnsi="Times New Roman" w:cs="Times New Roman"/>
          <w:b/>
          <w:color w:val="000000"/>
          <w:sz w:val="20"/>
          <w:szCs w:val="20"/>
          <w:lang w:val="es-ES_tradnl" w:eastAsia="es-ES"/>
        </w:rPr>
        <w:t>:</w:t>
      </w:r>
      <w:r w:rsidR="00DB257D" w:rsidRPr="00950255">
        <w:rPr>
          <w:rFonts w:ascii="Times New Roman" w:eastAsia="Times New Roman" w:hAnsi="Times New Roman" w:cs="Times New Roman"/>
          <w:color w:val="000000"/>
          <w:sz w:val="20"/>
          <w:szCs w:val="20"/>
          <w:lang w:val="es-ES_tradnl" w:eastAsia="es-ES"/>
        </w:rPr>
        <w:t xml:space="preserve"> </w:t>
      </w:r>
      <w:r w:rsidR="00A16D1A" w:rsidRPr="00950255">
        <w:rPr>
          <w:rFonts w:ascii="Times New Roman" w:eastAsia="Times New Roman" w:hAnsi="Times New Roman" w:cs="Times New Roman"/>
          <w:color w:val="000000"/>
          <w:sz w:val="20"/>
          <w:szCs w:val="20"/>
          <w:lang w:val="es-ES" w:eastAsia="es-ES"/>
        </w:rPr>
        <w:t xml:space="preserve">La Sociedad podrá solicitar que las Obligaciones Negociables Clase </w:t>
      </w:r>
      <w:r w:rsidR="00F932C4" w:rsidRPr="00950255">
        <w:rPr>
          <w:rFonts w:ascii="Times New Roman" w:eastAsia="Times New Roman" w:hAnsi="Times New Roman" w:cs="Times New Roman"/>
          <w:color w:val="000000"/>
          <w:sz w:val="20"/>
          <w:szCs w:val="20"/>
          <w:lang w:val="es-ES" w:eastAsia="es-ES"/>
        </w:rPr>
        <w:t>XVIII</w:t>
      </w:r>
      <w:r w:rsidR="00A16D1A" w:rsidRPr="00950255">
        <w:rPr>
          <w:rFonts w:ascii="Times New Roman" w:eastAsia="Times New Roman" w:hAnsi="Times New Roman" w:cs="Times New Roman"/>
          <w:color w:val="000000"/>
          <w:sz w:val="20"/>
          <w:szCs w:val="20"/>
          <w:lang w:val="es-ES" w:eastAsia="es-ES"/>
        </w:rPr>
        <w:t xml:space="preserve"> sean elegibles para su transferencia a través de Euroclear. En tal caso, el Código ISIN s</w:t>
      </w:r>
      <w:r w:rsidR="00DB257D" w:rsidRPr="00950255">
        <w:rPr>
          <w:rFonts w:ascii="Times New Roman" w:eastAsia="Times New Roman" w:hAnsi="Times New Roman" w:cs="Times New Roman"/>
          <w:color w:val="000000"/>
          <w:sz w:val="20"/>
          <w:szCs w:val="20"/>
          <w:lang w:val="es-ES" w:eastAsia="es-ES"/>
        </w:rPr>
        <w:t>erá informado</w:t>
      </w:r>
      <w:r w:rsidR="00A16D1A" w:rsidRPr="00950255">
        <w:rPr>
          <w:rFonts w:ascii="Times New Roman" w:eastAsia="Times New Roman" w:hAnsi="Times New Roman" w:cs="Times New Roman"/>
          <w:color w:val="000000"/>
          <w:sz w:val="20"/>
          <w:szCs w:val="20"/>
          <w:lang w:val="es-ES" w:eastAsia="es-ES"/>
        </w:rPr>
        <w:t>, de corresponder,</w:t>
      </w:r>
      <w:r w:rsidR="00DB257D" w:rsidRPr="00950255">
        <w:rPr>
          <w:rFonts w:ascii="Times New Roman" w:eastAsia="Times New Roman" w:hAnsi="Times New Roman" w:cs="Times New Roman"/>
          <w:color w:val="000000"/>
          <w:sz w:val="20"/>
          <w:szCs w:val="20"/>
          <w:lang w:val="es-ES" w:eastAsia="es-ES"/>
        </w:rPr>
        <w:t xml:space="preserve"> mediante un aviso complementario al Suplemento de Prospecto, que será publicado en la en la Página Web de la CNV, en el Boletín Diario de la BCBA, en la Página Web del MAE y en la Página Web Institucional. </w:t>
      </w:r>
    </w:p>
    <w:p w:rsidR="00F53F0A" w:rsidRDefault="00F53F0A" w:rsidP="007D2D81">
      <w:pPr>
        <w:widowControl w:val="0"/>
        <w:spacing w:line="0" w:lineRule="atLeast"/>
        <w:ind w:left="0" w:firstLine="0"/>
        <w:jc w:val="both"/>
        <w:rPr>
          <w:rFonts w:ascii="Times New Roman" w:eastAsia="Times New Roman" w:hAnsi="Times New Roman" w:cs="Times New Roman"/>
          <w:sz w:val="20"/>
          <w:szCs w:val="20"/>
        </w:rPr>
      </w:pPr>
    </w:p>
    <w:p w:rsidR="00F53F0A" w:rsidRDefault="00D47E83" w:rsidP="007D2D81">
      <w:pPr>
        <w:widowControl w:val="0"/>
        <w:spacing w:line="0" w:lineRule="atLeast"/>
        <w:ind w:left="0" w:firstLine="0"/>
        <w:jc w:val="both"/>
        <w:rPr>
          <w:rFonts w:ascii="Times New Roman" w:eastAsia="Times New Roman" w:hAnsi="Times New Roman" w:cs="Times New Roman"/>
          <w:sz w:val="20"/>
          <w:szCs w:val="20"/>
        </w:rPr>
      </w:pPr>
      <w:r w:rsidRPr="00950255">
        <w:rPr>
          <w:rFonts w:ascii="Times New Roman" w:eastAsia="Times New Roman" w:hAnsi="Times New Roman" w:cs="Times New Roman"/>
          <w:b/>
          <w:bCs/>
          <w:sz w:val="20"/>
          <w:szCs w:val="20"/>
          <w:lang w:val="es-ES_tradnl"/>
        </w:rPr>
        <w:t>3</w:t>
      </w:r>
      <w:r>
        <w:rPr>
          <w:rFonts w:ascii="Times New Roman" w:eastAsia="Times New Roman" w:hAnsi="Times New Roman" w:cs="Times New Roman"/>
          <w:b/>
          <w:bCs/>
          <w:sz w:val="20"/>
          <w:szCs w:val="20"/>
          <w:lang w:val="es-ES_tradnl"/>
        </w:rPr>
        <w:t>1</w:t>
      </w:r>
      <w:r w:rsidR="00DB257D" w:rsidRPr="00950255">
        <w:rPr>
          <w:rFonts w:ascii="Times New Roman" w:eastAsia="Times New Roman" w:hAnsi="Times New Roman" w:cs="Times New Roman"/>
          <w:b/>
          <w:bCs/>
          <w:sz w:val="20"/>
          <w:szCs w:val="20"/>
          <w:lang w:val="es-ES_tradnl"/>
        </w:rPr>
        <w:t>) Forma:</w:t>
      </w:r>
      <w:r w:rsidR="00DB257D" w:rsidRPr="00950255">
        <w:rPr>
          <w:rFonts w:ascii="Times New Roman" w:eastAsia="Times New Roman" w:hAnsi="Times New Roman" w:cs="Times New Roman"/>
          <w:bCs/>
          <w:sz w:val="20"/>
          <w:szCs w:val="20"/>
          <w:lang w:val="es-ES_tradnl"/>
        </w:rPr>
        <w:t xml:space="preserve"> Las Obligaciones Negociables se encontrarán representadas bajo la forma de un certificado global, uno por cada serie, que serán depositado por el Emisor en el sistema de depósito colectivo llevado por Caja de Valores S.A. (la “</w:t>
      </w:r>
      <w:r w:rsidR="00DB257D" w:rsidRPr="00950255">
        <w:rPr>
          <w:rFonts w:ascii="Times New Roman" w:eastAsia="Times New Roman" w:hAnsi="Times New Roman" w:cs="Times New Roman"/>
          <w:bCs/>
          <w:sz w:val="20"/>
          <w:szCs w:val="20"/>
          <w:u w:val="single"/>
          <w:lang w:val="es-ES_tradnl"/>
        </w:rPr>
        <w:t>Caja de Valores</w:t>
      </w:r>
      <w:r w:rsidR="00DB257D" w:rsidRPr="00950255">
        <w:rPr>
          <w:rFonts w:ascii="Times New Roman" w:eastAsia="Times New Roman" w:hAnsi="Times New Roman" w:cs="Times New Roman"/>
          <w:bCs/>
          <w:sz w:val="20"/>
          <w:szCs w:val="20"/>
          <w:lang w:val="es-ES_tradnl"/>
        </w:rPr>
        <w:t>”)</w:t>
      </w:r>
      <w:r w:rsidR="00DB257D" w:rsidRPr="00950255">
        <w:rPr>
          <w:rFonts w:ascii="Times New Roman" w:eastAsia="Times New Roman" w:hAnsi="Times New Roman" w:cs="Times New Roman"/>
          <w:sz w:val="20"/>
          <w:szCs w:val="20"/>
        </w:rPr>
        <w:t>.</w:t>
      </w:r>
      <w:r w:rsidR="00DB257D" w:rsidRPr="00950255">
        <w:rPr>
          <w:rFonts w:ascii="Times New Roman" w:eastAsia="Times New Roman" w:hAnsi="Times New Roman" w:cs="Times New Roman"/>
          <w:bCs/>
          <w:sz w:val="20"/>
          <w:szCs w:val="20"/>
          <w:lang w:val="es-ES_tradnl"/>
        </w:rPr>
        <w:t xml:space="preserve"> </w:t>
      </w:r>
      <w:r w:rsidR="00DB257D" w:rsidRPr="00950255">
        <w:rPr>
          <w:rFonts w:ascii="Times New Roman" w:eastAsia="Times New Roman" w:hAnsi="Times New Roman" w:cs="Times New Roman"/>
          <w:sz w:val="20"/>
          <w:szCs w:val="20"/>
        </w:rPr>
        <w:t xml:space="preserve">Las transferencias se realizarán dentro del sistema de depósito colectivo, conforme a la Ley N° 20.643 y al Título VIII de las Normas de la CNV, encontrándose habilitada la Caja de Valores para cobrar aranceles a </w:t>
      </w:r>
      <w:r w:rsidR="00DB257D" w:rsidRPr="00950255">
        <w:rPr>
          <w:rFonts w:ascii="Times New Roman" w:eastAsia="Times New Roman" w:hAnsi="Times New Roman" w:cs="Times New Roman"/>
          <w:sz w:val="20"/>
          <w:szCs w:val="20"/>
        </w:rPr>
        <w:lastRenderedPageBreak/>
        <w:t>los depositantes, que éstos podrán trasladar a los tenedores.</w:t>
      </w:r>
    </w:p>
    <w:p w:rsidR="00F53F0A" w:rsidRDefault="00F53F0A" w:rsidP="007D2D81">
      <w:pPr>
        <w:widowControl w:val="0"/>
        <w:spacing w:line="0" w:lineRule="atLeast"/>
        <w:ind w:left="0" w:firstLine="0"/>
        <w:jc w:val="both"/>
        <w:rPr>
          <w:rFonts w:ascii="Times New Roman" w:eastAsia="Times New Roman" w:hAnsi="Times New Roman" w:cs="Times New Roman"/>
          <w:sz w:val="20"/>
          <w:szCs w:val="20"/>
          <w:lang w:val="es-ES_tradnl"/>
        </w:rPr>
      </w:pPr>
    </w:p>
    <w:p w:rsidR="00F53F0A" w:rsidRDefault="00DB257D" w:rsidP="007D2D81">
      <w:pPr>
        <w:widowControl w:val="0"/>
        <w:spacing w:line="0" w:lineRule="atLeast"/>
        <w:ind w:left="0" w:firstLine="0"/>
        <w:jc w:val="both"/>
        <w:rPr>
          <w:rFonts w:ascii="Times New Roman" w:eastAsia="Times New Roman" w:hAnsi="Times New Roman" w:cs="Times New Roman"/>
          <w:sz w:val="20"/>
          <w:szCs w:val="20"/>
        </w:rPr>
      </w:pPr>
      <w:r w:rsidRPr="00950255">
        <w:rPr>
          <w:rFonts w:ascii="Times New Roman" w:eastAsia="Times New Roman" w:hAnsi="Times New Roman" w:cs="Times New Roman"/>
          <w:sz w:val="20"/>
          <w:szCs w:val="20"/>
        </w:rPr>
        <w:t>El artículo 131 de la Ley de Mercado de Capitales establece que se podrán expedir comprobantes de los valores representados en certificados globales a favor de las personas que tengan una participación en los mismos, a los efectos de legitimar al titular para reclamar judicialmente o ante jurisdicción arbitral en su caso, incluso mediante acción ejecutiva si correspondiere, presentar solicitudes de verificación de crédito o participar en procesos universales para lo que será suficiente título dicho comprobante, sin necesidad de autenticación u otro requisito.</w:t>
      </w:r>
    </w:p>
    <w:p w:rsidR="00F53F0A" w:rsidRDefault="00F53F0A" w:rsidP="007D2D81">
      <w:pPr>
        <w:widowControl w:val="0"/>
        <w:spacing w:line="0" w:lineRule="atLeast"/>
        <w:ind w:left="0" w:firstLine="0"/>
        <w:jc w:val="both"/>
        <w:rPr>
          <w:rFonts w:ascii="Times New Roman" w:eastAsia="Times New Roman" w:hAnsi="Times New Roman" w:cs="Times New Roman"/>
          <w:sz w:val="20"/>
          <w:szCs w:val="20"/>
        </w:rPr>
      </w:pPr>
    </w:p>
    <w:p w:rsidR="00F53F0A" w:rsidRDefault="00D47E83" w:rsidP="007D2D81">
      <w:pPr>
        <w:widowControl w:val="0"/>
        <w:spacing w:line="0" w:lineRule="atLeast"/>
        <w:ind w:left="0" w:firstLine="0"/>
        <w:jc w:val="both"/>
        <w:rPr>
          <w:rFonts w:ascii="Times New Roman" w:eastAsia="Times New Roman" w:hAnsi="Times New Roman" w:cs="Times New Roman"/>
          <w:sz w:val="20"/>
          <w:szCs w:val="20"/>
        </w:rPr>
      </w:pPr>
      <w:r w:rsidRPr="00950255">
        <w:rPr>
          <w:rFonts w:ascii="Times New Roman" w:eastAsia="Times New Roman" w:hAnsi="Times New Roman" w:cs="Times New Roman"/>
          <w:b/>
          <w:sz w:val="20"/>
          <w:szCs w:val="20"/>
        </w:rPr>
        <w:t>3</w:t>
      </w:r>
      <w:r>
        <w:rPr>
          <w:rFonts w:ascii="Times New Roman" w:eastAsia="Times New Roman" w:hAnsi="Times New Roman" w:cs="Times New Roman"/>
          <w:b/>
          <w:sz w:val="20"/>
          <w:szCs w:val="20"/>
        </w:rPr>
        <w:t>2</w:t>
      </w:r>
      <w:r w:rsidR="00DB257D" w:rsidRPr="00950255">
        <w:rPr>
          <w:rFonts w:ascii="Times New Roman" w:eastAsia="Times New Roman" w:hAnsi="Times New Roman" w:cs="Times New Roman"/>
          <w:b/>
          <w:sz w:val="20"/>
          <w:szCs w:val="20"/>
        </w:rPr>
        <w:t>) Compensación y Liquidación</w:t>
      </w:r>
      <w:r w:rsidR="00DB257D" w:rsidRPr="00950255">
        <w:rPr>
          <w:rFonts w:ascii="Times New Roman" w:eastAsia="Times New Roman" w:hAnsi="Times New Roman" w:cs="Times New Roman"/>
          <w:sz w:val="20"/>
          <w:szCs w:val="20"/>
        </w:rPr>
        <w:t>: Se realizará a través del sistema de compensación y liquidación MAE-Clear (“</w:t>
      </w:r>
      <w:r w:rsidR="00DB257D" w:rsidRPr="00950255">
        <w:rPr>
          <w:rFonts w:ascii="Times New Roman" w:eastAsia="Times New Roman" w:hAnsi="Times New Roman" w:cs="Times New Roman"/>
          <w:sz w:val="20"/>
          <w:szCs w:val="20"/>
          <w:u w:val="single"/>
        </w:rPr>
        <w:t>MAE-Clear</w:t>
      </w:r>
      <w:r w:rsidR="00DB257D" w:rsidRPr="00950255">
        <w:rPr>
          <w:rFonts w:ascii="Times New Roman" w:eastAsia="Times New Roman" w:hAnsi="Times New Roman" w:cs="Times New Roman"/>
          <w:sz w:val="20"/>
          <w:szCs w:val="20"/>
        </w:rPr>
        <w:t>”). En caso de que los Inversores (conforme dicho término se define en el Suplemento de P</w:t>
      </w:r>
      <w:r w:rsidR="00C52E80" w:rsidRPr="00950255">
        <w:rPr>
          <w:rFonts w:ascii="Times New Roman" w:eastAsia="Times New Roman" w:hAnsi="Times New Roman" w:cs="Times New Roman"/>
          <w:sz w:val="20"/>
          <w:szCs w:val="20"/>
        </w:rPr>
        <w:t>rospecto</w:t>
      </w:r>
      <w:r w:rsidR="00DB257D" w:rsidRPr="00950255">
        <w:rPr>
          <w:rFonts w:ascii="Times New Roman" w:eastAsia="Times New Roman" w:hAnsi="Times New Roman" w:cs="Times New Roman"/>
          <w:sz w:val="20"/>
          <w:szCs w:val="20"/>
        </w:rPr>
        <w:t>) no contasen con una cuenta custodio disponible en el sistema MAE-Clear, la liquidación de las Obligaciones Negociables podrá realizarse por intermedio del Colocador correspondiente a través de Caja de Valores.</w:t>
      </w:r>
    </w:p>
    <w:p w:rsidR="00F53F0A" w:rsidRDefault="00F53F0A" w:rsidP="007D2D81">
      <w:pPr>
        <w:widowControl w:val="0"/>
        <w:spacing w:line="0" w:lineRule="atLeast"/>
        <w:ind w:left="0" w:firstLine="0"/>
        <w:jc w:val="both"/>
        <w:rPr>
          <w:rFonts w:ascii="Times New Roman" w:eastAsia="Times New Roman" w:hAnsi="Times New Roman" w:cs="Times New Roman"/>
          <w:b/>
          <w:sz w:val="20"/>
          <w:szCs w:val="20"/>
        </w:rPr>
      </w:pPr>
    </w:p>
    <w:p w:rsidR="00F53F0A" w:rsidRDefault="00D47E83" w:rsidP="007D2D81">
      <w:pPr>
        <w:widowControl w:val="0"/>
        <w:spacing w:line="0" w:lineRule="atLeast"/>
        <w:ind w:left="0" w:firstLine="0"/>
        <w:jc w:val="both"/>
        <w:rPr>
          <w:rFonts w:ascii="Times New Roman" w:eastAsia="Times New Roman" w:hAnsi="Times New Roman" w:cs="Times New Roman"/>
          <w:sz w:val="20"/>
          <w:szCs w:val="20"/>
        </w:rPr>
      </w:pPr>
      <w:r w:rsidRPr="00950255">
        <w:rPr>
          <w:rFonts w:ascii="Times New Roman" w:eastAsia="Times New Roman" w:hAnsi="Times New Roman" w:cs="Times New Roman"/>
          <w:b/>
          <w:sz w:val="20"/>
          <w:szCs w:val="20"/>
        </w:rPr>
        <w:t>3</w:t>
      </w:r>
      <w:r>
        <w:rPr>
          <w:rFonts w:ascii="Times New Roman" w:eastAsia="Times New Roman" w:hAnsi="Times New Roman" w:cs="Times New Roman"/>
          <w:b/>
          <w:sz w:val="20"/>
          <w:szCs w:val="20"/>
        </w:rPr>
        <w:t>3</w:t>
      </w:r>
      <w:r w:rsidR="00DB257D" w:rsidRPr="00950255">
        <w:rPr>
          <w:rFonts w:ascii="Times New Roman" w:eastAsia="Times New Roman" w:hAnsi="Times New Roman" w:cs="Times New Roman"/>
          <w:b/>
          <w:sz w:val="20"/>
          <w:szCs w:val="20"/>
        </w:rPr>
        <w:t>) Agente de Liquidación:</w:t>
      </w:r>
      <w:r w:rsidR="00DB257D" w:rsidRPr="00950255">
        <w:rPr>
          <w:rFonts w:ascii="Times New Roman" w:eastAsia="Times New Roman" w:hAnsi="Times New Roman" w:cs="Times New Roman"/>
          <w:sz w:val="20"/>
          <w:szCs w:val="20"/>
        </w:rPr>
        <w:t xml:space="preserve"> Banco de Galicia y de Buenos Aires S.A.U. </w:t>
      </w:r>
    </w:p>
    <w:p w:rsidR="00F53F0A" w:rsidRDefault="00F53F0A" w:rsidP="007D2D81">
      <w:pPr>
        <w:widowControl w:val="0"/>
        <w:spacing w:line="0" w:lineRule="atLeast"/>
        <w:ind w:left="0" w:firstLine="0"/>
        <w:contextualSpacing/>
        <w:jc w:val="both"/>
        <w:rPr>
          <w:rFonts w:ascii="Times New Roman" w:eastAsia="Times New Roman" w:hAnsi="Times New Roman" w:cs="Times New Roman"/>
          <w:sz w:val="20"/>
          <w:szCs w:val="20"/>
        </w:rPr>
      </w:pPr>
    </w:p>
    <w:p w:rsidR="00F53F0A" w:rsidRDefault="000F3C7E" w:rsidP="007D2D81">
      <w:pPr>
        <w:widowControl w:val="0"/>
        <w:spacing w:line="0" w:lineRule="atLeast"/>
        <w:ind w:left="0" w:firstLine="0"/>
        <w:contextualSpacing/>
        <w:jc w:val="both"/>
        <w:rPr>
          <w:rFonts w:ascii="Times New Roman" w:eastAsia="Times New Roman" w:hAnsi="Times New Roman" w:cs="Times New Roman"/>
          <w:bCs/>
          <w:sz w:val="20"/>
          <w:szCs w:val="20"/>
          <w:lang w:val="es-ES_tradnl"/>
        </w:rPr>
      </w:pPr>
      <w:r w:rsidRPr="00950255">
        <w:rPr>
          <w:rFonts w:ascii="Times New Roman" w:eastAsia="Times New Roman" w:hAnsi="Times New Roman" w:cs="Times New Roman"/>
          <w:b/>
          <w:bCs/>
          <w:sz w:val="20"/>
          <w:szCs w:val="20"/>
        </w:rPr>
        <w:t>3</w:t>
      </w:r>
      <w:r>
        <w:rPr>
          <w:rFonts w:ascii="Times New Roman" w:eastAsia="Times New Roman" w:hAnsi="Times New Roman" w:cs="Times New Roman"/>
          <w:b/>
          <w:bCs/>
          <w:sz w:val="20"/>
          <w:szCs w:val="20"/>
        </w:rPr>
        <w:t>4</w:t>
      </w:r>
      <w:r w:rsidR="00DB257D" w:rsidRPr="00950255">
        <w:rPr>
          <w:rFonts w:ascii="Times New Roman" w:eastAsia="Times New Roman" w:hAnsi="Times New Roman" w:cs="Times New Roman"/>
          <w:b/>
          <w:bCs/>
          <w:sz w:val="20"/>
          <w:szCs w:val="20"/>
        </w:rPr>
        <w:t xml:space="preserve">) </w:t>
      </w:r>
      <w:r w:rsidR="00DB257D" w:rsidRPr="00950255">
        <w:rPr>
          <w:rFonts w:ascii="Times New Roman" w:eastAsia="Times New Roman" w:hAnsi="Times New Roman" w:cs="Times New Roman"/>
          <w:b/>
          <w:bCs/>
          <w:sz w:val="20"/>
          <w:szCs w:val="20"/>
          <w:lang w:val="es-ES_tradnl"/>
        </w:rPr>
        <w:t>Listado y Negociación:</w:t>
      </w:r>
      <w:r w:rsidR="00DB257D" w:rsidRPr="00950255">
        <w:rPr>
          <w:rFonts w:ascii="Times New Roman" w:eastAsia="Times New Roman" w:hAnsi="Times New Roman" w:cs="Times New Roman"/>
          <w:bCs/>
          <w:sz w:val="20"/>
          <w:szCs w:val="20"/>
          <w:lang w:val="es-ES_tradnl"/>
        </w:rPr>
        <w:t xml:space="preserve"> Se ha solicitado autorización para que las Obligaciones Negociables sean listadas en el BYMA y negociadas en el MAE.</w:t>
      </w:r>
    </w:p>
    <w:p w:rsidR="00F53F0A" w:rsidRDefault="00F53F0A" w:rsidP="007D2D81">
      <w:pPr>
        <w:widowControl w:val="0"/>
        <w:spacing w:line="0" w:lineRule="atLeast"/>
        <w:ind w:left="0" w:firstLine="0"/>
        <w:jc w:val="both"/>
        <w:rPr>
          <w:rFonts w:ascii="Times New Roman" w:eastAsia="Times New Roman" w:hAnsi="Times New Roman" w:cs="Times New Roman"/>
          <w:sz w:val="20"/>
          <w:szCs w:val="20"/>
          <w:lang w:val="es-ES_tradnl"/>
        </w:rPr>
      </w:pPr>
    </w:p>
    <w:p w:rsidR="00F53F0A" w:rsidRDefault="000F3C7E" w:rsidP="007D2D81">
      <w:pPr>
        <w:widowControl w:val="0"/>
        <w:spacing w:line="0" w:lineRule="atLeast"/>
        <w:ind w:left="0" w:firstLine="0"/>
        <w:jc w:val="both"/>
        <w:rPr>
          <w:rFonts w:ascii="Times New Roman" w:eastAsia="Times New Roman" w:hAnsi="Times New Roman" w:cs="Times New Roman"/>
          <w:bCs/>
          <w:sz w:val="20"/>
          <w:szCs w:val="20"/>
        </w:rPr>
      </w:pPr>
      <w:r w:rsidRPr="00950255">
        <w:rPr>
          <w:rFonts w:ascii="Times New Roman" w:eastAsia="Times New Roman" w:hAnsi="Times New Roman" w:cs="Times New Roman"/>
          <w:b/>
          <w:sz w:val="20"/>
          <w:szCs w:val="20"/>
          <w:lang w:val="es-ES_tradnl"/>
        </w:rPr>
        <w:t>3</w:t>
      </w:r>
      <w:r>
        <w:rPr>
          <w:rFonts w:ascii="Times New Roman" w:eastAsia="Times New Roman" w:hAnsi="Times New Roman" w:cs="Times New Roman"/>
          <w:b/>
          <w:sz w:val="20"/>
          <w:szCs w:val="20"/>
          <w:lang w:val="es-ES_tradnl"/>
        </w:rPr>
        <w:t>5</w:t>
      </w:r>
      <w:r w:rsidR="00DB257D" w:rsidRPr="00950255">
        <w:rPr>
          <w:rFonts w:ascii="Times New Roman" w:eastAsia="Times New Roman" w:hAnsi="Times New Roman" w:cs="Times New Roman"/>
          <w:b/>
          <w:sz w:val="20"/>
          <w:szCs w:val="20"/>
          <w:lang w:val="es-ES_tradnl"/>
        </w:rPr>
        <w:t>) Comisiones:</w:t>
      </w:r>
      <w:r w:rsidR="00DB257D" w:rsidRPr="00950255">
        <w:rPr>
          <w:rFonts w:ascii="Times New Roman" w:eastAsia="Times New Roman" w:hAnsi="Times New Roman" w:cs="Times New Roman"/>
          <w:sz w:val="20"/>
          <w:szCs w:val="20"/>
          <w:lang w:val="es-ES_tradnl"/>
        </w:rPr>
        <w:t xml:space="preserve"> </w:t>
      </w:r>
      <w:r w:rsidR="00DB257D" w:rsidRPr="00950255">
        <w:rPr>
          <w:rFonts w:ascii="Times New Roman" w:eastAsia="Times New Roman" w:hAnsi="Times New Roman" w:cs="Times New Roman"/>
          <w:bCs/>
          <w:sz w:val="20"/>
          <w:szCs w:val="20"/>
        </w:rPr>
        <w:t xml:space="preserve">La comisión a ser pagada a los Colocadores no se excederá de aproximadamente el </w:t>
      </w:r>
      <w:r w:rsidR="00E7325F">
        <w:rPr>
          <w:rFonts w:ascii="Times New Roman" w:eastAsia="Times New Roman" w:hAnsi="Times New Roman" w:cs="Times New Roman"/>
          <w:bCs/>
          <w:sz w:val="20"/>
          <w:szCs w:val="20"/>
          <w:lang w:val="es-ES_tradnl"/>
        </w:rPr>
        <w:t>0,50</w:t>
      </w:r>
      <w:r w:rsidR="00E7325F" w:rsidRPr="00950255">
        <w:rPr>
          <w:rFonts w:ascii="Times New Roman" w:eastAsia="Times New Roman" w:hAnsi="Times New Roman" w:cs="Times New Roman"/>
          <w:bCs/>
          <w:sz w:val="20"/>
          <w:szCs w:val="20"/>
        </w:rPr>
        <w:t xml:space="preserve">% </w:t>
      </w:r>
      <w:r w:rsidR="00DB257D" w:rsidRPr="00950255">
        <w:rPr>
          <w:rFonts w:ascii="Times New Roman" w:eastAsia="Times New Roman" w:hAnsi="Times New Roman" w:cs="Times New Roman"/>
          <w:bCs/>
          <w:sz w:val="20"/>
          <w:szCs w:val="20"/>
        </w:rPr>
        <w:t>del valor nominal total de las obligaciones negociables efectivamente colocadas e integradas. A dicho monto se deberá sumar lo devengado por honorarios de asesores contables y legales, aranceles de CNV y de otros organismos reguladores, gastos de publicaciones y gastos del agente de calificación de riesgo, entre otros. Ninguno de los gastos mencionados será soportado por los suscriptores de las Obligaciones Negociables. Ni el Emisor ni los Colocadores pagarán comisión y/o reembolsarán gasto alguno a los Agentes del MAE, sin perjuicio de lo cual, dichos Agentes del MAE podrán cobrar comisiones y/o gastos directamente a los Inversores que hubieran cursado Ofertas a través suyo.</w:t>
      </w:r>
    </w:p>
    <w:p w:rsidR="00F53F0A" w:rsidRDefault="00F53F0A" w:rsidP="007D2D81">
      <w:pPr>
        <w:widowControl w:val="0"/>
        <w:spacing w:line="0" w:lineRule="atLeast"/>
        <w:ind w:left="0" w:firstLine="0"/>
        <w:jc w:val="both"/>
        <w:rPr>
          <w:rFonts w:ascii="Times New Roman" w:eastAsia="Times New Roman" w:hAnsi="Times New Roman" w:cs="Times New Roman"/>
          <w:bCs/>
          <w:sz w:val="20"/>
          <w:szCs w:val="20"/>
        </w:rPr>
      </w:pPr>
    </w:p>
    <w:p w:rsidR="00F53F0A" w:rsidRDefault="000F3C7E" w:rsidP="007D2D81">
      <w:pPr>
        <w:autoSpaceDE w:val="0"/>
        <w:autoSpaceDN w:val="0"/>
        <w:adjustRightInd w:val="0"/>
        <w:spacing w:line="0" w:lineRule="atLeast"/>
        <w:ind w:left="0" w:firstLine="0"/>
        <w:jc w:val="both"/>
        <w:rPr>
          <w:rFonts w:ascii="Times New Roman" w:eastAsia="Times New Roman" w:hAnsi="Times New Roman" w:cs="Times New Roman"/>
          <w:color w:val="000000"/>
          <w:sz w:val="20"/>
          <w:szCs w:val="20"/>
          <w:lang w:val="es-ES" w:eastAsia="es-ES"/>
        </w:rPr>
      </w:pPr>
      <w:r w:rsidRPr="00950255">
        <w:rPr>
          <w:rFonts w:ascii="Times New Roman" w:eastAsia="Times New Roman" w:hAnsi="Times New Roman" w:cs="Times New Roman"/>
          <w:b/>
          <w:bCs/>
          <w:sz w:val="20"/>
          <w:szCs w:val="20"/>
          <w:lang w:val="es-ES_tradnl"/>
        </w:rPr>
        <w:t>3</w:t>
      </w:r>
      <w:r>
        <w:rPr>
          <w:rFonts w:ascii="Times New Roman" w:eastAsia="Times New Roman" w:hAnsi="Times New Roman" w:cs="Times New Roman"/>
          <w:b/>
          <w:bCs/>
          <w:sz w:val="20"/>
          <w:szCs w:val="20"/>
          <w:lang w:val="es-ES_tradnl"/>
        </w:rPr>
        <w:t>6</w:t>
      </w:r>
      <w:r w:rsidR="00DB257D" w:rsidRPr="00950255">
        <w:rPr>
          <w:rFonts w:ascii="Times New Roman" w:eastAsia="Times New Roman" w:hAnsi="Times New Roman" w:cs="Times New Roman"/>
          <w:b/>
          <w:bCs/>
          <w:sz w:val="20"/>
          <w:szCs w:val="20"/>
          <w:lang w:val="es-ES_tradnl"/>
        </w:rPr>
        <w:t>) Calificaciones de Riesgo:</w:t>
      </w:r>
      <w:r w:rsidR="00DB257D" w:rsidRPr="00950255">
        <w:rPr>
          <w:rFonts w:ascii="Times New Roman" w:eastAsia="Times New Roman" w:hAnsi="Times New Roman" w:cs="Times New Roman"/>
          <w:bCs/>
          <w:sz w:val="20"/>
          <w:szCs w:val="20"/>
          <w:lang w:val="es-ES_tradnl"/>
        </w:rPr>
        <w:t xml:space="preserve"> </w:t>
      </w:r>
      <w:r w:rsidR="00F52914" w:rsidRPr="00950255">
        <w:rPr>
          <w:rFonts w:ascii="Times New Roman" w:eastAsia="MS Mincho" w:hAnsi="Times New Roman" w:cs="Times New Roman"/>
          <w:sz w:val="20"/>
          <w:szCs w:val="20"/>
        </w:rPr>
        <w:t>Las Obligaciones Negociables cuentan solamente con una calificación de riesgo, habiendo obtenido las Obligaciones Negociables Serie I la calificación “</w:t>
      </w:r>
      <w:r w:rsidR="00E7325F" w:rsidRPr="00E7325F">
        <w:rPr>
          <w:rFonts w:ascii="Times New Roman" w:eastAsia="MS Mincho" w:hAnsi="Times New Roman" w:cs="Times New Roman"/>
          <w:sz w:val="20"/>
          <w:szCs w:val="20"/>
        </w:rPr>
        <w:t>AA(Arg)</w:t>
      </w:r>
      <w:r w:rsidR="00F52914" w:rsidRPr="00950255">
        <w:rPr>
          <w:rFonts w:ascii="Times New Roman" w:eastAsia="MS Mincho" w:hAnsi="Times New Roman" w:cs="Times New Roman"/>
          <w:sz w:val="20"/>
          <w:szCs w:val="20"/>
        </w:rPr>
        <w:t>” y las Obligaciones Negociables Serie II la calificación “</w:t>
      </w:r>
      <w:r w:rsidR="00E7325F" w:rsidRPr="00E7325F">
        <w:rPr>
          <w:rFonts w:ascii="Times New Roman" w:eastAsia="MS Mincho" w:hAnsi="Times New Roman" w:cs="Times New Roman"/>
          <w:sz w:val="20"/>
          <w:szCs w:val="20"/>
        </w:rPr>
        <w:t>A1+(Arg)</w:t>
      </w:r>
      <w:r w:rsidR="00F52914" w:rsidRPr="00950255">
        <w:rPr>
          <w:rFonts w:ascii="Times New Roman" w:eastAsia="MS Mincho" w:hAnsi="Times New Roman" w:cs="Times New Roman"/>
          <w:sz w:val="20"/>
          <w:szCs w:val="20"/>
        </w:rPr>
        <w:t xml:space="preserve">” de conformidad con el informe de fecha </w:t>
      </w:r>
      <w:r w:rsidR="00E7325F">
        <w:rPr>
          <w:rFonts w:ascii="Times New Roman" w:hAnsi="Times New Roman" w:cs="Times New Roman"/>
          <w:sz w:val="20"/>
          <w:szCs w:val="20"/>
        </w:rPr>
        <w:t>4</w:t>
      </w:r>
      <w:r w:rsidR="002E3A30" w:rsidRPr="00950255">
        <w:rPr>
          <w:rFonts w:ascii="Times New Roman" w:eastAsia="MS Mincho" w:hAnsi="Times New Roman" w:cs="Times New Roman"/>
          <w:sz w:val="20"/>
          <w:szCs w:val="20"/>
        </w:rPr>
        <w:t xml:space="preserve"> </w:t>
      </w:r>
      <w:r w:rsidR="00F52914" w:rsidRPr="00950255">
        <w:rPr>
          <w:rFonts w:ascii="Times New Roman" w:eastAsia="MS Mincho" w:hAnsi="Times New Roman" w:cs="Times New Roman"/>
          <w:sz w:val="20"/>
          <w:szCs w:val="20"/>
        </w:rPr>
        <w:t xml:space="preserve">de </w:t>
      </w:r>
      <w:r w:rsidR="002E3A30" w:rsidRPr="00950255">
        <w:rPr>
          <w:rFonts w:ascii="Times New Roman" w:hAnsi="Times New Roman" w:cs="Times New Roman"/>
          <w:sz w:val="20"/>
          <w:szCs w:val="20"/>
        </w:rPr>
        <w:t xml:space="preserve">noviembre </w:t>
      </w:r>
      <w:r w:rsidR="00F52914" w:rsidRPr="00950255">
        <w:rPr>
          <w:rFonts w:ascii="Times New Roman" w:hAnsi="Times New Roman" w:cs="Times New Roman"/>
          <w:sz w:val="20"/>
          <w:szCs w:val="20"/>
        </w:rPr>
        <w:t xml:space="preserve">de 2020 </w:t>
      </w:r>
      <w:r w:rsidR="00F52914" w:rsidRPr="00950255">
        <w:rPr>
          <w:rFonts w:ascii="Times New Roman" w:eastAsia="MS Mincho" w:hAnsi="Times New Roman" w:cs="Times New Roman"/>
          <w:sz w:val="20"/>
          <w:szCs w:val="20"/>
        </w:rPr>
        <w:t xml:space="preserve">de </w:t>
      </w:r>
      <w:r w:rsidR="00F52914" w:rsidRPr="00950255">
        <w:rPr>
          <w:rFonts w:ascii="Times New Roman" w:hAnsi="Times New Roman" w:cs="Times New Roman"/>
          <w:bCs/>
          <w:sz w:val="20"/>
          <w:szCs w:val="20"/>
        </w:rPr>
        <w:t>FIX SCR S.A.</w:t>
      </w:r>
      <w:r w:rsidR="00F52914" w:rsidRPr="00950255">
        <w:rPr>
          <w:rFonts w:ascii="Times New Roman" w:hAnsi="Times New Roman" w:cs="Times New Roman"/>
          <w:bCs/>
          <w:smallCaps/>
          <w:sz w:val="20"/>
          <w:szCs w:val="20"/>
        </w:rPr>
        <w:t xml:space="preserve"> </w:t>
      </w:r>
      <w:r w:rsidR="00F52914" w:rsidRPr="00950255">
        <w:rPr>
          <w:rFonts w:ascii="Times New Roman" w:eastAsia="MS Mincho" w:hAnsi="Times New Roman" w:cs="Times New Roman"/>
          <w:sz w:val="20"/>
          <w:szCs w:val="20"/>
        </w:rPr>
        <w:t>Agente de Calificación de Riesgo</w:t>
      </w:r>
      <w:r w:rsidR="00F52914" w:rsidRPr="00950255">
        <w:rPr>
          <w:rFonts w:ascii="Times New Roman" w:hAnsi="Times New Roman" w:cs="Times New Roman"/>
          <w:smallCaps/>
          <w:sz w:val="20"/>
          <w:szCs w:val="20"/>
        </w:rPr>
        <w:t>.</w:t>
      </w:r>
    </w:p>
    <w:p w:rsidR="00F53F0A" w:rsidRDefault="00F53F0A" w:rsidP="007D2D81">
      <w:pPr>
        <w:widowControl w:val="0"/>
        <w:spacing w:line="0" w:lineRule="atLeast"/>
        <w:ind w:left="0" w:firstLine="0"/>
        <w:contextualSpacing/>
        <w:jc w:val="both"/>
        <w:rPr>
          <w:rFonts w:ascii="Times New Roman" w:eastAsia="Times New Roman" w:hAnsi="Times New Roman" w:cs="Times New Roman"/>
          <w:bCs/>
          <w:sz w:val="20"/>
          <w:szCs w:val="20"/>
          <w:lang w:val="es-ES"/>
        </w:rPr>
      </w:pPr>
    </w:p>
    <w:p w:rsidR="00F53F0A" w:rsidRDefault="000F3C7E" w:rsidP="007D2D81">
      <w:pPr>
        <w:widowControl w:val="0"/>
        <w:spacing w:line="0" w:lineRule="atLeast"/>
        <w:ind w:left="0" w:firstLine="0"/>
        <w:jc w:val="both"/>
        <w:rPr>
          <w:rFonts w:ascii="Times New Roman" w:eastAsia="Times New Roman" w:hAnsi="Times New Roman" w:cs="Times New Roman"/>
          <w:sz w:val="20"/>
          <w:szCs w:val="20"/>
        </w:rPr>
      </w:pPr>
      <w:r w:rsidRPr="00950255">
        <w:rPr>
          <w:rFonts w:ascii="Times New Roman" w:eastAsia="Times New Roman" w:hAnsi="Times New Roman" w:cs="Times New Roman"/>
          <w:b/>
          <w:sz w:val="20"/>
          <w:szCs w:val="20"/>
        </w:rPr>
        <w:t>3</w:t>
      </w:r>
      <w:r>
        <w:rPr>
          <w:rFonts w:ascii="Times New Roman" w:eastAsia="Times New Roman" w:hAnsi="Times New Roman" w:cs="Times New Roman"/>
          <w:b/>
          <w:sz w:val="20"/>
          <w:szCs w:val="20"/>
        </w:rPr>
        <w:t>7</w:t>
      </w:r>
      <w:r w:rsidR="00DB257D" w:rsidRPr="00950255">
        <w:rPr>
          <w:rFonts w:ascii="Times New Roman" w:eastAsia="Times New Roman" w:hAnsi="Times New Roman" w:cs="Times New Roman"/>
          <w:b/>
          <w:sz w:val="20"/>
          <w:szCs w:val="20"/>
        </w:rPr>
        <w:t>) Duration</w:t>
      </w:r>
      <w:r w:rsidR="00DB257D" w:rsidRPr="00950255">
        <w:rPr>
          <w:rFonts w:ascii="Times New Roman" w:eastAsia="Times New Roman" w:hAnsi="Times New Roman" w:cs="Times New Roman"/>
          <w:sz w:val="20"/>
          <w:szCs w:val="20"/>
        </w:rPr>
        <w:t>: Será informada en el Aviso de Resultados.</w:t>
      </w:r>
    </w:p>
    <w:p w:rsidR="00F53F0A" w:rsidRDefault="00F53F0A" w:rsidP="007D2D81">
      <w:pPr>
        <w:widowControl w:val="0"/>
        <w:spacing w:line="0" w:lineRule="atLeast"/>
        <w:ind w:left="0" w:firstLine="0"/>
        <w:jc w:val="both"/>
        <w:rPr>
          <w:rFonts w:ascii="Times New Roman" w:eastAsia="Times New Roman" w:hAnsi="Times New Roman" w:cs="Times New Roman"/>
          <w:sz w:val="20"/>
          <w:szCs w:val="20"/>
        </w:rPr>
      </w:pPr>
    </w:p>
    <w:p w:rsidR="00F53F0A" w:rsidRDefault="000F3C7E" w:rsidP="007D2D81">
      <w:pPr>
        <w:widowControl w:val="0"/>
        <w:spacing w:line="0" w:lineRule="atLeast"/>
        <w:ind w:left="0" w:firstLine="0"/>
        <w:jc w:val="both"/>
        <w:rPr>
          <w:rFonts w:ascii="Times New Roman" w:eastAsia="Times New Roman" w:hAnsi="Times New Roman" w:cs="Times New Roman"/>
          <w:sz w:val="20"/>
          <w:szCs w:val="20"/>
        </w:rPr>
      </w:pPr>
      <w:r w:rsidRPr="00950255">
        <w:rPr>
          <w:rFonts w:ascii="Times New Roman" w:eastAsia="Times New Roman" w:hAnsi="Times New Roman" w:cs="Times New Roman"/>
          <w:b/>
          <w:sz w:val="20"/>
          <w:szCs w:val="20"/>
        </w:rPr>
        <w:t>3</w:t>
      </w:r>
      <w:r>
        <w:rPr>
          <w:rFonts w:ascii="Times New Roman" w:eastAsia="Times New Roman" w:hAnsi="Times New Roman" w:cs="Times New Roman"/>
          <w:b/>
          <w:sz w:val="20"/>
          <w:szCs w:val="20"/>
        </w:rPr>
        <w:t>8</w:t>
      </w:r>
      <w:r w:rsidR="00C90190" w:rsidRPr="00950255">
        <w:rPr>
          <w:rFonts w:ascii="Times New Roman" w:eastAsia="Times New Roman" w:hAnsi="Times New Roman" w:cs="Times New Roman"/>
          <w:b/>
          <w:sz w:val="20"/>
          <w:szCs w:val="20"/>
        </w:rPr>
        <w:t>) Ley Aplicable:</w:t>
      </w:r>
      <w:r w:rsidR="00C90190" w:rsidRPr="00950255">
        <w:rPr>
          <w:rFonts w:ascii="Times New Roman" w:eastAsia="Times New Roman" w:hAnsi="Times New Roman" w:cs="Times New Roman"/>
          <w:sz w:val="20"/>
          <w:szCs w:val="20"/>
        </w:rPr>
        <w:t xml:space="preserve"> Las Obligaciones Negociables se regirán y serán interpretadas conforme a las leyes de la República Argentina.</w:t>
      </w:r>
    </w:p>
    <w:p w:rsidR="00F53F0A" w:rsidRDefault="00F53F0A" w:rsidP="007D2D81">
      <w:pPr>
        <w:widowControl w:val="0"/>
        <w:spacing w:line="0" w:lineRule="atLeast"/>
        <w:ind w:left="0" w:firstLine="0"/>
        <w:jc w:val="both"/>
        <w:rPr>
          <w:rFonts w:ascii="Times New Roman" w:eastAsia="Times New Roman" w:hAnsi="Times New Roman" w:cs="Times New Roman"/>
          <w:bCs/>
          <w:sz w:val="20"/>
          <w:szCs w:val="20"/>
        </w:rPr>
      </w:pPr>
    </w:p>
    <w:p w:rsidR="00F53F0A" w:rsidRDefault="000F3C7E" w:rsidP="007D2D81">
      <w:pPr>
        <w:widowControl w:val="0"/>
        <w:spacing w:line="0" w:lineRule="atLeast"/>
        <w:ind w:left="0" w:firstLine="0"/>
        <w:jc w:val="both"/>
        <w:rPr>
          <w:rFonts w:ascii="Times New Roman" w:eastAsia="Times New Roman" w:hAnsi="Times New Roman" w:cs="Times New Roman"/>
          <w:sz w:val="20"/>
          <w:szCs w:val="20"/>
        </w:rPr>
      </w:pPr>
      <w:r w:rsidRPr="00950255">
        <w:rPr>
          <w:rFonts w:ascii="Times New Roman" w:eastAsia="Times New Roman" w:hAnsi="Times New Roman" w:cs="Times New Roman"/>
          <w:b/>
          <w:sz w:val="20"/>
          <w:szCs w:val="20"/>
        </w:rPr>
        <w:t>3</w:t>
      </w:r>
      <w:r>
        <w:rPr>
          <w:rFonts w:ascii="Times New Roman" w:eastAsia="Times New Roman" w:hAnsi="Times New Roman" w:cs="Times New Roman"/>
          <w:b/>
          <w:sz w:val="20"/>
          <w:szCs w:val="20"/>
        </w:rPr>
        <w:t>9</w:t>
      </w:r>
      <w:r w:rsidR="00C90190" w:rsidRPr="00950255">
        <w:rPr>
          <w:rFonts w:ascii="Times New Roman" w:eastAsia="Times New Roman" w:hAnsi="Times New Roman" w:cs="Times New Roman"/>
          <w:b/>
          <w:sz w:val="20"/>
          <w:szCs w:val="20"/>
        </w:rPr>
        <w:t>) Jurisdicción:</w:t>
      </w:r>
      <w:r w:rsidR="00C90190" w:rsidRPr="00950255">
        <w:rPr>
          <w:rFonts w:ascii="Times New Roman" w:eastAsia="Times New Roman" w:hAnsi="Times New Roman" w:cs="Times New Roman"/>
          <w:sz w:val="20"/>
          <w:szCs w:val="20"/>
        </w:rPr>
        <w:t xml:space="preserve"> Toda controversia que se suscite entre el Emisor y los Inversores en relación con las Obligaciones Negociables podrá someterse a la jurisdicción del Tribunal de Arbitraje General de la Bolsa de Comercio de Buenos Aires (en virtud de la delegación de facultades otorgadas por el BYMA a la BCBA en materia de constitución de Tribunales Arbitrales, de conformidad con lo dispuesto en la Resolución Nº 18.629 de la CNV) o tribunal arbitral del mercado de valores que lo reemplace, sin perjuicio del derecho de los tenedores a acudir a los tribunales judiciales competentes de conformidad con la Ley de Mercado de Capitales, sus modificatorias y/o complementarias.</w:t>
      </w:r>
    </w:p>
    <w:p w:rsidR="00F53F0A" w:rsidRPr="00D844AF" w:rsidRDefault="00F53F0A" w:rsidP="007D2D81">
      <w:pPr>
        <w:widowControl w:val="0"/>
        <w:spacing w:line="0" w:lineRule="atLeast"/>
        <w:ind w:left="0" w:firstLine="0"/>
        <w:jc w:val="both"/>
        <w:rPr>
          <w:rFonts w:ascii="Times New Roman" w:hAnsi="Times New Roman"/>
          <w:sz w:val="20"/>
        </w:rPr>
      </w:pPr>
    </w:p>
    <w:p w:rsidR="00F53F0A" w:rsidRDefault="00A3180E" w:rsidP="007D2D81">
      <w:pPr>
        <w:widowControl w:val="0"/>
        <w:spacing w:line="0" w:lineRule="atLeast"/>
        <w:ind w:left="0" w:firstLine="0"/>
        <w:jc w:val="both"/>
        <w:rPr>
          <w:rFonts w:ascii="Times New Roman" w:eastAsia="Times New Roman" w:hAnsi="Times New Roman" w:cs="Times New Roman"/>
          <w:bCs/>
          <w:i/>
          <w:sz w:val="20"/>
          <w:szCs w:val="20"/>
        </w:rPr>
      </w:pPr>
      <w:r w:rsidRPr="00950255">
        <w:rPr>
          <w:rFonts w:ascii="Times New Roman" w:eastAsia="Times New Roman" w:hAnsi="Times New Roman" w:cs="Times New Roman"/>
          <w:bCs/>
          <w:i/>
          <w:sz w:val="20"/>
          <w:szCs w:val="20"/>
        </w:rPr>
        <w:t>Los Colocadores, conforme las instrucciones que reciban del Emisor podrán hasta la finalización del Período de Subasta Pública, dejar sin efecto la colocación y adjudicación de una o ambas Series de Obligaciones Negociables, en caso de que hayan sucedido cambios en la normativa cambiaria, impositiva y/o de cualquier otra índole que tornen más gravosa la emisión para la Compañía, según lo determinen los Colocadores y el Emisor, quedando pues sin efecto alguno la totalidad de las Ofertas. Esta circunstancia no otorgará a los inversores derecho a compensación ni indemnización alguna.</w:t>
      </w:r>
    </w:p>
    <w:p w:rsidR="00F53F0A" w:rsidRDefault="00F53F0A" w:rsidP="007D2D81">
      <w:pPr>
        <w:widowControl w:val="0"/>
        <w:spacing w:line="0" w:lineRule="atLeast"/>
        <w:ind w:left="0" w:firstLine="0"/>
        <w:jc w:val="both"/>
        <w:rPr>
          <w:rFonts w:ascii="Times New Roman" w:eastAsia="Times New Roman" w:hAnsi="Times New Roman" w:cs="Times New Roman"/>
          <w:bCs/>
          <w:sz w:val="20"/>
          <w:szCs w:val="20"/>
          <w:lang w:val="es-ES_tradnl"/>
        </w:rPr>
      </w:pPr>
    </w:p>
    <w:p w:rsidR="00F53F0A" w:rsidRDefault="00684E65" w:rsidP="007D2D81">
      <w:pPr>
        <w:widowControl w:val="0"/>
        <w:spacing w:line="0" w:lineRule="atLeast"/>
        <w:ind w:left="0" w:firstLine="0"/>
        <w:jc w:val="both"/>
        <w:rPr>
          <w:rFonts w:ascii="Times New Roman" w:hAnsi="Times New Roman" w:cs="Times New Roman"/>
          <w:b/>
          <w:bCs/>
          <w:sz w:val="20"/>
          <w:szCs w:val="20"/>
          <w:lang w:val="es-ES_tradnl"/>
        </w:rPr>
      </w:pPr>
      <w:r w:rsidRPr="00950255">
        <w:rPr>
          <w:rFonts w:ascii="Times New Roman" w:eastAsia="Times New Roman" w:hAnsi="Times New Roman" w:cs="Times New Roman"/>
          <w:b/>
          <w:bCs/>
          <w:sz w:val="20"/>
          <w:szCs w:val="20"/>
          <w:lang w:val="es-ES_tradnl"/>
        </w:rPr>
        <w:t>Las Obligaciones Negociables (a) constituyen obligaciones directas, incondicionales y no subordinadas del Emisor; (b) no cuentan con garantía flotante o especial ni se encuentran avaladas o garantizadas por cualquier otro medio ni por otra entidad financiera; (c) se encuentran excluidas del sistema de seguro de Garantía de los Depósitos de la Ley N° 24.485; (d) no cuentan con el privilegio especial acordado para los depositantes por el inciso e) del artículo 49 de la Ley de Entidades Financieras N° 21.526.</w:t>
      </w:r>
      <w:r w:rsidR="00CE72B2" w:rsidRPr="00950255">
        <w:rPr>
          <w:rFonts w:ascii="Times New Roman" w:eastAsia="Times New Roman" w:hAnsi="Times New Roman" w:cs="Times New Roman"/>
          <w:b/>
          <w:bCs/>
          <w:sz w:val="20"/>
          <w:szCs w:val="20"/>
          <w:lang w:val="es-ES_tradnl"/>
        </w:rPr>
        <w:t xml:space="preserve"> </w:t>
      </w:r>
    </w:p>
    <w:p w:rsidR="00F53F0A" w:rsidRDefault="00F53F0A" w:rsidP="007D2D81">
      <w:pPr>
        <w:widowControl w:val="0"/>
        <w:spacing w:line="0" w:lineRule="atLeast"/>
        <w:ind w:left="0" w:firstLine="0"/>
        <w:jc w:val="both"/>
        <w:rPr>
          <w:rFonts w:ascii="Times New Roman" w:hAnsi="Times New Roman" w:cs="Times New Roman"/>
          <w:b/>
          <w:bCs/>
          <w:sz w:val="20"/>
          <w:szCs w:val="20"/>
          <w:lang w:val="es-ES_tradnl"/>
        </w:rPr>
      </w:pPr>
    </w:p>
    <w:p w:rsidR="00F53F0A" w:rsidRDefault="00CE72B2" w:rsidP="007D2D81">
      <w:pPr>
        <w:widowControl w:val="0"/>
        <w:spacing w:line="0" w:lineRule="atLeast"/>
        <w:ind w:left="0" w:firstLine="0"/>
        <w:jc w:val="both"/>
        <w:rPr>
          <w:rFonts w:ascii="Times New Roman" w:hAnsi="Times New Roman" w:cs="Times New Roman"/>
          <w:b/>
          <w:bCs/>
          <w:sz w:val="20"/>
          <w:szCs w:val="20"/>
          <w:lang w:val="es-ES_tradnl"/>
        </w:rPr>
      </w:pPr>
      <w:r w:rsidRPr="00950255">
        <w:rPr>
          <w:rFonts w:ascii="Times New Roman" w:eastAsia="Times New Roman" w:hAnsi="Times New Roman" w:cs="Times New Roman"/>
          <w:b/>
          <w:bCs/>
          <w:sz w:val="20"/>
          <w:szCs w:val="20"/>
          <w:lang w:val="es-ES_tradnl"/>
        </w:rPr>
        <w:t>La creación del Programa y la oferta pública de las obligaciones negociables han sido autorizadas mediante Resolución Nº 19.925 de fecha 12 de diciembre de 2018 de la CNV y por Disposición de la Gerencia de Emisoras de la CNV N° DI-2020-14-APN-GE#CNV</w:t>
      </w:r>
      <w:r w:rsidRPr="00950255" w:rsidDel="00C52E80">
        <w:rPr>
          <w:rFonts w:ascii="Times New Roman" w:eastAsia="Times New Roman" w:hAnsi="Times New Roman" w:cs="Times New Roman"/>
          <w:b/>
          <w:bCs/>
          <w:sz w:val="20"/>
          <w:szCs w:val="20"/>
          <w:lang w:val="es-ES_tradnl"/>
        </w:rPr>
        <w:t xml:space="preserve"> </w:t>
      </w:r>
      <w:r w:rsidRPr="00950255">
        <w:rPr>
          <w:rFonts w:ascii="Times New Roman" w:eastAsia="Times New Roman" w:hAnsi="Times New Roman" w:cs="Times New Roman"/>
          <w:b/>
          <w:bCs/>
          <w:sz w:val="20"/>
          <w:szCs w:val="20"/>
          <w:lang w:val="es-ES_tradnl"/>
        </w:rPr>
        <w:t xml:space="preserve">de fecha 9 de marzo de 2020. Estas autorizaciones sólo significan que se ha cumplido con los requisitos establecidos en materia de información. La CNV y el MAE no han emitido juicio sobre los datos contenidos en el Suplemento de Prospecto. </w:t>
      </w:r>
    </w:p>
    <w:p w:rsidR="00F53F0A" w:rsidRDefault="00F53F0A" w:rsidP="007D2D81">
      <w:pPr>
        <w:widowControl w:val="0"/>
        <w:spacing w:line="0" w:lineRule="atLeast"/>
        <w:ind w:left="0" w:firstLine="0"/>
        <w:jc w:val="both"/>
        <w:rPr>
          <w:rFonts w:ascii="Times New Roman" w:hAnsi="Times New Roman" w:cs="Times New Roman"/>
          <w:b/>
          <w:bCs/>
          <w:sz w:val="20"/>
          <w:szCs w:val="20"/>
          <w:lang w:val="es-ES_tradnl"/>
        </w:rPr>
      </w:pPr>
    </w:p>
    <w:p w:rsidR="00F53F0A" w:rsidRDefault="00CE72B2" w:rsidP="007D2D81">
      <w:pPr>
        <w:widowControl w:val="0"/>
        <w:spacing w:line="0" w:lineRule="atLeast"/>
        <w:ind w:left="0" w:firstLine="0"/>
        <w:jc w:val="both"/>
        <w:rPr>
          <w:rFonts w:ascii="Times New Roman" w:hAnsi="Times New Roman" w:cs="Times New Roman"/>
          <w:b/>
          <w:bCs/>
          <w:sz w:val="20"/>
          <w:szCs w:val="20"/>
          <w:lang w:val="es-ES_tradnl"/>
        </w:rPr>
      </w:pPr>
      <w:r w:rsidRPr="00950255">
        <w:rPr>
          <w:rFonts w:ascii="Times New Roman" w:eastAsia="Times New Roman" w:hAnsi="Times New Roman" w:cs="Times New Roman"/>
          <w:b/>
          <w:bCs/>
          <w:sz w:val="20"/>
          <w:szCs w:val="20"/>
          <w:lang w:val="es-ES_tradnl"/>
        </w:rPr>
        <w:t xml:space="preserve">El presente Aviso de Suscripción tiene sólo fines informativos y no implica un consejo de inversión. La información incluida en el presente es parcial, se encuentra referida a, y deberá ser completada con, la información contenida en el Prospecto y en el Suplemento de Prospecto. Los interesados deberán considerar </w:t>
      </w:r>
      <w:r w:rsidRPr="00950255">
        <w:rPr>
          <w:rFonts w:ascii="Times New Roman" w:eastAsia="Times New Roman" w:hAnsi="Times New Roman" w:cs="Times New Roman"/>
          <w:b/>
          <w:bCs/>
          <w:sz w:val="20"/>
          <w:szCs w:val="20"/>
          <w:lang w:val="es-ES_tradnl"/>
        </w:rPr>
        <w:lastRenderedPageBreak/>
        <w:t>cuidadosamente la información contenida en el Prospecto y en el Suplemento de Prospecto antes de tomar una decisión de invertir en las Obligaciones Negociables.</w:t>
      </w:r>
    </w:p>
    <w:p w:rsidR="00F53F0A" w:rsidRDefault="00F53F0A" w:rsidP="007D2D81">
      <w:pPr>
        <w:widowControl w:val="0"/>
        <w:spacing w:line="0" w:lineRule="atLeast"/>
        <w:ind w:left="0" w:firstLine="0"/>
        <w:jc w:val="both"/>
        <w:rPr>
          <w:rFonts w:ascii="Times New Roman" w:hAnsi="Times New Roman" w:cs="Times New Roman"/>
          <w:bCs/>
          <w:sz w:val="20"/>
          <w:szCs w:val="20"/>
          <w:lang w:val="es-ES_tradnl"/>
        </w:rPr>
      </w:pPr>
    </w:p>
    <w:p w:rsidR="00F53F0A" w:rsidRDefault="00DB257D" w:rsidP="007D2D81">
      <w:pPr>
        <w:widowControl w:val="0"/>
        <w:spacing w:line="0" w:lineRule="atLeast"/>
        <w:ind w:left="0" w:firstLine="0"/>
        <w:jc w:val="both"/>
        <w:rPr>
          <w:rFonts w:ascii="Times New Roman" w:eastAsia="Times New Roman" w:hAnsi="Times New Roman" w:cs="Times New Roman"/>
          <w:bCs/>
          <w:sz w:val="20"/>
          <w:szCs w:val="20"/>
          <w:lang w:val="es-ES_tradnl"/>
        </w:rPr>
      </w:pPr>
      <w:r w:rsidRPr="00950255">
        <w:rPr>
          <w:rFonts w:ascii="Times New Roman" w:eastAsia="Times New Roman" w:hAnsi="Times New Roman" w:cs="Times New Roman"/>
          <w:bCs/>
          <w:sz w:val="20"/>
          <w:szCs w:val="20"/>
          <w:lang w:val="es-ES_tradnl"/>
        </w:rPr>
        <w:t>El Suplemento de Pr</w:t>
      </w:r>
      <w:r w:rsidR="00C52E80" w:rsidRPr="00950255">
        <w:rPr>
          <w:rFonts w:ascii="Times New Roman" w:eastAsia="Times New Roman" w:hAnsi="Times New Roman" w:cs="Times New Roman"/>
          <w:bCs/>
          <w:sz w:val="20"/>
          <w:szCs w:val="20"/>
          <w:lang w:val="es-ES_tradnl"/>
        </w:rPr>
        <w:t>ospecto</w:t>
      </w:r>
      <w:r w:rsidRPr="00950255">
        <w:rPr>
          <w:rFonts w:ascii="Times New Roman" w:eastAsia="Times New Roman" w:hAnsi="Times New Roman" w:cs="Times New Roman"/>
          <w:bCs/>
          <w:sz w:val="20"/>
          <w:szCs w:val="20"/>
          <w:lang w:val="es-ES_tradnl"/>
        </w:rPr>
        <w:t xml:space="preserve"> y demás documentos relevantes para la emisión de las Obligaciones Negociables en aquel identificados, se encuentran a disposición de los interesados</w:t>
      </w:r>
      <w:r w:rsidR="00A16D1A" w:rsidRPr="00950255">
        <w:rPr>
          <w:rFonts w:ascii="Times New Roman" w:eastAsia="Times New Roman" w:hAnsi="Times New Roman" w:cs="Times New Roman"/>
          <w:bCs/>
          <w:sz w:val="20"/>
          <w:szCs w:val="20"/>
          <w:lang w:val="es-ES_tradnl"/>
        </w:rPr>
        <w:t xml:space="preserve"> de manera digital</w:t>
      </w:r>
      <w:r w:rsidRPr="00950255">
        <w:rPr>
          <w:rFonts w:ascii="Times New Roman" w:eastAsia="Times New Roman" w:hAnsi="Times New Roman" w:cs="Times New Roman"/>
          <w:bCs/>
          <w:sz w:val="20"/>
          <w:szCs w:val="20"/>
        </w:rPr>
        <w:t xml:space="preserve">. </w:t>
      </w:r>
      <w:r w:rsidRPr="00950255">
        <w:rPr>
          <w:rFonts w:ascii="Times New Roman" w:eastAsia="Times New Roman" w:hAnsi="Times New Roman" w:cs="Times New Roman"/>
          <w:bCs/>
          <w:sz w:val="20"/>
          <w:szCs w:val="20"/>
          <w:lang w:val="es-ES_tradnl"/>
        </w:rPr>
        <w:t>Los interesados deben considerar cuidadosamente la información contenida en el Suplemento de Prospecto y demás documentos relevantes antes de tomar una decisión de invertir en las Obligaciones Negociables.</w:t>
      </w:r>
    </w:p>
    <w:p w:rsidR="00DB257D" w:rsidRPr="00950255" w:rsidRDefault="00DB257D" w:rsidP="00DB257D">
      <w:pPr>
        <w:widowControl w:val="0"/>
        <w:ind w:left="0" w:firstLine="0"/>
        <w:jc w:val="both"/>
        <w:rPr>
          <w:rFonts w:ascii="Times New Roman" w:eastAsia="Times New Roman" w:hAnsi="Times New Roman" w:cs="Times New Roman"/>
          <w:bCs/>
          <w:sz w:val="20"/>
          <w:szCs w:val="20"/>
          <w:lang w:val="es-ES_tradnl"/>
        </w:rPr>
      </w:pPr>
    </w:p>
    <w:p w:rsidR="00DB257D" w:rsidRPr="00950255" w:rsidRDefault="00DB257D" w:rsidP="00DB257D">
      <w:pPr>
        <w:widowControl w:val="0"/>
        <w:ind w:left="0" w:firstLine="0"/>
        <w:jc w:val="center"/>
        <w:rPr>
          <w:rFonts w:ascii="Times New Roman" w:eastAsia="Times New Roman" w:hAnsi="Times New Roman" w:cs="Times New Roman"/>
          <w:bCs/>
          <w:sz w:val="20"/>
          <w:szCs w:val="20"/>
          <w:lang w:val="es-ES_tradnl"/>
        </w:rPr>
      </w:pPr>
      <w:r w:rsidRPr="00950255">
        <w:rPr>
          <w:rFonts w:ascii="Times New Roman" w:eastAsia="Times New Roman" w:hAnsi="Times New Roman" w:cs="Times New Roman"/>
          <w:b/>
          <w:bCs/>
          <w:smallCaps/>
          <w:sz w:val="20"/>
          <w:szCs w:val="20"/>
        </w:rPr>
        <w:t>Colocadores</w:t>
      </w:r>
    </w:p>
    <w:p w:rsidR="00DB257D" w:rsidRPr="00950255" w:rsidRDefault="00DB257D" w:rsidP="00DB257D">
      <w:pPr>
        <w:widowControl w:val="0"/>
        <w:ind w:left="0" w:firstLine="0"/>
        <w:jc w:val="center"/>
        <w:rPr>
          <w:rFonts w:ascii="Times New Roman" w:eastAsia="Times New Roman" w:hAnsi="Times New Roman" w:cs="Times New Roman"/>
          <w:sz w:val="20"/>
          <w:szCs w:val="20"/>
          <w:lang w:val="es-ES_tradnl"/>
        </w:rPr>
      </w:pPr>
    </w:p>
    <w:tbl>
      <w:tblPr>
        <w:tblW w:w="9855" w:type="dxa"/>
        <w:jc w:val="center"/>
        <w:tblLayout w:type="fixed"/>
        <w:tblLook w:val="0400" w:firstRow="0" w:lastRow="0" w:firstColumn="0" w:lastColumn="0" w:noHBand="0" w:noVBand="1"/>
      </w:tblPr>
      <w:tblGrid>
        <w:gridCol w:w="5223"/>
        <w:gridCol w:w="4632"/>
      </w:tblGrid>
      <w:tr w:rsidR="00F7472B" w:rsidRPr="00950255" w:rsidTr="00F7472B">
        <w:trPr>
          <w:jc w:val="center"/>
        </w:trPr>
        <w:tc>
          <w:tcPr>
            <w:tcW w:w="5223" w:type="dxa"/>
          </w:tcPr>
          <w:p w:rsidR="00F7472B" w:rsidRPr="007D2D81" w:rsidRDefault="002A6656" w:rsidP="00F7472B">
            <w:pPr>
              <w:widowControl w:val="0"/>
              <w:ind w:left="0" w:firstLine="0"/>
              <w:jc w:val="center"/>
              <w:rPr>
                <w:rFonts w:ascii="Times New Roman" w:hAnsi="Times New Roman"/>
                <w:sz w:val="18"/>
              </w:rPr>
            </w:pPr>
            <w:r w:rsidRPr="007D2D81">
              <w:rPr>
                <w:rFonts w:ascii="Times New Roman" w:hAnsi="Times New Roman"/>
                <w:noProof/>
                <w:sz w:val="18"/>
                <w:lang w:eastAsia="es-AR"/>
              </w:rPr>
              <w:drawing>
                <wp:inline distT="0" distB="0" distL="0" distR="0">
                  <wp:extent cx="1243013" cy="325207"/>
                  <wp:effectExtent l="0" t="0" r="0" b="0"/>
                  <wp:docPr id="20" name="Imagen 35" descr="Descripción: LogoGaliciaS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LogoGaliciaSA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09660" cy="342644"/>
                          </a:xfrm>
                          <a:prstGeom prst="rect">
                            <a:avLst/>
                          </a:prstGeom>
                          <a:noFill/>
                          <a:ln>
                            <a:noFill/>
                          </a:ln>
                        </pic:spPr>
                      </pic:pic>
                    </a:graphicData>
                  </a:graphic>
                </wp:inline>
              </w:drawing>
            </w:r>
          </w:p>
          <w:p w:rsidR="00F7472B" w:rsidRPr="007D2D81" w:rsidRDefault="00F7472B" w:rsidP="00F7472B">
            <w:pPr>
              <w:widowControl w:val="0"/>
              <w:ind w:left="0" w:firstLine="0"/>
              <w:jc w:val="center"/>
              <w:rPr>
                <w:rFonts w:ascii="Times New Roman" w:hAnsi="Times New Roman"/>
                <w:sz w:val="18"/>
                <w:lang w:val="en-US"/>
              </w:rPr>
            </w:pPr>
          </w:p>
        </w:tc>
        <w:tc>
          <w:tcPr>
            <w:tcW w:w="4632" w:type="dxa"/>
          </w:tcPr>
          <w:p w:rsidR="00F7472B" w:rsidRPr="007D2D81" w:rsidRDefault="002A6656" w:rsidP="00F7472B">
            <w:pPr>
              <w:widowControl w:val="0"/>
              <w:ind w:left="0" w:firstLine="0"/>
              <w:jc w:val="center"/>
              <w:rPr>
                <w:rFonts w:ascii="Times New Roman" w:hAnsi="Times New Roman"/>
                <w:sz w:val="18"/>
                <w:lang w:val="en-US"/>
              </w:rPr>
            </w:pPr>
            <w:r w:rsidRPr="002A6656">
              <w:rPr>
                <w:rFonts w:ascii="Times New Roman" w:hAnsi="Times New Roman"/>
                <w:noProof/>
                <w:sz w:val="18"/>
                <w:lang w:val="en-US"/>
              </w:rPr>
              <w:drawing>
                <wp:inline distT="0" distB="0" distL="0" distR="0">
                  <wp:extent cx="1546412" cy="212912"/>
                  <wp:effectExtent l="0" t="0" r="0" b="0"/>
                  <wp:docPr id="2" name="Imagen 65">
                    <a:extLst xmlns:a="http://schemas.openxmlformats.org/drawingml/2006/main">
                      <a:ext uri="{FF2B5EF4-FFF2-40B4-BE49-F238E27FC236}">
                        <a16:creationId xmlns:a16="http://schemas.microsoft.com/office/drawing/2014/main" id="{22760F4C-6E2D-4004-9D14-D6A548CFCEAD}"/>
                      </a:ext>
                    </a:extLst>
                  </wp:docPr>
                  <wp:cNvGraphicFramePr/>
                  <a:graphic xmlns:a="http://schemas.openxmlformats.org/drawingml/2006/main">
                    <a:graphicData uri="http://schemas.openxmlformats.org/drawingml/2006/picture">
                      <pic:pic xmlns:pic="http://schemas.openxmlformats.org/drawingml/2006/picture">
                        <pic:nvPicPr>
                          <pic:cNvPr id="66" name="Imagen 65">
                            <a:extLst>
                              <a:ext uri="{FF2B5EF4-FFF2-40B4-BE49-F238E27FC236}">
                                <a16:creationId xmlns:a16="http://schemas.microsoft.com/office/drawing/2014/main" id="{22760F4C-6E2D-4004-9D14-D6A548CFCEAD}"/>
                              </a:ext>
                            </a:extLst>
                          </pic:cNvPr>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46412" cy="212912"/>
                          </a:xfrm>
                          <a:prstGeom prst="rect">
                            <a:avLst/>
                          </a:prstGeom>
                          <a:noFill/>
                          <a:ln>
                            <a:noFill/>
                          </a:ln>
                        </pic:spPr>
                      </pic:pic>
                    </a:graphicData>
                  </a:graphic>
                </wp:inline>
              </w:drawing>
            </w:r>
          </w:p>
        </w:tc>
      </w:tr>
      <w:tr w:rsidR="00F7472B" w:rsidRPr="00950255" w:rsidTr="00F7472B">
        <w:trPr>
          <w:jc w:val="center"/>
        </w:trPr>
        <w:tc>
          <w:tcPr>
            <w:tcW w:w="5223" w:type="dxa"/>
          </w:tcPr>
          <w:p w:rsidR="00F7472B" w:rsidRPr="007D2D81" w:rsidRDefault="00F53F0A" w:rsidP="00F7472B">
            <w:pPr>
              <w:widowControl w:val="0"/>
              <w:ind w:left="0" w:firstLine="0"/>
              <w:jc w:val="center"/>
              <w:rPr>
                <w:rFonts w:ascii="Times New Roman" w:hAnsi="Times New Roman"/>
                <w:b/>
                <w:smallCaps/>
                <w:sz w:val="18"/>
              </w:rPr>
            </w:pPr>
            <w:r w:rsidRPr="007D2D81">
              <w:rPr>
                <w:rFonts w:ascii="Times New Roman" w:hAnsi="Times New Roman"/>
                <w:b/>
                <w:smallCaps/>
                <w:sz w:val="18"/>
              </w:rPr>
              <w:t>Banco de Galicia y Buenos Aires S.A.U.</w:t>
            </w:r>
          </w:p>
          <w:p w:rsidR="00F7472B" w:rsidRPr="007D2D81" w:rsidRDefault="00F53F0A" w:rsidP="00F7472B">
            <w:pPr>
              <w:widowControl w:val="0"/>
              <w:ind w:left="0" w:firstLine="0"/>
              <w:jc w:val="center"/>
              <w:rPr>
                <w:rFonts w:ascii="Times New Roman" w:hAnsi="Times New Roman"/>
                <w:sz w:val="18"/>
              </w:rPr>
            </w:pPr>
            <w:r w:rsidRPr="007D2D81">
              <w:rPr>
                <w:rFonts w:ascii="Times New Roman" w:hAnsi="Times New Roman"/>
                <w:sz w:val="18"/>
              </w:rPr>
              <w:t xml:space="preserve">Agente de Liquidación y Compensación y Agente de Negociación Integral Número de Matrícula CNV N°22 </w:t>
            </w:r>
          </w:p>
        </w:tc>
        <w:tc>
          <w:tcPr>
            <w:tcW w:w="4632" w:type="dxa"/>
          </w:tcPr>
          <w:p w:rsidR="00F7472B" w:rsidRPr="007D2D81" w:rsidRDefault="00F53F0A" w:rsidP="00F7472B">
            <w:pPr>
              <w:keepNext/>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9131"/>
                <w:tab w:val="left" w:pos="9528"/>
              </w:tabs>
              <w:ind w:left="0" w:firstLine="0"/>
              <w:jc w:val="center"/>
              <w:rPr>
                <w:rFonts w:ascii="Times New Roman" w:hAnsi="Times New Roman"/>
                <w:b/>
                <w:smallCaps/>
                <w:sz w:val="18"/>
              </w:rPr>
            </w:pPr>
            <w:r w:rsidRPr="007D2D81">
              <w:rPr>
                <w:rFonts w:ascii="Times New Roman" w:hAnsi="Times New Roman"/>
                <w:b/>
                <w:smallCaps/>
                <w:sz w:val="18"/>
              </w:rPr>
              <w:t xml:space="preserve">Banco Patagonia S.A. </w:t>
            </w:r>
          </w:p>
          <w:p w:rsidR="00F7472B" w:rsidRPr="007D2D81" w:rsidRDefault="00F53F0A" w:rsidP="00F7472B">
            <w:pPr>
              <w:keepNext/>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9131"/>
                <w:tab w:val="left" w:pos="9528"/>
              </w:tabs>
              <w:ind w:left="0" w:firstLine="0"/>
              <w:jc w:val="center"/>
              <w:rPr>
                <w:rFonts w:ascii="Times New Roman" w:hAnsi="Times New Roman"/>
                <w:sz w:val="18"/>
              </w:rPr>
            </w:pPr>
            <w:r w:rsidRPr="007D2D81">
              <w:rPr>
                <w:rFonts w:ascii="Times New Roman" w:hAnsi="Times New Roman"/>
                <w:color w:val="000000"/>
                <w:sz w:val="18"/>
              </w:rPr>
              <w:t>Agente de Liquidación y Compensación y Agente de Negociación Integral Número de Matrícula CNV N°66</w:t>
            </w:r>
          </w:p>
        </w:tc>
      </w:tr>
      <w:tr w:rsidR="00F7472B" w:rsidRPr="00950255" w:rsidTr="00F7472B">
        <w:trPr>
          <w:jc w:val="center"/>
        </w:trPr>
        <w:tc>
          <w:tcPr>
            <w:tcW w:w="5223" w:type="dxa"/>
          </w:tcPr>
          <w:p w:rsidR="00F7472B" w:rsidRPr="007D2D81" w:rsidRDefault="00F53F0A" w:rsidP="00F7472B">
            <w:pPr>
              <w:widowControl w:val="0"/>
              <w:ind w:left="0" w:firstLine="0"/>
              <w:jc w:val="center"/>
              <w:rPr>
                <w:rFonts w:ascii="Times New Roman" w:hAnsi="Times New Roman"/>
                <w:i/>
                <w:sz w:val="18"/>
              </w:rPr>
            </w:pPr>
            <w:r w:rsidRPr="007D2D81">
              <w:rPr>
                <w:rFonts w:ascii="Times New Roman" w:hAnsi="Times New Roman"/>
                <w:i/>
                <w:sz w:val="18"/>
              </w:rPr>
              <w:t>como Organizador, Colocador, Agente Creador y Agente de Liquidación</w:t>
            </w:r>
          </w:p>
          <w:p w:rsidR="00F7472B" w:rsidRPr="007D2D81" w:rsidRDefault="00F7472B" w:rsidP="00F7472B">
            <w:pPr>
              <w:widowControl w:val="0"/>
              <w:ind w:left="0" w:firstLine="0"/>
              <w:jc w:val="center"/>
              <w:rPr>
                <w:rFonts w:ascii="Times New Roman" w:hAnsi="Times New Roman"/>
                <w:sz w:val="18"/>
              </w:rPr>
            </w:pPr>
          </w:p>
        </w:tc>
        <w:tc>
          <w:tcPr>
            <w:tcW w:w="4632" w:type="dxa"/>
          </w:tcPr>
          <w:p w:rsidR="00F7472B" w:rsidRPr="007D2D81" w:rsidRDefault="00F53F0A" w:rsidP="00F7472B">
            <w:pPr>
              <w:keepNext/>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9131"/>
                <w:tab w:val="left" w:pos="9528"/>
              </w:tabs>
              <w:ind w:left="0" w:firstLine="0"/>
              <w:jc w:val="center"/>
              <w:rPr>
                <w:rFonts w:ascii="Times New Roman" w:hAnsi="Times New Roman"/>
                <w:sz w:val="18"/>
                <w:lang w:val="es-ES_tradnl"/>
              </w:rPr>
            </w:pPr>
            <w:r w:rsidRPr="007D2D81">
              <w:rPr>
                <w:rFonts w:ascii="Times New Roman" w:hAnsi="Times New Roman"/>
                <w:i/>
                <w:sz w:val="18"/>
                <w:lang w:val="es-ES_tradnl"/>
              </w:rPr>
              <w:t>como Organizador y Colocador</w:t>
            </w:r>
          </w:p>
        </w:tc>
      </w:tr>
    </w:tbl>
    <w:p w:rsidR="00F7472B" w:rsidRPr="00950255" w:rsidRDefault="00F7472B" w:rsidP="00F7472B">
      <w:pPr>
        <w:widowControl w:val="0"/>
        <w:ind w:left="0" w:firstLine="0"/>
        <w:rPr>
          <w:rFonts w:ascii="Times New Roman" w:eastAsia="Times New Roman" w:hAnsi="Times New Roman" w:cs="Times New Roman"/>
          <w:bCs/>
          <w:sz w:val="20"/>
          <w:szCs w:val="20"/>
          <w:lang w:val="es-ES_tradnl"/>
        </w:rPr>
      </w:pPr>
    </w:p>
    <w:p w:rsidR="00DB257D" w:rsidRPr="00950255" w:rsidRDefault="00DB257D" w:rsidP="00DB257D">
      <w:pPr>
        <w:widowControl w:val="0"/>
        <w:ind w:left="0" w:firstLine="0"/>
        <w:jc w:val="right"/>
        <w:rPr>
          <w:rFonts w:ascii="Times New Roman" w:eastAsia="Times New Roman" w:hAnsi="Times New Roman" w:cs="Times New Roman"/>
          <w:bCs/>
          <w:sz w:val="20"/>
          <w:szCs w:val="20"/>
        </w:rPr>
      </w:pPr>
      <w:r w:rsidRPr="00950255">
        <w:rPr>
          <w:rFonts w:ascii="Times New Roman" w:eastAsia="Times New Roman" w:hAnsi="Times New Roman" w:cs="Times New Roman"/>
          <w:bCs/>
          <w:sz w:val="20"/>
          <w:szCs w:val="20"/>
          <w:lang w:val="es-ES_tradnl"/>
        </w:rPr>
        <w:t xml:space="preserve">La fecha del presente Aviso de Suscripción es </w:t>
      </w:r>
      <w:r w:rsidR="007341F7">
        <w:rPr>
          <w:rFonts w:ascii="Times New Roman" w:eastAsia="Times New Roman" w:hAnsi="Times New Roman" w:cs="Times New Roman"/>
          <w:bCs/>
          <w:sz w:val="20"/>
          <w:szCs w:val="20"/>
        </w:rPr>
        <w:t>6</w:t>
      </w:r>
      <w:r w:rsidR="002E3A30" w:rsidRPr="00950255">
        <w:rPr>
          <w:rFonts w:ascii="Times New Roman" w:eastAsia="Times New Roman" w:hAnsi="Times New Roman" w:cs="Times New Roman"/>
          <w:bCs/>
          <w:sz w:val="20"/>
          <w:szCs w:val="20"/>
          <w:lang w:val="es-ES_tradnl"/>
        </w:rPr>
        <w:t xml:space="preserve"> </w:t>
      </w:r>
      <w:r w:rsidRPr="00950255">
        <w:rPr>
          <w:rFonts w:ascii="Times New Roman" w:eastAsia="Times New Roman" w:hAnsi="Times New Roman" w:cs="Times New Roman"/>
          <w:bCs/>
          <w:sz w:val="20"/>
          <w:szCs w:val="20"/>
          <w:lang w:val="es-ES_tradnl"/>
        </w:rPr>
        <w:t xml:space="preserve">de </w:t>
      </w:r>
      <w:r w:rsidR="002E3A30" w:rsidRPr="00950255">
        <w:rPr>
          <w:rFonts w:ascii="Times New Roman" w:eastAsia="Times New Roman" w:hAnsi="Times New Roman" w:cs="Times New Roman"/>
          <w:bCs/>
          <w:sz w:val="20"/>
          <w:szCs w:val="20"/>
          <w:lang w:val="es-ES_tradnl"/>
        </w:rPr>
        <w:t xml:space="preserve">noviembre de </w:t>
      </w:r>
      <w:r w:rsidRPr="00950255">
        <w:rPr>
          <w:rFonts w:ascii="Times New Roman" w:eastAsia="Times New Roman" w:hAnsi="Times New Roman" w:cs="Times New Roman"/>
          <w:bCs/>
          <w:sz w:val="20"/>
          <w:szCs w:val="20"/>
          <w:lang w:val="es-ES_tradnl"/>
        </w:rPr>
        <w:t>20</w:t>
      </w:r>
      <w:r w:rsidR="00496A36" w:rsidRPr="00950255">
        <w:rPr>
          <w:rFonts w:ascii="Times New Roman" w:eastAsia="Times New Roman" w:hAnsi="Times New Roman" w:cs="Times New Roman"/>
          <w:bCs/>
          <w:sz w:val="20"/>
          <w:szCs w:val="20"/>
          <w:lang w:val="es-ES_tradnl"/>
        </w:rPr>
        <w:t>20</w:t>
      </w:r>
    </w:p>
    <w:p w:rsidR="00DB257D" w:rsidRPr="00950255" w:rsidRDefault="00DB257D" w:rsidP="00DB257D">
      <w:pPr>
        <w:widowControl w:val="0"/>
        <w:ind w:left="0" w:firstLine="0"/>
        <w:jc w:val="center"/>
        <w:rPr>
          <w:rFonts w:ascii="Times New Roman" w:eastAsia="Times New Roman" w:hAnsi="Times New Roman" w:cs="Times New Roman"/>
          <w:sz w:val="20"/>
          <w:szCs w:val="20"/>
        </w:rPr>
      </w:pPr>
    </w:p>
    <w:p w:rsidR="00DB257D" w:rsidRPr="00950255" w:rsidRDefault="00DB257D" w:rsidP="00DB257D">
      <w:pPr>
        <w:widowControl w:val="0"/>
        <w:ind w:left="0" w:firstLine="0"/>
        <w:jc w:val="center"/>
        <w:rPr>
          <w:rFonts w:ascii="Times New Roman" w:eastAsia="Times New Roman" w:hAnsi="Times New Roman" w:cs="Times New Roman"/>
          <w:sz w:val="20"/>
          <w:szCs w:val="20"/>
        </w:rPr>
      </w:pPr>
    </w:p>
    <w:p w:rsidR="00DB257D" w:rsidRPr="00950255" w:rsidRDefault="00DB257D" w:rsidP="00DB257D">
      <w:pPr>
        <w:widowControl w:val="0"/>
        <w:ind w:left="0" w:firstLine="0"/>
        <w:jc w:val="center"/>
        <w:rPr>
          <w:rFonts w:ascii="Times New Roman" w:eastAsia="Times New Roman" w:hAnsi="Times New Roman" w:cs="Times New Roman"/>
          <w:sz w:val="20"/>
          <w:szCs w:val="20"/>
        </w:rPr>
      </w:pPr>
    </w:p>
    <w:p w:rsidR="00DB257D" w:rsidRPr="00950255" w:rsidRDefault="00DB257D" w:rsidP="00DB257D">
      <w:pPr>
        <w:widowControl w:val="0"/>
        <w:spacing w:after="120"/>
        <w:ind w:left="0" w:firstLine="0"/>
        <w:jc w:val="center"/>
        <w:rPr>
          <w:rFonts w:ascii="Times New Roman" w:eastAsia="Times New Roman" w:hAnsi="Times New Roman" w:cs="Times New Roman"/>
          <w:sz w:val="20"/>
          <w:szCs w:val="20"/>
        </w:rPr>
      </w:pPr>
      <w:r w:rsidRPr="00950255">
        <w:rPr>
          <w:rFonts w:ascii="Times New Roman" w:eastAsia="Times New Roman" w:hAnsi="Times New Roman" w:cs="Times New Roman"/>
          <w:sz w:val="20"/>
          <w:szCs w:val="20"/>
        </w:rPr>
        <w:t>_________________________</w:t>
      </w:r>
    </w:p>
    <w:p w:rsidR="0000178F" w:rsidRPr="00950255" w:rsidRDefault="0000178F" w:rsidP="0000178F">
      <w:pPr>
        <w:widowControl w:val="0"/>
        <w:ind w:left="0" w:firstLine="0"/>
        <w:jc w:val="center"/>
        <w:rPr>
          <w:rFonts w:ascii="Times New Roman" w:eastAsia="Times New Roman" w:hAnsi="Times New Roman" w:cs="Times New Roman"/>
          <w:sz w:val="20"/>
          <w:szCs w:val="20"/>
        </w:rPr>
      </w:pPr>
      <w:r w:rsidRPr="00950255">
        <w:rPr>
          <w:rFonts w:ascii="Times New Roman" w:eastAsia="Times New Roman" w:hAnsi="Times New Roman" w:cs="Times New Roman"/>
          <w:sz w:val="20"/>
          <w:szCs w:val="20"/>
        </w:rPr>
        <w:t>Mariano Pablo Daneri</w:t>
      </w:r>
    </w:p>
    <w:p w:rsidR="0000178F" w:rsidRPr="00950255" w:rsidRDefault="0000178F" w:rsidP="0000178F">
      <w:pPr>
        <w:widowControl w:val="0"/>
        <w:ind w:left="0" w:firstLine="0"/>
        <w:jc w:val="center"/>
        <w:rPr>
          <w:rFonts w:ascii="Times New Roman" w:eastAsia="Times New Roman" w:hAnsi="Times New Roman" w:cs="Times New Roman"/>
          <w:i/>
          <w:sz w:val="20"/>
          <w:szCs w:val="20"/>
        </w:rPr>
      </w:pPr>
      <w:r w:rsidRPr="00950255">
        <w:rPr>
          <w:rFonts w:ascii="Times New Roman" w:eastAsia="Times New Roman" w:hAnsi="Times New Roman" w:cs="Times New Roman"/>
          <w:i/>
          <w:sz w:val="20"/>
          <w:szCs w:val="20"/>
        </w:rPr>
        <w:t xml:space="preserve">Subdelegado </w:t>
      </w:r>
    </w:p>
    <w:p w:rsidR="00DB257D" w:rsidRPr="00950255" w:rsidRDefault="0000178F" w:rsidP="0000178F">
      <w:pPr>
        <w:widowControl w:val="0"/>
        <w:ind w:left="0" w:firstLine="0"/>
        <w:jc w:val="center"/>
        <w:rPr>
          <w:rFonts w:ascii="Times New Roman" w:eastAsia="Times New Roman" w:hAnsi="Times New Roman" w:cs="Times New Roman"/>
          <w:b/>
          <w:sz w:val="20"/>
          <w:szCs w:val="20"/>
        </w:rPr>
      </w:pPr>
      <w:r w:rsidRPr="00950255">
        <w:rPr>
          <w:rFonts w:ascii="Times New Roman" w:eastAsia="Times New Roman" w:hAnsi="Times New Roman" w:cs="Times New Roman"/>
          <w:b/>
          <w:sz w:val="20"/>
          <w:szCs w:val="20"/>
        </w:rPr>
        <w:t>FCA Compañía Financiera S.A.</w:t>
      </w:r>
    </w:p>
    <w:p w:rsidR="009F53F5" w:rsidRPr="00950255" w:rsidRDefault="009F53F5" w:rsidP="00DB257D">
      <w:pPr>
        <w:ind w:left="0" w:firstLine="0"/>
        <w:rPr>
          <w:rFonts w:ascii="Times New Roman" w:hAnsi="Times New Roman" w:cs="Times New Roman"/>
          <w:sz w:val="20"/>
          <w:szCs w:val="20"/>
        </w:rPr>
      </w:pPr>
    </w:p>
    <w:sectPr w:rsidR="009F53F5" w:rsidRPr="00950255" w:rsidSect="00D85C0C">
      <w:headerReference w:type="default" r:id="rId19"/>
      <w:footerReference w:type="even" r:id="rId20"/>
      <w:footerReference w:type="default" r:id="rId21"/>
      <w:pgSz w:w="11906" w:h="16838" w:code="9"/>
      <w:pgMar w:top="426" w:right="1134" w:bottom="851"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1915" w:rsidRDefault="00EA1915" w:rsidP="00DB257D">
      <w:r>
        <w:separator/>
      </w:r>
    </w:p>
  </w:endnote>
  <w:endnote w:type="continuationSeparator" w:id="0">
    <w:p w:rsidR="00EA1915" w:rsidRDefault="00EA1915" w:rsidP="00DB257D">
      <w:r>
        <w:continuationSeparator/>
      </w:r>
    </w:p>
  </w:endnote>
  <w:endnote w:type="continuationNotice" w:id="1">
    <w:p w:rsidR="00EA1915" w:rsidRDefault="00EA19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5783" w:rsidRDefault="00F53F0A">
    <w:pPr>
      <w:pStyle w:val="Piedepgina"/>
      <w:framePr w:wrap="around" w:vAnchor="text" w:hAnchor="margin" w:xAlign="right" w:y="1"/>
      <w:rPr>
        <w:rStyle w:val="Nmerodepgina"/>
      </w:rPr>
    </w:pPr>
    <w:r>
      <w:rPr>
        <w:rStyle w:val="Nmerodepgina"/>
      </w:rPr>
      <w:fldChar w:fldCharType="begin"/>
    </w:r>
    <w:r w:rsidR="000A5783">
      <w:rPr>
        <w:rStyle w:val="Nmerodepgina"/>
      </w:rPr>
      <w:instrText xml:space="preserve">PAGE  </w:instrText>
    </w:r>
    <w:r>
      <w:rPr>
        <w:rStyle w:val="Nmerodepgina"/>
      </w:rPr>
      <w:fldChar w:fldCharType="end"/>
    </w:r>
  </w:p>
  <w:p w:rsidR="000A5783" w:rsidRDefault="000A578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5783" w:rsidRPr="00780F9E" w:rsidRDefault="000A5783" w:rsidP="00DC1E16">
    <w:pPr>
      <w:pStyle w:val="Encabezad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1915" w:rsidRDefault="00EA1915" w:rsidP="00DB257D">
      <w:r>
        <w:separator/>
      </w:r>
    </w:p>
  </w:footnote>
  <w:footnote w:type="continuationSeparator" w:id="0">
    <w:p w:rsidR="00EA1915" w:rsidRDefault="00EA1915" w:rsidP="00DB257D">
      <w:r>
        <w:continuationSeparator/>
      </w:r>
    </w:p>
  </w:footnote>
  <w:footnote w:type="continuationNotice" w:id="1">
    <w:p w:rsidR="00EA1915" w:rsidRDefault="00EA19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5783" w:rsidRPr="00C90190" w:rsidRDefault="000A5783" w:rsidP="00D85C0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370D6"/>
    <w:multiLevelType w:val="hybridMultilevel"/>
    <w:tmpl w:val="87AC4C74"/>
    <w:lvl w:ilvl="0" w:tplc="37F2A5AE">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DB257D"/>
    <w:rsid w:val="0000178F"/>
    <w:rsid w:val="00012651"/>
    <w:rsid w:val="000128E8"/>
    <w:rsid w:val="0006037B"/>
    <w:rsid w:val="000A1CDE"/>
    <w:rsid w:val="000A554E"/>
    <w:rsid w:val="000A5783"/>
    <w:rsid w:val="000B6078"/>
    <w:rsid w:val="000C193B"/>
    <w:rsid w:val="000D7071"/>
    <w:rsid w:val="000E3169"/>
    <w:rsid w:val="000F0D0D"/>
    <w:rsid w:val="000F3C7E"/>
    <w:rsid w:val="001151F3"/>
    <w:rsid w:val="00116BC0"/>
    <w:rsid w:val="001227AF"/>
    <w:rsid w:val="001432F7"/>
    <w:rsid w:val="001453CE"/>
    <w:rsid w:val="00151790"/>
    <w:rsid w:val="001D7DAA"/>
    <w:rsid w:val="001D7E47"/>
    <w:rsid w:val="00254BF1"/>
    <w:rsid w:val="002A6656"/>
    <w:rsid w:val="002A71E5"/>
    <w:rsid w:val="002B5CAF"/>
    <w:rsid w:val="002D138D"/>
    <w:rsid w:val="002E3A30"/>
    <w:rsid w:val="00372E32"/>
    <w:rsid w:val="003B1183"/>
    <w:rsid w:val="003D4D96"/>
    <w:rsid w:val="003E601B"/>
    <w:rsid w:val="003F1E37"/>
    <w:rsid w:val="00401DA6"/>
    <w:rsid w:val="004558C6"/>
    <w:rsid w:val="004625F5"/>
    <w:rsid w:val="00496A36"/>
    <w:rsid w:val="004A4C11"/>
    <w:rsid w:val="004A76A6"/>
    <w:rsid w:val="004A7DBA"/>
    <w:rsid w:val="004B59D5"/>
    <w:rsid w:val="004D4C70"/>
    <w:rsid w:val="004E1C9D"/>
    <w:rsid w:val="004E26A9"/>
    <w:rsid w:val="005404EF"/>
    <w:rsid w:val="00543CCD"/>
    <w:rsid w:val="00545CFC"/>
    <w:rsid w:val="00572A8E"/>
    <w:rsid w:val="0059695E"/>
    <w:rsid w:val="005B4F68"/>
    <w:rsid w:val="005E2534"/>
    <w:rsid w:val="00684E65"/>
    <w:rsid w:val="006B339B"/>
    <w:rsid w:val="007341F7"/>
    <w:rsid w:val="00735CE5"/>
    <w:rsid w:val="00762162"/>
    <w:rsid w:val="007623B3"/>
    <w:rsid w:val="0076418A"/>
    <w:rsid w:val="00764EC1"/>
    <w:rsid w:val="0077072D"/>
    <w:rsid w:val="007D2D81"/>
    <w:rsid w:val="007D2E06"/>
    <w:rsid w:val="007D46D7"/>
    <w:rsid w:val="007D64C2"/>
    <w:rsid w:val="007D6B71"/>
    <w:rsid w:val="008163A4"/>
    <w:rsid w:val="00891683"/>
    <w:rsid w:val="00896FEB"/>
    <w:rsid w:val="008B7B7A"/>
    <w:rsid w:val="008D5794"/>
    <w:rsid w:val="00950255"/>
    <w:rsid w:val="009B6299"/>
    <w:rsid w:val="009C2964"/>
    <w:rsid w:val="009F53F5"/>
    <w:rsid w:val="00A16D1A"/>
    <w:rsid w:val="00A3180E"/>
    <w:rsid w:val="00A447E1"/>
    <w:rsid w:val="00A9458B"/>
    <w:rsid w:val="00AE07E5"/>
    <w:rsid w:val="00AE14A2"/>
    <w:rsid w:val="00B2336D"/>
    <w:rsid w:val="00B4719E"/>
    <w:rsid w:val="00B6396B"/>
    <w:rsid w:val="00BC1691"/>
    <w:rsid w:val="00BF163F"/>
    <w:rsid w:val="00C03810"/>
    <w:rsid w:val="00C10F75"/>
    <w:rsid w:val="00C438AB"/>
    <w:rsid w:val="00C442BC"/>
    <w:rsid w:val="00C52E80"/>
    <w:rsid w:val="00C84F1D"/>
    <w:rsid w:val="00C90190"/>
    <w:rsid w:val="00CB077C"/>
    <w:rsid w:val="00CB6924"/>
    <w:rsid w:val="00CE142A"/>
    <w:rsid w:val="00CE72B2"/>
    <w:rsid w:val="00D265E4"/>
    <w:rsid w:val="00D35E79"/>
    <w:rsid w:val="00D47E83"/>
    <w:rsid w:val="00D50202"/>
    <w:rsid w:val="00D730C8"/>
    <w:rsid w:val="00D76026"/>
    <w:rsid w:val="00D844AF"/>
    <w:rsid w:val="00D85C0C"/>
    <w:rsid w:val="00DB257D"/>
    <w:rsid w:val="00DC1E16"/>
    <w:rsid w:val="00DD05C7"/>
    <w:rsid w:val="00DF2670"/>
    <w:rsid w:val="00DF3977"/>
    <w:rsid w:val="00E50D62"/>
    <w:rsid w:val="00E70AF1"/>
    <w:rsid w:val="00E7325F"/>
    <w:rsid w:val="00E76C30"/>
    <w:rsid w:val="00E96484"/>
    <w:rsid w:val="00EA1915"/>
    <w:rsid w:val="00EF6FC5"/>
    <w:rsid w:val="00F10EAF"/>
    <w:rsid w:val="00F47B1A"/>
    <w:rsid w:val="00F52914"/>
    <w:rsid w:val="00F53F0A"/>
    <w:rsid w:val="00F7472B"/>
    <w:rsid w:val="00F932C4"/>
    <w:rsid w:val="00FA54DD"/>
    <w:rsid w:val="00FA5C0C"/>
    <w:rsid w:val="00FA655A"/>
    <w:rsid w:val="00FD7B9E"/>
    <w:rsid w:val="00FF35F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CCC8BA-7AED-8E45-BF6B-D0D82CD30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AR" w:eastAsia="en-US" w:bidi="ar-SA"/>
      </w:rPr>
    </w:rPrDefault>
    <w:pPrDefault>
      <w:pPr>
        <w:ind w:left="1134" w:hanging="113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B7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DB257D"/>
    <w:pPr>
      <w:tabs>
        <w:tab w:val="center" w:pos="4419"/>
        <w:tab w:val="right" w:pos="8838"/>
      </w:tabs>
    </w:pPr>
  </w:style>
  <w:style w:type="character" w:customStyle="1" w:styleId="PiedepginaCar">
    <w:name w:val="Pie de página Car"/>
    <w:basedOn w:val="Fuentedeprrafopredeter"/>
    <w:link w:val="Piedepgina"/>
    <w:uiPriority w:val="99"/>
    <w:rsid w:val="00DB257D"/>
  </w:style>
  <w:style w:type="paragraph" w:styleId="Encabezado">
    <w:name w:val="header"/>
    <w:basedOn w:val="Normal"/>
    <w:link w:val="EncabezadoCar"/>
    <w:uiPriority w:val="99"/>
    <w:unhideWhenUsed/>
    <w:rsid w:val="00DB257D"/>
    <w:pPr>
      <w:tabs>
        <w:tab w:val="center" w:pos="4419"/>
        <w:tab w:val="right" w:pos="8838"/>
      </w:tabs>
    </w:pPr>
  </w:style>
  <w:style w:type="character" w:customStyle="1" w:styleId="EncabezadoCar">
    <w:name w:val="Encabezado Car"/>
    <w:basedOn w:val="Fuentedeprrafopredeter"/>
    <w:link w:val="Encabezado"/>
    <w:uiPriority w:val="99"/>
    <w:rsid w:val="00DB257D"/>
  </w:style>
  <w:style w:type="character" w:styleId="Nmerodepgina">
    <w:name w:val="page number"/>
    <w:uiPriority w:val="99"/>
    <w:semiHidden/>
    <w:rsid w:val="00DB257D"/>
    <w:rPr>
      <w:rFonts w:cs="Times New Roman"/>
    </w:rPr>
  </w:style>
  <w:style w:type="table" w:styleId="Tablaconcuadrcula">
    <w:name w:val="Table Grid"/>
    <w:basedOn w:val="Tablanormal"/>
    <w:uiPriority w:val="59"/>
    <w:unhideWhenUsed/>
    <w:rsid w:val="00DB257D"/>
    <w:pPr>
      <w:ind w:left="0" w:firstLine="0"/>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DB257D"/>
    <w:pPr>
      <w:widowControl w:val="0"/>
      <w:ind w:left="0" w:firstLine="0"/>
      <w:jc w:val="both"/>
    </w:pPr>
    <w:rPr>
      <w:rFonts w:ascii="Times New Roman" w:eastAsia="Times New Roman" w:hAnsi="Times New Roman" w:cs="Times New Roman"/>
      <w:sz w:val="20"/>
      <w:szCs w:val="20"/>
      <w:lang w:val="en-GB"/>
    </w:rPr>
  </w:style>
  <w:style w:type="character" w:customStyle="1" w:styleId="TextonotapieCar">
    <w:name w:val="Texto nota pie Car"/>
    <w:basedOn w:val="Fuentedeprrafopredeter"/>
    <w:link w:val="Textonotapie"/>
    <w:uiPriority w:val="99"/>
    <w:semiHidden/>
    <w:rsid w:val="00DB257D"/>
    <w:rPr>
      <w:rFonts w:ascii="Times New Roman" w:eastAsia="Times New Roman" w:hAnsi="Times New Roman" w:cs="Times New Roman"/>
      <w:sz w:val="20"/>
      <w:szCs w:val="20"/>
      <w:lang w:val="en-GB"/>
    </w:rPr>
  </w:style>
  <w:style w:type="character" w:styleId="Refdenotaalpie">
    <w:name w:val="footnote reference"/>
    <w:basedOn w:val="Fuentedeprrafopredeter"/>
    <w:uiPriority w:val="99"/>
    <w:unhideWhenUsed/>
    <w:rsid w:val="00DB257D"/>
    <w:rPr>
      <w:vertAlign w:val="superscript"/>
    </w:rPr>
  </w:style>
  <w:style w:type="paragraph" w:styleId="Revisin">
    <w:name w:val="Revision"/>
    <w:hidden/>
    <w:uiPriority w:val="99"/>
    <w:semiHidden/>
    <w:rsid w:val="00DB257D"/>
    <w:pPr>
      <w:ind w:left="0" w:firstLine="0"/>
    </w:pPr>
  </w:style>
  <w:style w:type="paragraph" w:styleId="Textodeglobo">
    <w:name w:val="Balloon Text"/>
    <w:basedOn w:val="Normal"/>
    <w:link w:val="TextodegloboCar"/>
    <w:uiPriority w:val="99"/>
    <w:semiHidden/>
    <w:unhideWhenUsed/>
    <w:rsid w:val="00DB257D"/>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B257D"/>
    <w:rPr>
      <w:rFonts w:ascii="Times New Roman" w:hAnsi="Times New Roman" w:cs="Times New Roman"/>
      <w:sz w:val="18"/>
      <w:szCs w:val="18"/>
    </w:rPr>
  </w:style>
  <w:style w:type="character" w:styleId="Textodelmarcadordeposicin">
    <w:name w:val="Placeholder Text"/>
    <w:basedOn w:val="Fuentedeprrafopredeter"/>
    <w:uiPriority w:val="99"/>
    <w:semiHidden/>
    <w:rsid w:val="00DB257D"/>
    <w:rPr>
      <w:color w:val="808080"/>
    </w:rPr>
  </w:style>
  <w:style w:type="character" w:styleId="Refdecomentario">
    <w:name w:val="annotation reference"/>
    <w:basedOn w:val="Fuentedeprrafopredeter"/>
    <w:uiPriority w:val="99"/>
    <w:semiHidden/>
    <w:unhideWhenUsed/>
    <w:rsid w:val="00496A36"/>
    <w:rPr>
      <w:sz w:val="16"/>
      <w:szCs w:val="16"/>
    </w:rPr>
  </w:style>
  <w:style w:type="paragraph" w:styleId="Textocomentario">
    <w:name w:val="annotation text"/>
    <w:basedOn w:val="Normal"/>
    <w:link w:val="TextocomentarioCar"/>
    <w:uiPriority w:val="99"/>
    <w:semiHidden/>
    <w:unhideWhenUsed/>
    <w:rsid w:val="00496A36"/>
    <w:rPr>
      <w:sz w:val="20"/>
      <w:szCs w:val="20"/>
    </w:rPr>
  </w:style>
  <w:style w:type="character" w:customStyle="1" w:styleId="TextocomentarioCar">
    <w:name w:val="Texto comentario Car"/>
    <w:basedOn w:val="Fuentedeprrafopredeter"/>
    <w:link w:val="Textocomentario"/>
    <w:uiPriority w:val="99"/>
    <w:semiHidden/>
    <w:rsid w:val="00496A36"/>
    <w:rPr>
      <w:sz w:val="20"/>
      <w:szCs w:val="20"/>
    </w:rPr>
  </w:style>
  <w:style w:type="paragraph" w:styleId="Asuntodelcomentario">
    <w:name w:val="annotation subject"/>
    <w:basedOn w:val="Textocomentario"/>
    <w:next w:val="Textocomentario"/>
    <w:link w:val="AsuntodelcomentarioCar"/>
    <w:uiPriority w:val="99"/>
    <w:semiHidden/>
    <w:unhideWhenUsed/>
    <w:rsid w:val="00496A36"/>
    <w:rPr>
      <w:b/>
      <w:bCs/>
    </w:rPr>
  </w:style>
  <w:style w:type="character" w:customStyle="1" w:styleId="AsuntodelcomentarioCar">
    <w:name w:val="Asunto del comentario Car"/>
    <w:basedOn w:val="TextocomentarioCar"/>
    <w:link w:val="Asuntodelcomentario"/>
    <w:uiPriority w:val="99"/>
    <w:semiHidden/>
    <w:rsid w:val="00496A36"/>
    <w:rPr>
      <w:b/>
      <w:bCs/>
      <w:sz w:val="20"/>
      <w:szCs w:val="20"/>
    </w:rPr>
  </w:style>
  <w:style w:type="paragraph" w:styleId="Textoindependiente">
    <w:name w:val="Body Text"/>
    <w:basedOn w:val="Normal"/>
    <w:link w:val="TextoindependienteCar"/>
    <w:uiPriority w:val="99"/>
    <w:semiHidden/>
    <w:rsid w:val="00684E65"/>
    <w:pPr>
      <w:widowControl w:val="0"/>
      <w:spacing w:after="120"/>
      <w:ind w:left="0" w:firstLine="0"/>
      <w:jc w:val="both"/>
    </w:pPr>
    <w:rPr>
      <w:rFonts w:ascii="Times New Roman" w:eastAsia="Times New Roman" w:hAnsi="Times New Roman" w:cs="Times New Roman"/>
      <w:sz w:val="20"/>
      <w:szCs w:val="20"/>
      <w:lang w:val="en-GB"/>
    </w:rPr>
  </w:style>
  <w:style w:type="character" w:customStyle="1" w:styleId="TextoindependienteCar">
    <w:name w:val="Texto independiente Car"/>
    <w:basedOn w:val="Fuentedeprrafopredeter"/>
    <w:link w:val="Textoindependiente"/>
    <w:uiPriority w:val="99"/>
    <w:semiHidden/>
    <w:rsid w:val="00684E65"/>
    <w:rPr>
      <w:rFonts w:ascii="Times New Roman" w:eastAsia="Times New Roman" w:hAnsi="Times New Roman" w:cs="Times New Roman"/>
      <w:sz w:val="20"/>
      <w:szCs w:val="20"/>
      <w:lang w:val="en-GB"/>
    </w:rPr>
  </w:style>
  <w:style w:type="character" w:styleId="Hipervnculo">
    <w:name w:val="Hyperlink"/>
    <w:basedOn w:val="Fuentedeprrafopredeter"/>
    <w:uiPriority w:val="99"/>
    <w:unhideWhenUsed/>
    <w:rsid w:val="002D138D"/>
    <w:rPr>
      <w:color w:val="0563C1" w:themeColor="hyperlink"/>
      <w:u w:val="single"/>
    </w:rPr>
  </w:style>
  <w:style w:type="character" w:customStyle="1" w:styleId="Mencinsinresolver1">
    <w:name w:val="Mención sin resolver1"/>
    <w:basedOn w:val="Fuentedeprrafopredeter"/>
    <w:uiPriority w:val="99"/>
    <w:semiHidden/>
    <w:unhideWhenUsed/>
    <w:rsid w:val="002D138D"/>
    <w:rPr>
      <w:color w:val="605E5C"/>
      <w:shd w:val="clear" w:color="auto" w:fill="E1DFDD"/>
    </w:rPr>
  </w:style>
  <w:style w:type="paragraph" w:customStyle="1" w:styleId="xmsonormal">
    <w:name w:val="x_msonormal"/>
    <w:basedOn w:val="Normal"/>
    <w:rsid w:val="00CB6924"/>
    <w:pPr>
      <w:spacing w:before="100" w:beforeAutospacing="1" w:after="100" w:afterAutospacing="1"/>
      <w:ind w:left="0" w:firstLine="0"/>
    </w:pPr>
    <w:rPr>
      <w:rFonts w:ascii="Times New Roman" w:eastAsia="Times New Roman" w:hAnsi="Times New Roman" w:cs="Times New Roman"/>
      <w:lang w:val="en-US"/>
    </w:rPr>
  </w:style>
  <w:style w:type="table" w:customStyle="1" w:styleId="Tablaconcuadrcula1">
    <w:name w:val="Tabla con cuadrícula1"/>
    <w:basedOn w:val="Tablanormal"/>
    <w:next w:val="Tablaconcuadrcula"/>
    <w:uiPriority w:val="39"/>
    <w:rsid w:val="00F932C4"/>
    <w:pPr>
      <w:ind w:left="0" w:firstLine="0"/>
      <w:jc w:val="center"/>
    </w:pPr>
    <w:rPr>
      <w:rFonts w:ascii="Times New Roman" w:eastAsia="Times New Roman" w:hAnsi="Times New Roman" w:cs="Times New Roman"/>
      <w:lang w:eastAsia="es-A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visitado">
    <w:name w:val="FollowedHyperlink"/>
    <w:basedOn w:val="Fuentedeprrafopredeter"/>
    <w:uiPriority w:val="99"/>
    <w:semiHidden/>
    <w:unhideWhenUsed/>
    <w:rsid w:val="00E732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872488">
      <w:bodyDiv w:val="1"/>
      <w:marLeft w:val="0"/>
      <w:marRight w:val="0"/>
      <w:marTop w:val="0"/>
      <w:marBottom w:val="0"/>
      <w:divBdr>
        <w:top w:val="none" w:sz="0" w:space="0" w:color="auto"/>
        <w:left w:val="none" w:sz="0" w:space="0" w:color="auto"/>
        <w:bottom w:val="none" w:sz="0" w:space="0" w:color="auto"/>
        <w:right w:val="none" w:sz="0" w:space="0" w:color="auto"/>
      </w:divBdr>
    </w:div>
    <w:div w:id="611327839">
      <w:bodyDiv w:val="1"/>
      <w:marLeft w:val="0"/>
      <w:marRight w:val="0"/>
      <w:marTop w:val="0"/>
      <w:marBottom w:val="0"/>
      <w:divBdr>
        <w:top w:val="none" w:sz="0" w:space="0" w:color="auto"/>
        <w:left w:val="none" w:sz="0" w:space="0" w:color="auto"/>
        <w:bottom w:val="none" w:sz="0" w:space="0" w:color="auto"/>
        <w:right w:val="none" w:sz="0" w:space="0" w:color="auto"/>
      </w:divBdr>
    </w:div>
    <w:div w:id="716859818">
      <w:bodyDiv w:val="1"/>
      <w:marLeft w:val="0"/>
      <w:marRight w:val="0"/>
      <w:marTop w:val="0"/>
      <w:marBottom w:val="0"/>
      <w:divBdr>
        <w:top w:val="none" w:sz="0" w:space="0" w:color="auto"/>
        <w:left w:val="none" w:sz="0" w:space="0" w:color="auto"/>
        <w:bottom w:val="none" w:sz="0" w:space="0" w:color="auto"/>
        <w:right w:val="none" w:sz="0" w:space="0" w:color="auto"/>
      </w:divBdr>
    </w:div>
    <w:div w:id="1057124804">
      <w:bodyDiv w:val="1"/>
      <w:marLeft w:val="0"/>
      <w:marRight w:val="0"/>
      <w:marTop w:val="0"/>
      <w:marBottom w:val="0"/>
      <w:divBdr>
        <w:top w:val="none" w:sz="0" w:space="0" w:color="auto"/>
        <w:left w:val="none" w:sz="0" w:space="0" w:color="auto"/>
        <w:bottom w:val="none" w:sz="0" w:space="0" w:color="auto"/>
        <w:right w:val="none" w:sz="0" w:space="0" w:color="auto"/>
      </w:divBdr>
    </w:div>
    <w:div w:id="1210915150">
      <w:bodyDiv w:val="1"/>
      <w:marLeft w:val="0"/>
      <w:marRight w:val="0"/>
      <w:marTop w:val="0"/>
      <w:marBottom w:val="0"/>
      <w:divBdr>
        <w:top w:val="none" w:sz="0" w:space="0" w:color="auto"/>
        <w:left w:val="none" w:sz="0" w:space="0" w:color="auto"/>
        <w:bottom w:val="none" w:sz="0" w:space="0" w:color="auto"/>
        <w:right w:val="none" w:sz="0" w:space="0" w:color="auto"/>
      </w:divBdr>
    </w:div>
    <w:div w:id="1525090224">
      <w:bodyDiv w:val="1"/>
      <w:marLeft w:val="0"/>
      <w:marRight w:val="0"/>
      <w:marTop w:val="0"/>
      <w:marBottom w:val="0"/>
      <w:divBdr>
        <w:top w:val="none" w:sz="0" w:space="0" w:color="auto"/>
        <w:left w:val="none" w:sz="0" w:space="0" w:color="auto"/>
        <w:bottom w:val="none" w:sz="0" w:space="0" w:color="auto"/>
        <w:right w:val="none" w:sz="0" w:space="0" w:color="auto"/>
      </w:divBdr>
    </w:div>
    <w:div w:id="1831173787">
      <w:bodyDiv w:val="1"/>
      <w:marLeft w:val="0"/>
      <w:marRight w:val="0"/>
      <w:marTop w:val="0"/>
      <w:marBottom w:val="0"/>
      <w:divBdr>
        <w:top w:val="none" w:sz="0" w:space="0" w:color="auto"/>
        <w:left w:val="none" w:sz="0" w:space="0" w:color="auto"/>
        <w:bottom w:val="none" w:sz="0" w:space="0" w:color="auto"/>
        <w:right w:val="none" w:sz="0" w:space="0" w:color="auto"/>
      </w:divBdr>
    </w:div>
    <w:div w:id="2114203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messi@bancopatagonia.com.ar"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juan.i.roldan@bancogalicia.com.ar"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www.bcra.gov.ar/PublicacionesEstadisticas/Principales_variables.as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e.com.ar" TargetMode="External"/><Relationship Id="rId5" Type="http://schemas.openxmlformats.org/officeDocument/2006/relationships/webSettings" Target="webSettings.xml"/><Relationship Id="rId15" Type="http://schemas.openxmlformats.org/officeDocument/2006/relationships/hyperlink" Target="mailto:emedina@bancopatagonia.com.ar" TargetMode="External"/><Relationship Id="rId23" Type="http://schemas.openxmlformats.org/officeDocument/2006/relationships/theme" Target="theme/theme1.xml"/><Relationship Id="rId10" Type="http://schemas.openxmlformats.org/officeDocument/2006/relationships/hyperlink" Target="http://www.fcafinanciera.com.a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nv.gov.ar" TargetMode="External"/><Relationship Id="rId14" Type="http://schemas.openxmlformats.org/officeDocument/2006/relationships/hyperlink" Target="mailto:lnavarro@bancopatagonia.com.ar"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71AE5-F056-4B3D-9824-857193464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5395</Words>
  <Characters>29678</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Lujan Retamozo</dc:creator>
  <cp:lastModifiedBy>Victoria Pavani</cp:lastModifiedBy>
  <cp:revision>2</cp:revision>
  <dcterms:created xsi:type="dcterms:W3CDTF">2020-11-06T13:05:00Z</dcterms:created>
  <dcterms:modified xsi:type="dcterms:W3CDTF">2020-11-06T13:05:00Z</dcterms:modified>
</cp:coreProperties>
</file>