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299" w:rsidRPr="00BA2AFD" w:rsidRDefault="006F1299" w:rsidP="006F1299">
      <w:pPr>
        <w:tabs>
          <w:tab w:val="left" w:pos="-720"/>
        </w:tabs>
        <w:suppressAutoHyphens/>
        <w:ind w:right="760"/>
        <w:jc w:val="center"/>
        <w:rPr>
          <w:rFonts w:ascii="Verdana" w:hAnsi="Verdana"/>
          <w:b/>
          <w:sz w:val="16"/>
          <w:szCs w:val="16"/>
          <w:u w:val="single"/>
        </w:rPr>
      </w:pPr>
      <w:r w:rsidRPr="00BE2EE4">
        <w:rPr>
          <w:rFonts w:ascii="Verdana" w:hAnsi="Verdana"/>
          <w:b/>
          <w:sz w:val="16"/>
          <w:szCs w:val="16"/>
          <w:u w:val="single"/>
        </w:rPr>
        <w:t>INFORME DE LA COMISION FISCALIZADORA</w:t>
      </w:r>
    </w:p>
    <w:p w:rsidR="006F1299" w:rsidRPr="00BA2AFD" w:rsidRDefault="006F1299" w:rsidP="006F1299">
      <w:pPr>
        <w:jc w:val="both"/>
        <w:rPr>
          <w:rFonts w:ascii="Verdana" w:hAnsi="Verdana"/>
          <w:sz w:val="16"/>
          <w:szCs w:val="16"/>
        </w:rPr>
      </w:pPr>
    </w:p>
    <w:p w:rsidR="006F1299" w:rsidRDefault="006F1299" w:rsidP="006F1299">
      <w:pPr>
        <w:pStyle w:val="Default"/>
        <w:jc w:val="center"/>
        <w:rPr>
          <w:rFonts w:ascii="Verdana" w:hAnsi="Verdana"/>
          <w:b/>
          <w:sz w:val="16"/>
          <w:szCs w:val="16"/>
        </w:rPr>
      </w:pPr>
    </w:p>
    <w:p w:rsidR="006F1299" w:rsidRDefault="006F1299" w:rsidP="006F1299">
      <w:pPr>
        <w:pStyle w:val="Default"/>
        <w:jc w:val="center"/>
        <w:rPr>
          <w:rFonts w:ascii="Verdana" w:hAnsi="Verdana"/>
          <w:b/>
          <w:sz w:val="16"/>
          <w:szCs w:val="16"/>
        </w:rPr>
      </w:pPr>
    </w:p>
    <w:p w:rsidR="006F1299" w:rsidRPr="00E82E4B" w:rsidRDefault="006F1299" w:rsidP="006F1299">
      <w:pPr>
        <w:pStyle w:val="Default"/>
        <w:rPr>
          <w:rFonts w:ascii="Verdana" w:hAnsi="Verdana"/>
          <w:b/>
          <w:sz w:val="16"/>
          <w:szCs w:val="16"/>
        </w:rPr>
      </w:pPr>
      <w:r w:rsidRPr="00E82E4B">
        <w:rPr>
          <w:rFonts w:ascii="Verdana" w:hAnsi="Verdana"/>
          <w:b/>
          <w:sz w:val="16"/>
          <w:szCs w:val="16"/>
        </w:rPr>
        <w:t xml:space="preserve">Señores </w:t>
      </w:r>
      <w:proofErr w:type="gramStart"/>
      <w:r w:rsidRPr="00E82E4B">
        <w:rPr>
          <w:rFonts w:ascii="Verdana" w:hAnsi="Verdana"/>
          <w:b/>
          <w:sz w:val="16"/>
          <w:szCs w:val="16"/>
        </w:rPr>
        <w:t>Directores</w:t>
      </w:r>
      <w:proofErr w:type="gramEnd"/>
      <w:r w:rsidRPr="00E82E4B">
        <w:rPr>
          <w:rFonts w:ascii="Verdana" w:hAnsi="Verdana"/>
          <w:b/>
          <w:sz w:val="16"/>
          <w:szCs w:val="16"/>
        </w:rPr>
        <w:t xml:space="preserve"> y Accionistas de </w:t>
      </w:r>
    </w:p>
    <w:p w:rsidR="006F1299" w:rsidRPr="00E82E4B" w:rsidRDefault="006F1299" w:rsidP="006F1299">
      <w:pPr>
        <w:pStyle w:val="Default"/>
        <w:rPr>
          <w:rFonts w:ascii="Verdana" w:hAnsi="Verdana"/>
          <w:b/>
          <w:sz w:val="16"/>
          <w:szCs w:val="16"/>
        </w:rPr>
      </w:pPr>
      <w:r w:rsidRPr="00E82E4B">
        <w:rPr>
          <w:rFonts w:ascii="Verdana" w:hAnsi="Verdana"/>
          <w:b/>
          <w:sz w:val="16"/>
          <w:szCs w:val="16"/>
        </w:rPr>
        <w:t>PETROAGRO S.A.</w:t>
      </w:r>
    </w:p>
    <w:p w:rsidR="006F1299" w:rsidRPr="00E82E4B" w:rsidRDefault="006F1299" w:rsidP="006F1299">
      <w:pPr>
        <w:pStyle w:val="Default"/>
        <w:rPr>
          <w:rFonts w:ascii="Verdana" w:hAnsi="Verdana"/>
          <w:b/>
          <w:sz w:val="16"/>
          <w:szCs w:val="16"/>
        </w:rPr>
      </w:pPr>
      <w:r w:rsidRPr="00E82E4B">
        <w:rPr>
          <w:rFonts w:ascii="Verdana" w:hAnsi="Verdana"/>
          <w:b/>
          <w:sz w:val="16"/>
          <w:szCs w:val="16"/>
        </w:rPr>
        <w:t>CUIT: 30-63072091-1</w:t>
      </w:r>
    </w:p>
    <w:p w:rsidR="006F1299" w:rsidRPr="00E82E4B" w:rsidRDefault="006F1299" w:rsidP="006F1299">
      <w:pPr>
        <w:pStyle w:val="Default"/>
        <w:rPr>
          <w:rFonts w:ascii="Verdana" w:hAnsi="Verdana"/>
          <w:b/>
          <w:sz w:val="16"/>
          <w:szCs w:val="16"/>
        </w:rPr>
      </w:pPr>
      <w:r w:rsidRPr="00E82E4B">
        <w:rPr>
          <w:rFonts w:ascii="Verdana" w:hAnsi="Verdana"/>
          <w:b/>
          <w:sz w:val="16"/>
          <w:szCs w:val="16"/>
        </w:rPr>
        <w:t xml:space="preserve">Domicilio Legal: Ruta Nacional </w:t>
      </w:r>
      <w:proofErr w:type="spellStart"/>
      <w:r w:rsidRPr="00E82E4B">
        <w:rPr>
          <w:rFonts w:ascii="Verdana" w:hAnsi="Verdana"/>
          <w:b/>
          <w:sz w:val="16"/>
          <w:szCs w:val="16"/>
        </w:rPr>
        <w:t>Nº</w:t>
      </w:r>
      <w:proofErr w:type="spellEnd"/>
      <w:r w:rsidRPr="00E82E4B">
        <w:rPr>
          <w:rFonts w:ascii="Verdana" w:hAnsi="Verdana"/>
          <w:b/>
          <w:sz w:val="16"/>
          <w:szCs w:val="16"/>
        </w:rPr>
        <w:t xml:space="preserve"> 51 km 119,2  </w:t>
      </w:r>
    </w:p>
    <w:p w:rsidR="006F1299" w:rsidRPr="00E82E4B" w:rsidRDefault="006F1299" w:rsidP="006F1299">
      <w:pPr>
        <w:pStyle w:val="Default"/>
        <w:rPr>
          <w:rFonts w:ascii="Verdana" w:hAnsi="Verdana"/>
          <w:b/>
          <w:sz w:val="16"/>
          <w:szCs w:val="16"/>
        </w:rPr>
      </w:pPr>
      <w:r w:rsidRPr="00E82E4B">
        <w:rPr>
          <w:rFonts w:ascii="Verdana" w:hAnsi="Verdana"/>
          <w:b/>
          <w:sz w:val="16"/>
          <w:szCs w:val="16"/>
        </w:rPr>
        <w:t>Carmen de Areco</w:t>
      </w:r>
    </w:p>
    <w:p w:rsidR="006F1299" w:rsidRPr="00E82E4B" w:rsidRDefault="006F1299" w:rsidP="006F1299">
      <w:pPr>
        <w:pStyle w:val="Default"/>
        <w:rPr>
          <w:rFonts w:ascii="Verdana" w:hAnsi="Verdana"/>
          <w:b/>
          <w:sz w:val="16"/>
          <w:szCs w:val="16"/>
        </w:rPr>
      </w:pPr>
      <w:r w:rsidRPr="00E82E4B">
        <w:rPr>
          <w:rFonts w:ascii="Verdana" w:hAnsi="Verdana"/>
          <w:b/>
          <w:sz w:val="16"/>
          <w:szCs w:val="16"/>
        </w:rPr>
        <w:t>Provincia de Buenos Aires</w:t>
      </w:r>
    </w:p>
    <w:p w:rsidR="006F1299" w:rsidRDefault="006F1299" w:rsidP="006F1299">
      <w:pPr>
        <w:pStyle w:val="Default"/>
        <w:rPr>
          <w:rFonts w:ascii="Verdana" w:hAnsi="Verdana"/>
          <w:b/>
          <w:sz w:val="16"/>
          <w:szCs w:val="16"/>
        </w:rPr>
      </w:pPr>
      <w:r w:rsidRPr="00E82E4B">
        <w:rPr>
          <w:rFonts w:ascii="Verdana" w:hAnsi="Verdana"/>
          <w:b/>
          <w:sz w:val="16"/>
          <w:szCs w:val="16"/>
        </w:rPr>
        <w:t>------------------------------------------------------</w:t>
      </w:r>
    </w:p>
    <w:p w:rsidR="006F1299" w:rsidRDefault="006F1299" w:rsidP="006F1299">
      <w:pPr>
        <w:pStyle w:val="Default"/>
        <w:jc w:val="center"/>
        <w:rPr>
          <w:rFonts w:ascii="Verdana" w:hAnsi="Verdana"/>
          <w:b/>
          <w:sz w:val="16"/>
          <w:szCs w:val="16"/>
        </w:rPr>
      </w:pPr>
    </w:p>
    <w:p w:rsidR="006F1299" w:rsidRPr="00BA2AFD" w:rsidRDefault="006F1299" w:rsidP="006F1299">
      <w:pPr>
        <w:tabs>
          <w:tab w:val="left" w:pos="-720"/>
        </w:tabs>
        <w:suppressAutoHyphens/>
        <w:jc w:val="both"/>
        <w:rPr>
          <w:rFonts w:ascii="Verdana" w:hAnsi="Verdana"/>
          <w:bCs/>
          <w:sz w:val="16"/>
          <w:szCs w:val="16"/>
        </w:rPr>
      </w:pPr>
      <w:r w:rsidRPr="00BA2AFD">
        <w:rPr>
          <w:rFonts w:ascii="Verdana" w:hAnsi="Verdana"/>
          <w:bCs/>
          <w:sz w:val="16"/>
          <w:szCs w:val="16"/>
        </w:rPr>
        <w:t xml:space="preserve">En nuestro carácter de miembros de la Comisión Fiscalizadora de </w:t>
      </w:r>
      <w:r w:rsidRPr="00BA2AFD">
        <w:rPr>
          <w:rFonts w:ascii="Verdana" w:hAnsi="Verdana"/>
          <w:b/>
          <w:bCs/>
          <w:sz w:val="16"/>
          <w:szCs w:val="16"/>
        </w:rPr>
        <w:t>PETROAGRO S.A.</w:t>
      </w:r>
      <w:r w:rsidRPr="00BA2AFD">
        <w:rPr>
          <w:rFonts w:ascii="Verdana" w:hAnsi="Verdana"/>
          <w:sz w:val="16"/>
          <w:szCs w:val="16"/>
        </w:rPr>
        <w:t xml:space="preserve"> (en adelante, mencionada indistintamente como “Petroagro S.A.” o la “Sociedad”)</w:t>
      </w:r>
      <w:r w:rsidRPr="00BA2AFD">
        <w:rPr>
          <w:rFonts w:ascii="Verdana" w:hAnsi="Verdana"/>
          <w:bCs/>
          <w:sz w:val="16"/>
          <w:szCs w:val="16"/>
        </w:rPr>
        <w:t xml:space="preserve">, </w:t>
      </w:r>
      <w:r w:rsidRPr="00BA2AFD">
        <w:rPr>
          <w:rFonts w:ascii="Verdana" w:hAnsi="Verdana"/>
          <w:sz w:val="16"/>
          <w:szCs w:val="16"/>
        </w:rPr>
        <w:t xml:space="preserve">de acuerdo con lo dispuesto por el inc. 5° del art. 294 de la Ley General de Sociedades </w:t>
      </w:r>
      <w:proofErr w:type="spellStart"/>
      <w:r w:rsidRPr="00BA2AFD">
        <w:rPr>
          <w:rFonts w:ascii="Verdana" w:hAnsi="Verdana"/>
          <w:sz w:val="16"/>
          <w:szCs w:val="16"/>
        </w:rPr>
        <w:t>N°</w:t>
      </w:r>
      <w:proofErr w:type="spellEnd"/>
      <w:r w:rsidRPr="00BA2AFD">
        <w:rPr>
          <w:rFonts w:ascii="Verdana" w:hAnsi="Verdana"/>
          <w:sz w:val="16"/>
          <w:szCs w:val="16"/>
        </w:rPr>
        <w:t xml:space="preserve"> 19.550 y las normas reglamentarias sobre información contable de la Bolsa de Comercio de Buenos Aires, </w:t>
      </w:r>
      <w:r w:rsidRPr="00BA2AFD">
        <w:rPr>
          <w:rFonts w:ascii="Verdana" w:hAnsi="Verdana"/>
          <w:bCs/>
          <w:sz w:val="16"/>
          <w:szCs w:val="16"/>
        </w:rPr>
        <w:t>hemos efectuado una revisión de los documentos detallados en el párrafo siguiente.</w:t>
      </w:r>
    </w:p>
    <w:p w:rsidR="006F1299" w:rsidRDefault="006F1299" w:rsidP="006F1299">
      <w:pPr>
        <w:pStyle w:val="Default"/>
        <w:rPr>
          <w:rFonts w:ascii="Verdana" w:hAnsi="Verdana"/>
          <w:b/>
          <w:sz w:val="16"/>
          <w:szCs w:val="16"/>
        </w:rPr>
      </w:pPr>
    </w:p>
    <w:p w:rsidR="006F1299" w:rsidRDefault="006F1299" w:rsidP="006F1299">
      <w:pPr>
        <w:pStyle w:val="Default"/>
        <w:jc w:val="center"/>
        <w:rPr>
          <w:rFonts w:ascii="Verdana" w:hAnsi="Verdana"/>
          <w:b/>
          <w:sz w:val="16"/>
          <w:szCs w:val="16"/>
        </w:rPr>
      </w:pPr>
    </w:p>
    <w:p w:rsidR="006F1299" w:rsidRPr="0068397C" w:rsidRDefault="006F1299" w:rsidP="006F1299">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1) </w:t>
      </w:r>
      <w:r w:rsidRPr="0068397C">
        <w:rPr>
          <w:rFonts w:ascii="Verdana" w:eastAsia="Calibri" w:hAnsi="Verdana"/>
          <w:b/>
          <w:sz w:val="16"/>
          <w:szCs w:val="16"/>
          <w:u w:val="single"/>
          <w:lang w:eastAsia="en-US"/>
        </w:rPr>
        <w:t>DOCUMENTOS OBJETOS DEL INFORME</w:t>
      </w:r>
    </w:p>
    <w:p w:rsidR="006F1299" w:rsidRPr="0068397C" w:rsidRDefault="006F1299" w:rsidP="006F1299">
      <w:pPr>
        <w:numPr>
          <w:ilvl w:val="1"/>
          <w:numId w:val="2"/>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Estado de situación financiera intermedio condensado al 30 de noviembre de 2019.</w:t>
      </w:r>
    </w:p>
    <w:p w:rsidR="006F1299" w:rsidRPr="0068397C" w:rsidRDefault="006F1299" w:rsidP="006F1299">
      <w:pPr>
        <w:numPr>
          <w:ilvl w:val="1"/>
          <w:numId w:val="2"/>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pacing w:val="-3"/>
          <w:sz w:val="16"/>
          <w:szCs w:val="16"/>
          <w:lang w:eastAsia="en-US"/>
        </w:rPr>
        <w:t>Estado de resultados integrales intermedios condensados por el período de seis meses finalizado el 30 de noviembre de 2019.</w:t>
      </w:r>
    </w:p>
    <w:p w:rsidR="006F1299" w:rsidRPr="0068397C" w:rsidRDefault="006F1299" w:rsidP="006F1299">
      <w:pPr>
        <w:numPr>
          <w:ilvl w:val="1"/>
          <w:numId w:val="2"/>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pacing w:val="-3"/>
          <w:sz w:val="16"/>
          <w:szCs w:val="16"/>
          <w:lang w:eastAsia="en-US"/>
        </w:rPr>
        <w:t>Estado de cambios en el patrimonio intermedio condensado por el período de seis meses finalizado el 30 de noviembre de 2019.</w:t>
      </w:r>
    </w:p>
    <w:p w:rsidR="006F1299" w:rsidRPr="0068397C" w:rsidRDefault="006F1299" w:rsidP="006F1299">
      <w:pPr>
        <w:numPr>
          <w:ilvl w:val="1"/>
          <w:numId w:val="2"/>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pacing w:val="-3"/>
          <w:sz w:val="16"/>
          <w:szCs w:val="16"/>
          <w:lang w:eastAsia="en-US"/>
        </w:rPr>
        <w:t xml:space="preserve">Estado de flujos de efectivo intermedio condensado por el período de seis meses finalizado el 30 de noviembre de 2019. </w:t>
      </w:r>
    </w:p>
    <w:p w:rsidR="006F1299" w:rsidRPr="0068397C" w:rsidRDefault="006F1299" w:rsidP="006F1299">
      <w:pPr>
        <w:numPr>
          <w:ilvl w:val="1"/>
          <w:numId w:val="2"/>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Notas 1 a 28 correspondientes a los estados financieros intermedios condensados por el período de seis meses terminado el 30 de noviembre de 2019.</w:t>
      </w:r>
    </w:p>
    <w:p w:rsidR="006F1299" w:rsidRPr="0068397C" w:rsidRDefault="006F1299" w:rsidP="006F1299">
      <w:pPr>
        <w:numPr>
          <w:ilvl w:val="1"/>
          <w:numId w:val="2"/>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 xml:space="preserve">Información adicional a las notas a los estados financieros intermedios al 30 de noviembre de 2019, requerida por el artículo 68 del Reglamento de la Bolsa de Comercio de Buenos Aires y por </w:t>
      </w:r>
      <w:r w:rsidRPr="0068397C">
        <w:rPr>
          <w:rFonts w:ascii="Verdana" w:eastAsia="Calibri" w:hAnsi="Verdana"/>
          <w:bCs/>
          <w:sz w:val="16"/>
          <w:szCs w:val="16"/>
          <w:lang w:eastAsia="en-US"/>
        </w:rPr>
        <w:t>el artículo 12 del Capítulo III, Título IV de las Normas de la Comisión Nacional de Valores (N.T. 2013)</w:t>
      </w:r>
      <w:r w:rsidRPr="0068397C">
        <w:rPr>
          <w:rFonts w:ascii="Verdana" w:eastAsia="Calibri" w:hAnsi="Verdana"/>
          <w:sz w:val="16"/>
          <w:szCs w:val="16"/>
          <w:lang w:eastAsia="en-US"/>
        </w:rPr>
        <w:t>.</w:t>
      </w:r>
    </w:p>
    <w:p w:rsidR="006F1299" w:rsidRPr="0068397C" w:rsidRDefault="006F1299" w:rsidP="006F1299">
      <w:pPr>
        <w:numPr>
          <w:ilvl w:val="1"/>
          <w:numId w:val="2"/>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 xml:space="preserve">Reseña informativa consolidada, establecida por la Resolución General </w:t>
      </w:r>
      <w:proofErr w:type="spellStart"/>
      <w:r w:rsidRPr="0068397C">
        <w:rPr>
          <w:rFonts w:ascii="Verdana" w:eastAsia="Calibri" w:hAnsi="Verdana"/>
          <w:sz w:val="16"/>
          <w:szCs w:val="16"/>
          <w:lang w:eastAsia="en-US"/>
        </w:rPr>
        <w:t>N°</w:t>
      </w:r>
      <w:proofErr w:type="spellEnd"/>
      <w:r w:rsidRPr="0068397C">
        <w:rPr>
          <w:rFonts w:ascii="Verdana" w:eastAsia="Calibri" w:hAnsi="Verdana"/>
          <w:sz w:val="16"/>
          <w:szCs w:val="16"/>
          <w:lang w:eastAsia="en-US"/>
        </w:rPr>
        <w:t xml:space="preserve"> 368/01 y modificatorias de la Comisión Nacional de Valores, por el período de seis meses terminado el 30 de noviembre de 2019.</w:t>
      </w:r>
    </w:p>
    <w:p w:rsidR="006F1299" w:rsidRPr="0068397C" w:rsidRDefault="006F1299" w:rsidP="006F1299">
      <w:pPr>
        <w:spacing w:after="200" w:line="276" w:lineRule="auto"/>
        <w:jc w:val="both"/>
        <w:rPr>
          <w:rFonts w:ascii="Verdana" w:eastAsia="Calibri" w:hAnsi="Verdana"/>
          <w:sz w:val="16"/>
          <w:szCs w:val="16"/>
          <w:lang w:eastAsia="en-US"/>
        </w:rPr>
      </w:pPr>
    </w:p>
    <w:p w:rsidR="006F1299" w:rsidRPr="0068397C" w:rsidRDefault="006F1299" w:rsidP="006F1299">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Las cifras y otra información correspondientes al estado de situación financiera al 30 de noviembre de 2019 son parte integrante de los estados financieros intermedios mencionados precedentemente y se las presenta con el propósito de que se interpreten exclusivamente en relación con las cifras y otra información del período intermedio actual.</w:t>
      </w:r>
    </w:p>
    <w:p w:rsidR="006F1299" w:rsidRPr="0068397C" w:rsidRDefault="006F1299" w:rsidP="006F1299">
      <w:pPr>
        <w:spacing w:after="200" w:line="276" w:lineRule="auto"/>
        <w:ind w:left="720"/>
        <w:jc w:val="both"/>
        <w:rPr>
          <w:rFonts w:ascii="Verdana" w:eastAsia="Calibri" w:hAnsi="Verdana"/>
          <w:spacing w:val="-3"/>
          <w:sz w:val="16"/>
          <w:szCs w:val="16"/>
          <w:lang w:eastAsia="en-US"/>
        </w:rPr>
      </w:pPr>
    </w:p>
    <w:p w:rsidR="006F1299" w:rsidRPr="0068397C" w:rsidRDefault="006F1299" w:rsidP="006F1299">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2) </w:t>
      </w:r>
      <w:r w:rsidRPr="0068397C">
        <w:rPr>
          <w:rFonts w:ascii="Verdana" w:eastAsia="Calibri" w:hAnsi="Verdana"/>
          <w:b/>
          <w:sz w:val="16"/>
          <w:szCs w:val="16"/>
          <w:u w:val="single"/>
          <w:lang w:eastAsia="en-US"/>
        </w:rPr>
        <w:t>RESPONSABILIDAD DEL DIRECTORIO DE LA SOCIEDAD EN RELACIÓN CON LOS ESTADOS FINANCIEROS INTERMEDIOS CONDENSADOS</w:t>
      </w:r>
    </w:p>
    <w:p w:rsidR="006F1299" w:rsidRPr="0068397C" w:rsidRDefault="006F1299" w:rsidP="006F1299">
      <w:pPr>
        <w:spacing w:after="200" w:line="276" w:lineRule="auto"/>
        <w:jc w:val="both"/>
        <w:rPr>
          <w:rFonts w:ascii="Verdana" w:eastAsia="Calibri" w:hAnsi="Verdana"/>
          <w:sz w:val="16"/>
          <w:szCs w:val="16"/>
          <w:lang w:eastAsia="en-US"/>
        </w:rPr>
      </w:pPr>
    </w:p>
    <w:p w:rsidR="006F1299" w:rsidRPr="0068397C" w:rsidRDefault="006F1299" w:rsidP="006F1299">
      <w:pPr>
        <w:tabs>
          <w:tab w:val="left" w:pos="-720"/>
        </w:tabs>
        <w:suppressAutoHyphens/>
        <w:spacing w:after="200" w:line="276" w:lineRule="auto"/>
        <w:ind w:right="-1"/>
        <w:jc w:val="both"/>
        <w:rPr>
          <w:rFonts w:ascii="Verdana" w:eastAsia="Calibri" w:hAnsi="Verdana"/>
          <w:sz w:val="16"/>
          <w:szCs w:val="16"/>
          <w:lang w:eastAsia="en-US"/>
        </w:rPr>
      </w:pPr>
      <w:r w:rsidRPr="0068397C">
        <w:rPr>
          <w:rFonts w:ascii="Verdana" w:eastAsia="Calibri" w:hAnsi="Verdana"/>
          <w:sz w:val="16"/>
          <w:szCs w:val="16"/>
          <w:lang w:eastAsia="en-US"/>
        </w:rPr>
        <w:t xml:space="preserve">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Asimismo, el Directorio de la Sociedad es responsable del control interno que considere necesario para permitir la preparación de estados financieros libres de incorrecciones significativas. </w:t>
      </w:r>
    </w:p>
    <w:p w:rsidR="006F1299" w:rsidRPr="0068397C" w:rsidRDefault="006F1299" w:rsidP="006F1299">
      <w:pPr>
        <w:tabs>
          <w:tab w:val="left" w:pos="-720"/>
        </w:tabs>
        <w:suppressAutoHyphens/>
        <w:spacing w:after="200" w:line="276" w:lineRule="auto"/>
        <w:ind w:right="760"/>
        <w:jc w:val="both"/>
        <w:rPr>
          <w:rFonts w:ascii="Verdana" w:eastAsia="Calibri" w:hAnsi="Verdana"/>
          <w:b/>
          <w:sz w:val="16"/>
          <w:szCs w:val="16"/>
          <w:lang w:eastAsia="en-US"/>
        </w:rPr>
      </w:pPr>
    </w:p>
    <w:p w:rsidR="006F1299" w:rsidRPr="0068397C" w:rsidRDefault="006F1299" w:rsidP="006F1299">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3) </w:t>
      </w:r>
      <w:r w:rsidRPr="0068397C">
        <w:rPr>
          <w:rFonts w:ascii="Verdana" w:eastAsia="Calibri" w:hAnsi="Verdana"/>
          <w:b/>
          <w:sz w:val="16"/>
          <w:szCs w:val="16"/>
          <w:u w:val="single"/>
          <w:lang w:eastAsia="en-US"/>
        </w:rPr>
        <w:t>RESPONSABILIDAD DE LA COMISIÓN FISCALIZADORA</w:t>
      </w:r>
    </w:p>
    <w:p w:rsidR="006F1299" w:rsidRPr="0068397C" w:rsidRDefault="006F1299" w:rsidP="006F1299">
      <w:pPr>
        <w:autoSpaceDE w:val="0"/>
        <w:autoSpaceDN w:val="0"/>
        <w:adjustRightInd w:val="0"/>
        <w:rPr>
          <w:rFonts w:ascii="Verdana" w:hAnsi="Verdana"/>
          <w:b/>
          <w:bCs/>
          <w:sz w:val="16"/>
          <w:szCs w:val="16"/>
          <w:lang w:eastAsia="es-AR"/>
        </w:rPr>
      </w:pPr>
    </w:p>
    <w:p w:rsidR="006F1299" w:rsidRPr="0068397C" w:rsidRDefault="006F1299" w:rsidP="006F1299">
      <w:pPr>
        <w:spacing w:after="200" w:line="276" w:lineRule="auto"/>
        <w:jc w:val="both"/>
        <w:rPr>
          <w:rFonts w:ascii="Verdana" w:eastAsia="Calibri" w:hAnsi="Verdana"/>
          <w:sz w:val="16"/>
          <w:szCs w:val="16"/>
          <w:lang w:eastAsia="en-US"/>
        </w:rPr>
      </w:pPr>
      <w:r w:rsidRPr="0068397C">
        <w:rPr>
          <w:rFonts w:ascii="Verdana" w:eastAsia="Calibri" w:hAnsi="Verdana" w:cs="Arial"/>
          <w:sz w:val="16"/>
          <w:szCs w:val="16"/>
          <w:lang w:eastAsia="en-US"/>
        </w:rPr>
        <w:t xml:space="preserve">Nuestra revisión fue realizada de acuerdo con las normas de sindicatura vigentes establecidas en la Resolución Técnica </w:t>
      </w:r>
      <w:proofErr w:type="spellStart"/>
      <w:r w:rsidRPr="0068397C">
        <w:rPr>
          <w:rFonts w:ascii="Verdana" w:eastAsia="Calibri" w:hAnsi="Verdana" w:cs="Arial"/>
          <w:sz w:val="16"/>
          <w:szCs w:val="16"/>
          <w:lang w:eastAsia="en-US"/>
        </w:rPr>
        <w:t>N°</w:t>
      </w:r>
      <w:proofErr w:type="spellEnd"/>
      <w:r w:rsidRPr="0068397C">
        <w:rPr>
          <w:rFonts w:ascii="Verdana" w:eastAsia="Calibri" w:hAnsi="Verdana" w:cs="Arial"/>
          <w:sz w:val="16"/>
          <w:szCs w:val="16"/>
          <w:lang w:eastAsia="en-US"/>
        </w:rPr>
        <w:t xml:space="preserve"> 15 y su modificatoria, la Resolución Técnica </w:t>
      </w:r>
      <w:proofErr w:type="spellStart"/>
      <w:r w:rsidRPr="0068397C">
        <w:rPr>
          <w:rFonts w:ascii="Verdana" w:eastAsia="Calibri" w:hAnsi="Verdana" w:cs="Arial"/>
          <w:sz w:val="16"/>
          <w:szCs w:val="16"/>
          <w:lang w:eastAsia="en-US"/>
        </w:rPr>
        <w:t>Nº</w:t>
      </w:r>
      <w:proofErr w:type="spellEnd"/>
      <w:r w:rsidRPr="0068397C">
        <w:rPr>
          <w:rFonts w:ascii="Verdana" w:eastAsia="Calibri" w:hAnsi="Verdana" w:cs="Arial"/>
          <w:sz w:val="16"/>
          <w:szCs w:val="16"/>
          <w:lang w:eastAsia="en-US"/>
        </w:rPr>
        <w:t xml:space="preserve"> 45 de la Federación Argentina de Consejos Profesionales de Ciencias Económicas, conforme ha sido aprobada por la Resolución CD </w:t>
      </w:r>
      <w:proofErr w:type="spellStart"/>
      <w:r w:rsidRPr="0068397C">
        <w:rPr>
          <w:rFonts w:ascii="Verdana" w:eastAsia="Calibri" w:hAnsi="Verdana" w:cs="Arial"/>
          <w:sz w:val="16"/>
          <w:szCs w:val="16"/>
          <w:lang w:eastAsia="en-US"/>
        </w:rPr>
        <w:t>N°</w:t>
      </w:r>
      <w:proofErr w:type="spellEnd"/>
      <w:r w:rsidRPr="0068397C">
        <w:rPr>
          <w:rFonts w:ascii="Verdana" w:eastAsia="Calibri" w:hAnsi="Verdana" w:cs="Arial"/>
          <w:sz w:val="16"/>
          <w:szCs w:val="16"/>
          <w:lang w:eastAsia="en-US"/>
        </w:rPr>
        <w:t xml:space="preserve"> 3636 </w:t>
      </w:r>
      <w:r w:rsidRPr="0068397C">
        <w:rPr>
          <w:rFonts w:ascii="Verdana" w:eastAsia="Calibri" w:hAnsi="Verdana" w:cs="Arial"/>
          <w:sz w:val="16"/>
          <w:szCs w:val="16"/>
          <w:lang w:val="es-MX" w:eastAsia="en-US"/>
        </w:rPr>
        <w:t>del Consejo Profesional de Ciencias Económicas de la Provincia de Buenos Aires</w:t>
      </w:r>
      <w:r w:rsidRPr="0068397C">
        <w:rPr>
          <w:rFonts w:ascii="Verdana" w:eastAsia="Calibri" w:hAnsi="Verdana" w:cs="Arial"/>
          <w:sz w:val="16"/>
          <w:szCs w:val="16"/>
          <w:lang w:eastAsia="en-US"/>
        </w:rPr>
        <w:t xml:space="preserve">. </w:t>
      </w:r>
      <w:r w:rsidRPr="0068397C">
        <w:rPr>
          <w:rFonts w:ascii="Verdana" w:eastAsia="Calibri" w:hAnsi="Verdana"/>
          <w:sz w:val="16"/>
          <w:szCs w:val="16"/>
          <w:lang w:eastAsia="en-US"/>
        </w:rPr>
        <w:t>Dichas normas requieren que la revisión de los estados financieros intermedios condensados detallados en primer párrafo del  capítulo 1,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w:t>
      </w:r>
    </w:p>
    <w:p w:rsidR="006F1299" w:rsidRPr="0068397C" w:rsidRDefault="006F1299" w:rsidP="006F1299">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 xml:space="preserve">Una revisión de los estados financieros de períodos intermedios consiste en realizar indagaciones, principalmente a las personas responsables de los temas financieros y contables, y aplicar procedimientos analíticos y otros procedimientos de </w:t>
      </w:r>
      <w:r w:rsidRPr="0068397C">
        <w:rPr>
          <w:rFonts w:ascii="Verdana" w:eastAsia="Calibri" w:hAnsi="Verdana"/>
          <w:sz w:val="16"/>
          <w:szCs w:val="16"/>
          <w:lang w:eastAsia="en-US"/>
        </w:rPr>
        <w:lastRenderedPageBreak/>
        <w:t>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w:t>
      </w:r>
    </w:p>
    <w:p w:rsidR="006F1299" w:rsidRPr="0068397C" w:rsidRDefault="006F1299" w:rsidP="006F1299">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Dado que no es responsabilidad de los miembros de la Comisión Fiscalizadora efectuar el control de gestión, la revisión no se extendió a los criterios y decisiones empresarias de las diversas áreas de la Sociedad, cuestiones que son responsabilidad exclusiva del Directorio.</w:t>
      </w:r>
    </w:p>
    <w:p w:rsidR="006F1299" w:rsidRPr="0068397C" w:rsidRDefault="006F1299" w:rsidP="006F1299">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 xml:space="preserve">En relación con la Información adicional a las notas a los estados financieros requerida por el artículo </w:t>
      </w:r>
      <w:proofErr w:type="spellStart"/>
      <w:r w:rsidRPr="0068397C">
        <w:rPr>
          <w:rFonts w:ascii="Verdana" w:eastAsia="Calibri" w:hAnsi="Verdana"/>
          <w:sz w:val="16"/>
          <w:szCs w:val="16"/>
          <w:lang w:eastAsia="en-US"/>
        </w:rPr>
        <w:t>Nº</w:t>
      </w:r>
      <w:proofErr w:type="spellEnd"/>
      <w:r w:rsidRPr="0068397C">
        <w:rPr>
          <w:rFonts w:ascii="Verdana" w:eastAsia="Calibri" w:hAnsi="Verdana"/>
          <w:sz w:val="16"/>
          <w:szCs w:val="16"/>
          <w:lang w:eastAsia="en-US"/>
        </w:rPr>
        <w:t xml:space="preserve"> 68 de la Bolsa de Comercio de Buenos Aires y por el artículo 12 del Capítulo III, Título IV de las Normas de la Comisión Nacional de Valores (N.T. 2013) por el período de seis meses terminado el 30 de noviembre de 2018, hemos constatado que, este documento contenga la información requerida por el artículo 68 del Reglamento de Cotización de la Bolsa de Comercio de Buenos Aires. Asimismo, en lo que respecta a los datos numéricos contables incluidos en los documentos citados, en lo que sea materia de nuestra competencia, hemos constatado que tales datos concuerden con los registros contables de la Sociedad y otra documentación pertinente.</w:t>
      </w:r>
    </w:p>
    <w:p w:rsidR="006F1299" w:rsidRPr="0068397C" w:rsidRDefault="006F1299" w:rsidP="006F1299">
      <w:pPr>
        <w:autoSpaceDE w:val="0"/>
        <w:autoSpaceDN w:val="0"/>
        <w:adjustRightInd w:val="0"/>
        <w:jc w:val="both"/>
        <w:rPr>
          <w:rFonts w:ascii="Garamond" w:hAnsi="Garamond"/>
          <w:sz w:val="16"/>
          <w:szCs w:val="16"/>
        </w:rPr>
      </w:pPr>
    </w:p>
    <w:p w:rsidR="006F1299" w:rsidRPr="0068397C" w:rsidRDefault="006F1299" w:rsidP="006F1299">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4) </w:t>
      </w:r>
      <w:r w:rsidRPr="0068397C">
        <w:rPr>
          <w:rFonts w:ascii="Verdana" w:eastAsia="Calibri" w:hAnsi="Verdana"/>
          <w:b/>
          <w:sz w:val="16"/>
          <w:szCs w:val="16"/>
          <w:u w:val="single"/>
          <w:lang w:eastAsia="en-US"/>
        </w:rPr>
        <w:t>CONCLUSIÓN</w:t>
      </w:r>
    </w:p>
    <w:p w:rsidR="006F1299" w:rsidRPr="0068397C" w:rsidRDefault="006F1299" w:rsidP="006F1299">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Sobre la base de nuestra revisión, con el alcance que expresamos en el párrafo anterior, nada llamó nuestra atención que nos hiciera pensar que los estados financieros intermedios condensados adjuntos de Petroagro S.A. correspondientes al período de seis meses finalizado el 30 de noviembre de 2019 no están presentados en forma razonable, en todos sus aspectos significativos, de acuerdo con la Norma Internacional de Contabilidad 34.</w:t>
      </w:r>
    </w:p>
    <w:p w:rsidR="006F1299" w:rsidRPr="0068397C" w:rsidRDefault="006F1299" w:rsidP="006F1299">
      <w:pPr>
        <w:spacing w:after="200" w:line="276" w:lineRule="auto"/>
        <w:jc w:val="both"/>
        <w:rPr>
          <w:rFonts w:ascii="Verdana" w:eastAsia="Calibri" w:hAnsi="Verdana"/>
          <w:b/>
          <w:sz w:val="16"/>
          <w:szCs w:val="16"/>
          <w:u w:val="single"/>
          <w:lang w:eastAsia="en-US"/>
        </w:rPr>
      </w:pPr>
      <w:r w:rsidRPr="0068397C">
        <w:rPr>
          <w:rFonts w:ascii="Verdana" w:eastAsia="Calibri" w:hAnsi="Verdana"/>
          <w:b/>
          <w:sz w:val="16"/>
          <w:szCs w:val="16"/>
          <w:lang w:eastAsia="en-US"/>
        </w:rPr>
        <w:t xml:space="preserve">5) </w:t>
      </w:r>
      <w:r w:rsidRPr="0068397C">
        <w:rPr>
          <w:rFonts w:ascii="Verdana" w:eastAsia="Calibri" w:hAnsi="Verdana"/>
          <w:b/>
          <w:sz w:val="16"/>
          <w:szCs w:val="16"/>
          <w:u w:val="single"/>
          <w:lang w:eastAsia="en-US"/>
        </w:rPr>
        <w:t>ÉNFASIS</w:t>
      </w:r>
    </w:p>
    <w:p w:rsidR="006F1299" w:rsidRPr="0068397C" w:rsidRDefault="006F1299" w:rsidP="006F1299">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Sin modificar nuestra conclusión queremos enfatizar lo detallado en la nota 2</w:t>
      </w:r>
      <w:r>
        <w:rPr>
          <w:rFonts w:ascii="Verdana" w:eastAsia="Calibri" w:hAnsi="Verdana"/>
          <w:sz w:val="16"/>
          <w:szCs w:val="16"/>
          <w:lang w:eastAsia="en-US"/>
        </w:rPr>
        <w:t>7.</w:t>
      </w:r>
    </w:p>
    <w:p w:rsidR="006F1299" w:rsidRDefault="006F1299" w:rsidP="006F1299">
      <w:pPr>
        <w:tabs>
          <w:tab w:val="left" w:pos="-720"/>
        </w:tabs>
        <w:suppressAutoHyphens/>
        <w:ind w:right="760"/>
        <w:jc w:val="both"/>
        <w:rPr>
          <w:rFonts w:ascii="Verdana" w:eastAsia="Calibri" w:hAnsi="Verdana"/>
          <w:b/>
          <w:sz w:val="16"/>
          <w:szCs w:val="16"/>
          <w:lang w:eastAsia="en-US"/>
        </w:rPr>
      </w:pPr>
    </w:p>
    <w:p w:rsidR="006F1299" w:rsidRPr="00BA2AFD" w:rsidRDefault="006F1299" w:rsidP="006F1299">
      <w:pPr>
        <w:tabs>
          <w:tab w:val="left" w:pos="-720"/>
        </w:tabs>
        <w:suppressAutoHyphens/>
        <w:ind w:right="760"/>
        <w:jc w:val="both"/>
        <w:rPr>
          <w:rFonts w:ascii="Verdana" w:hAnsi="Verdana"/>
          <w:b/>
          <w:sz w:val="16"/>
          <w:szCs w:val="16"/>
          <w:u w:val="single"/>
        </w:rPr>
      </w:pPr>
      <w:r w:rsidRPr="00BA2AFD">
        <w:rPr>
          <w:rFonts w:ascii="Verdana" w:hAnsi="Verdana"/>
          <w:b/>
          <w:sz w:val="16"/>
          <w:szCs w:val="16"/>
        </w:rPr>
        <w:t xml:space="preserve">6) </w:t>
      </w:r>
      <w:r w:rsidRPr="00BA2AFD">
        <w:rPr>
          <w:rFonts w:ascii="Verdana" w:hAnsi="Verdana"/>
          <w:b/>
          <w:sz w:val="16"/>
          <w:szCs w:val="16"/>
          <w:u w:val="single"/>
        </w:rPr>
        <w:t>INFORME SOBRE OTROS REQUERIMIENTOS LEGALES Y REGLAMENTARIOS</w:t>
      </w:r>
    </w:p>
    <w:p w:rsidR="006F1299" w:rsidRPr="00BA2AFD" w:rsidRDefault="006F1299" w:rsidP="006F1299">
      <w:pPr>
        <w:pStyle w:val="Prrafodelista"/>
        <w:ind w:left="360" w:right="71"/>
        <w:jc w:val="both"/>
        <w:rPr>
          <w:rFonts w:ascii="Verdana" w:hAnsi="Verdana"/>
          <w:sz w:val="16"/>
          <w:szCs w:val="16"/>
        </w:rPr>
      </w:pPr>
    </w:p>
    <w:p w:rsidR="006F1299" w:rsidRPr="00BA2AFD" w:rsidRDefault="006F1299" w:rsidP="006F1299">
      <w:pPr>
        <w:pStyle w:val="Prrafodelista"/>
        <w:numPr>
          <w:ilvl w:val="0"/>
          <w:numId w:val="1"/>
        </w:numPr>
        <w:ind w:right="71"/>
        <w:jc w:val="both"/>
        <w:rPr>
          <w:rFonts w:ascii="Verdana" w:hAnsi="Verdana"/>
          <w:sz w:val="16"/>
          <w:szCs w:val="16"/>
        </w:rPr>
      </w:pPr>
      <w:r w:rsidRPr="00BA2AFD">
        <w:rPr>
          <w:rFonts w:ascii="Verdana" w:hAnsi="Verdana"/>
          <w:sz w:val="16"/>
          <w:szCs w:val="16"/>
        </w:rPr>
        <w:t>Con respecto a la Reseña informativa consolidada y a la Información adicional requerida por artículo 12, del capítulo II, título IV de las normas de la Comisión Nacional de Valores, mencionados en los acápites f) g) y h) del capítulo I, en lo que es materia de nuestra competencia, no tenemos observaciones que formular.</w:t>
      </w:r>
    </w:p>
    <w:p w:rsidR="006F1299" w:rsidRPr="00BA2AFD" w:rsidRDefault="006F1299" w:rsidP="006F1299">
      <w:pPr>
        <w:tabs>
          <w:tab w:val="left" w:pos="-720"/>
        </w:tabs>
        <w:suppressAutoHyphens/>
        <w:ind w:right="760"/>
        <w:jc w:val="right"/>
        <w:rPr>
          <w:rFonts w:ascii="Verdana" w:hAnsi="Verdana"/>
          <w:sz w:val="16"/>
          <w:szCs w:val="16"/>
        </w:rPr>
      </w:pPr>
    </w:p>
    <w:p w:rsidR="006F1299" w:rsidRPr="00A120CF" w:rsidRDefault="006F1299" w:rsidP="006F1299">
      <w:pPr>
        <w:pStyle w:val="Prrafodelista"/>
        <w:numPr>
          <w:ilvl w:val="0"/>
          <w:numId w:val="1"/>
        </w:numPr>
        <w:ind w:right="71"/>
        <w:jc w:val="both"/>
        <w:rPr>
          <w:rFonts w:ascii="Verdana" w:hAnsi="Verdana"/>
          <w:sz w:val="16"/>
          <w:szCs w:val="16"/>
        </w:rPr>
      </w:pPr>
      <w:r w:rsidRPr="00A120CF">
        <w:rPr>
          <w:rFonts w:ascii="Verdana" w:hAnsi="Verdana"/>
          <w:sz w:val="16"/>
          <w:szCs w:val="16"/>
        </w:rPr>
        <w:t>Las cifras de los estados financieros mencionados en el primer párrafo del capítulo 1 de este informe surgen de los registros contables de la Sociedad que, en sus aspectos formales, se encuentran en proceso de transcripción a libros rubricados</w:t>
      </w:r>
      <w:r>
        <w:rPr>
          <w:rFonts w:ascii="Verdana" w:hAnsi="Verdana"/>
          <w:sz w:val="16"/>
          <w:szCs w:val="16"/>
        </w:rPr>
        <w:t>, así</w:t>
      </w:r>
      <w:r w:rsidRPr="00A120CF">
        <w:rPr>
          <w:rFonts w:ascii="Verdana" w:hAnsi="Verdana"/>
          <w:sz w:val="16"/>
          <w:szCs w:val="16"/>
        </w:rPr>
        <w:t xml:space="preserve"> como los estados financieros mencionados en el primer párrafo del capítulo 1 de este informe. </w:t>
      </w:r>
    </w:p>
    <w:p w:rsidR="006F1299" w:rsidRPr="00A120CF" w:rsidRDefault="006F1299" w:rsidP="006F1299">
      <w:pPr>
        <w:rPr>
          <w:rFonts w:ascii="Verdana" w:hAnsi="Verdana"/>
          <w:sz w:val="16"/>
          <w:szCs w:val="16"/>
        </w:rPr>
      </w:pPr>
    </w:p>
    <w:p w:rsidR="006F1299" w:rsidRPr="00BA2AFD" w:rsidRDefault="006F1299" w:rsidP="006F1299">
      <w:pPr>
        <w:pStyle w:val="Prrafodelista"/>
        <w:numPr>
          <w:ilvl w:val="0"/>
          <w:numId w:val="1"/>
        </w:numPr>
        <w:ind w:right="71"/>
        <w:jc w:val="both"/>
        <w:rPr>
          <w:rFonts w:ascii="Verdana" w:hAnsi="Verdana"/>
          <w:sz w:val="16"/>
          <w:szCs w:val="16"/>
        </w:rPr>
      </w:pPr>
      <w:r w:rsidRPr="00BA2AFD">
        <w:rPr>
          <w:rFonts w:ascii="Verdana" w:hAnsi="Verdana"/>
          <w:sz w:val="16"/>
          <w:szCs w:val="16"/>
        </w:rPr>
        <w:t xml:space="preserve">Manifestamos asimismo que durante el ejercicio hemos realizado, en cuanto correspondían, las tareas previstas por el art. 294 de la Ley </w:t>
      </w:r>
      <w:proofErr w:type="spellStart"/>
      <w:r w:rsidRPr="00BA2AFD">
        <w:rPr>
          <w:rFonts w:ascii="Verdana" w:hAnsi="Verdana"/>
          <w:sz w:val="16"/>
          <w:szCs w:val="16"/>
        </w:rPr>
        <w:t>Nº</w:t>
      </w:r>
      <w:proofErr w:type="spellEnd"/>
      <w:r w:rsidRPr="00BA2AFD">
        <w:rPr>
          <w:rFonts w:ascii="Verdana" w:hAnsi="Verdana"/>
          <w:sz w:val="16"/>
          <w:szCs w:val="16"/>
        </w:rPr>
        <w:t xml:space="preserve"> 19.550, incluyendo la asistencia a reuniones del Directorio y Asambleas de Accionistas.</w:t>
      </w:r>
    </w:p>
    <w:p w:rsidR="006F1299" w:rsidRPr="00BA2AFD" w:rsidRDefault="006F1299" w:rsidP="006F1299">
      <w:pPr>
        <w:pStyle w:val="Prrafodelista"/>
        <w:rPr>
          <w:rFonts w:ascii="Verdana" w:hAnsi="Verdana"/>
          <w:iCs/>
          <w:sz w:val="16"/>
          <w:szCs w:val="16"/>
        </w:rPr>
      </w:pPr>
    </w:p>
    <w:p w:rsidR="006F1299" w:rsidRPr="00BA2AFD" w:rsidRDefault="006F1299" w:rsidP="006F1299">
      <w:pPr>
        <w:pStyle w:val="Prrafodelista"/>
        <w:numPr>
          <w:ilvl w:val="0"/>
          <w:numId w:val="1"/>
        </w:numPr>
        <w:ind w:right="71"/>
        <w:jc w:val="both"/>
        <w:rPr>
          <w:rFonts w:ascii="Verdana" w:hAnsi="Verdana"/>
          <w:sz w:val="16"/>
          <w:szCs w:val="16"/>
        </w:rPr>
      </w:pPr>
      <w:r w:rsidRPr="00BA2AFD">
        <w:rPr>
          <w:rFonts w:ascii="Verdana" w:hAnsi="Verdana"/>
          <w:iCs/>
          <w:sz w:val="16"/>
          <w:szCs w:val="16"/>
        </w:rPr>
        <w:t>Los directores cumplen con las exigencias de mantener garantías por el desempeño de sus funciones.</w:t>
      </w:r>
    </w:p>
    <w:p w:rsidR="006F1299" w:rsidRPr="00A120CF" w:rsidRDefault="006F1299" w:rsidP="006F1299">
      <w:pPr>
        <w:rPr>
          <w:rFonts w:ascii="Verdana" w:hAnsi="Verdana" w:cs="Arial"/>
          <w:sz w:val="16"/>
          <w:szCs w:val="16"/>
        </w:rPr>
      </w:pPr>
    </w:p>
    <w:p w:rsidR="006F1299" w:rsidRDefault="006F1299" w:rsidP="006F1299">
      <w:pPr>
        <w:ind w:right="71"/>
        <w:jc w:val="both"/>
        <w:rPr>
          <w:rFonts w:ascii="Verdana" w:hAnsi="Verdana" w:cs="Arial"/>
          <w:sz w:val="16"/>
          <w:szCs w:val="16"/>
        </w:rPr>
      </w:pPr>
    </w:p>
    <w:p w:rsidR="006F1299" w:rsidRPr="00A120CF" w:rsidRDefault="006F1299" w:rsidP="006F1299">
      <w:pPr>
        <w:ind w:right="71"/>
        <w:jc w:val="both"/>
        <w:rPr>
          <w:rFonts w:ascii="Verdana" w:hAnsi="Verdana"/>
          <w:sz w:val="16"/>
          <w:szCs w:val="16"/>
        </w:rPr>
      </w:pPr>
      <w:r w:rsidRPr="00A120CF">
        <w:rPr>
          <w:rFonts w:ascii="Verdana" w:hAnsi="Verdana" w:cs="Arial"/>
          <w:sz w:val="16"/>
          <w:szCs w:val="16"/>
        </w:rPr>
        <w:t>El presente Informe no tiene validez sin la autenticación de la firma por parte del Consejo Profesional.</w:t>
      </w:r>
    </w:p>
    <w:p w:rsidR="006F1299" w:rsidRPr="00BA2AFD" w:rsidRDefault="006F1299" w:rsidP="006F1299">
      <w:pPr>
        <w:pStyle w:val="Prrafodelista"/>
        <w:ind w:left="360" w:right="71"/>
        <w:jc w:val="both"/>
        <w:rPr>
          <w:rFonts w:ascii="Verdana" w:hAnsi="Verdana"/>
          <w:sz w:val="16"/>
          <w:szCs w:val="16"/>
        </w:rPr>
      </w:pPr>
    </w:p>
    <w:p w:rsidR="006F1299" w:rsidRPr="0068397C" w:rsidRDefault="006F1299" w:rsidP="006F1299">
      <w:pPr>
        <w:spacing w:after="200" w:line="276" w:lineRule="auto"/>
        <w:jc w:val="both"/>
        <w:rPr>
          <w:rFonts w:ascii="Verdana" w:eastAsia="Calibri" w:hAnsi="Verdana"/>
          <w:sz w:val="16"/>
          <w:szCs w:val="16"/>
          <w:lang w:eastAsia="en-US"/>
        </w:rPr>
      </w:pPr>
    </w:p>
    <w:p w:rsidR="006F1299" w:rsidRPr="0068397C" w:rsidRDefault="006F1299" w:rsidP="006F1299">
      <w:pPr>
        <w:tabs>
          <w:tab w:val="left" w:pos="-720"/>
        </w:tabs>
        <w:spacing w:after="200" w:line="276" w:lineRule="auto"/>
        <w:rPr>
          <w:rFonts w:eastAsia="Calibri"/>
          <w:i/>
          <w:spacing w:val="-3"/>
          <w:sz w:val="22"/>
          <w:szCs w:val="22"/>
          <w:lang w:eastAsia="en-US"/>
        </w:rPr>
      </w:pPr>
      <w:r w:rsidRPr="0068397C">
        <w:rPr>
          <w:rFonts w:ascii="Verdana" w:eastAsia="Calibri" w:hAnsi="Verdana"/>
          <w:sz w:val="16"/>
          <w:szCs w:val="16"/>
          <w:lang w:eastAsia="en-US"/>
        </w:rPr>
        <w:t xml:space="preserve"> Carmen de Areco - Provincia de Buenos Aires, 10 de enero de 2020</w:t>
      </w:r>
    </w:p>
    <w:p w:rsidR="006F1299" w:rsidRPr="00BA2AFD" w:rsidRDefault="006F1299" w:rsidP="006F1299">
      <w:pPr>
        <w:pStyle w:val="Default"/>
        <w:rPr>
          <w:rFonts w:ascii="Verdana" w:hAnsi="Verdana"/>
          <w:b/>
          <w:sz w:val="16"/>
          <w:szCs w:val="16"/>
        </w:rPr>
      </w:pPr>
    </w:p>
    <w:p w:rsidR="00F55237" w:rsidRDefault="00F55237">
      <w:bookmarkStart w:id="0" w:name="_GoBack"/>
      <w:bookmarkEnd w:id="0"/>
    </w:p>
    <w:sectPr w:rsidR="00F55237" w:rsidSect="000512AA">
      <w:headerReference w:type="even" r:id="rId5"/>
      <w:headerReference w:type="default" r:id="rId6"/>
      <w:footerReference w:type="default" r:id="rId7"/>
      <w:headerReference w:type="first" r:id="rId8"/>
      <w:pgSz w:w="11907" w:h="16840" w:code="9"/>
      <w:pgMar w:top="1134" w:right="709" w:bottom="567" w:left="1418" w:header="709" w:footer="227" w:gutter="0"/>
      <w:paperSrc w:first="7" w:other="7"/>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Pr="008921D8" w:rsidRDefault="006F1299" w:rsidP="008921D8">
    <w:pPr>
      <w:pStyle w:val="Piedep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F129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F129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397C" w:rsidRDefault="006F12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E532F7"/>
    <w:multiLevelType w:val="hybridMultilevel"/>
    <w:tmpl w:val="1EEA76C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6F1482D"/>
    <w:multiLevelType w:val="hybridMultilevel"/>
    <w:tmpl w:val="684A5070"/>
    <w:lvl w:ilvl="0" w:tplc="F91E95CE">
      <w:start w:val="1"/>
      <w:numFmt w:val="lowerLetter"/>
      <w:lvlText w:val="%1)"/>
      <w:lvlJc w:val="left"/>
      <w:pPr>
        <w:ind w:left="720" w:hanging="360"/>
      </w:pPr>
      <w:rPr>
        <w:rFonts w:ascii="Verdana" w:hAnsi="Verdana"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299"/>
    <w:rsid w:val="006F1299"/>
    <w:rsid w:val="00F552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8A5886-F4A1-487C-98F1-B2F92319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299"/>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F1299"/>
    <w:pPr>
      <w:tabs>
        <w:tab w:val="center" w:pos="4419"/>
        <w:tab w:val="right" w:pos="8838"/>
      </w:tabs>
    </w:pPr>
  </w:style>
  <w:style w:type="character" w:customStyle="1" w:styleId="EncabezadoCar">
    <w:name w:val="Encabezado Car"/>
    <w:basedOn w:val="Fuentedeprrafopredeter"/>
    <w:link w:val="Encabezado"/>
    <w:uiPriority w:val="99"/>
    <w:rsid w:val="006F1299"/>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6F1299"/>
    <w:pPr>
      <w:tabs>
        <w:tab w:val="center" w:pos="4419"/>
        <w:tab w:val="right" w:pos="8838"/>
      </w:tabs>
    </w:pPr>
  </w:style>
  <w:style w:type="character" w:customStyle="1" w:styleId="PiedepginaCar">
    <w:name w:val="Pie de página Car"/>
    <w:basedOn w:val="Fuentedeprrafopredeter"/>
    <w:link w:val="Piedepgina"/>
    <w:uiPriority w:val="99"/>
    <w:rsid w:val="006F1299"/>
    <w:rPr>
      <w:rFonts w:ascii="Times New Roman" w:eastAsia="Times New Roman" w:hAnsi="Times New Roman" w:cs="Times New Roman"/>
      <w:sz w:val="20"/>
      <w:szCs w:val="20"/>
      <w:lang w:eastAsia="es-ES"/>
    </w:rPr>
  </w:style>
  <w:style w:type="paragraph" w:styleId="Prrafodelista">
    <w:name w:val="List Paragraph"/>
    <w:basedOn w:val="Normal"/>
    <w:link w:val="PrrafodelistaCar"/>
    <w:uiPriority w:val="34"/>
    <w:qFormat/>
    <w:rsid w:val="006F1299"/>
    <w:pPr>
      <w:ind w:left="708"/>
    </w:pPr>
  </w:style>
  <w:style w:type="paragraph" w:customStyle="1" w:styleId="Default">
    <w:name w:val="Default"/>
    <w:rsid w:val="006F1299"/>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character" w:customStyle="1" w:styleId="PrrafodelistaCar">
    <w:name w:val="Párrafo de lista Car"/>
    <w:link w:val="Prrafodelista"/>
    <w:uiPriority w:val="34"/>
    <w:locked/>
    <w:rsid w:val="006F1299"/>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1158</Words>
  <Characters>6369</Characters>
  <Application>Microsoft Office Word</Application>
  <DocSecurity>0</DocSecurity>
  <Lines>53</Lines>
  <Paragraphs>15</Paragraphs>
  <ScaleCrop>false</ScaleCrop>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Doy</dc:creator>
  <cp:keywords/>
  <dc:description/>
  <cp:lastModifiedBy>Cecilia Doy</cp:lastModifiedBy>
  <cp:revision>1</cp:revision>
  <dcterms:created xsi:type="dcterms:W3CDTF">2020-01-13T18:42:00Z</dcterms:created>
  <dcterms:modified xsi:type="dcterms:W3CDTF">2020-01-13T18:43:00Z</dcterms:modified>
</cp:coreProperties>
</file>