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C5500" w14:textId="2476B149" w:rsidR="003A5F45" w:rsidRPr="000D499B" w:rsidRDefault="003A5F45" w:rsidP="003A5F45">
      <w:pPr>
        <w:rPr>
          <w:rFonts w:ascii="Times New Roman" w:eastAsia="Calibri" w:hAnsi="Times New Roman" w:cs="Times New Roman"/>
          <w:b/>
          <w:sz w:val="24"/>
          <w:szCs w:val="24"/>
          <w:u w:val="single"/>
        </w:rPr>
      </w:pPr>
      <w:r w:rsidRPr="000D499B">
        <w:rPr>
          <w:rFonts w:ascii="Times New Roman" w:eastAsia="Calibri" w:hAnsi="Times New Roman" w:cs="Times New Roman"/>
          <w:b/>
          <w:sz w:val="24"/>
          <w:szCs w:val="24"/>
          <w:u w:val="single"/>
        </w:rPr>
        <w:t>ACTA DE COMISION FISCALIZADOR</w:t>
      </w:r>
      <w:r w:rsidR="00200D5C" w:rsidRPr="000D499B">
        <w:rPr>
          <w:rFonts w:ascii="Times New Roman" w:eastAsia="Calibri" w:hAnsi="Times New Roman" w:cs="Times New Roman"/>
          <w:b/>
          <w:sz w:val="24"/>
          <w:szCs w:val="24"/>
          <w:u w:val="single"/>
        </w:rPr>
        <w:t xml:space="preserve">A N° </w:t>
      </w:r>
      <w:r w:rsidR="00213E62" w:rsidRPr="000D499B">
        <w:rPr>
          <w:rFonts w:ascii="Times New Roman" w:eastAsia="Calibri" w:hAnsi="Times New Roman" w:cs="Times New Roman"/>
          <w:b/>
          <w:sz w:val="24"/>
          <w:szCs w:val="24"/>
          <w:u w:val="single"/>
        </w:rPr>
        <w:t>1</w:t>
      </w:r>
      <w:r w:rsidR="007B66F7">
        <w:rPr>
          <w:rFonts w:ascii="Times New Roman" w:eastAsia="Calibri" w:hAnsi="Times New Roman" w:cs="Times New Roman"/>
          <w:b/>
          <w:sz w:val="24"/>
          <w:szCs w:val="24"/>
          <w:u w:val="single"/>
        </w:rPr>
        <w:t>3</w:t>
      </w:r>
    </w:p>
    <w:p w14:paraId="64985283" w14:textId="147C7D7B" w:rsidR="00BA7EEB" w:rsidRDefault="00BA7EEB" w:rsidP="003B497A">
      <w:pPr>
        <w:spacing w:line="360" w:lineRule="auto"/>
        <w:jc w:val="both"/>
        <w:rPr>
          <w:rFonts w:ascii="Times New Roman" w:eastAsia="Times New Roman" w:hAnsi="Times New Roman" w:cs="Times New Roman"/>
          <w:snapToGrid w:val="0"/>
          <w:sz w:val="24"/>
          <w:szCs w:val="24"/>
          <w:lang w:val="es-ES_tradnl" w:eastAsia="es-ES"/>
        </w:rPr>
      </w:pPr>
      <w:r>
        <w:rPr>
          <w:rFonts w:ascii="Times New Roman" w:eastAsia="Times New Roman" w:hAnsi="Times New Roman" w:cs="Times New Roman"/>
          <w:snapToGrid w:val="0"/>
          <w:sz w:val="24"/>
          <w:szCs w:val="24"/>
          <w:lang w:eastAsia="es-ES"/>
        </w:rPr>
        <w:t>A</w:t>
      </w:r>
      <w:r w:rsidR="003A5F45" w:rsidRPr="000D499B">
        <w:rPr>
          <w:rFonts w:ascii="Times New Roman" w:eastAsia="Times New Roman" w:hAnsi="Times New Roman" w:cs="Times New Roman"/>
          <w:snapToGrid w:val="0"/>
          <w:sz w:val="24"/>
          <w:szCs w:val="24"/>
          <w:lang w:eastAsia="es-ES"/>
        </w:rPr>
        <w:t xml:space="preserve"> los </w:t>
      </w:r>
      <w:r w:rsidR="00B6323E" w:rsidRPr="000D499B">
        <w:rPr>
          <w:rFonts w:ascii="Times New Roman" w:eastAsia="Times New Roman" w:hAnsi="Times New Roman" w:cs="Times New Roman"/>
          <w:snapToGrid w:val="0"/>
          <w:sz w:val="24"/>
          <w:szCs w:val="24"/>
          <w:lang w:eastAsia="es-ES"/>
        </w:rPr>
        <w:t>1</w:t>
      </w:r>
      <w:r w:rsidR="007B66F7">
        <w:rPr>
          <w:rFonts w:ascii="Times New Roman" w:eastAsia="Times New Roman" w:hAnsi="Times New Roman" w:cs="Times New Roman"/>
          <w:snapToGrid w:val="0"/>
          <w:sz w:val="24"/>
          <w:szCs w:val="24"/>
          <w:lang w:eastAsia="es-ES"/>
        </w:rPr>
        <w:t>1</w:t>
      </w:r>
      <w:r w:rsidR="00B657C3" w:rsidRPr="000D499B">
        <w:rPr>
          <w:rFonts w:ascii="Times New Roman" w:eastAsia="Times New Roman" w:hAnsi="Times New Roman" w:cs="Times New Roman"/>
          <w:snapToGrid w:val="0"/>
          <w:sz w:val="24"/>
          <w:szCs w:val="24"/>
          <w:lang w:eastAsia="es-ES"/>
        </w:rPr>
        <w:t xml:space="preserve"> </w:t>
      </w:r>
      <w:r w:rsidR="003A5F45" w:rsidRPr="000D499B">
        <w:rPr>
          <w:rFonts w:ascii="Times New Roman" w:eastAsia="Times New Roman" w:hAnsi="Times New Roman" w:cs="Times New Roman"/>
          <w:snapToGrid w:val="0"/>
          <w:sz w:val="24"/>
          <w:szCs w:val="24"/>
          <w:lang w:eastAsia="es-ES"/>
        </w:rPr>
        <w:t xml:space="preserve">días del mes de </w:t>
      </w:r>
      <w:r>
        <w:rPr>
          <w:rFonts w:ascii="Times New Roman" w:eastAsia="Times New Roman" w:hAnsi="Times New Roman" w:cs="Times New Roman"/>
          <w:snapToGrid w:val="0"/>
          <w:sz w:val="24"/>
          <w:szCs w:val="24"/>
          <w:lang w:eastAsia="es-ES"/>
        </w:rPr>
        <w:t>mayo</w:t>
      </w:r>
      <w:r w:rsidRPr="000D499B">
        <w:rPr>
          <w:rFonts w:ascii="Times New Roman" w:eastAsia="Times New Roman" w:hAnsi="Times New Roman" w:cs="Times New Roman"/>
          <w:snapToGrid w:val="0"/>
          <w:sz w:val="24"/>
          <w:szCs w:val="24"/>
          <w:lang w:eastAsia="es-ES"/>
        </w:rPr>
        <w:t xml:space="preserve"> </w:t>
      </w:r>
      <w:r w:rsidR="003A5F45" w:rsidRPr="000D499B">
        <w:rPr>
          <w:rFonts w:ascii="Times New Roman" w:eastAsia="Times New Roman" w:hAnsi="Times New Roman" w:cs="Times New Roman"/>
          <w:snapToGrid w:val="0"/>
          <w:sz w:val="24"/>
          <w:szCs w:val="24"/>
          <w:lang w:eastAsia="es-ES"/>
        </w:rPr>
        <w:t>de 20</w:t>
      </w:r>
      <w:r w:rsidR="00213E62" w:rsidRPr="000D499B">
        <w:rPr>
          <w:rFonts w:ascii="Times New Roman" w:eastAsia="Times New Roman" w:hAnsi="Times New Roman" w:cs="Times New Roman"/>
          <w:snapToGrid w:val="0"/>
          <w:sz w:val="24"/>
          <w:szCs w:val="24"/>
          <w:lang w:eastAsia="es-ES"/>
        </w:rPr>
        <w:t>20</w:t>
      </w:r>
      <w:r w:rsidR="003A5F45" w:rsidRPr="000D499B">
        <w:rPr>
          <w:rFonts w:ascii="Times New Roman" w:eastAsia="Times New Roman" w:hAnsi="Times New Roman" w:cs="Times New Roman"/>
          <w:snapToGrid w:val="0"/>
          <w:sz w:val="24"/>
          <w:szCs w:val="24"/>
          <w:lang w:eastAsia="es-ES"/>
        </w:rPr>
        <w:t xml:space="preserve">, siendo las </w:t>
      </w:r>
      <w:r w:rsidR="007B66F7">
        <w:rPr>
          <w:rFonts w:ascii="Times New Roman" w:eastAsia="Times New Roman" w:hAnsi="Times New Roman" w:cs="Times New Roman"/>
          <w:snapToGrid w:val="0"/>
          <w:sz w:val="24"/>
          <w:szCs w:val="24"/>
          <w:lang w:eastAsia="es-ES"/>
        </w:rPr>
        <w:t>12</w:t>
      </w:r>
      <w:r w:rsidR="00A161CB" w:rsidRPr="000D499B">
        <w:rPr>
          <w:rFonts w:ascii="Times New Roman" w:eastAsia="Times New Roman" w:hAnsi="Times New Roman" w:cs="Times New Roman"/>
          <w:snapToGrid w:val="0"/>
          <w:sz w:val="24"/>
          <w:szCs w:val="24"/>
          <w:lang w:eastAsia="es-ES"/>
        </w:rPr>
        <w:t xml:space="preserve"> </w:t>
      </w:r>
      <w:r w:rsidR="003A5F45" w:rsidRPr="000D499B">
        <w:rPr>
          <w:rFonts w:ascii="Times New Roman" w:eastAsia="Times New Roman" w:hAnsi="Times New Roman" w:cs="Times New Roman"/>
          <w:snapToGrid w:val="0"/>
          <w:sz w:val="24"/>
          <w:szCs w:val="24"/>
          <w:lang w:eastAsia="es-ES"/>
        </w:rPr>
        <w:t xml:space="preserve">horas, se reúnen los miembros de la </w:t>
      </w:r>
      <w:r>
        <w:rPr>
          <w:rFonts w:ascii="Times New Roman" w:eastAsia="Times New Roman" w:hAnsi="Times New Roman" w:cs="Times New Roman"/>
          <w:snapToGrid w:val="0"/>
          <w:sz w:val="24"/>
          <w:szCs w:val="24"/>
          <w:lang w:eastAsia="es-ES"/>
        </w:rPr>
        <w:t>c</w:t>
      </w:r>
      <w:r w:rsidRPr="000D499B">
        <w:rPr>
          <w:rFonts w:ascii="Times New Roman" w:eastAsia="Times New Roman" w:hAnsi="Times New Roman" w:cs="Times New Roman"/>
          <w:snapToGrid w:val="0"/>
          <w:sz w:val="24"/>
          <w:szCs w:val="24"/>
          <w:lang w:eastAsia="es-ES"/>
        </w:rPr>
        <w:t xml:space="preserve">omisión </w:t>
      </w:r>
      <w:r>
        <w:rPr>
          <w:rFonts w:ascii="Times New Roman" w:eastAsia="Times New Roman" w:hAnsi="Times New Roman" w:cs="Times New Roman"/>
          <w:snapToGrid w:val="0"/>
          <w:sz w:val="24"/>
          <w:szCs w:val="24"/>
          <w:lang w:eastAsia="es-ES"/>
        </w:rPr>
        <w:t>f</w:t>
      </w:r>
      <w:r w:rsidRPr="000D499B">
        <w:rPr>
          <w:rFonts w:ascii="Times New Roman" w:eastAsia="Times New Roman" w:hAnsi="Times New Roman" w:cs="Times New Roman"/>
          <w:snapToGrid w:val="0"/>
          <w:sz w:val="24"/>
          <w:szCs w:val="24"/>
          <w:lang w:eastAsia="es-ES"/>
        </w:rPr>
        <w:t xml:space="preserve">iscalizadora </w:t>
      </w:r>
      <w:r w:rsidR="003A5F45" w:rsidRPr="000D499B">
        <w:rPr>
          <w:rFonts w:ascii="Times New Roman" w:eastAsia="Times New Roman" w:hAnsi="Times New Roman" w:cs="Times New Roman"/>
          <w:snapToGrid w:val="0"/>
          <w:sz w:val="24"/>
          <w:szCs w:val="24"/>
          <w:lang w:eastAsia="es-ES"/>
        </w:rPr>
        <w:t>de "</w:t>
      </w:r>
      <w:r w:rsidR="00B657C3" w:rsidRPr="000D499B">
        <w:rPr>
          <w:rFonts w:ascii="Times New Roman" w:eastAsia="Times New Roman" w:hAnsi="Times New Roman" w:cs="Times New Roman"/>
          <w:b/>
          <w:snapToGrid w:val="0"/>
          <w:sz w:val="24"/>
          <w:szCs w:val="24"/>
          <w:lang w:eastAsia="es-ES"/>
        </w:rPr>
        <w:t>PETROAGRO</w:t>
      </w:r>
      <w:r w:rsidR="003A5F45" w:rsidRPr="000D499B">
        <w:rPr>
          <w:rFonts w:ascii="Times New Roman" w:eastAsia="Times New Roman" w:hAnsi="Times New Roman" w:cs="Times New Roman"/>
          <w:b/>
          <w:snapToGrid w:val="0"/>
          <w:sz w:val="24"/>
          <w:szCs w:val="24"/>
          <w:lang w:eastAsia="es-ES"/>
        </w:rPr>
        <w:t xml:space="preserve"> S.A.</w:t>
      </w:r>
      <w:r w:rsidR="003A5F45" w:rsidRPr="000D499B">
        <w:rPr>
          <w:rFonts w:ascii="Times New Roman" w:eastAsia="Times New Roman" w:hAnsi="Times New Roman" w:cs="Times New Roman"/>
          <w:snapToGrid w:val="0"/>
          <w:sz w:val="24"/>
          <w:szCs w:val="24"/>
          <w:lang w:eastAsia="es-ES"/>
        </w:rPr>
        <w:t xml:space="preserve">", </w:t>
      </w:r>
      <w:r w:rsidR="00B657C3" w:rsidRPr="000D499B">
        <w:rPr>
          <w:rFonts w:ascii="Times New Roman" w:eastAsia="Times New Roman" w:hAnsi="Times New Roman" w:cs="Times New Roman"/>
          <w:snapToGrid w:val="0"/>
          <w:sz w:val="24"/>
          <w:szCs w:val="24"/>
          <w:lang w:val="es-ES_tradnl" w:eastAsia="es-ES"/>
        </w:rPr>
        <w:t>Miriam Beatriz Guillerm</w:t>
      </w:r>
      <w:r w:rsidR="00213E62" w:rsidRPr="000D499B">
        <w:rPr>
          <w:rFonts w:ascii="Times New Roman" w:eastAsia="Times New Roman" w:hAnsi="Times New Roman" w:cs="Times New Roman"/>
          <w:snapToGrid w:val="0"/>
          <w:sz w:val="24"/>
          <w:szCs w:val="24"/>
          <w:lang w:val="es-ES_tradnl" w:eastAsia="es-ES"/>
        </w:rPr>
        <w:t>í</w:t>
      </w:r>
      <w:r w:rsidR="00B657C3" w:rsidRPr="000D499B">
        <w:rPr>
          <w:rFonts w:ascii="Times New Roman" w:eastAsia="Times New Roman" w:hAnsi="Times New Roman" w:cs="Times New Roman"/>
          <w:snapToGrid w:val="0"/>
          <w:sz w:val="24"/>
          <w:szCs w:val="24"/>
          <w:lang w:val="es-ES_tradnl" w:eastAsia="es-ES"/>
        </w:rPr>
        <w:t xml:space="preserve">n, Federico Fernando Guido Lucero Pavón y Gustavo Martín </w:t>
      </w:r>
      <w:proofErr w:type="spellStart"/>
      <w:r w:rsidR="00B657C3" w:rsidRPr="000D499B">
        <w:rPr>
          <w:rFonts w:ascii="Times New Roman" w:eastAsia="Times New Roman" w:hAnsi="Times New Roman" w:cs="Times New Roman"/>
          <w:snapToGrid w:val="0"/>
          <w:sz w:val="24"/>
          <w:szCs w:val="24"/>
          <w:lang w:val="es-ES_tradnl" w:eastAsia="es-ES"/>
        </w:rPr>
        <w:t>Bertin</w:t>
      </w:r>
      <w:r w:rsidR="0042137C" w:rsidRPr="000D499B">
        <w:rPr>
          <w:rFonts w:ascii="Times New Roman" w:eastAsia="Times New Roman" w:hAnsi="Times New Roman" w:cs="Times New Roman"/>
          <w:snapToGrid w:val="0"/>
          <w:sz w:val="24"/>
          <w:szCs w:val="24"/>
          <w:lang w:val="es-ES_tradnl" w:eastAsia="es-ES"/>
        </w:rPr>
        <w:t>a</w:t>
      </w:r>
      <w:r w:rsidR="00B657C3" w:rsidRPr="000D499B">
        <w:rPr>
          <w:rFonts w:ascii="Times New Roman" w:eastAsia="Times New Roman" w:hAnsi="Times New Roman" w:cs="Times New Roman"/>
          <w:snapToGrid w:val="0"/>
          <w:sz w:val="24"/>
          <w:szCs w:val="24"/>
          <w:lang w:val="es-ES_tradnl" w:eastAsia="es-ES"/>
        </w:rPr>
        <w:t>tto</w:t>
      </w:r>
      <w:proofErr w:type="spellEnd"/>
      <w:r w:rsidR="002B1E74">
        <w:rPr>
          <w:rFonts w:ascii="Times New Roman" w:eastAsia="Times New Roman" w:hAnsi="Times New Roman" w:cs="Times New Roman"/>
          <w:snapToGrid w:val="0"/>
          <w:sz w:val="24"/>
          <w:szCs w:val="24"/>
          <w:lang w:val="es-ES_tradnl" w:eastAsia="es-ES"/>
        </w:rPr>
        <w:t xml:space="preserve"> </w:t>
      </w:r>
      <w:r w:rsidR="002B1E74">
        <w:rPr>
          <w:rFonts w:ascii="Times New Roman" w:eastAsia="Times New Roman" w:hAnsi="Times New Roman" w:cs="Times New Roman"/>
          <w:snapToGrid w:val="0"/>
          <w:sz w:val="24"/>
          <w:szCs w:val="24"/>
          <w:lang w:eastAsia="es-ES"/>
        </w:rPr>
        <w:t>(la “</w:t>
      </w:r>
      <w:r w:rsidR="002B1E74">
        <w:rPr>
          <w:rFonts w:ascii="Times New Roman" w:eastAsia="Times New Roman" w:hAnsi="Times New Roman" w:cs="Times New Roman"/>
          <w:snapToGrid w:val="0"/>
          <w:sz w:val="24"/>
          <w:szCs w:val="24"/>
          <w:u w:val="single"/>
          <w:lang w:eastAsia="es-ES"/>
        </w:rPr>
        <w:t>Comisión Fiscalizadora</w:t>
      </w:r>
      <w:r w:rsidR="002B1E74">
        <w:rPr>
          <w:rFonts w:ascii="Times New Roman" w:eastAsia="Times New Roman" w:hAnsi="Times New Roman" w:cs="Times New Roman"/>
          <w:snapToGrid w:val="0"/>
          <w:sz w:val="24"/>
          <w:szCs w:val="24"/>
          <w:lang w:eastAsia="es-ES"/>
        </w:rPr>
        <w:t>”)</w:t>
      </w:r>
      <w:r w:rsidR="003A5F45" w:rsidRPr="000D499B">
        <w:rPr>
          <w:rFonts w:ascii="Times New Roman" w:eastAsia="Times New Roman" w:hAnsi="Times New Roman" w:cs="Times New Roman"/>
          <w:snapToGrid w:val="0"/>
          <w:sz w:val="24"/>
          <w:szCs w:val="24"/>
          <w:lang w:val="es-ES_tradnl" w:eastAsia="es-ES"/>
        </w:rPr>
        <w:t xml:space="preserve">, bajo la presidencia </w:t>
      </w:r>
      <w:r w:rsidR="00A161CB" w:rsidRPr="000D499B">
        <w:rPr>
          <w:rFonts w:ascii="Times New Roman" w:eastAsia="Times New Roman" w:hAnsi="Times New Roman" w:cs="Times New Roman"/>
          <w:snapToGrid w:val="0"/>
          <w:sz w:val="24"/>
          <w:szCs w:val="24"/>
          <w:lang w:val="es-ES_tradnl" w:eastAsia="es-ES"/>
        </w:rPr>
        <w:t xml:space="preserve">de Federico Fernando Guido Lucero Pavón. </w:t>
      </w:r>
      <w:r w:rsidRPr="00BA7EEB">
        <w:rPr>
          <w:rFonts w:ascii="Times New Roman" w:eastAsia="Times New Roman" w:hAnsi="Times New Roman" w:cs="Times New Roman"/>
          <w:snapToGrid w:val="0"/>
          <w:sz w:val="24"/>
          <w:szCs w:val="24"/>
          <w:lang w:val="es-ES_tradnl" w:eastAsia="es-ES"/>
        </w:rPr>
        <w:t>Se deja constancia que debido a la situación sanitaria ocasionada por la pandemia de COVID-19 de público y notorio conocimiento, y en cumplimiento con las medidas de “aislamiento social, preventivo y obligatorio” adoptadas por el Gobierno Nacional mediante el Decreto de Necesidad y Urgencia N° 297/2020, y sus prórrogas, y normas reglamentarias</w:t>
      </w:r>
      <w:r>
        <w:rPr>
          <w:rFonts w:ascii="Times New Roman" w:eastAsia="Times New Roman" w:hAnsi="Times New Roman" w:cs="Times New Roman"/>
          <w:snapToGrid w:val="0"/>
          <w:sz w:val="24"/>
          <w:szCs w:val="24"/>
          <w:lang w:val="es-ES_tradnl" w:eastAsia="es-ES"/>
        </w:rPr>
        <w:t xml:space="preserve"> y complementarias</w:t>
      </w:r>
      <w:r w:rsidRPr="00BA7EEB">
        <w:rPr>
          <w:rFonts w:ascii="Times New Roman" w:eastAsia="Times New Roman" w:hAnsi="Times New Roman" w:cs="Times New Roman"/>
          <w:snapToGrid w:val="0"/>
          <w:sz w:val="24"/>
          <w:szCs w:val="24"/>
          <w:lang w:val="es-ES_tradnl" w:eastAsia="es-ES"/>
        </w:rPr>
        <w:t xml:space="preserve">, </w:t>
      </w:r>
      <w:r>
        <w:rPr>
          <w:rFonts w:ascii="Times New Roman" w:eastAsia="Times New Roman" w:hAnsi="Times New Roman" w:cs="Times New Roman"/>
          <w:snapToGrid w:val="0"/>
          <w:sz w:val="24"/>
          <w:szCs w:val="24"/>
          <w:lang w:val="es-ES_tradnl" w:eastAsia="es-ES"/>
        </w:rPr>
        <w:t>incluyendo a</w:t>
      </w:r>
      <w:r w:rsidRPr="00BA7EEB">
        <w:rPr>
          <w:rFonts w:ascii="Times New Roman" w:eastAsia="Times New Roman" w:hAnsi="Times New Roman" w:cs="Times New Roman"/>
          <w:snapToGrid w:val="0"/>
          <w:sz w:val="24"/>
          <w:szCs w:val="24"/>
          <w:lang w:val="es-ES_tradnl" w:eastAsia="es-ES"/>
        </w:rPr>
        <w:t xml:space="preserve"> la Resolución General </w:t>
      </w:r>
      <w:r>
        <w:rPr>
          <w:rFonts w:ascii="Times New Roman" w:eastAsia="Times New Roman" w:hAnsi="Times New Roman" w:cs="Times New Roman"/>
          <w:snapToGrid w:val="0"/>
          <w:sz w:val="24"/>
          <w:szCs w:val="24"/>
          <w:lang w:val="es-ES_tradnl" w:eastAsia="es-ES"/>
        </w:rPr>
        <w:t xml:space="preserve">N° 830/2020 </w:t>
      </w:r>
      <w:r w:rsidRPr="00BA7EEB">
        <w:rPr>
          <w:rFonts w:ascii="Times New Roman" w:eastAsia="Times New Roman" w:hAnsi="Times New Roman" w:cs="Times New Roman"/>
          <w:snapToGrid w:val="0"/>
          <w:sz w:val="24"/>
          <w:szCs w:val="24"/>
          <w:lang w:val="es-ES_tradnl" w:eastAsia="es-ES"/>
        </w:rPr>
        <w:t>de la Comisión</w:t>
      </w:r>
      <w:r>
        <w:rPr>
          <w:rFonts w:ascii="Times New Roman" w:eastAsia="Times New Roman" w:hAnsi="Times New Roman" w:cs="Times New Roman"/>
          <w:snapToGrid w:val="0"/>
          <w:sz w:val="24"/>
          <w:szCs w:val="24"/>
          <w:lang w:val="es-ES_tradnl" w:eastAsia="es-ES"/>
        </w:rPr>
        <w:t xml:space="preserve"> Nacional de Valores (la “</w:t>
      </w:r>
      <w:r>
        <w:rPr>
          <w:rFonts w:ascii="Times New Roman" w:eastAsia="Times New Roman" w:hAnsi="Times New Roman" w:cs="Times New Roman"/>
          <w:snapToGrid w:val="0"/>
          <w:sz w:val="24"/>
          <w:szCs w:val="24"/>
          <w:u w:val="single"/>
          <w:lang w:val="es-ES_tradnl" w:eastAsia="es-ES"/>
        </w:rPr>
        <w:t>Resolución</w:t>
      </w:r>
      <w:r>
        <w:rPr>
          <w:rFonts w:ascii="Times New Roman" w:eastAsia="Times New Roman" w:hAnsi="Times New Roman" w:cs="Times New Roman"/>
          <w:snapToGrid w:val="0"/>
          <w:sz w:val="24"/>
          <w:szCs w:val="24"/>
          <w:lang w:val="es-ES_tradnl" w:eastAsia="es-ES"/>
        </w:rPr>
        <w:t>”)</w:t>
      </w:r>
      <w:r w:rsidRPr="00BA7EEB">
        <w:rPr>
          <w:rFonts w:ascii="Times New Roman" w:eastAsia="Times New Roman" w:hAnsi="Times New Roman" w:cs="Times New Roman"/>
          <w:snapToGrid w:val="0"/>
          <w:sz w:val="24"/>
          <w:szCs w:val="24"/>
          <w:lang w:val="es-ES_tradnl" w:eastAsia="es-ES"/>
        </w:rPr>
        <w:t>, todos los miembros</w:t>
      </w:r>
      <w:r>
        <w:rPr>
          <w:rFonts w:ascii="Times New Roman" w:eastAsia="Times New Roman" w:hAnsi="Times New Roman" w:cs="Times New Roman"/>
          <w:snapToGrid w:val="0"/>
          <w:sz w:val="24"/>
          <w:szCs w:val="24"/>
          <w:lang w:val="es-ES_tradnl" w:eastAsia="es-ES"/>
        </w:rPr>
        <w:t xml:space="preserve"> de la Comisión Fiscalizadora que p</w:t>
      </w:r>
      <w:r w:rsidRPr="00BA7EEB">
        <w:rPr>
          <w:rFonts w:ascii="Times New Roman" w:eastAsia="Times New Roman" w:hAnsi="Times New Roman" w:cs="Times New Roman"/>
          <w:snapToGrid w:val="0"/>
          <w:sz w:val="24"/>
          <w:szCs w:val="24"/>
          <w:lang w:val="es-ES_tradnl" w:eastAsia="es-ES"/>
        </w:rPr>
        <w:t>articipan de la presente reunión lo hacen comunicados a través del sistema “</w:t>
      </w:r>
      <w:r>
        <w:rPr>
          <w:rFonts w:ascii="Times New Roman" w:eastAsia="Times New Roman" w:hAnsi="Times New Roman" w:cs="Times New Roman"/>
          <w:snapToGrid w:val="0"/>
          <w:sz w:val="24"/>
          <w:szCs w:val="24"/>
          <w:lang w:val="es-ES_tradnl" w:eastAsia="es-ES"/>
        </w:rPr>
        <w:t>[_]</w:t>
      </w:r>
      <w:r w:rsidRPr="00BA7EEB">
        <w:rPr>
          <w:rFonts w:ascii="Times New Roman" w:eastAsia="Times New Roman" w:hAnsi="Times New Roman" w:cs="Times New Roman"/>
          <w:snapToGrid w:val="0"/>
          <w:sz w:val="24"/>
          <w:szCs w:val="24"/>
          <w:lang w:val="es-ES_tradnl" w:eastAsia="es-ES"/>
        </w:rPr>
        <w:t>”, que permite la conexión mediante sistema de audio y video en forma simultánea, y suscribirán la pre</w:t>
      </w:r>
      <w:r>
        <w:rPr>
          <w:rFonts w:ascii="Times New Roman" w:eastAsia="Times New Roman" w:hAnsi="Times New Roman" w:cs="Times New Roman"/>
          <w:snapToGrid w:val="0"/>
          <w:sz w:val="24"/>
          <w:szCs w:val="24"/>
          <w:lang w:val="es-ES_tradnl" w:eastAsia="es-ES"/>
        </w:rPr>
        <w:t>sente acta</w:t>
      </w:r>
      <w:r w:rsidRPr="00BA7EEB">
        <w:rPr>
          <w:rFonts w:ascii="Times New Roman" w:eastAsia="Times New Roman" w:hAnsi="Times New Roman" w:cs="Times New Roman"/>
          <w:snapToGrid w:val="0"/>
          <w:sz w:val="24"/>
          <w:szCs w:val="24"/>
          <w:lang w:val="es-ES_tradnl" w:eastAsia="es-ES"/>
        </w:rPr>
        <w:t xml:space="preserve"> inmediatamente luego de que las medidas dictadas por el Gobierno Nacional en relación </w:t>
      </w:r>
      <w:r>
        <w:rPr>
          <w:rFonts w:ascii="Times New Roman" w:eastAsia="Times New Roman" w:hAnsi="Times New Roman" w:cs="Times New Roman"/>
          <w:snapToGrid w:val="0"/>
          <w:sz w:val="24"/>
          <w:szCs w:val="24"/>
          <w:lang w:val="es-ES_tradnl" w:eastAsia="es-ES"/>
        </w:rPr>
        <w:t>con</w:t>
      </w:r>
      <w:r w:rsidRPr="00BA7EEB">
        <w:rPr>
          <w:rFonts w:ascii="Times New Roman" w:eastAsia="Times New Roman" w:hAnsi="Times New Roman" w:cs="Times New Roman"/>
          <w:snapToGrid w:val="0"/>
          <w:sz w:val="24"/>
          <w:szCs w:val="24"/>
          <w:lang w:val="es-ES_tradnl" w:eastAsia="es-ES"/>
        </w:rPr>
        <w:t xml:space="preserve"> la situación sanitaria así lo permitan. Se deja constancia que, </w:t>
      </w:r>
      <w:r w:rsidR="003165E0" w:rsidRPr="003B497A">
        <w:rPr>
          <w:rFonts w:ascii="Times New Roman" w:eastAsia="Times New Roman" w:hAnsi="Times New Roman" w:cs="Times New Roman"/>
          <w:snapToGrid w:val="0"/>
          <w:sz w:val="24"/>
          <w:szCs w:val="24"/>
          <w:lang w:val="es-ES_tradnl" w:eastAsia="es-ES"/>
        </w:rPr>
        <w:t xml:space="preserve">si bien la Resolución establece el marco normativo para que las </w:t>
      </w:r>
      <w:r w:rsidR="00423356">
        <w:rPr>
          <w:rFonts w:ascii="Times New Roman" w:eastAsia="Times New Roman" w:hAnsi="Times New Roman" w:cs="Times New Roman"/>
          <w:snapToGrid w:val="0"/>
          <w:sz w:val="24"/>
          <w:szCs w:val="24"/>
          <w:lang w:val="es-ES_tradnl" w:eastAsia="es-ES"/>
        </w:rPr>
        <w:t>e</w:t>
      </w:r>
      <w:r w:rsidR="003165E0" w:rsidRPr="003B497A">
        <w:rPr>
          <w:rFonts w:ascii="Times New Roman" w:eastAsia="Times New Roman" w:hAnsi="Times New Roman" w:cs="Times New Roman"/>
          <w:snapToGrid w:val="0"/>
          <w:sz w:val="24"/>
          <w:szCs w:val="24"/>
          <w:lang w:val="es-ES_tradnl" w:eastAsia="es-ES"/>
        </w:rPr>
        <w:t xml:space="preserve">misoras puedan celebrar reuniones de </w:t>
      </w:r>
      <w:r w:rsidR="00423356">
        <w:rPr>
          <w:rFonts w:ascii="Times New Roman" w:eastAsia="Times New Roman" w:hAnsi="Times New Roman" w:cs="Times New Roman"/>
          <w:snapToGrid w:val="0"/>
          <w:sz w:val="24"/>
          <w:szCs w:val="24"/>
          <w:lang w:val="es-ES_tradnl" w:eastAsia="es-ES"/>
        </w:rPr>
        <w:t>d</w:t>
      </w:r>
      <w:r w:rsidR="003165E0" w:rsidRPr="003B497A">
        <w:rPr>
          <w:rFonts w:ascii="Times New Roman" w:eastAsia="Times New Roman" w:hAnsi="Times New Roman" w:cs="Times New Roman"/>
          <w:snapToGrid w:val="0"/>
          <w:sz w:val="24"/>
          <w:szCs w:val="24"/>
          <w:lang w:val="es-ES_tradnl" w:eastAsia="es-ES"/>
        </w:rPr>
        <w:t xml:space="preserve">irectorio a distancia, nada dice en cuanto a las reuniones del órgano de fiscalización, resulta necesario que la Comisión Fiscalizadora se reúna a los fines de emitir su informe sobre los estados financieros intermedios por el período finalizado el 29 de febrero de 2020, que serán considerados por el Directorio de la Sociedad en su reunión del día de la fecha. Asimismo se deja constancia que ante la necesidad de la celebración de una reunión de la Comisión Fiscalizadora, se interpreta que, con base en las disposiciones de la Ley General de Sociedades N° 19.550 y modificatorias, en su artículo 290 y concordantes y subsidiariamente, </w:t>
      </w:r>
      <w:r w:rsidR="00423356">
        <w:rPr>
          <w:rFonts w:ascii="Times New Roman" w:eastAsia="Times New Roman" w:hAnsi="Times New Roman" w:cs="Times New Roman"/>
          <w:snapToGrid w:val="0"/>
          <w:sz w:val="24"/>
          <w:szCs w:val="24"/>
          <w:lang w:val="es-ES_tradnl" w:eastAsia="es-ES"/>
        </w:rPr>
        <w:t>y</w:t>
      </w:r>
      <w:r w:rsidR="003165E0" w:rsidRPr="003B497A">
        <w:rPr>
          <w:rFonts w:ascii="Times New Roman" w:eastAsia="Times New Roman" w:hAnsi="Times New Roman" w:cs="Times New Roman"/>
          <w:snapToGrid w:val="0"/>
          <w:sz w:val="24"/>
          <w:szCs w:val="24"/>
          <w:lang w:val="es-ES_tradnl" w:eastAsia="es-ES"/>
        </w:rPr>
        <w:t xml:space="preserve"> a lo dispuesto por el art. 158 del Código Civil y Comercial</w:t>
      </w:r>
      <w:r w:rsidR="00423356">
        <w:rPr>
          <w:rFonts w:ascii="Times New Roman" w:eastAsia="Times New Roman" w:hAnsi="Times New Roman" w:cs="Times New Roman"/>
          <w:snapToGrid w:val="0"/>
          <w:sz w:val="24"/>
          <w:szCs w:val="24"/>
          <w:lang w:val="es-ES_tradnl" w:eastAsia="es-ES"/>
        </w:rPr>
        <w:t>,</w:t>
      </w:r>
      <w:r w:rsidR="003165E0" w:rsidRPr="003B497A">
        <w:rPr>
          <w:rFonts w:ascii="Times New Roman" w:eastAsia="Times New Roman" w:hAnsi="Times New Roman" w:cs="Times New Roman"/>
          <w:snapToGrid w:val="0"/>
          <w:sz w:val="24"/>
          <w:szCs w:val="24"/>
          <w:lang w:val="es-ES_tradnl" w:eastAsia="es-ES"/>
        </w:rPr>
        <w:t xml:space="preserve"> la Comisión Fiscalizadora</w:t>
      </w:r>
      <w:r w:rsidR="00423356">
        <w:rPr>
          <w:rFonts w:ascii="Times New Roman" w:eastAsia="Times New Roman" w:hAnsi="Times New Roman" w:cs="Times New Roman"/>
          <w:snapToGrid w:val="0"/>
          <w:sz w:val="24"/>
          <w:szCs w:val="24"/>
          <w:lang w:val="es-ES_tradnl" w:eastAsia="es-ES"/>
        </w:rPr>
        <w:t xml:space="preserve"> estaría habilitada para reunirse </w:t>
      </w:r>
      <w:r w:rsidR="003165E0" w:rsidRPr="003B497A">
        <w:rPr>
          <w:rFonts w:ascii="Times New Roman" w:eastAsia="Times New Roman" w:hAnsi="Times New Roman" w:cs="Times New Roman"/>
          <w:snapToGrid w:val="0"/>
          <w:sz w:val="24"/>
          <w:szCs w:val="24"/>
          <w:lang w:val="es-ES_tradnl" w:eastAsia="es-ES"/>
        </w:rPr>
        <w:t xml:space="preserve">siguiendo los lineamientos de la Resolución. </w:t>
      </w:r>
      <w:r w:rsidR="00423356" w:rsidRPr="003B497A">
        <w:rPr>
          <w:rFonts w:ascii="Times New Roman" w:eastAsia="Times New Roman" w:hAnsi="Times New Roman" w:cs="Times New Roman"/>
          <w:snapToGrid w:val="0"/>
          <w:sz w:val="24"/>
          <w:szCs w:val="24"/>
          <w:lang w:val="es-ES_tradnl" w:eastAsia="es-ES"/>
        </w:rPr>
        <w:t>Por tanto, se informa que</w:t>
      </w:r>
      <w:r w:rsidR="00423356">
        <w:rPr>
          <w:rFonts w:ascii="Arial" w:hAnsi="Arial" w:cs="Arial"/>
          <w:sz w:val="28"/>
          <w:szCs w:val="28"/>
        </w:rPr>
        <w:t xml:space="preserve">, </w:t>
      </w:r>
      <w:r w:rsidRPr="00BA7EEB">
        <w:rPr>
          <w:rFonts w:ascii="Times New Roman" w:eastAsia="Times New Roman" w:hAnsi="Times New Roman" w:cs="Times New Roman"/>
          <w:snapToGrid w:val="0"/>
          <w:sz w:val="24"/>
          <w:szCs w:val="24"/>
          <w:lang w:val="es-ES_tradnl" w:eastAsia="es-ES"/>
        </w:rPr>
        <w:t xml:space="preserve">en cumplimiento de los recaudos establecidos por </w:t>
      </w:r>
      <w:r w:rsidR="00423356">
        <w:rPr>
          <w:rFonts w:ascii="Times New Roman" w:eastAsia="Times New Roman" w:hAnsi="Times New Roman" w:cs="Times New Roman"/>
          <w:snapToGrid w:val="0"/>
          <w:sz w:val="24"/>
          <w:szCs w:val="24"/>
          <w:lang w:val="es-ES_tradnl" w:eastAsia="es-ES"/>
        </w:rPr>
        <w:t>dicha</w:t>
      </w:r>
      <w:r w:rsidRPr="00BA7EEB">
        <w:rPr>
          <w:rFonts w:ascii="Times New Roman" w:eastAsia="Times New Roman" w:hAnsi="Times New Roman" w:cs="Times New Roman"/>
          <w:snapToGrid w:val="0"/>
          <w:sz w:val="24"/>
          <w:szCs w:val="24"/>
          <w:lang w:val="es-ES_tradnl" w:eastAsia="es-ES"/>
        </w:rPr>
        <w:t xml:space="preserve"> Resolución, el sistema de videoconferencias permite: (i) la libre accesibilidad de todos los participantes a la </w:t>
      </w:r>
      <w:r>
        <w:rPr>
          <w:rFonts w:ascii="Times New Roman" w:eastAsia="Times New Roman" w:hAnsi="Times New Roman" w:cs="Times New Roman"/>
          <w:snapToGrid w:val="0"/>
          <w:sz w:val="24"/>
          <w:szCs w:val="24"/>
          <w:lang w:val="es-ES_tradnl" w:eastAsia="es-ES"/>
        </w:rPr>
        <w:t>reunión</w:t>
      </w:r>
      <w:r w:rsidRPr="00BA7EEB">
        <w:rPr>
          <w:rFonts w:ascii="Times New Roman" w:eastAsia="Times New Roman" w:hAnsi="Times New Roman" w:cs="Times New Roman"/>
          <w:snapToGrid w:val="0"/>
          <w:sz w:val="24"/>
          <w:szCs w:val="24"/>
          <w:lang w:val="es-ES_tradnl" w:eastAsia="es-ES"/>
        </w:rPr>
        <w:t xml:space="preserve">; (ii) la posibilidad de participar de la misma con voz y voto mediante la transmisión simultánea de sonido, imágenes y palabra durante el transcurso de toda la </w:t>
      </w:r>
      <w:r>
        <w:rPr>
          <w:rFonts w:ascii="Times New Roman" w:eastAsia="Times New Roman" w:hAnsi="Times New Roman" w:cs="Times New Roman"/>
          <w:snapToGrid w:val="0"/>
          <w:sz w:val="24"/>
          <w:szCs w:val="24"/>
          <w:lang w:val="es-ES_tradnl" w:eastAsia="es-ES"/>
        </w:rPr>
        <w:t>reunión</w:t>
      </w:r>
      <w:r w:rsidRPr="00BA7EEB">
        <w:rPr>
          <w:rFonts w:ascii="Times New Roman" w:eastAsia="Times New Roman" w:hAnsi="Times New Roman" w:cs="Times New Roman"/>
          <w:snapToGrid w:val="0"/>
          <w:sz w:val="24"/>
          <w:szCs w:val="24"/>
          <w:lang w:val="es-ES_tradnl" w:eastAsia="es-ES"/>
        </w:rPr>
        <w:t xml:space="preserve">; (iii) la grabación del desarrollo de </w:t>
      </w:r>
      <w:r>
        <w:rPr>
          <w:rFonts w:ascii="Times New Roman" w:eastAsia="Times New Roman" w:hAnsi="Times New Roman" w:cs="Times New Roman"/>
          <w:snapToGrid w:val="0"/>
          <w:sz w:val="24"/>
          <w:szCs w:val="24"/>
          <w:lang w:val="es-ES_tradnl" w:eastAsia="es-ES"/>
        </w:rPr>
        <w:t>la reunión</w:t>
      </w:r>
      <w:r w:rsidRPr="00BA7EEB">
        <w:rPr>
          <w:rFonts w:ascii="Times New Roman" w:eastAsia="Times New Roman" w:hAnsi="Times New Roman" w:cs="Times New Roman"/>
          <w:snapToGrid w:val="0"/>
          <w:sz w:val="24"/>
          <w:szCs w:val="24"/>
          <w:lang w:val="es-ES_tradnl" w:eastAsia="es-ES"/>
        </w:rPr>
        <w:t xml:space="preserve"> en forma digital; y (iv) la conservación de una copia en soporte digital por el término de 5 años, quedando a disposición de cualquier participante que la solicite</w:t>
      </w:r>
      <w:r>
        <w:rPr>
          <w:rFonts w:ascii="Times New Roman" w:eastAsia="Times New Roman" w:hAnsi="Times New Roman" w:cs="Times New Roman"/>
          <w:snapToGrid w:val="0"/>
          <w:sz w:val="24"/>
          <w:szCs w:val="24"/>
          <w:lang w:val="es-ES_tradnl" w:eastAsia="es-ES"/>
        </w:rPr>
        <w:t>.</w:t>
      </w:r>
    </w:p>
    <w:p w14:paraId="45063B64" w14:textId="6B01B70C" w:rsidR="003A5F45" w:rsidRPr="000D499B" w:rsidRDefault="00A161CB" w:rsidP="003A5F45">
      <w:pPr>
        <w:widowControl w:val="0"/>
        <w:spacing w:after="0" w:line="-480" w:lineRule="auto"/>
        <w:jc w:val="both"/>
        <w:rPr>
          <w:rFonts w:ascii="Times New Roman" w:eastAsia="Times New Roman" w:hAnsi="Times New Roman" w:cs="Times New Roman"/>
          <w:snapToGrid w:val="0"/>
          <w:sz w:val="24"/>
          <w:szCs w:val="24"/>
          <w:lang w:val="es-ES_tradnl" w:eastAsia="es-ES"/>
        </w:rPr>
      </w:pPr>
      <w:r w:rsidRPr="000D499B">
        <w:rPr>
          <w:rFonts w:ascii="Times New Roman" w:eastAsia="Times New Roman" w:hAnsi="Times New Roman" w:cs="Times New Roman"/>
          <w:snapToGrid w:val="0"/>
          <w:sz w:val="24"/>
          <w:szCs w:val="24"/>
          <w:lang w:val="es-ES_tradnl" w:eastAsia="es-ES"/>
        </w:rPr>
        <w:lastRenderedPageBreak/>
        <w:t>Acto</w:t>
      </w:r>
      <w:r w:rsidR="003A5F45" w:rsidRPr="000D499B">
        <w:rPr>
          <w:rFonts w:ascii="Times New Roman" w:eastAsia="Times New Roman" w:hAnsi="Times New Roman" w:cs="Times New Roman"/>
          <w:snapToGrid w:val="0"/>
          <w:sz w:val="24"/>
          <w:szCs w:val="24"/>
          <w:lang w:val="es-ES_tradnl" w:eastAsia="es-ES"/>
        </w:rPr>
        <w:t xml:space="preserve"> seguido toma la palabra </w:t>
      </w:r>
      <w:r w:rsidRPr="000D499B">
        <w:rPr>
          <w:rFonts w:ascii="Times New Roman" w:eastAsia="Times New Roman" w:hAnsi="Times New Roman" w:cs="Times New Roman"/>
          <w:snapToGrid w:val="0"/>
          <w:sz w:val="24"/>
          <w:szCs w:val="24"/>
          <w:lang w:val="es-ES_tradnl" w:eastAsia="es-ES"/>
        </w:rPr>
        <w:t>Federico Fernando Guido Lucero Pavón</w:t>
      </w:r>
      <w:r w:rsidR="003A5F45" w:rsidRPr="000D499B">
        <w:rPr>
          <w:rFonts w:ascii="Times New Roman" w:eastAsia="Times New Roman" w:hAnsi="Times New Roman" w:cs="Times New Roman"/>
          <w:snapToGrid w:val="0"/>
          <w:sz w:val="24"/>
          <w:szCs w:val="24"/>
          <w:lang w:val="es-ES_tradnl" w:eastAsia="es-ES"/>
        </w:rPr>
        <w:t xml:space="preserve"> e informa: </w:t>
      </w:r>
    </w:p>
    <w:p w14:paraId="1B21385B" w14:textId="4E0379FF" w:rsidR="003A5F45" w:rsidRPr="000D499B" w:rsidRDefault="003A5F45" w:rsidP="003A5F45">
      <w:pPr>
        <w:widowControl w:val="0"/>
        <w:numPr>
          <w:ilvl w:val="0"/>
          <w:numId w:val="6"/>
        </w:numPr>
        <w:spacing w:after="0" w:line="-480" w:lineRule="auto"/>
        <w:jc w:val="both"/>
        <w:rPr>
          <w:rFonts w:ascii="Times New Roman" w:eastAsia="Times New Roman" w:hAnsi="Times New Roman" w:cs="Times New Roman"/>
          <w:bCs/>
          <w:snapToGrid w:val="0"/>
          <w:sz w:val="24"/>
          <w:szCs w:val="24"/>
          <w:lang w:val="es-ES_tradnl" w:eastAsia="es-ES"/>
        </w:rPr>
      </w:pPr>
      <w:r w:rsidRPr="000D499B">
        <w:rPr>
          <w:rFonts w:ascii="Times New Roman" w:eastAsia="Times New Roman" w:hAnsi="Times New Roman" w:cs="Times New Roman"/>
          <w:b/>
          <w:bCs/>
          <w:snapToGrid w:val="0"/>
          <w:sz w:val="24"/>
          <w:szCs w:val="24"/>
          <w:lang w:val="es-ES_tradnl" w:eastAsia="es-ES"/>
        </w:rPr>
        <w:t xml:space="preserve">Estados financieros correspondientes al período de </w:t>
      </w:r>
      <w:r w:rsidR="00EB4035" w:rsidRPr="000D499B">
        <w:rPr>
          <w:rFonts w:ascii="Times New Roman" w:eastAsia="Times New Roman" w:hAnsi="Times New Roman" w:cs="Times New Roman"/>
          <w:b/>
          <w:bCs/>
          <w:snapToGrid w:val="0"/>
          <w:sz w:val="24"/>
          <w:szCs w:val="24"/>
          <w:lang w:val="es-ES_tradnl" w:eastAsia="es-ES"/>
        </w:rPr>
        <w:t>seis</w:t>
      </w:r>
      <w:r w:rsidR="005A38A4" w:rsidRPr="000D499B">
        <w:rPr>
          <w:rFonts w:ascii="Times New Roman" w:eastAsia="Times New Roman" w:hAnsi="Times New Roman" w:cs="Times New Roman"/>
          <w:b/>
          <w:bCs/>
          <w:snapToGrid w:val="0"/>
          <w:sz w:val="24"/>
          <w:szCs w:val="24"/>
          <w:lang w:val="es-ES_tradnl" w:eastAsia="es-ES"/>
        </w:rPr>
        <w:t xml:space="preserve"> </w:t>
      </w:r>
      <w:r w:rsidRPr="000D499B">
        <w:rPr>
          <w:rFonts w:ascii="Times New Roman" w:eastAsia="Times New Roman" w:hAnsi="Times New Roman" w:cs="Times New Roman"/>
          <w:b/>
          <w:bCs/>
          <w:snapToGrid w:val="0"/>
          <w:sz w:val="24"/>
          <w:szCs w:val="24"/>
          <w:lang w:val="es-ES_tradnl" w:eastAsia="es-ES"/>
        </w:rPr>
        <w:t xml:space="preserve">meses finalizado el </w:t>
      </w:r>
      <w:r w:rsidR="007B66F7">
        <w:rPr>
          <w:rFonts w:ascii="Times New Roman" w:eastAsia="Times New Roman" w:hAnsi="Times New Roman" w:cs="Times New Roman"/>
          <w:b/>
          <w:bCs/>
          <w:snapToGrid w:val="0"/>
          <w:sz w:val="24"/>
          <w:szCs w:val="24"/>
          <w:lang w:val="es-ES_tradnl" w:eastAsia="es-ES"/>
        </w:rPr>
        <w:t>29</w:t>
      </w:r>
      <w:r w:rsidRPr="000D499B">
        <w:rPr>
          <w:rFonts w:ascii="Times New Roman" w:eastAsia="Times New Roman" w:hAnsi="Times New Roman" w:cs="Times New Roman"/>
          <w:b/>
          <w:bCs/>
          <w:snapToGrid w:val="0"/>
          <w:sz w:val="24"/>
          <w:szCs w:val="24"/>
          <w:lang w:val="es-ES_tradnl" w:eastAsia="es-ES"/>
        </w:rPr>
        <w:t xml:space="preserve"> de </w:t>
      </w:r>
      <w:r w:rsidR="007B66F7">
        <w:rPr>
          <w:rFonts w:ascii="Times New Roman" w:eastAsia="Times New Roman" w:hAnsi="Times New Roman" w:cs="Times New Roman"/>
          <w:b/>
          <w:bCs/>
          <w:snapToGrid w:val="0"/>
          <w:sz w:val="24"/>
          <w:szCs w:val="24"/>
          <w:lang w:val="es-ES_tradnl" w:eastAsia="es-ES"/>
        </w:rPr>
        <w:t>Febrero</w:t>
      </w:r>
      <w:r w:rsidRPr="000D499B">
        <w:rPr>
          <w:rFonts w:ascii="Times New Roman" w:eastAsia="Times New Roman" w:hAnsi="Times New Roman" w:cs="Times New Roman"/>
          <w:b/>
          <w:bCs/>
          <w:snapToGrid w:val="0"/>
          <w:sz w:val="24"/>
          <w:szCs w:val="24"/>
          <w:lang w:val="es-ES_tradnl" w:eastAsia="es-ES"/>
        </w:rPr>
        <w:t xml:space="preserve"> de </w:t>
      </w:r>
      <w:r w:rsidR="007B66F7">
        <w:rPr>
          <w:rFonts w:ascii="Times New Roman" w:eastAsia="Times New Roman" w:hAnsi="Times New Roman" w:cs="Times New Roman"/>
          <w:b/>
          <w:bCs/>
          <w:snapToGrid w:val="0"/>
          <w:sz w:val="24"/>
          <w:szCs w:val="24"/>
          <w:lang w:val="es-ES_tradnl" w:eastAsia="es-ES"/>
        </w:rPr>
        <w:t>2020</w:t>
      </w:r>
      <w:r w:rsidRPr="000D499B">
        <w:rPr>
          <w:rFonts w:ascii="Times New Roman" w:eastAsia="Times New Roman" w:hAnsi="Times New Roman" w:cs="Times New Roman"/>
          <w:b/>
          <w:snapToGrid w:val="0"/>
          <w:sz w:val="24"/>
          <w:szCs w:val="24"/>
          <w:lang w:eastAsia="es-ES"/>
        </w:rPr>
        <w:t>:</w:t>
      </w:r>
      <w:r w:rsidRPr="000D499B">
        <w:rPr>
          <w:rFonts w:ascii="Times New Roman" w:eastAsia="Times New Roman" w:hAnsi="Times New Roman" w:cs="Times New Roman"/>
          <w:snapToGrid w:val="0"/>
          <w:sz w:val="24"/>
          <w:szCs w:val="24"/>
          <w:lang w:eastAsia="es-ES"/>
        </w:rPr>
        <w:t xml:space="preserve"> </w:t>
      </w:r>
      <w:r w:rsidR="00A161CB" w:rsidRPr="000D499B">
        <w:rPr>
          <w:rFonts w:ascii="Times New Roman" w:eastAsia="Times New Roman" w:hAnsi="Times New Roman" w:cs="Times New Roman"/>
          <w:snapToGrid w:val="0"/>
          <w:sz w:val="24"/>
          <w:szCs w:val="24"/>
          <w:lang w:val="es-ES" w:eastAsia="es-ES"/>
        </w:rPr>
        <w:t>Federico Fernando Guido Lucero Pavón</w:t>
      </w:r>
      <w:r w:rsidRPr="000D499B">
        <w:rPr>
          <w:rFonts w:ascii="Times New Roman" w:eastAsia="Times New Roman" w:hAnsi="Times New Roman" w:cs="Times New Roman"/>
          <w:snapToGrid w:val="0"/>
          <w:sz w:val="24"/>
          <w:szCs w:val="24"/>
          <w:lang w:val="es-ES" w:eastAsia="es-ES"/>
        </w:rPr>
        <w:t xml:space="preserve"> informa a los presentes sobre los resultados del examen practicado. </w:t>
      </w:r>
      <w:r w:rsidRPr="000D499B">
        <w:rPr>
          <w:rFonts w:ascii="Times New Roman" w:eastAsia="Times New Roman" w:hAnsi="Times New Roman" w:cs="Times New Roman"/>
          <w:bCs/>
          <w:snapToGrid w:val="0"/>
          <w:sz w:val="24"/>
          <w:szCs w:val="24"/>
          <w:lang w:val="es-ES_tradnl" w:eastAsia="es-ES"/>
        </w:rPr>
        <w:t xml:space="preserve">Luego de una breve deliberación, que se produce una vez analizados los aspectos salientes de dicho examen, se resuelve en forma unánime emitir </w:t>
      </w:r>
      <w:r w:rsidR="00B657C3" w:rsidRPr="000D499B">
        <w:rPr>
          <w:rFonts w:ascii="Times New Roman" w:eastAsia="Times New Roman" w:hAnsi="Times New Roman" w:cs="Times New Roman"/>
          <w:bCs/>
          <w:snapToGrid w:val="0"/>
          <w:sz w:val="24"/>
          <w:szCs w:val="24"/>
          <w:lang w:val="es-ES_tradnl" w:eastAsia="es-ES"/>
        </w:rPr>
        <w:t>el</w:t>
      </w:r>
      <w:r w:rsidRPr="000D499B">
        <w:rPr>
          <w:rFonts w:ascii="Times New Roman" w:eastAsia="Times New Roman" w:hAnsi="Times New Roman" w:cs="Times New Roman"/>
          <w:bCs/>
          <w:snapToGrid w:val="0"/>
          <w:sz w:val="24"/>
          <w:szCs w:val="24"/>
          <w:lang w:val="es-ES_tradnl" w:eastAsia="es-ES"/>
        </w:rPr>
        <w:t xml:space="preserve"> siguiente informe:</w:t>
      </w:r>
    </w:p>
    <w:p w14:paraId="19D48D2E" w14:textId="5D466248" w:rsidR="000D499B" w:rsidRPr="000D499B" w:rsidRDefault="000D499B" w:rsidP="000D499B">
      <w:pPr>
        <w:pStyle w:val="Default"/>
        <w:jc w:val="center"/>
        <w:rPr>
          <w:rFonts w:ascii="Verdana" w:hAnsi="Verdana"/>
          <w:b/>
          <w:sz w:val="16"/>
          <w:szCs w:val="16"/>
        </w:rPr>
      </w:pPr>
    </w:p>
    <w:p w14:paraId="703544A9" w14:textId="77777777" w:rsidR="000D499B" w:rsidRPr="000D499B" w:rsidRDefault="000D499B" w:rsidP="000D499B">
      <w:pPr>
        <w:pStyle w:val="Default"/>
        <w:jc w:val="center"/>
        <w:rPr>
          <w:rFonts w:ascii="Verdana" w:hAnsi="Verdana"/>
          <w:b/>
          <w:sz w:val="16"/>
          <w:szCs w:val="16"/>
        </w:rPr>
      </w:pPr>
    </w:p>
    <w:p w14:paraId="0A38EAF7" w14:textId="77777777" w:rsidR="000D499B" w:rsidRPr="000D499B" w:rsidRDefault="000D499B" w:rsidP="000D499B">
      <w:pPr>
        <w:tabs>
          <w:tab w:val="left" w:pos="-720"/>
        </w:tabs>
        <w:suppressAutoHyphens/>
        <w:ind w:right="760"/>
        <w:jc w:val="both"/>
        <w:rPr>
          <w:rFonts w:ascii="Verdana" w:eastAsia="Calibri" w:hAnsi="Verdana"/>
          <w:b/>
          <w:sz w:val="16"/>
          <w:szCs w:val="16"/>
        </w:rPr>
      </w:pPr>
      <w:r w:rsidRPr="000D499B">
        <w:rPr>
          <w:rFonts w:ascii="Verdana" w:eastAsia="Calibri" w:hAnsi="Verdana"/>
          <w:b/>
          <w:sz w:val="16"/>
          <w:szCs w:val="16"/>
        </w:rPr>
        <w:t xml:space="preserve">1) </w:t>
      </w:r>
      <w:r w:rsidRPr="000D499B">
        <w:rPr>
          <w:rFonts w:ascii="Verdana" w:eastAsia="Calibri" w:hAnsi="Verdana"/>
          <w:b/>
          <w:sz w:val="16"/>
          <w:szCs w:val="16"/>
          <w:u w:val="single"/>
        </w:rPr>
        <w:t>DOCUMENTOS OBJETOS DEL INFORME</w:t>
      </w:r>
    </w:p>
    <w:p w14:paraId="449AC39F" w14:textId="54201193" w:rsidR="000D499B" w:rsidRPr="000D499B" w:rsidRDefault="000D499B" w:rsidP="000D499B">
      <w:pPr>
        <w:numPr>
          <w:ilvl w:val="1"/>
          <w:numId w:val="9"/>
        </w:numPr>
        <w:ind w:left="357" w:hanging="357"/>
        <w:contextualSpacing/>
        <w:jc w:val="both"/>
        <w:rPr>
          <w:rFonts w:ascii="Verdana" w:eastAsia="Calibri" w:hAnsi="Verdana"/>
          <w:sz w:val="16"/>
          <w:szCs w:val="16"/>
        </w:rPr>
      </w:pPr>
      <w:r w:rsidRPr="000D499B">
        <w:rPr>
          <w:rFonts w:ascii="Verdana" w:eastAsia="Calibri" w:hAnsi="Verdana"/>
          <w:sz w:val="16"/>
          <w:szCs w:val="16"/>
        </w:rPr>
        <w:t xml:space="preserve">Estado de situación financiera intermedio condensado al </w:t>
      </w:r>
      <w:r w:rsidR="007B66F7">
        <w:rPr>
          <w:rFonts w:ascii="Verdana" w:eastAsia="Calibri" w:hAnsi="Verdana"/>
          <w:sz w:val="16"/>
          <w:szCs w:val="16"/>
        </w:rPr>
        <w:t>29</w:t>
      </w:r>
      <w:r w:rsidRPr="000D499B">
        <w:rPr>
          <w:rFonts w:ascii="Verdana" w:eastAsia="Calibri" w:hAnsi="Verdana"/>
          <w:sz w:val="16"/>
          <w:szCs w:val="16"/>
        </w:rPr>
        <w:t xml:space="preserve"> de </w:t>
      </w:r>
      <w:r w:rsidR="007B66F7">
        <w:rPr>
          <w:rFonts w:ascii="Verdana" w:eastAsia="Calibri" w:hAnsi="Verdana"/>
          <w:sz w:val="16"/>
          <w:szCs w:val="16"/>
        </w:rPr>
        <w:t>febrero</w:t>
      </w:r>
      <w:r w:rsidRPr="000D499B">
        <w:rPr>
          <w:rFonts w:ascii="Verdana" w:eastAsia="Calibri" w:hAnsi="Verdana"/>
          <w:sz w:val="16"/>
          <w:szCs w:val="16"/>
        </w:rPr>
        <w:t xml:space="preserve"> de </w:t>
      </w:r>
      <w:r w:rsidR="007B66F7">
        <w:rPr>
          <w:rFonts w:ascii="Verdana" w:eastAsia="Calibri" w:hAnsi="Verdana"/>
          <w:sz w:val="16"/>
          <w:szCs w:val="16"/>
        </w:rPr>
        <w:t>2020</w:t>
      </w:r>
      <w:r w:rsidRPr="000D499B">
        <w:rPr>
          <w:rFonts w:ascii="Verdana" w:eastAsia="Calibri" w:hAnsi="Verdana"/>
          <w:sz w:val="16"/>
          <w:szCs w:val="16"/>
        </w:rPr>
        <w:t>.</w:t>
      </w:r>
    </w:p>
    <w:p w14:paraId="004F85F4" w14:textId="0D0D5042" w:rsidR="000D499B" w:rsidRPr="000D499B" w:rsidRDefault="000D499B" w:rsidP="000D499B">
      <w:pPr>
        <w:numPr>
          <w:ilvl w:val="1"/>
          <w:numId w:val="9"/>
        </w:numPr>
        <w:ind w:left="357" w:hanging="357"/>
        <w:contextualSpacing/>
        <w:jc w:val="both"/>
        <w:rPr>
          <w:rFonts w:ascii="Verdana" w:eastAsia="Calibri" w:hAnsi="Verdana"/>
          <w:sz w:val="16"/>
          <w:szCs w:val="16"/>
        </w:rPr>
      </w:pPr>
      <w:r w:rsidRPr="000D499B">
        <w:rPr>
          <w:rFonts w:ascii="Verdana" w:eastAsia="Calibri" w:hAnsi="Verdana"/>
          <w:spacing w:val="-3"/>
          <w:sz w:val="16"/>
          <w:szCs w:val="16"/>
        </w:rPr>
        <w:t xml:space="preserve">Estado de resultados integrales intermedios condensados por el período de seis meses finalizado el </w:t>
      </w:r>
      <w:r w:rsidR="007B66F7">
        <w:rPr>
          <w:rFonts w:ascii="Verdana" w:eastAsia="Calibri" w:hAnsi="Verdana"/>
          <w:spacing w:val="-3"/>
          <w:sz w:val="16"/>
          <w:szCs w:val="16"/>
        </w:rPr>
        <w:t>29</w:t>
      </w:r>
      <w:r w:rsidRPr="000D499B">
        <w:rPr>
          <w:rFonts w:ascii="Verdana" w:eastAsia="Calibri" w:hAnsi="Verdana"/>
          <w:spacing w:val="-3"/>
          <w:sz w:val="16"/>
          <w:szCs w:val="16"/>
        </w:rPr>
        <w:t xml:space="preserve"> de </w:t>
      </w:r>
      <w:r w:rsidR="007B66F7">
        <w:rPr>
          <w:rFonts w:ascii="Verdana" w:eastAsia="Calibri" w:hAnsi="Verdana"/>
          <w:spacing w:val="-3"/>
          <w:sz w:val="16"/>
          <w:szCs w:val="16"/>
        </w:rPr>
        <w:t>febrero</w:t>
      </w:r>
      <w:r w:rsidRPr="000D499B">
        <w:rPr>
          <w:rFonts w:ascii="Verdana" w:eastAsia="Calibri" w:hAnsi="Verdana"/>
          <w:spacing w:val="-3"/>
          <w:sz w:val="16"/>
          <w:szCs w:val="16"/>
        </w:rPr>
        <w:t xml:space="preserve"> de </w:t>
      </w:r>
      <w:r w:rsidR="007B66F7">
        <w:rPr>
          <w:rFonts w:ascii="Verdana" w:eastAsia="Calibri" w:hAnsi="Verdana"/>
          <w:spacing w:val="-3"/>
          <w:sz w:val="16"/>
          <w:szCs w:val="16"/>
        </w:rPr>
        <w:t>2020</w:t>
      </w:r>
      <w:r w:rsidRPr="000D499B">
        <w:rPr>
          <w:rFonts w:ascii="Verdana" w:eastAsia="Calibri" w:hAnsi="Verdana"/>
          <w:spacing w:val="-3"/>
          <w:sz w:val="16"/>
          <w:szCs w:val="16"/>
        </w:rPr>
        <w:t>.</w:t>
      </w:r>
    </w:p>
    <w:p w14:paraId="05D2974B" w14:textId="126E85BA" w:rsidR="000D499B" w:rsidRPr="000D499B" w:rsidRDefault="000D499B" w:rsidP="000D499B">
      <w:pPr>
        <w:numPr>
          <w:ilvl w:val="1"/>
          <w:numId w:val="9"/>
        </w:numPr>
        <w:ind w:left="357" w:hanging="357"/>
        <w:contextualSpacing/>
        <w:jc w:val="both"/>
        <w:rPr>
          <w:rFonts w:ascii="Verdana" w:eastAsia="Calibri" w:hAnsi="Verdana"/>
          <w:sz w:val="16"/>
          <w:szCs w:val="16"/>
        </w:rPr>
      </w:pPr>
      <w:r w:rsidRPr="000D499B">
        <w:rPr>
          <w:rFonts w:ascii="Verdana" w:eastAsia="Calibri" w:hAnsi="Verdana"/>
          <w:spacing w:val="-3"/>
          <w:sz w:val="16"/>
          <w:szCs w:val="16"/>
        </w:rPr>
        <w:t xml:space="preserve">Estado de cambios en el patrimonio intermedio condensado por el período de seis meses finalizado el </w:t>
      </w:r>
      <w:r w:rsidR="007B66F7">
        <w:rPr>
          <w:rFonts w:ascii="Verdana" w:eastAsia="Calibri" w:hAnsi="Verdana"/>
          <w:spacing w:val="-3"/>
          <w:sz w:val="16"/>
          <w:szCs w:val="16"/>
        </w:rPr>
        <w:t>29</w:t>
      </w:r>
      <w:r w:rsidRPr="000D499B">
        <w:rPr>
          <w:rFonts w:ascii="Verdana" w:eastAsia="Calibri" w:hAnsi="Verdana"/>
          <w:spacing w:val="-3"/>
          <w:sz w:val="16"/>
          <w:szCs w:val="16"/>
        </w:rPr>
        <w:t xml:space="preserve"> de </w:t>
      </w:r>
      <w:r w:rsidR="007B66F7">
        <w:rPr>
          <w:rFonts w:ascii="Verdana" w:eastAsia="Calibri" w:hAnsi="Verdana"/>
          <w:spacing w:val="-3"/>
          <w:sz w:val="16"/>
          <w:szCs w:val="16"/>
        </w:rPr>
        <w:t>febrero</w:t>
      </w:r>
      <w:r w:rsidRPr="000D499B">
        <w:rPr>
          <w:rFonts w:ascii="Verdana" w:eastAsia="Calibri" w:hAnsi="Verdana"/>
          <w:spacing w:val="-3"/>
          <w:sz w:val="16"/>
          <w:szCs w:val="16"/>
        </w:rPr>
        <w:t xml:space="preserve"> de </w:t>
      </w:r>
      <w:r w:rsidR="007B66F7">
        <w:rPr>
          <w:rFonts w:ascii="Verdana" w:eastAsia="Calibri" w:hAnsi="Verdana"/>
          <w:spacing w:val="-3"/>
          <w:sz w:val="16"/>
          <w:szCs w:val="16"/>
        </w:rPr>
        <w:t>2020</w:t>
      </w:r>
      <w:r w:rsidRPr="000D499B">
        <w:rPr>
          <w:rFonts w:ascii="Verdana" w:eastAsia="Calibri" w:hAnsi="Verdana"/>
          <w:spacing w:val="-3"/>
          <w:sz w:val="16"/>
          <w:szCs w:val="16"/>
        </w:rPr>
        <w:t>.</w:t>
      </w:r>
    </w:p>
    <w:p w14:paraId="7B02CDD1" w14:textId="4B6FE834" w:rsidR="000D499B" w:rsidRPr="000D499B" w:rsidRDefault="000D499B" w:rsidP="000D499B">
      <w:pPr>
        <w:numPr>
          <w:ilvl w:val="1"/>
          <w:numId w:val="9"/>
        </w:numPr>
        <w:ind w:left="357" w:hanging="357"/>
        <w:contextualSpacing/>
        <w:jc w:val="both"/>
        <w:rPr>
          <w:rFonts w:ascii="Verdana" w:eastAsia="Calibri" w:hAnsi="Verdana"/>
          <w:sz w:val="16"/>
          <w:szCs w:val="16"/>
        </w:rPr>
      </w:pPr>
      <w:r w:rsidRPr="000D499B">
        <w:rPr>
          <w:rFonts w:ascii="Verdana" w:eastAsia="Calibri" w:hAnsi="Verdana"/>
          <w:spacing w:val="-3"/>
          <w:sz w:val="16"/>
          <w:szCs w:val="16"/>
        </w:rPr>
        <w:t xml:space="preserve">Estado de flujos de efectivo intermedio condensado por el período de seis meses finalizado el </w:t>
      </w:r>
      <w:r w:rsidR="007B66F7">
        <w:rPr>
          <w:rFonts w:ascii="Verdana" w:eastAsia="Calibri" w:hAnsi="Verdana"/>
          <w:spacing w:val="-3"/>
          <w:sz w:val="16"/>
          <w:szCs w:val="16"/>
        </w:rPr>
        <w:t>29</w:t>
      </w:r>
      <w:r w:rsidRPr="000D499B">
        <w:rPr>
          <w:rFonts w:ascii="Verdana" w:eastAsia="Calibri" w:hAnsi="Verdana"/>
          <w:spacing w:val="-3"/>
          <w:sz w:val="16"/>
          <w:szCs w:val="16"/>
        </w:rPr>
        <w:t xml:space="preserve"> de </w:t>
      </w:r>
      <w:r w:rsidR="007B66F7">
        <w:rPr>
          <w:rFonts w:ascii="Verdana" w:eastAsia="Calibri" w:hAnsi="Verdana"/>
          <w:spacing w:val="-3"/>
          <w:sz w:val="16"/>
          <w:szCs w:val="16"/>
        </w:rPr>
        <w:t>febrero</w:t>
      </w:r>
      <w:r w:rsidRPr="000D499B">
        <w:rPr>
          <w:rFonts w:ascii="Verdana" w:eastAsia="Calibri" w:hAnsi="Verdana"/>
          <w:spacing w:val="-3"/>
          <w:sz w:val="16"/>
          <w:szCs w:val="16"/>
        </w:rPr>
        <w:t xml:space="preserve"> de </w:t>
      </w:r>
      <w:r w:rsidR="007B66F7">
        <w:rPr>
          <w:rFonts w:ascii="Verdana" w:eastAsia="Calibri" w:hAnsi="Verdana"/>
          <w:spacing w:val="-3"/>
          <w:sz w:val="16"/>
          <w:szCs w:val="16"/>
        </w:rPr>
        <w:t>2020</w:t>
      </w:r>
      <w:r w:rsidRPr="000D499B">
        <w:rPr>
          <w:rFonts w:ascii="Verdana" w:eastAsia="Calibri" w:hAnsi="Verdana"/>
          <w:spacing w:val="-3"/>
          <w:sz w:val="16"/>
          <w:szCs w:val="16"/>
        </w:rPr>
        <w:t xml:space="preserve">. </w:t>
      </w:r>
    </w:p>
    <w:p w14:paraId="359ED4A2" w14:textId="7222DF3E" w:rsidR="000D499B" w:rsidRPr="000D499B" w:rsidRDefault="000D499B" w:rsidP="000D499B">
      <w:pPr>
        <w:numPr>
          <w:ilvl w:val="1"/>
          <w:numId w:val="9"/>
        </w:numPr>
        <w:ind w:left="357" w:hanging="357"/>
        <w:contextualSpacing/>
        <w:jc w:val="both"/>
        <w:rPr>
          <w:rFonts w:ascii="Verdana" w:eastAsia="Calibri" w:hAnsi="Verdana"/>
          <w:sz w:val="16"/>
          <w:szCs w:val="16"/>
        </w:rPr>
      </w:pPr>
      <w:r w:rsidRPr="000D499B">
        <w:rPr>
          <w:rFonts w:ascii="Verdana" w:eastAsia="Calibri" w:hAnsi="Verdana"/>
          <w:sz w:val="16"/>
          <w:szCs w:val="16"/>
        </w:rPr>
        <w:t xml:space="preserve">Notas 1 a 28 correspondientes a los estados financieros intermedios condensados por el período de seis meses terminado el </w:t>
      </w:r>
      <w:r w:rsidR="007B66F7">
        <w:rPr>
          <w:rFonts w:ascii="Verdana" w:eastAsia="Calibri" w:hAnsi="Verdana"/>
          <w:sz w:val="16"/>
          <w:szCs w:val="16"/>
        </w:rPr>
        <w:t>29</w:t>
      </w:r>
      <w:r w:rsidRPr="000D499B">
        <w:rPr>
          <w:rFonts w:ascii="Verdana" w:eastAsia="Calibri" w:hAnsi="Verdana"/>
          <w:sz w:val="16"/>
          <w:szCs w:val="16"/>
        </w:rPr>
        <w:t xml:space="preserve"> de </w:t>
      </w:r>
      <w:r w:rsidR="007B66F7">
        <w:rPr>
          <w:rFonts w:ascii="Verdana" w:eastAsia="Calibri" w:hAnsi="Verdana"/>
          <w:sz w:val="16"/>
          <w:szCs w:val="16"/>
        </w:rPr>
        <w:t>febrero</w:t>
      </w:r>
      <w:r w:rsidRPr="000D499B">
        <w:rPr>
          <w:rFonts w:ascii="Verdana" w:eastAsia="Calibri" w:hAnsi="Verdana"/>
          <w:sz w:val="16"/>
          <w:szCs w:val="16"/>
        </w:rPr>
        <w:t xml:space="preserve"> de </w:t>
      </w:r>
      <w:r w:rsidR="007B66F7">
        <w:rPr>
          <w:rFonts w:ascii="Verdana" w:eastAsia="Calibri" w:hAnsi="Verdana"/>
          <w:sz w:val="16"/>
          <w:szCs w:val="16"/>
        </w:rPr>
        <w:t>2020</w:t>
      </w:r>
      <w:r w:rsidRPr="000D499B">
        <w:rPr>
          <w:rFonts w:ascii="Verdana" w:eastAsia="Calibri" w:hAnsi="Verdana"/>
          <w:sz w:val="16"/>
          <w:szCs w:val="16"/>
        </w:rPr>
        <w:t>.</w:t>
      </w:r>
    </w:p>
    <w:p w14:paraId="2950085F" w14:textId="7C47C113" w:rsidR="000D499B" w:rsidRPr="000D499B" w:rsidRDefault="000D499B" w:rsidP="000D499B">
      <w:pPr>
        <w:numPr>
          <w:ilvl w:val="1"/>
          <w:numId w:val="9"/>
        </w:numPr>
        <w:ind w:left="357" w:hanging="357"/>
        <w:contextualSpacing/>
        <w:jc w:val="both"/>
        <w:rPr>
          <w:rFonts w:ascii="Verdana" w:eastAsia="Calibri" w:hAnsi="Verdana"/>
          <w:sz w:val="16"/>
          <w:szCs w:val="16"/>
        </w:rPr>
      </w:pPr>
      <w:r w:rsidRPr="000D499B">
        <w:rPr>
          <w:rFonts w:ascii="Verdana" w:eastAsia="Calibri" w:hAnsi="Verdana"/>
          <w:sz w:val="16"/>
          <w:szCs w:val="16"/>
        </w:rPr>
        <w:t xml:space="preserve">Información adicional a las notas a los estados financieros intermedios al </w:t>
      </w:r>
      <w:r w:rsidR="007B66F7">
        <w:rPr>
          <w:rFonts w:ascii="Verdana" w:eastAsia="Calibri" w:hAnsi="Verdana"/>
          <w:sz w:val="16"/>
          <w:szCs w:val="16"/>
        </w:rPr>
        <w:t>29</w:t>
      </w:r>
      <w:r w:rsidRPr="000D499B">
        <w:rPr>
          <w:rFonts w:ascii="Verdana" w:eastAsia="Calibri" w:hAnsi="Verdana"/>
          <w:sz w:val="16"/>
          <w:szCs w:val="16"/>
        </w:rPr>
        <w:t xml:space="preserve"> de </w:t>
      </w:r>
      <w:r w:rsidR="007B66F7">
        <w:rPr>
          <w:rFonts w:ascii="Verdana" w:eastAsia="Calibri" w:hAnsi="Verdana"/>
          <w:sz w:val="16"/>
          <w:szCs w:val="16"/>
        </w:rPr>
        <w:t>febrero</w:t>
      </w:r>
      <w:r w:rsidRPr="000D499B">
        <w:rPr>
          <w:rFonts w:ascii="Verdana" w:eastAsia="Calibri" w:hAnsi="Verdana"/>
          <w:sz w:val="16"/>
          <w:szCs w:val="16"/>
        </w:rPr>
        <w:t xml:space="preserve"> de </w:t>
      </w:r>
      <w:r w:rsidR="007B66F7">
        <w:rPr>
          <w:rFonts w:ascii="Verdana" w:eastAsia="Calibri" w:hAnsi="Verdana"/>
          <w:sz w:val="16"/>
          <w:szCs w:val="16"/>
        </w:rPr>
        <w:t>2020</w:t>
      </w:r>
      <w:r w:rsidRPr="000D499B">
        <w:rPr>
          <w:rFonts w:ascii="Verdana" w:eastAsia="Calibri" w:hAnsi="Verdana"/>
          <w:sz w:val="16"/>
          <w:szCs w:val="16"/>
        </w:rPr>
        <w:t xml:space="preserve">, requerida por el artículo 68 del Reglamento de la Bolsa de Comercio de Buenos Aires y por </w:t>
      </w:r>
      <w:r w:rsidRPr="000D499B">
        <w:rPr>
          <w:rFonts w:ascii="Verdana" w:eastAsia="Calibri" w:hAnsi="Verdana"/>
          <w:bCs/>
          <w:sz w:val="16"/>
          <w:szCs w:val="16"/>
        </w:rPr>
        <w:t>el artículo 12 del Capítulo III, Título IV de las Normas de la Comisión Nacional de Valores (N.T. 2013)</w:t>
      </w:r>
      <w:r w:rsidRPr="000D499B">
        <w:rPr>
          <w:rFonts w:ascii="Verdana" w:eastAsia="Calibri" w:hAnsi="Verdana"/>
          <w:sz w:val="16"/>
          <w:szCs w:val="16"/>
        </w:rPr>
        <w:t>.</w:t>
      </w:r>
    </w:p>
    <w:p w14:paraId="7E5DDCDB" w14:textId="574C5696" w:rsidR="000D499B" w:rsidRPr="000D499B" w:rsidRDefault="000D499B" w:rsidP="000D499B">
      <w:pPr>
        <w:numPr>
          <w:ilvl w:val="1"/>
          <w:numId w:val="9"/>
        </w:numPr>
        <w:ind w:left="357" w:hanging="357"/>
        <w:contextualSpacing/>
        <w:jc w:val="both"/>
        <w:rPr>
          <w:rFonts w:ascii="Verdana" w:eastAsia="Calibri" w:hAnsi="Verdana"/>
          <w:sz w:val="16"/>
          <w:szCs w:val="16"/>
        </w:rPr>
      </w:pPr>
      <w:r w:rsidRPr="000D499B">
        <w:rPr>
          <w:rFonts w:ascii="Verdana" w:eastAsia="Calibri" w:hAnsi="Verdana"/>
          <w:sz w:val="16"/>
          <w:szCs w:val="16"/>
        </w:rPr>
        <w:t xml:space="preserve">Reseña informativa consolidada, establecida por la Resolución General N° 368/01 y modificatorias de la Comisión Nacional de Valores, por el período de seis meses terminado el </w:t>
      </w:r>
      <w:r w:rsidR="007B66F7">
        <w:rPr>
          <w:rFonts w:ascii="Verdana" w:eastAsia="Calibri" w:hAnsi="Verdana"/>
          <w:sz w:val="16"/>
          <w:szCs w:val="16"/>
        </w:rPr>
        <w:t>29</w:t>
      </w:r>
      <w:r w:rsidRPr="000D499B">
        <w:rPr>
          <w:rFonts w:ascii="Verdana" w:eastAsia="Calibri" w:hAnsi="Verdana"/>
          <w:sz w:val="16"/>
          <w:szCs w:val="16"/>
        </w:rPr>
        <w:t xml:space="preserve"> de </w:t>
      </w:r>
      <w:r w:rsidR="007B66F7">
        <w:rPr>
          <w:rFonts w:ascii="Verdana" w:eastAsia="Calibri" w:hAnsi="Verdana"/>
          <w:sz w:val="16"/>
          <w:szCs w:val="16"/>
        </w:rPr>
        <w:t>febrero</w:t>
      </w:r>
      <w:r w:rsidRPr="000D499B">
        <w:rPr>
          <w:rFonts w:ascii="Verdana" w:eastAsia="Calibri" w:hAnsi="Verdana"/>
          <w:sz w:val="16"/>
          <w:szCs w:val="16"/>
        </w:rPr>
        <w:t xml:space="preserve"> de </w:t>
      </w:r>
      <w:r w:rsidR="007B66F7">
        <w:rPr>
          <w:rFonts w:ascii="Verdana" w:eastAsia="Calibri" w:hAnsi="Verdana"/>
          <w:sz w:val="16"/>
          <w:szCs w:val="16"/>
        </w:rPr>
        <w:t>2020</w:t>
      </w:r>
      <w:r w:rsidRPr="000D499B">
        <w:rPr>
          <w:rFonts w:ascii="Verdana" w:eastAsia="Calibri" w:hAnsi="Verdana"/>
          <w:sz w:val="16"/>
          <w:szCs w:val="16"/>
        </w:rPr>
        <w:t>.</w:t>
      </w:r>
    </w:p>
    <w:p w14:paraId="71EEAE2C" w14:textId="77777777" w:rsidR="000D499B" w:rsidRPr="000D499B" w:rsidRDefault="000D499B" w:rsidP="000D499B">
      <w:pPr>
        <w:jc w:val="both"/>
        <w:rPr>
          <w:rFonts w:ascii="Verdana" w:eastAsia="Calibri" w:hAnsi="Verdana"/>
          <w:sz w:val="16"/>
          <w:szCs w:val="16"/>
        </w:rPr>
      </w:pPr>
    </w:p>
    <w:p w14:paraId="6C9CCE7C" w14:textId="46C32DD1" w:rsidR="000D499B" w:rsidRPr="000D499B" w:rsidRDefault="000D499B" w:rsidP="000D499B">
      <w:pPr>
        <w:jc w:val="both"/>
        <w:rPr>
          <w:rFonts w:ascii="Verdana" w:eastAsia="Calibri" w:hAnsi="Verdana"/>
          <w:sz w:val="16"/>
          <w:szCs w:val="16"/>
        </w:rPr>
      </w:pPr>
      <w:r w:rsidRPr="000D499B">
        <w:rPr>
          <w:rFonts w:ascii="Verdana" w:eastAsia="Calibri" w:hAnsi="Verdana"/>
          <w:sz w:val="16"/>
          <w:szCs w:val="16"/>
        </w:rPr>
        <w:t xml:space="preserve">Las cifras y otra información correspondientes al estado de situación financiera al </w:t>
      </w:r>
      <w:r w:rsidR="007B66F7">
        <w:rPr>
          <w:rFonts w:ascii="Verdana" w:eastAsia="Calibri" w:hAnsi="Verdana"/>
          <w:sz w:val="16"/>
          <w:szCs w:val="16"/>
        </w:rPr>
        <w:t>29</w:t>
      </w:r>
      <w:r w:rsidRPr="000D499B">
        <w:rPr>
          <w:rFonts w:ascii="Verdana" w:eastAsia="Calibri" w:hAnsi="Verdana"/>
          <w:sz w:val="16"/>
          <w:szCs w:val="16"/>
        </w:rPr>
        <w:t xml:space="preserve"> de </w:t>
      </w:r>
      <w:r w:rsidR="007B66F7">
        <w:rPr>
          <w:rFonts w:ascii="Verdana" w:eastAsia="Calibri" w:hAnsi="Verdana"/>
          <w:sz w:val="16"/>
          <w:szCs w:val="16"/>
        </w:rPr>
        <w:t>febrero</w:t>
      </w:r>
      <w:r w:rsidRPr="000D499B">
        <w:rPr>
          <w:rFonts w:ascii="Verdana" w:eastAsia="Calibri" w:hAnsi="Verdana"/>
          <w:sz w:val="16"/>
          <w:szCs w:val="16"/>
        </w:rPr>
        <w:t xml:space="preserve"> de </w:t>
      </w:r>
      <w:r w:rsidR="007B66F7">
        <w:rPr>
          <w:rFonts w:ascii="Verdana" w:eastAsia="Calibri" w:hAnsi="Verdana"/>
          <w:sz w:val="16"/>
          <w:szCs w:val="16"/>
        </w:rPr>
        <w:t>2020</w:t>
      </w:r>
      <w:r w:rsidRPr="000D499B">
        <w:rPr>
          <w:rFonts w:ascii="Verdana" w:eastAsia="Calibri" w:hAnsi="Verdana"/>
          <w:sz w:val="16"/>
          <w:szCs w:val="16"/>
        </w:rPr>
        <w:t xml:space="preserve"> son parte integrante de los estados financieros intermedios mencionados precedentemente y se las presenta con el propósito de que se interpreten exclusivamente en relación con las cifras y otra información del período intermedio actual.</w:t>
      </w:r>
    </w:p>
    <w:p w14:paraId="56AA58AA" w14:textId="77777777" w:rsidR="000D499B" w:rsidRPr="000D499B" w:rsidRDefault="000D499B" w:rsidP="000D499B">
      <w:pPr>
        <w:ind w:left="720"/>
        <w:jc w:val="both"/>
        <w:rPr>
          <w:rFonts w:ascii="Verdana" w:eastAsia="Calibri" w:hAnsi="Verdana"/>
          <w:spacing w:val="-3"/>
          <w:sz w:val="16"/>
          <w:szCs w:val="16"/>
        </w:rPr>
      </w:pPr>
    </w:p>
    <w:p w14:paraId="60186811" w14:textId="77777777" w:rsidR="000D499B" w:rsidRPr="000D499B" w:rsidRDefault="000D499B" w:rsidP="000D499B">
      <w:pPr>
        <w:tabs>
          <w:tab w:val="left" w:pos="-720"/>
        </w:tabs>
        <w:suppressAutoHyphens/>
        <w:ind w:right="760"/>
        <w:jc w:val="both"/>
        <w:rPr>
          <w:rFonts w:ascii="Verdana" w:eastAsia="Calibri" w:hAnsi="Verdana"/>
          <w:b/>
          <w:sz w:val="16"/>
          <w:szCs w:val="16"/>
        </w:rPr>
      </w:pPr>
      <w:r w:rsidRPr="000D499B">
        <w:rPr>
          <w:rFonts w:ascii="Verdana" w:eastAsia="Calibri" w:hAnsi="Verdana"/>
          <w:b/>
          <w:sz w:val="16"/>
          <w:szCs w:val="16"/>
        </w:rPr>
        <w:t xml:space="preserve">2) </w:t>
      </w:r>
      <w:r w:rsidRPr="000D499B">
        <w:rPr>
          <w:rFonts w:ascii="Verdana" w:eastAsia="Calibri" w:hAnsi="Verdana"/>
          <w:b/>
          <w:sz w:val="16"/>
          <w:szCs w:val="16"/>
          <w:u w:val="single"/>
        </w:rPr>
        <w:t>RESPONSABILIDAD DEL DIRECTORIO DE LA SOCIEDAD EN RELACIÓN CON LOS ESTADOS FINANCIEROS INTERMEDIOS CONDENSADOS</w:t>
      </w:r>
    </w:p>
    <w:p w14:paraId="235D4D1D" w14:textId="77777777" w:rsidR="000D499B" w:rsidRPr="000D499B" w:rsidRDefault="000D499B" w:rsidP="000D499B">
      <w:pPr>
        <w:jc w:val="both"/>
        <w:rPr>
          <w:rFonts w:ascii="Verdana" w:eastAsia="Calibri" w:hAnsi="Verdana"/>
          <w:sz w:val="16"/>
          <w:szCs w:val="16"/>
        </w:rPr>
      </w:pPr>
    </w:p>
    <w:p w14:paraId="4D640B74" w14:textId="77777777" w:rsidR="000D499B" w:rsidRPr="000D499B" w:rsidRDefault="000D499B" w:rsidP="000D499B">
      <w:pPr>
        <w:tabs>
          <w:tab w:val="left" w:pos="-720"/>
        </w:tabs>
        <w:suppressAutoHyphens/>
        <w:ind w:right="-1"/>
        <w:jc w:val="both"/>
        <w:rPr>
          <w:rFonts w:ascii="Verdana" w:eastAsia="Calibri" w:hAnsi="Verdana"/>
          <w:sz w:val="16"/>
          <w:szCs w:val="16"/>
        </w:rPr>
      </w:pPr>
      <w:r w:rsidRPr="000D499B">
        <w:rPr>
          <w:rFonts w:ascii="Verdana" w:eastAsia="Calibri" w:hAnsi="Verdana"/>
          <w:sz w:val="16"/>
          <w:szCs w:val="16"/>
        </w:rPr>
        <w:t xml:space="preserve">El Directorio de la Sociedad es responsable de la preparación y presentación razonable de los estados financieros intermedios condensados de la Sociedad de acuerdo con las Normas Internacionales de Información Financiera adoptadas por la Federación Argentina de Consejos Profesionales de Ciencias Económicas 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 Asimismo, el Directorio de la Sociedad es responsable del control interno que considere necesario para permitir la preparación de estados financieros libres de incorrecciones significativas. </w:t>
      </w:r>
    </w:p>
    <w:p w14:paraId="12184AA5" w14:textId="77777777" w:rsidR="000D499B" w:rsidRPr="000D499B" w:rsidRDefault="000D499B" w:rsidP="000D499B">
      <w:pPr>
        <w:tabs>
          <w:tab w:val="left" w:pos="-720"/>
        </w:tabs>
        <w:suppressAutoHyphens/>
        <w:ind w:right="760"/>
        <w:jc w:val="both"/>
        <w:rPr>
          <w:rFonts w:ascii="Verdana" w:eastAsia="Calibri" w:hAnsi="Verdana"/>
          <w:b/>
          <w:sz w:val="16"/>
          <w:szCs w:val="16"/>
        </w:rPr>
      </w:pPr>
    </w:p>
    <w:p w14:paraId="48F445D3" w14:textId="77777777" w:rsidR="000D499B" w:rsidRPr="000D499B" w:rsidRDefault="000D499B" w:rsidP="000D499B">
      <w:pPr>
        <w:tabs>
          <w:tab w:val="left" w:pos="-720"/>
        </w:tabs>
        <w:suppressAutoHyphens/>
        <w:ind w:right="760"/>
        <w:jc w:val="both"/>
        <w:rPr>
          <w:rFonts w:ascii="Verdana" w:eastAsia="Calibri" w:hAnsi="Verdana"/>
          <w:b/>
          <w:sz w:val="16"/>
          <w:szCs w:val="16"/>
        </w:rPr>
      </w:pPr>
      <w:r w:rsidRPr="000D499B">
        <w:rPr>
          <w:rFonts w:ascii="Verdana" w:eastAsia="Calibri" w:hAnsi="Verdana"/>
          <w:b/>
          <w:sz w:val="16"/>
          <w:szCs w:val="16"/>
        </w:rPr>
        <w:t xml:space="preserve">3) </w:t>
      </w:r>
      <w:r w:rsidRPr="000D499B">
        <w:rPr>
          <w:rFonts w:ascii="Verdana" w:eastAsia="Calibri" w:hAnsi="Verdana"/>
          <w:b/>
          <w:sz w:val="16"/>
          <w:szCs w:val="16"/>
          <w:u w:val="single"/>
        </w:rPr>
        <w:t>RESPONSABILIDAD DE LA COMISIÓN FISCALIZADORA</w:t>
      </w:r>
    </w:p>
    <w:p w14:paraId="5E279E18" w14:textId="77777777" w:rsidR="000D499B" w:rsidRPr="000D499B" w:rsidRDefault="000D499B" w:rsidP="000D499B">
      <w:pPr>
        <w:autoSpaceDE w:val="0"/>
        <w:autoSpaceDN w:val="0"/>
        <w:adjustRightInd w:val="0"/>
        <w:rPr>
          <w:rFonts w:ascii="Verdana" w:eastAsia="Times New Roman" w:hAnsi="Verdana"/>
          <w:b/>
          <w:bCs/>
          <w:sz w:val="16"/>
          <w:szCs w:val="16"/>
          <w:lang w:eastAsia="es-AR"/>
        </w:rPr>
      </w:pPr>
    </w:p>
    <w:p w14:paraId="30E8F4E2" w14:textId="77777777" w:rsidR="000D499B" w:rsidRPr="000D499B" w:rsidRDefault="000D499B" w:rsidP="000D499B">
      <w:pPr>
        <w:jc w:val="both"/>
        <w:rPr>
          <w:rFonts w:ascii="Verdana" w:eastAsia="Calibri" w:hAnsi="Verdana"/>
          <w:sz w:val="16"/>
          <w:szCs w:val="16"/>
        </w:rPr>
      </w:pPr>
      <w:r w:rsidRPr="000D499B">
        <w:rPr>
          <w:rFonts w:ascii="Verdana" w:eastAsia="Calibri" w:hAnsi="Verdana" w:cs="Arial"/>
          <w:sz w:val="16"/>
          <w:szCs w:val="16"/>
        </w:rPr>
        <w:t xml:space="preserve">Nuestra revisión fue realizada de acuerdo con las normas de sindicatura vigentes establecidas en la Resolución Técnica N° 15 y su modificatoria, la Resolución Técnica Nº 45 de la Federación Argentina de </w:t>
      </w:r>
      <w:r w:rsidRPr="000D499B">
        <w:rPr>
          <w:rFonts w:ascii="Verdana" w:eastAsia="Calibri" w:hAnsi="Verdana" w:cs="Arial"/>
          <w:sz w:val="16"/>
          <w:szCs w:val="16"/>
        </w:rPr>
        <w:lastRenderedPageBreak/>
        <w:t xml:space="preserve">Consejos Profesionales de Ciencias Económicas, conforme ha sido aprobada por la Resolución CD N° 3636 </w:t>
      </w:r>
      <w:r w:rsidRPr="000D499B">
        <w:rPr>
          <w:rFonts w:ascii="Verdana" w:eastAsia="Calibri" w:hAnsi="Verdana" w:cs="Arial"/>
          <w:sz w:val="16"/>
          <w:szCs w:val="16"/>
          <w:lang w:val="es-MX"/>
        </w:rPr>
        <w:t>del Consejo Profesional de Ciencias Económicas de la Provincia de Buenos Aires</w:t>
      </w:r>
      <w:r w:rsidRPr="000D499B">
        <w:rPr>
          <w:rFonts w:ascii="Verdana" w:eastAsia="Calibri" w:hAnsi="Verdana" w:cs="Arial"/>
          <w:sz w:val="16"/>
          <w:szCs w:val="16"/>
        </w:rPr>
        <w:t xml:space="preserve">. </w:t>
      </w:r>
      <w:r w:rsidRPr="000D499B">
        <w:rPr>
          <w:rFonts w:ascii="Verdana" w:eastAsia="Calibri" w:hAnsi="Verdana"/>
          <w:sz w:val="16"/>
          <w:szCs w:val="16"/>
        </w:rPr>
        <w:t>Dichas normas requieren que la revisión de los estados financieros intermedios condensados detallados en primer párrafo del  capítulo 1,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w:t>
      </w:r>
    </w:p>
    <w:p w14:paraId="740746BC" w14:textId="77777777" w:rsidR="000D499B" w:rsidRPr="000D499B" w:rsidRDefault="000D499B" w:rsidP="000D499B">
      <w:pPr>
        <w:jc w:val="both"/>
        <w:rPr>
          <w:rFonts w:ascii="Verdana" w:eastAsia="Calibri" w:hAnsi="Verdana"/>
          <w:sz w:val="16"/>
          <w:szCs w:val="16"/>
        </w:rPr>
      </w:pPr>
      <w:r w:rsidRPr="000D499B">
        <w:rPr>
          <w:rFonts w:ascii="Verdana" w:eastAsia="Calibri" w:hAnsi="Verdana"/>
          <w:sz w:val="16"/>
          <w:szCs w:val="16"/>
        </w:rPr>
        <w:t>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w:t>
      </w:r>
    </w:p>
    <w:p w14:paraId="563182D2" w14:textId="77777777" w:rsidR="000D499B" w:rsidRPr="000D499B" w:rsidRDefault="000D499B" w:rsidP="000D499B">
      <w:pPr>
        <w:jc w:val="both"/>
        <w:rPr>
          <w:rFonts w:ascii="Verdana" w:eastAsia="Calibri" w:hAnsi="Verdana"/>
          <w:sz w:val="16"/>
          <w:szCs w:val="16"/>
        </w:rPr>
      </w:pPr>
      <w:r w:rsidRPr="000D499B">
        <w:rPr>
          <w:rFonts w:ascii="Verdana" w:eastAsia="Calibri" w:hAnsi="Verdana"/>
          <w:sz w:val="16"/>
          <w:szCs w:val="16"/>
        </w:rPr>
        <w:t>Dado que no es responsabilidad de los miembros de la Comisión Fiscalizadora efectuar el control de gestión, la revisión no se extendió a los criterios y decisiones empresarias de las diversas áreas de la Sociedad, cuestiones que son responsabilidad exclusiva del Directorio.</w:t>
      </w:r>
    </w:p>
    <w:p w14:paraId="44749B1D" w14:textId="2BBEA6AA" w:rsidR="000D499B" w:rsidRPr="000D499B" w:rsidRDefault="000D499B" w:rsidP="000D499B">
      <w:pPr>
        <w:jc w:val="both"/>
        <w:rPr>
          <w:rFonts w:ascii="Verdana" w:eastAsia="Calibri" w:hAnsi="Verdana"/>
          <w:sz w:val="16"/>
          <w:szCs w:val="16"/>
        </w:rPr>
      </w:pPr>
      <w:r w:rsidRPr="000D499B">
        <w:rPr>
          <w:rFonts w:ascii="Verdana" w:eastAsia="Calibri" w:hAnsi="Verdana"/>
          <w:sz w:val="16"/>
          <w:szCs w:val="16"/>
        </w:rPr>
        <w:t xml:space="preserve">En relación con la Información adicional a las notas a los estados financieros requerida por el artículo Nº 68 de la Bolsa de Comercio de Buenos Aires y por el artículo 12 del Capítulo III, Título IV de las Normas de la Comisión Nacional de Valores (N.T. 2013) por el período de seis meses terminado el </w:t>
      </w:r>
      <w:r w:rsidR="007B66F7">
        <w:rPr>
          <w:rFonts w:ascii="Verdana" w:eastAsia="Calibri" w:hAnsi="Verdana"/>
          <w:sz w:val="16"/>
          <w:szCs w:val="16"/>
        </w:rPr>
        <w:t>30</w:t>
      </w:r>
      <w:r w:rsidRPr="000D499B">
        <w:rPr>
          <w:rFonts w:ascii="Verdana" w:eastAsia="Calibri" w:hAnsi="Verdana"/>
          <w:sz w:val="16"/>
          <w:szCs w:val="16"/>
        </w:rPr>
        <w:t xml:space="preserve"> de </w:t>
      </w:r>
      <w:r w:rsidR="007B66F7">
        <w:rPr>
          <w:rFonts w:ascii="Verdana" w:eastAsia="Calibri" w:hAnsi="Verdana"/>
          <w:sz w:val="16"/>
          <w:szCs w:val="16"/>
        </w:rPr>
        <w:t xml:space="preserve">noviembre </w:t>
      </w:r>
      <w:r w:rsidRPr="000D499B">
        <w:rPr>
          <w:rFonts w:ascii="Verdana" w:eastAsia="Calibri" w:hAnsi="Verdana"/>
          <w:sz w:val="16"/>
          <w:szCs w:val="16"/>
        </w:rPr>
        <w:t>de 2018, hemos constatado que, este documento contenga la información requerida por el artículo 68 del Reglamento de Cotización de la Bolsa de Comercio de Buenos Aires. Asimismo, en lo que respecta a los datos numéricos contables incluidos en los documentos citados, en lo que sea materia de nuestra competencia, hemos constatado que tales datos concuerden con los registros contables de la Sociedad y otra documentación pertinente.</w:t>
      </w:r>
    </w:p>
    <w:p w14:paraId="486F85CB" w14:textId="77777777" w:rsidR="000D499B" w:rsidRPr="000D499B" w:rsidRDefault="000D499B" w:rsidP="000D499B">
      <w:pPr>
        <w:autoSpaceDE w:val="0"/>
        <w:autoSpaceDN w:val="0"/>
        <w:adjustRightInd w:val="0"/>
        <w:jc w:val="both"/>
        <w:rPr>
          <w:rFonts w:ascii="Garamond" w:eastAsia="Times New Roman" w:hAnsi="Garamond"/>
          <w:sz w:val="16"/>
          <w:szCs w:val="16"/>
          <w:lang w:eastAsia="es-ES"/>
        </w:rPr>
      </w:pPr>
    </w:p>
    <w:p w14:paraId="796CA9EA" w14:textId="77777777" w:rsidR="000D499B" w:rsidRPr="000D499B" w:rsidRDefault="000D499B" w:rsidP="000D499B">
      <w:pPr>
        <w:tabs>
          <w:tab w:val="left" w:pos="-720"/>
        </w:tabs>
        <w:suppressAutoHyphens/>
        <w:ind w:right="760"/>
        <w:jc w:val="both"/>
        <w:rPr>
          <w:rFonts w:ascii="Verdana" w:eastAsia="Calibri" w:hAnsi="Verdana"/>
          <w:b/>
          <w:sz w:val="16"/>
          <w:szCs w:val="16"/>
        </w:rPr>
      </w:pPr>
      <w:r w:rsidRPr="000D499B">
        <w:rPr>
          <w:rFonts w:ascii="Verdana" w:eastAsia="Calibri" w:hAnsi="Verdana"/>
          <w:b/>
          <w:sz w:val="16"/>
          <w:szCs w:val="16"/>
        </w:rPr>
        <w:t xml:space="preserve">4) </w:t>
      </w:r>
      <w:r w:rsidRPr="000D499B">
        <w:rPr>
          <w:rFonts w:ascii="Verdana" w:eastAsia="Calibri" w:hAnsi="Verdana"/>
          <w:b/>
          <w:sz w:val="16"/>
          <w:szCs w:val="16"/>
          <w:u w:val="single"/>
        </w:rPr>
        <w:t>CONCLUSIÓN</w:t>
      </w:r>
    </w:p>
    <w:p w14:paraId="58BF68CC" w14:textId="09418AEF" w:rsidR="000D499B" w:rsidRPr="000D499B" w:rsidRDefault="000D499B" w:rsidP="000D499B">
      <w:pPr>
        <w:jc w:val="both"/>
        <w:rPr>
          <w:rFonts w:ascii="Verdana" w:eastAsia="Calibri" w:hAnsi="Verdana"/>
          <w:sz w:val="16"/>
          <w:szCs w:val="16"/>
        </w:rPr>
      </w:pPr>
      <w:r w:rsidRPr="000D499B">
        <w:rPr>
          <w:rFonts w:ascii="Verdana" w:eastAsia="Calibri" w:hAnsi="Verdana"/>
          <w:sz w:val="16"/>
          <w:szCs w:val="16"/>
        </w:rPr>
        <w:t xml:space="preserve">Sobre la base de nuestra revisión, con el alcance que expresamos en el párrafo anterior, nada llamó nuestra atención que nos hiciera pensar que los estados financieros intermedios condensados adjuntos de Petroagro S.A. correspondientes al período de seis meses finalizado el </w:t>
      </w:r>
      <w:r w:rsidR="007B66F7">
        <w:rPr>
          <w:rFonts w:ascii="Verdana" w:eastAsia="Calibri" w:hAnsi="Verdana"/>
          <w:sz w:val="16"/>
          <w:szCs w:val="16"/>
        </w:rPr>
        <w:t>29</w:t>
      </w:r>
      <w:r w:rsidRPr="000D499B">
        <w:rPr>
          <w:rFonts w:ascii="Verdana" w:eastAsia="Calibri" w:hAnsi="Verdana"/>
          <w:sz w:val="16"/>
          <w:szCs w:val="16"/>
        </w:rPr>
        <w:t xml:space="preserve"> de </w:t>
      </w:r>
      <w:r w:rsidR="007B66F7">
        <w:rPr>
          <w:rFonts w:ascii="Verdana" w:eastAsia="Calibri" w:hAnsi="Verdana"/>
          <w:sz w:val="16"/>
          <w:szCs w:val="16"/>
        </w:rPr>
        <w:t>febrero</w:t>
      </w:r>
      <w:r w:rsidRPr="000D499B">
        <w:rPr>
          <w:rFonts w:ascii="Verdana" w:eastAsia="Calibri" w:hAnsi="Verdana"/>
          <w:sz w:val="16"/>
          <w:szCs w:val="16"/>
        </w:rPr>
        <w:t xml:space="preserve"> de </w:t>
      </w:r>
      <w:r w:rsidR="007B66F7">
        <w:rPr>
          <w:rFonts w:ascii="Verdana" w:eastAsia="Calibri" w:hAnsi="Verdana"/>
          <w:sz w:val="16"/>
          <w:szCs w:val="16"/>
        </w:rPr>
        <w:t>2020</w:t>
      </w:r>
      <w:r w:rsidRPr="000D499B">
        <w:rPr>
          <w:rFonts w:ascii="Verdana" w:eastAsia="Calibri" w:hAnsi="Verdana"/>
          <w:sz w:val="16"/>
          <w:szCs w:val="16"/>
        </w:rPr>
        <w:t xml:space="preserve"> no están presentados en forma razonable, en todos sus aspectos significativos, de acuerdo con la Norma Internacional de Contabilidad 34.</w:t>
      </w:r>
    </w:p>
    <w:p w14:paraId="42243E70" w14:textId="77777777" w:rsidR="000D499B" w:rsidRPr="000D499B" w:rsidRDefault="000D499B" w:rsidP="000D499B">
      <w:pPr>
        <w:jc w:val="both"/>
        <w:rPr>
          <w:rFonts w:ascii="Verdana" w:eastAsia="Calibri" w:hAnsi="Verdana"/>
          <w:b/>
          <w:sz w:val="16"/>
          <w:szCs w:val="16"/>
          <w:u w:val="single"/>
        </w:rPr>
      </w:pPr>
      <w:r w:rsidRPr="000D499B">
        <w:rPr>
          <w:rFonts w:ascii="Verdana" w:eastAsia="Calibri" w:hAnsi="Verdana"/>
          <w:b/>
          <w:sz w:val="16"/>
          <w:szCs w:val="16"/>
        </w:rPr>
        <w:t xml:space="preserve">5) </w:t>
      </w:r>
      <w:r w:rsidRPr="000D499B">
        <w:rPr>
          <w:rFonts w:ascii="Verdana" w:eastAsia="Calibri" w:hAnsi="Verdana"/>
          <w:b/>
          <w:sz w:val="16"/>
          <w:szCs w:val="16"/>
          <w:u w:val="single"/>
        </w:rPr>
        <w:t>ÉNFASIS</w:t>
      </w:r>
    </w:p>
    <w:p w14:paraId="037C30D9" w14:textId="77777777" w:rsidR="000D499B" w:rsidRPr="000D499B" w:rsidRDefault="000D499B" w:rsidP="000D499B">
      <w:pPr>
        <w:jc w:val="both"/>
        <w:rPr>
          <w:rFonts w:ascii="Verdana" w:eastAsia="Calibri" w:hAnsi="Verdana"/>
          <w:sz w:val="16"/>
          <w:szCs w:val="16"/>
        </w:rPr>
      </w:pPr>
      <w:r w:rsidRPr="000D499B">
        <w:rPr>
          <w:rFonts w:ascii="Verdana" w:eastAsia="Calibri" w:hAnsi="Verdana"/>
          <w:sz w:val="16"/>
          <w:szCs w:val="16"/>
        </w:rPr>
        <w:t>Sin modificar nuestra conclusión queremos enfatizar lo detallado en la nota 27.</w:t>
      </w:r>
    </w:p>
    <w:p w14:paraId="4E6AA65C" w14:textId="77777777" w:rsidR="000D499B" w:rsidRPr="000D499B" w:rsidRDefault="000D499B" w:rsidP="000D499B">
      <w:pPr>
        <w:tabs>
          <w:tab w:val="left" w:pos="-720"/>
        </w:tabs>
        <w:suppressAutoHyphens/>
        <w:ind w:right="760"/>
        <w:jc w:val="both"/>
        <w:rPr>
          <w:rFonts w:ascii="Verdana" w:eastAsia="Calibri" w:hAnsi="Verdana"/>
          <w:b/>
          <w:sz w:val="16"/>
          <w:szCs w:val="16"/>
        </w:rPr>
      </w:pPr>
    </w:p>
    <w:p w14:paraId="6C7CF3BB" w14:textId="77777777" w:rsidR="000D499B" w:rsidRPr="000D499B" w:rsidRDefault="000D499B" w:rsidP="000D499B">
      <w:pPr>
        <w:tabs>
          <w:tab w:val="left" w:pos="-720"/>
        </w:tabs>
        <w:suppressAutoHyphens/>
        <w:ind w:right="760"/>
        <w:jc w:val="both"/>
        <w:rPr>
          <w:rFonts w:ascii="Verdana" w:eastAsia="Times New Roman" w:hAnsi="Verdana"/>
          <w:b/>
          <w:sz w:val="16"/>
          <w:szCs w:val="16"/>
          <w:u w:val="single"/>
          <w:lang w:eastAsia="es-ES"/>
        </w:rPr>
      </w:pPr>
      <w:r w:rsidRPr="000D499B">
        <w:rPr>
          <w:rFonts w:ascii="Verdana" w:hAnsi="Verdana"/>
          <w:b/>
          <w:sz w:val="16"/>
          <w:szCs w:val="16"/>
        </w:rPr>
        <w:t xml:space="preserve">6) </w:t>
      </w:r>
      <w:r w:rsidRPr="000D499B">
        <w:rPr>
          <w:rFonts w:ascii="Verdana" w:hAnsi="Verdana"/>
          <w:b/>
          <w:sz w:val="16"/>
          <w:szCs w:val="16"/>
          <w:u w:val="single"/>
        </w:rPr>
        <w:t>INFORME SOBRE OTROS REQUERIMIENTOS LEGALES Y REGLAMENTARIOS</w:t>
      </w:r>
    </w:p>
    <w:p w14:paraId="109F44BF" w14:textId="77777777" w:rsidR="000D499B" w:rsidRPr="000D499B" w:rsidRDefault="000D499B" w:rsidP="000D499B">
      <w:pPr>
        <w:pStyle w:val="Prrafodelista"/>
        <w:ind w:left="360" w:right="71"/>
        <w:jc w:val="both"/>
        <w:rPr>
          <w:rFonts w:ascii="Verdana" w:hAnsi="Verdana"/>
          <w:sz w:val="16"/>
          <w:szCs w:val="16"/>
        </w:rPr>
      </w:pPr>
    </w:p>
    <w:p w14:paraId="491D17F2" w14:textId="77777777" w:rsidR="000D499B" w:rsidRPr="000D499B" w:rsidRDefault="000D499B" w:rsidP="000D499B">
      <w:pPr>
        <w:pStyle w:val="Prrafodelista"/>
        <w:numPr>
          <w:ilvl w:val="0"/>
          <w:numId w:val="10"/>
        </w:numPr>
        <w:ind w:right="71"/>
        <w:jc w:val="both"/>
        <w:rPr>
          <w:rFonts w:ascii="Verdana" w:hAnsi="Verdana"/>
          <w:sz w:val="16"/>
          <w:szCs w:val="16"/>
        </w:rPr>
      </w:pPr>
      <w:r w:rsidRPr="000D499B">
        <w:rPr>
          <w:rFonts w:ascii="Verdana" w:hAnsi="Verdana"/>
          <w:sz w:val="16"/>
          <w:szCs w:val="16"/>
        </w:rPr>
        <w:t>Con respecto a la Reseña informativa consolidada y a la Información adicional requerida por artículo 12, del capítulo II, título IV de las normas de la Comisión Nacional de Valores, mencionados en los acápites f) g) y h) del capítulo I, en lo que es materia de nuestra competencia, no tenemos observaciones que formular.</w:t>
      </w:r>
    </w:p>
    <w:p w14:paraId="7C2C8078" w14:textId="77777777" w:rsidR="000D499B" w:rsidRPr="000D499B" w:rsidRDefault="000D499B" w:rsidP="000D499B">
      <w:pPr>
        <w:tabs>
          <w:tab w:val="left" w:pos="-720"/>
        </w:tabs>
        <w:suppressAutoHyphens/>
        <w:ind w:right="760"/>
        <w:jc w:val="right"/>
        <w:rPr>
          <w:rFonts w:ascii="Verdana" w:hAnsi="Verdana"/>
          <w:sz w:val="16"/>
          <w:szCs w:val="16"/>
        </w:rPr>
      </w:pPr>
    </w:p>
    <w:p w14:paraId="52496877" w14:textId="77777777" w:rsidR="000D499B" w:rsidRPr="000D499B" w:rsidRDefault="000D499B" w:rsidP="000D499B">
      <w:pPr>
        <w:pStyle w:val="Prrafodelista"/>
        <w:numPr>
          <w:ilvl w:val="0"/>
          <w:numId w:val="10"/>
        </w:numPr>
        <w:ind w:right="71"/>
        <w:jc w:val="both"/>
        <w:rPr>
          <w:rFonts w:ascii="Verdana" w:hAnsi="Verdana"/>
          <w:sz w:val="16"/>
          <w:szCs w:val="16"/>
        </w:rPr>
      </w:pPr>
      <w:r w:rsidRPr="000D499B">
        <w:rPr>
          <w:rFonts w:ascii="Verdana" w:hAnsi="Verdana"/>
          <w:sz w:val="16"/>
          <w:szCs w:val="16"/>
        </w:rPr>
        <w:t>Las cifras de los estados financieros mencionados en el primer párrafo del capítulo 1 de este informe surgen de los registros contables de la Sociedad que, en sus aspectos formales, se encuentran en proceso de transcripción a libros rubricados, así como los estados financieros mencionados en el primer párrafo del capítulo 1 de este informe. </w:t>
      </w:r>
    </w:p>
    <w:p w14:paraId="65397438" w14:textId="77777777" w:rsidR="000D499B" w:rsidRPr="000D499B" w:rsidRDefault="000D499B" w:rsidP="000D499B">
      <w:pPr>
        <w:rPr>
          <w:rFonts w:ascii="Verdana" w:hAnsi="Verdana"/>
          <w:sz w:val="16"/>
          <w:szCs w:val="16"/>
        </w:rPr>
      </w:pPr>
    </w:p>
    <w:p w14:paraId="682C8420" w14:textId="77777777" w:rsidR="000D499B" w:rsidRPr="000D499B" w:rsidRDefault="000D499B" w:rsidP="000D499B">
      <w:pPr>
        <w:pStyle w:val="Prrafodelista"/>
        <w:numPr>
          <w:ilvl w:val="0"/>
          <w:numId w:val="10"/>
        </w:numPr>
        <w:ind w:right="71"/>
        <w:jc w:val="both"/>
        <w:rPr>
          <w:rFonts w:ascii="Verdana" w:hAnsi="Verdana"/>
          <w:sz w:val="16"/>
          <w:szCs w:val="16"/>
        </w:rPr>
      </w:pPr>
      <w:r w:rsidRPr="000D499B">
        <w:rPr>
          <w:rFonts w:ascii="Verdana" w:hAnsi="Verdana"/>
          <w:sz w:val="16"/>
          <w:szCs w:val="16"/>
        </w:rPr>
        <w:t>Manifestamos asimismo que durante el ejercicio hemos realizado, en cuanto correspondían, las tareas previstas por el art. 294 de la Ley Nº 19.550, incluyendo la asistencia a reuniones del Directorio y Asambleas de Accionistas.</w:t>
      </w:r>
    </w:p>
    <w:p w14:paraId="0ED59C2A" w14:textId="77777777" w:rsidR="000D499B" w:rsidRPr="000D499B" w:rsidRDefault="000D499B" w:rsidP="000D499B">
      <w:pPr>
        <w:pStyle w:val="Prrafodelista"/>
        <w:rPr>
          <w:rFonts w:ascii="Verdana" w:hAnsi="Verdana"/>
          <w:iCs/>
          <w:sz w:val="16"/>
          <w:szCs w:val="16"/>
        </w:rPr>
      </w:pPr>
    </w:p>
    <w:p w14:paraId="33D4B73F" w14:textId="77777777" w:rsidR="000D499B" w:rsidRPr="000D499B" w:rsidRDefault="000D499B" w:rsidP="000D499B">
      <w:pPr>
        <w:pStyle w:val="Prrafodelista"/>
        <w:numPr>
          <w:ilvl w:val="0"/>
          <w:numId w:val="10"/>
        </w:numPr>
        <w:ind w:right="71"/>
        <w:jc w:val="both"/>
        <w:rPr>
          <w:rFonts w:ascii="Verdana" w:hAnsi="Verdana"/>
          <w:sz w:val="16"/>
          <w:szCs w:val="16"/>
        </w:rPr>
      </w:pPr>
      <w:r w:rsidRPr="000D499B">
        <w:rPr>
          <w:rFonts w:ascii="Verdana" w:hAnsi="Verdana"/>
          <w:iCs/>
          <w:sz w:val="16"/>
          <w:szCs w:val="16"/>
        </w:rPr>
        <w:t>Los directores cumplen con las exigencias de mantener garantías por el desempeño de sus funciones.</w:t>
      </w:r>
    </w:p>
    <w:p w14:paraId="0286CA60" w14:textId="77777777" w:rsidR="000D499B" w:rsidRPr="000D499B" w:rsidRDefault="000D499B" w:rsidP="000D499B">
      <w:pPr>
        <w:rPr>
          <w:rFonts w:ascii="Verdana" w:hAnsi="Verdana" w:cs="Arial"/>
          <w:sz w:val="16"/>
          <w:szCs w:val="16"/>
        </w:rPr>
      </w:pPr>
    </w:p>
    <w:p w14:paraId="080E7A3A" w14:textId="77777777" w:rsidR="000D499B" w:rsidRPr="000D499B" w:rsidRDefault="000D499B" w:rsidP="000D499B">
      <w:pPr>
        <w:ind w:right="71"/>
        <w:jc w:val="both"/>
        <w:rPr>
          <w:rFonts w:ascii="Verdana" w:hAnsi="Verdana" w:cs="Arial"/>
          <w:sz w:val="16"/>
          <w:szCs w:val="16"/>
        </w:rPr>
      </w:pPr>
    </w:p>
    <w:p w14:paraId="2E73C323" w14:textId="77777777" w:rsidR="000D499B" w:rsidRPr="000D499B" w:rsidRDefault="000D499B" w:rsidP="000D499B">
      <w:pPr>
        <w:ind w:right="71"/>
        <w:jc w:val="both"/>
        <w:rPr>
          <w:rFonts w:ascii="Verdana" w:hAnsi="Verdana" w:cs="Times New Roman"/>
          <w:sz w:val="16"/>
          <w:szCs w:val="16"/>
        </w:rPr>
      </w:pPr>
      <w:r w:rsidRPr="000D499B">
        <w:rPr>
          <w:rFonts w:ascii="Verdana" w:hAnsi="Verdana" w:cs="Arial"/>
          <w:sz w:val="16"/>
          <w:szCs w:val="16"/>
        </w:rPr>
        <w:t>El presente Informe no tiene validez sin la autenticación de la firma por parte del Consejo Profesional.</w:t>
      </w:r>
    </w:p>
    <w:p w14:paraId="2A11EBCD" w14:textId="77777777" w:rsidR="000D499B" w:rsidRPr="000D499B" w:rsidRDefault="000D499B" w:rsidP="000D499B">
      <w:pPr>
        <w:pStyle w:val="Prrafodelista"/>
        <w:ind w:left="360" w:right="71"/>
        <w:jc w:val="both"/>
        <w:rPr>
          <w:rFonts w:ascii="Verdana" w:hAnsi="Verdana"/>
          <w:sz w:val="16"/>
          <w:szCs w:val="16"/>
        </w:rPr>
      </w:pPr>
    </w:p>
    <w:p w14:paraId="0C8FD6C1" w14:textId="77777777" w:rsidR="000D499B" w:rsidRPr="000D499B" w:rsidRDefault="000D499B" w:rsidP="000D499B">
      <w:pPr>
        <w:jc w:val="both"/>
        <w:rPr>
          <w:rFonts w:ascii="Verdana" w:eastAsia="Calibri" w:hAnsi="Verdana"/>
          <w:sz w:val="16"/>
          <w:szCs w:val="16"/>
        </w:rPr>
      </w:pPr>
    </w:p>
    <w:p w14:paraId="052E5996" w14:textId="13FC81EB" w:rsidR="000D499B" w:rsidRPr="000D499B" w:rsidRDefault="000D499B" w:rsidP="000D499B">
      <w:pPr>
        <w:tabs>
          <w:tab w:val="left" w:pos="-720"/>
        </w:tabs>
        <w:rPr>
          <w:rFonts w:ascii="Times New Roman" w:eastAsia="Calibri" w:hAnsi="Times New Roman"/>
          <w:i/>
          <w:spacing w:val="-3"/>
        </w:rPr>
      </w:pPr>
      <w:r w:rsidRPr="000D499B">
        <w:rPr>
          <w:rFonts w:ascii="Verdana" w:eastAsia="Calibri" w:hAnsi="Verdana"/>
          <w:sz w:val="16"/>
          <w:szCs w:val="16"/>
        </w:rPr>
        <w:t xml:space="preserve"> Carmen de Areco - Provincia de Buenos Aires, </w:t>
      </w:r>
      <w:r w:rsidR="007B66F7">
        <w:rPr>
          <w:rFonts w:ascii="Verdana" w:eastAsia="Calibri" w:hAnsi="Verdana"/>
          <w:sz w:val="16"/>
          <w:szCs w:val="16"/>
        </w:rPr>
        <w:t>11</w:t>
      </w:r>
      <w:r w:rsidRPr="000D499B">
        <w:rPr>
          <w:rFonts w:ascii="Verdana" w:eastAsia="Calibri" w:hAnsi="Verdana"/>
          <w:sz w:val="16"/>
          <w:szCs w:val="16"/>
        </w:rPr>
        <w:t xml:space="preserve"> de </w:t>
      </w:r>
      <w:r w:rsidR="007B66F7">
        <w:rPr>
          <w:rFonts w:ascii="Verdana" w:eastAsia="Calibri" w:hAnsi="Verdana"/>
          <w:sz w:val="16"/>
          <w:szCs w:val="16"/>
        </w:rPr>
        <w:t xml:space="preserve">mayo </w:t>
      </w:r>
      <w:r w:rsidRPr="000D499B">
        <w:rPr>
          <w:rFonts w:ascii="Verdana" w:eastAsia="Calibri" w:hAnsi="Verdana"/>
          <w:sz w:val="16"/>
          <w:szCs w:val="16"/>
        </w:rPr>
        <w:t>de 2020</w:t>
      </w:r>
    </w:p>
    <w:p w14:paraId="1A7BFEDA" w14:textId="0C7E852E" w:rsidR="003A5F45" w:rsidRPr="00DB403A" w:rsidRDefault="00BA7EEB" w:rsidP="00B657C3">
      <w:pPr>
        <w:widowControl w:val="0"/>
        <w:spacing w:after="0" w:line="-480" w:lineRule="auto"/>
        <w:jc w:val="both"/>
        <w:rPr>
          <w:rFonts w:ascii="Times New Roman" w:hAnsi="Times New Roman"/>
          <w:sz w:val="24"/>
          <w:lang w:val="es-ES_tradnl"/>
        </w:rPr>
      </w:pPr>
      <w:r>
        <w:rPr>
          <w:rFonts w:ascii="Times New Roman" w:eastAsia="Times New Roman" w:hAnsi="Times New Roman" w:cs="Times New Roman"/>
          <w:bCs/>
          <w:snapToGrid w:val="0"/>
          <w:sz w:val="24"/>
          <w:szCs w:val="24"/>
          <w:lang w:val="es-ES_tradnl" w:eastAsia="es-ES"/>
        </w:rPr>
        <w:t>Finalmente,</w:t>
      </w:r>
      <w:r w:rsidRPr="00DB403A">
        <w:rPr>
          <w:rFonts w:ascii="Times New Roman" w:hAnsi="Times New Roman"/>
          <w:sz w:val="24"/>
          <w:lang w:val="es-ES_tradnl"/>
        </w:rPr>
        <w:t xml:space="preserve"> toma la palabra </w:t>
      </w:r>
      <w:r>
        <w:rPr>
          <w:rFonts w:ascii="Times New Roman" w:eastAsia="Times New Roman" w:hAnsi="Times New Roman" w:cs="Times New Roman"/>
          <w:bCs/>
          <w:snapToGrid w:val="0"/>
          <w:sz w:val="24"/>
          <w:szCs w:val="24"/>
          <w:lang w:val="es-ES_tradnl" w:eastAsia="es-ES"/>
        </w:rPr>
        <w:t>e</w:t>
      </w:r>
      <w:r w:rsidRPr="00BA7EEB">
        <w:rPr>
          <w:rFonts w:ascii="Times New Roman" w:eastAsia="Times New Roman" w:hAnsi="Times New Roman" w:cs="Times New Roman"/>
          <w:bCs/>
          <w:snapToGrid w:val="0"/>
          <w:sz w:val="24"/>
          <w:szCs w:val="24"/>
          <w:lang w:val="es-ES_tradnl" w:eastAsia="es-ES"/>
        </w:rPr>
        <w:t xml:space="preserve">l Sr. </w:t>
      </w:r>
      <w:r w:rsidRPr="000D499B">
        <w:rPr>
          <w:rFonts w:ascii="Times New Roman" w:eastAsia="Times New Roman" w:hAnsi="Times New Roman" w:cs="Times New Roman"/>
          <w:snapToGrid w:val="0"/>
          <w:sz w:val="24"/>
          <w:szCs w:val="24"/>
          <w:lang w:eastAsia="es-ES"/>
        </w:rPr>
        <w:t>Federico Fernando Guido Lucero Pavón</w:t>
      </w:r>
      <w:r w:rsidRPr="00DB403A">
        <w:rPr>
          <w:rFonts w:ascii="Times New Roman" w:hAnsi="Times New Roman"/>
          <w:sz w:val="24"/>
          <w:lang w:val="es-ES_tradnl"/>
        </w:rPr>
        <w:t xml:space="preserve">, </w:t>
      </w:r>
      <w:r>
        <w:rPr>
          <w:rFonts w:ascii="Times New Roman" w:eastAsia="Times New Roman" w:hAnsi="Times New Roman" w:cs="Times New Roman"/>
          <w:bCs/>
          <w:snapToGrid w:val="0"/>
          <w:sz w:val="24"/>
          <w:szCs w:val="24"/>
          <w:lang w:val="es-ES_tradnl" w:eastAsia="es-ES"/>
        </w:rPr>
        <w:t>quien</w:t>
      </w:r>
      <w:r w:rsidRPr="00BA7EEB">
        <w:rPr>
          <w:rFonts w:ascii="Times New Roman" w:eastAsia="Times New Roman" w:hAnsi="Times New Roman" w:cs="Times New Roman"/>
          <w:bCs/>
          <w:snapToGrid w:val="0"/>
          <w:sz w:val="24"/>
          <w:szCs w:val="24"/>
          <w:lang w:val="es-ES_tradnl" w:eastAsia="es-ES"/>
        </w:rPr>
        <w:t xml:space="preserve"> deja expresa constancia</w:t>
      </w:r>
      <w:r w:rsidRPr="00DB403A">
        <w:rPr>
          <w:rFonts w:ascii="Times New Roman" w:hAnsi="Times New Roman"/>
          <w:sz w:val="24"/>
          <w:lang w:val="es-ES_tradnl"/>
        </w:rPr>
        <w:t xml:space="preserve"> que </w:t>
      </w:r>
      <w:r w:rsidRPr="00BA7EEB">
        <w:rPr>
          <w:rFonts w:ascii="Times New Roman" w:eastAsia="Times New Roman" w:hAnsi="Times New Roman" w:cs="Times New Roman"/>
          <w:bCs/>
          <w:snapToGrid w:val="0"/>
          <w:sz w:val="24"/>
          <w:szCs w:val="24"/>
          <w:lang w:val="es-ES_tradnl" w:eastAsia="es-ES"/>
        </w:rPr>
        <w:t>han participa</w:t>
      </w:r>
      <w:r>
        <w:rPr>
          <w:rFonts w:ascii="Times New Roman" w:eastAsia="Times New Roman" w:hAnsi="Times New Roman" w:cs="Times New Roman"/>
          <w:bCs/>
          <w:snapToGrid w:val="0"/>
          <w:sz w:val="24"/>
          <w:szCs w:val="24"/>
          <w:lang w:val="es-ES_tradnl" w:eastAsia="es-ES"/>
        </w:rPr>
        <w:t>do a distancia de esta reunión los Sres. Miembros</w:t>
      </w:r>
      <w:r w:rsidRPr="00DB403A">
        <w:rPr>
          <w:rFonts w:ascii="Times New Roman" w:hAnsi="Times New Roman"/>
          <w:sz w:val="24"/>
          <w:lang w:val="es-ES_tradnl"/>
        </w:rPr>
        <w:t xml:space="preserve"> de la Comisión Fiscalizadora</w:t>
      </w:r>
      <w:r w:rsidRPr="00BA7EEB">
        <w:rPr>
          <w:rFonts w:ascii="Times New Roman" w:eastAsia="Times New Roman" w:hAnsi="Times New Roman" w:cs="Times New Roman"/>
          <w:bCs/>
          <w:snapToGrid w:val="0"/>
          <w:sz w:val="24"/>
          <w:szCs w:val="24"/>
          <w:lang w:val="es-ES_tradnl" w:eastAsia="es-ES"/>
        </w:rPr>
        <w:t>, comunicados mediante un medio de transmisión simultánea de sonido, imágenes y palabras, habiendo votado con la debida regularidad respecto de todos los puntos del temario de la presente reunión. Asimismo, deja constancia de la regularidad de las decisiones adoptadas en el curso de la presente reunión y del consentimiento brindado por los presentes para la grabación de la reunión</w:t>
      </w:r>
      <w:r w:rsidR="00286319">
        <w:rPr>
          <w:rFonts w:ascii="Times New Roman" w:eastAsia="Times New Roman" w:hAnsi="Times New Roman" w:cs="Times New Roman"/>
          <w:bCs/>
          <w:snapToGrid w:val="0"/>
          <w:sz w:val="24"/>
          <w:szCs w:val="24"/>
          <w:lang w:val="es-ES_tradnl" w:eastAsia="es-ES"/>
        </w:rPr>
        <w:t>.</w:t>
      </w:r>
    </w:p>
    <w:p w14:paraId="649CFA35" w14:textId="77777777" w:rsidR="00BA7EEB" w:rsidRPr="00E85126" w:rsidRDefault="00BA7EEB" w:rsidP="00B657C3">
      <w:pPr>
        <w:widowControl w:val="0"/>
        <w:spacing w:after="0" w:line="-480" w:lineRule="auto"/>
        <w:jc w:val="both"/>
        <w:rPr>
          <w:rFonts w:ascii="Times New Roman" w:eastAsia="Times New Roman" w:hAnsi="Times New Roman" w:cs="Times New Roman"/>
          <w:bCs/>
          <w:snapToGrid w:val="0"/>
          <w:sz w:val="24"/>
          <w:szCs w:val="24"/>
          <w:lang w:val="es-ES_tradnl" w:eastAsia="es-ES"/>
        </w:rPr>
      </w:pPr>
    </w:p>
    <w:p w14:paraId="21ECB9CE" w14:textId="726851AB" w:rsidR="003A5F45" w:rsidRPr="00E85126" w:rsidRDefault="003A5F45" w:rsidP="003A5F45">
      <w:pPr>
        <w:spacing w:line="480" w:lineRule="exact"/>
        <w:jc w:val="both"/>
        <w:rPr>
          <w:rFonts w:ascii="Times New Roman" w:eastAsia="Calibri" w:hAnsi="Times New Roman" w:cs="Times New Roman"/>
          <w:sz w:val="24"/>
          <w:szCs w:val="24"/>
        </w:rPr>
      </w:pPr>
      <w:r w:rsidRPr="00E85126">
        <w:rPr>
          <w:rFonts w:ascii="Times New Roman" w:eastAsia="Calibri" w:hAnsi="Times New Roman" w:cs="Times New Roman"/>
          <w:sz w:val="24"/>
          <w:szCs w:val="24"/>
        </w:rPr>
        <w:t xml:space="preserve">No habiendo más asuntos que tratar, se levanta la sesión siendo las </w:t>
      </w:r>
      <w:r w:rsidR="008635F0" w:rsidRPr="00E85126">
        <w:rPr>
          <w:rFonts w:ascii="Times New Roman" w:eastAsia="Calibri" w:hAnsi="Times New Roman" w:cs="Times New Roman"/>
          <w:sz w:val="24"/>
          <w:szCs w:val="24"/>
        </w:rPr>
        <w:t>1</w:t>
      </w:r>
      <w:r w:rsidR="007B66F7">
        <w:rPr>
          <w:rFonts w:ascii="Times New Roman" w:eastAsia="Calibri" w:hAnsi="Times New Roman" w:cs="Times New Roman"/>
          <w:sz w:val="24"/>
          <w:szCs w:val="24"/>
        </w:rPr>
        <w:t>3</w:t>
      </w:r>
      <w:r w:rsidRPr="00E85126">
        <w:rPr>
          <w:rFonts w:ascii="Times New Roman" w:eastAsia="Calibri" w:hAnsi="Times New Roman" w:cs="Times New Roman"/>
          <w:sz w:val="24"/>
          <w:szCs w:val="24"/>
        </w:rPr>
        <w:t xml:space="preserve"> horas.</w:t>
      </w:r>
    </w:p>
    <w:p w14:paraId="11A0C7B1" w14:textId="77777777" w:rsidR="003A5F45" w:rsidRPr="00E85126" w:rsidRDefault="003A5F45" w:rsidP="00C6276C">
      <w:pPr>
        <w:ind w:left="708" w:hanging="708"/>
        <w:rPr>
          <w:rFonts w:ascii="Times New Roman" w:eastAsia="Calibri" w:hAnsi="Times New Roman" w:cs="Times New Roman"/>
          <w:sz w:val="24"/>
          <w:szCs w:val="24"/>
        </w:rPr>
      </w:pPr>
    </w:p>
    <w:p w14:paraId="1CD93687" w14:textId="1F57F67F" w:rsidR="00286319" w:rsidRDefault="00423356" w:rsidP="003A5F45">
      <w:pPr>
        <w:rPr>
          <w:rFonts w:ascii="Times New Roman" w:eastAsia="Calibri" w:hAnsi="Times New Roman" w:cs="Times New Roman"/>
          <w:sz w:val="24"/>
          <w:szCs w:val="24"/>
        </w:rPr>
      </w:pPr>
      <w:r>
        <w:rPr>
          <w:rFonts w:ascii="Times New Roman" w:eastAsia="Calibri" w:hAnsi="Times New Roman" w:cs="Times New Roman"/>
          <w:sz w:val="24"/>
          <w:szCs w:val="24"/>
        </w:rPr>
        <w:t>Participantes p</w:t>
      </w:r>
      <w:r w:rsidR="00286319">
        <w:rPr>
          <w:rFonts w:ascii="Times New Roman" w:eastAsia="Calibri" w:hAnsi="Times New Roman" w:cs="Times New Roman"/>
          <w:sz w:val="24"/>
          <w:szCs w:val="24"/>
        </w:rPr>
        <w:t xml:space="preserve">or Videoconferencia: </w:t>
      </w:r>
    </w:p>
    <w:p w14:paraId="27AC324A" w14:textId="77777777" w:rsidR="00286319" w:rsidRPr="00E85126" w:rsidRDefault="00286319" w:rsidP="003A5F45">
      <w:pPr>
        <w:rPr>
          <w:rFonts w:ascii="Times New Roman" w:eastAsia="Calibri" w:hAnsi="Times New Roman" w:cs="Times New Roman"/>
          <w:sz w:val="24"/>
          <w:szCs w:val="24"/>
        </w:rPr>
      </w:pPr>
    </w:p>
    <w:p w14:paraId="4C472C24" w14:textId="77777777" w:rsidR="00EB4035" w:rsidRPr="00E85126" w:rsidRDefault="00EB4035" w:rsidP="003A5F45">
      <w:pPr>
        <w:rPr>
          <w:rFonts w:ascii="Times New Roman" w:eastAsia="Calibri" w:hAnsi="Times New Roman" w:cs="Times New Roman"/>
          <w:sz w:val="24"/>
          <w:szCs w:val="24"/>
        </w:rPr>
      </w:pPr>
    </w:p>
    <w:p w14:paraId="6175312D" w14:textId="77777777" w:rsidR="00264063" w:rsidRPr="00E85126" w:rsidRDefault="00885BA5">
      <w:r w:rsidRPr="00E85126">
        <w:t>FEDERICO F.G. LUCERO PAVÓN</w:t>
      </w:r>
      <w:r w:rsidRPr="00E85126">
        <w:tab/>
      </w:r>
      <w:r w:rsidRPr="00E85126">
        <w:tab/>
      </w:r>
      <w:r w:rsidRPr="00E85126">
        <w:tab/>
      </w:r>
      <w:r w:rsidRPr="00E85126">
        <w:tab/>
        <w:t>MIRIAN BEATRIZ GUILLERMIN</w:t>
      </w:r>
    </w:p>
    <w:p w14:paraId="67EC6BDA" w14:textId="77777777" w:rsidR="00885BA5" w:rsidRPr="00E85126" w:rsidRDefault="00885BA5"/>
    <w:p w14:paraId="73F28899" w14:textId="77777777" w:rsidR="00885BA5" w:rsidRPr="00E85126" w:rsidRDefault="00885BA5">
      <w:r w:rsidRPr="00E85126">
        <w:t>GUSTAVO MARTIN BERTINATTO</w:t>
      </w:r>
    </w:p>
    <w:sectPr w:rsidR="00885BA5" w:rsidRPr="00E8512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D13FB"/>
    <w:multiLevelType w:val="singleLevel"/>
    <w:tmpl w:val="99166E5A"/>
    <w:lvl w:ilvl="0">
      <w:start w:val="1"/>
      <w:numFmt w:val="lowerLetter"/>
      <w:lvlText w:val="%1) "/>
      <w:lvlJc w:val="left"/>
      <w:pPr>
        <w:tabs>
          <w:tab w:val="num" w:pos="644"/>
        </w:tabs>
        <w:ind w:left="567" w:hanging="283"/>
      </w:pPr>
      <w:rPr>
        <w:rFonts w:ascii="Times New Roman" w:hAnsi="Times New Roman" w:hint="default"/>
        <w:b w:val="0"/>
        <w:i w:val="0"/>
        <w:sz w:val="20"/>
        <w:szCs w:val="20"/>
        <w:u w:val="none"/>
      </w:rPr>
    </w:lvl>
  </w:abstractNum>
  <w:abstractNum w:abstractNumId="1" w15:restartNumberingAfterBreak="0">
    <w:nsid w:val="23B62E09"/>
    <w:multiLevelType w:val="hybridMultilevel"/>
    <w:tmpl w:val="BB147F66"/>
    <w:lvl w:ilvl="0" w:tplc="88B8900A">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D320C"/>
    <w:multiLevelType w:val="hybridMultilevel"/>
    <w:tmpl w:val="1916BD12"/>
    <w:lvl w:ilvl="0" w:tplc="1652A9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A4686"/>
    <w:multiLevelType w:val="hybridMultilevel"/>
    <w:tmpl w:val="72189844"/>
    <w:lvl w:ilvl="0" w:tplc="284433DE">
      <w:start w:val="1"/>
      <w:numFmt w:val="decimal"/>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0DE365C"/>
    <w:multiLevelType w:val="hybridMultilevel"/>
    <w:tmpl w:val="CDE20138"/>
    <w:lvl w:ilvl="0" w:tplc="9B28B776">
      <w:start w:val="1"/>
      <w:numFmt w:val="lowerLetter"/>
      <w:lvlText w:val="%1)"/>
      <w:lvlJc w:val="left"/>
      <w:pPr>
        <w:ind w:left="360" w:hanging="360"/>
      </w:pPr>
      <w:rPr>
        <w:rFonts w:ascii="Verdana" w:hAnsi="Verdana" w:hint="default"/>
        <w:sz w:val="2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15:restartNumberingAfterBreak="0">
    <w:nsid w:val="41E532F7"/>
    <w:multiLevelType w:val="hybridMultilevel"/>
    <w:tmpl w:val="1EEA76C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2E05C0E"/>
    <w:multiLevelType w:val="hybridMultilevel"/>
    <w:tmpl w:val="D182EA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46080"/>
    <w:multiLevelType w:val="hybridMultilevel"/>
    <w:tmpl w:val="CADAC914"/>
    <w:lvl w:ilvl="0" w:tplc="FFFFFFFF">
      <w:start w:val="1"/>
      <w:numFmt w:val="decimal"/>
      <w:lvlText w:val="%1."/>
      <w:lvlJc w:val="left"/>
      <w:pPr>
        <w:tabs>
          <w:tab w:val="num" w:pos="360"/>
        </w:tabs>
        <w:ind w:left="360" w:hanging="360"/>
      </w:pPr>
    </w:lvl>
    <w:lvl w:ilvl="1" w:tplc="FFFFFFFF">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6F1482D"/>
    <w:multiLevelType w:val="hybridMultilevel"/>
    <w:tmpl w:val="684A5070"/>
    <w:lvl w:ilvl="0" w:tplc="F91E95CE">
      <w:start w:val="1"/>
      <w:numFmt w:val="lowerLetter"/>
      <w:lvlText w:val="%1)"/>
      <w:lvlJc w:val="left"/>
      <w:pPr>
        <w:ind w:left="720" w:hanging="360"/>
      </w:pPr>
      <w:rPr>
        <w:rFonts w:ascii="Verdana" w:hAnsi="Verdana" w:hint="default"/>
        <w:sz w:val="16"/>
        <w:szCs w:val="16"/>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6"/>
  </w:num>
  <w:num w:numId="2">
    <w:abstractNumId w:val="0"/>
  </w:num>
  <w:num w:numId="3">
    <w:abstractNumId w:val="7"/>
  </w:num>
  <w:num w:numId="4">
    <w:abstractNumId w:val="1"/>
  </w:num>
  <w:num w:numId="5">
    <w:abstractNumId w:val="3"/>
  </w:num>
  <w:num w:numId="6">
    <w:abstractNumId w:val="2"/>
  </w:num>
  <w:num w:numId="7">
    <w:abstractNumId w:val="5"/>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45"/>
    <w:rsid w:val="000D499B"/>
    <w:rsid w:val="001C1F90"/>
    <w:rsid w:val="00200D5C"/>
    <w:rsid w:val="00213E62"/>
    <w:rsid w:val="00264063"/>
    <w:rsid w:val="00286319"/>
    <w:rsid w:val="002B1E74"/>
    <w:rsid w:val="00300F65"/>
    <w:rsid w:val="003165E0"/>
    <w:rsid w:val="003A5F45"/>
    <w:rsid w:val="003B497A"/>
    <w:rsid w:val="0042137C"/>
    <w:rsid w:val="00423356"/>
    <w:rsid w:val="004D2C0C"/>
    <w:rsid w:val="005A38A4"/>
    <w:rsid w:val="007B66F7"/>
    <w:rsid w:val="008635F0"/>
    <w:rsid w:val="00885BA5"/>
    <w:rsid w:val="008A3317"/>
    <w:rsid w:val="00A161CB"/>
    <w:rsid w:val="00B6323E"/>
    <w:rsid w:val="00B657C3"/>
    <w:rsid w:val="00B8617A"/>
    <w:rsid w:val="00BA7EEB"/>
    <w:rsid w:val="00C6276C"/>
    <w:rsid w:val="00DB403A"/>
    <w:rsid w:val="00E85126"/>
    <w:rsid w:val="00EB403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097BC"/>
  <w15:docId w15:val="{1C5E6A39-78F4-4359-B424-CAAF6DB3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B657C3"/>
    <w:pPr>
      <w:spacing w:after="0" w:line="240" w:lineRule="auto"/>
      <w:ind w:left="708"/>
    </w:pPr>
    <w:rPr>
      <w:rFonts w:ascii="Times New Roman" w:eastAsia="Times New Roman" w:hAnsi="Times New Roman" w:cs="Times New Roman"/>
      <w:sz w:val="20"/>
      <w:szCs w:val="20"/>
      <w:lang w:val="es-ES" w:eastAsia="es-ES"/>
    </w:rPr>
  </w:style>
  <w:style w:type="paragraph" w:customStyle="1" w:styleId="Default">
    <w:name w:val="Default"/>
    <w:rsid w:val="00B657C3"/>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character" w:customStyle="1" w:styleId="PrrafodelistaCar">
    <w:name w:val="Párrafo de lista Car"/>
    <w:link w:val="Prrafodelista"/>
    <w:uiPriority w:val="34"/>
    <w:locked/>
    <w:rsid w:val="00B657C3"/>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4213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13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991437">
      <w:bodyDiv w:val="1"/>
      <w:marLeft w:val="0"/>
      <w:marRight w:val="0"/>
      <w:marTop w:val="0"/>
      <w:marBottom w:val="0"/>
      <w:divBdr>
        <w:top w:val="none" w:sz="0" w:space="0" w:color="auto"/>
        <w:left w:val="none" w:sz="0" w:space="0" w:color="auto"/>
        <w:bottom w:val="none" w:sz="0" w:space="0" w:color="auto"/>
        <w:right w:val="none" w:sz="0" w:space="0" w:color="auto"/>
      </w:divBdr>
    </w:div>
    <w:div w:id="175901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1654</Words>
  <Characters>9101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Lucrecia Espindola</dc:creator>
  <cp:lastModifiedBy>Lucrecia Espindola</cp:lastModifiedBy>
  <cp:revision>2</cp:revision>
  <cp:lastPrinted>2020-01-11T12:20:00Z</cp:lastPrinted>
  <dcterms:created xsi:type="dcterms:W3CDTF">2020-05-08T16:39:00Z</dcterms:created>
  <dcterms:modified xsi:type="dcterms:W3CDTF">2020-05-08T16:39:00Z</dcterms:modified>
</cp:coreProperties>
</file>