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2EE34A" w14:textId="681CD64B" w:rsidR="00F335FC" w:rsidRPr="00CE678E" w:rsidRDefault="00785BA4" w:rsidP="00B74336">
      <w:pPr>
        <w:pStyle w:val="textonotajustificado"/>
        <w:ind w:left="708" w:hanging="708"/>
        <w:jc w:val="center"/>
        <w:rPr>
          <w:rFonts w:ascii="Palatino Linotype" w:hAnsi="Palatino Linotype"/>
          <w:b/>
          <w:sz w:val="22"/>
        </w:rPr>
      </w:pPr>
      <w:bookmarkStart w:id="0" w:name="_GoBack"/>
      <w:bookmarkEnd w:id="0"/>
      <w:r w:rsidRPr="00CE678E">
        <w:rPr>
          <w:rFonts w:ascii="Palatino Linotype" w:hAnsi="Palatino Linotype"/>
          <w:b/>
          <w:sz w:val="22"/>
        </w:rPr>
        <w:t>G</w:t>
      </w:r>
      <w:r w:rsidR="00F335FC" w:rsidRPr="00CE678E">
        <w:rPr>
          <w:rFonts w:ascii="Palatino Linotype" w:hAnsi="Palatino Linotype"/>
          <w:b/>
          <w:sz w:val="22"/>
        </w:rPr>
        <w:t>LOBAL VALORES S.A.</w:t>
      </w:r>
    </w:p>
    <w:p w14:paraId="4ED24F38" w14:textId="77777777" w:rsidR="00F335FC" w:rsidRPr="00E461D0" w:rsidRDefault="00F335FC" w:rsidP="00F335FC">
      <w:pPr>
        <w:pStyle w:val="textonotajustificado"/>
        <w:jc w:val="center"/>
        <w:rPr>
          <w:rFonts w:ascii="Palatino Linotype" w:hAnsi="Palatino Linotype"/>
          <w:b/>
          <w:sz w:val="22"/>
        </w:rPr>
      </w:pPr>
      <w:r w:rsidRPr="00E461D0">
        <w:rPr>
          <w:rFonts w:ascii="Palatino Linotype" w:hAnsi="Palatino Linotype"/>
          <w:b/>
          <w:sz w:val="22"/>
        </w:rPr>
        <w:t>Emisora</w:t>
      </w:r>
    </w:p>
    <w:p w14:paraId="7536002A" w14:textId="1F42A546" w:rsidR="00F335FC" w:rsidRPr="00E461D0" w:rsidRDefault="00F335FC" w:rsidP="00F335FC">
      <w:pPr>
        <w:pStyle w:val="textonotajustificado"/>
        <w:jc w:val="center"/>
        <w:rPr>
          <w:rFonts w:ascii="Palatino Linotype" w:hAnsi="Palatino Linotype"/>
          <w:b/>
          <w:sz w:val="22"/>
        </w:rPr>
      </w:pPr>
    </w:p>
    <w:p w14:paraId="33B14FE2" w14:textId="17B51851" w:rsidR="00F335FC" w:rsidRPr="00E461D0" w:rsidRDefault="00AE5F6E" w:rsidP="00F335FC">
      <w:pPr>
        <w:pStyle w:val="textonotajustificado"/>
        <w:jc w:val="center"/>
        <w:rPr>
          <w:rFonts w:ascii="Palatino Linotype" w:hAnsi="Palatino Linotype"/>
          <w:b/>
          <w:sz w:val="22"/>
        </w:rPr>
      </w:pPr>
      <w:r w:rsidRPr="00CE678E">
        <w:rPr>
          <w:rFonts w:ascii="Times New Roman" w:hAnsi="Times New Roman"/>
          <w:noProof/>
          <w:lang w:eastAsia="es-AR"/>
        </w:rPr>
        <w:drawing>
          <wp:inline distT="0" distB="0" distL="0" distR="0" wp14:anchorId="502C8C72" wp14:editId="5814C329">
            <wp:extent cx="1962150" cy="71377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lobal_RGB_fondo_blanco_72dpi.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04731" cy="729262"/>
                    </a:xfrm>
                    <a:prstGeom prst="rect">
                      <a:avLst/>
                    </a:prstGeom>
                  </pic:spPr>
                </pic:pic>
              </a:graphicData>
            </a:graphic>
          </wp:inline>
        </w:drawing>
      </w:r>
    </w:p>
    <w:p w14:paraId="3452580F" w14:textId="77777777" w:rsidR="00F335FC" w:rsidRPr="00E461D0" w:rsidRDefault="00F335FC" w:rsidP="00F335FC">
      <w:pPr>
        <w:pStyle w:val="textonotajustificado"/>
        <w:jc w:val="center"/>
        <w:rPr>
          <w:rFonts w:ascii="Palatino Linotype" w:hAnsi="Palatino Linotype"/>
          <w:smallCaps/>
          <w:sz w:val="22"/>
          <w:szCs w:val="22"/>
          <w:lang w:eastAsia="es-ES"/>
        </w:rPr>
      </w:pPr>
    </w:p>
    <w:p w14:paraId="560911D0" w14:textId="1AC591A2" w:rsidR="00F335FC" w:rsidRPr="00E461D0" w:rsidRDefault="00F335FC" w:rsidP="00F335FC">
      <w:pPr>
        <w:pStyle w:val="textonotajustificado"/>
        <w:spacing w:after="120"/>
        <w:ind w:firstLine="709"/>
        <w:jc w:val="center"/>
        <w:rPr>
          <w:rFonts w:ascii="Palatino Linotype" w:hAnsi="Palatino Linotype"/>
          <w:b/>
          <w:smallCaps/>
          <w:sz w:val="22"/>
          <w:szCs w:val="22"/>
          <w:lang w:eastAsia="es-ES"/>
        </w:rPr>
      </w:pPr>
      <w:r w:rsidRPr="00E461D0">
        <w:rPr>
          <w:rFonts w:ascii="Palatino Linotype" w:hAnsi="Palatino Linotype"/>
          <w:b/>
          <w:smallCaps/>
          <w:sz w:val="22"/>
          <w:szCs w:val="22"/>
          <w:lang w:eastAsia="es-ES"/>
        </w:rPr>
        <w:t>PROGRAMA GLOBAL DE EMISIÓN DE OBLIGACIONES NEGOCIABLES SIMPLES (NO CONVERTIBLES EN ACCIONES) BAJO EL RÉGIMEN PYME CNV POR UN VALOR NOMINAL DE HASTA $</w:t>
      </w:r>
      <w:r w:rsidR="0091601E" w:rsidRPr="00E461D0">
        <w:rPr>
          <w:rFonts w:ascii="Palatino Linotype" w:hAnsi="Palatino Linotype"/>
          <w:b/>
          <w:smallCaps/>
          <w:sz w:val="22"/>
          <w:szCs w:val="22"/>
          <w:lang w:eastAsia="es-ES"/>
        </w:rPr>
        <w:t>2</w:t>
      </w:r>
      <w:r w:rsidRPr="00E461D0">
        <w:rPr>
          <w:rFonts w:ascii="Palatino Linotype" w:hAnsi="Palatino Linotype"/>
          <w:b/>
          <w:smallCaps/>
          <w:sz w:val="22"/>
          <w:szCs w:val="22"/>
          <w:lang w:eastAsia="es-ES"/>
        </w:rPr>
        <w:t>00.000.000 (O SU EQUIVALENTE EN OTRAS MONEDAS)</w:t>
      </w:r>
    </w:p>
    <w:p w14:paraId="34FD34A6" w14:textId="089BA77B" w:rsidR="00F335FC" w:rsidRPr="00E461D0" w:rsidRDefault="00F335FC" w:rsidP="00F335FC">
      <w:pPr>
        <w:widowControl/>
        <w:spacing w:after="120"/>
        <w:jc w:val="both"/>
        <w:rPr>
          <w:rFonts w:ascii="Palatino Linotype" w:hAnsi="Palatino Linotype"/>
          <w:sz w:val="22"/>
          <w:szCs w:val="22"/>
          <w:lang w:eastAsia="es-ES"/>
        </w:rPr>
      </w:pPr>
      <w:r w:rsidRPr="00E461D0">
        <w:rPr>
          <w:rFonts w:ascii="Palatino Linotype" w:hAnsi="Palatino Linotype"/>
          <w:sz w:val="22"/>
        </w:rPr>
        <w:t>El presente prospecto (el “</w:t>
      </w:r>
      <w:r w:rsidRPr="00E461D0">
        <w:rPr>
          <w:rFonts w:ascii="Palatino Linotype" w:hAnsi="Palatino Linotype"/>
          <w:sz w:val="22"/>
          <w:u w:val="single"/>
        </w:rPr>
        <w:t>Prospecto</w:t>
      </w:r>
      <w:r w:rsidRPr="00E461D0">
        <w:rPr>
          <w:rFonts w:ascii="Palatino Linotype" w:hAnsi="Palatino Linotype"/>
          <w:sz w:val="22"/>
        </w:rPr>
        <w:t>”) corresponde al programa global de emisión de obligaciones negociables de</w:t>
      </w:r>
      <w:r w:rsidRPr="00E461D0">
        <w:rPr>
          <w:rFonts w:ascii="Palatino Linotype" w:hAnsi="Palatino Linotype"/>
          <w:sz w:val="22"/>
          <w:szCs w:val="22"/>
          <w:lang w:eastAsia="es-ES"/>
        </w:rPr>
        <w:t xml:space="preserve"> </w:t>
      </w:r>
      <w:r w:rsidRPr="00E461D0">
        <w:rPr>
          <w:rFonts w:ascii="Palatino Linotype" w:hAnsi="Palatino Linotype"/>
          <w:sz w:val="22"/>
        </w:rPr>
        <w:t xml:space="preserve">Global Valores S.A. </w:t>
      </w:r>
      <w:r w:rsidRPr="00E461D0">
        <w:rPr>
          <w:rFonts w:ascii="Palatino Linotype" w:hAnsi="Palatino Linotype"/>
          <w:sz w:val="22"/>
          <w:szCs w:val="22"/>
          <w:lang w:eastAsia="es-ES"/>
        </w:rPr>
        <w:t>(indistintamente “</w:t>
      </w:r>
      <w:r w:rsidRPr="00E461D0">
        <w:rPr>
          <w:rFonts w:ascii="Palatino Linotype" w:hAnsi="Palatino Linotype"/>
          <w:sz w:val="22"/>
          <w:szCs w:val="22"/>
          <w:u w:val="single"/>
          <w:lang w:eastAsia="es-ES"/>
        </w:rPr>
        <w:t>Global</w:t>
      </w:r>
      <w:r w:rsidRPr="00E461D0">
        <w:rPr>
          <w:rFonts w:ascii="Palatino Linotype" w:hAnsi="Palatino Linotype"/>
          <w:sz w:val="22"/>
          <w:szCs w:val="22"/>
          <w:lang w:eastAsia="es-ES"/>
        </w:rPr>
        <w:t>” o la</w:t>
      </w:r>
      <w:r w:rsidR="00B3792D" w:rsidRPr="00E461D0">
        <w:rPr>
          <w:rFonts w:ascii="Palatino Linotype" w:hAnsi="Palatino Linotype"/>
          <w:sz w:val="22"/>
          <w:szCs w:val="22"/>
          <w:lang w:eastAsia="es-ES"/>
        </w:rPr>
        <w:t xml:space="preserve"> “</w:t>
      </w:r>
      <w:r w:rsidR="00B3792D" w:rsidRPr="00E461D0">
        <w:rPr>
          <w:rFonts w:ascii="Palatino Linotype" w:hAnsi="Palatino Linotype"/>
          <w:sz w:val="22"/>
          <w:szCs w:val="22"/>
          <w:u w:val="single"/>
          <w:lang w:eastAsia="es-ES"/>
        </w:rPr>
        <w:t>Compañía</w:t>
      </w:r>
      <w:r w:rsidR="00B3792D" w:rsidRPr="00E461D0">
        <w:rPr>
          <w:rFonts w:ascii="Palatino Linotype" w:hAnsi="Palatino Linotype"/>
          <w:sz w:val="22"/>
          <w:szCs w:val="22"/>
          <w:lang w:eastAsia="es-ES"/>
        </w:rPr>
        <w:t>”,</w:t>
      </w:r>
      <w:r w:rsidRPr="00E461D0">
        <w:rPr>
          <w:rFonts w:ascii="Palatino Linotype" w:hAnsi="Palatino Linotype"/>
          <w:sz w:val="22"/>
          <w:szCs w:val="22"/>
          <w:lang w:eastAsia="es-ES"/>
        </w:rPr>
        <w:t xml:space="preserve"> </w:t>
      </w:r>
      <w:r w:rsidR="00B3792D" w:rsidRPr="00E461D0">
        <w:rPr>
          <w:rFonts w:ascii="Palatino Linotype" w:hAnsi="Palatino Linotype"/>
          <w:sz w:val="22"/>
          <w:szCs w:val="22"/>
          <w:lang w:eastAsia="es-ES"/>
        </w:rPr>
        <w:t xml:space="preserve">la </w:t>
      </w:r>
      <w:r w:rsidRPr="00E461D0">
        <w:rPr>
          <w:rFonts w:ascii="Palatino Linotype" w:hAnsi="Palatino Linotype"/>
          <w:sz w:val="22"/>
          <w:szCs w:val="22"/>
          <w:lang w:eastAsia="es-ES"/>
        </w:rPr>
        <w:t>“</w:t>
      </w:r>
      <w:r w:rsidRPr="00E461D0">
        <w:rPr>
          <w:rFonts w:ascii="Palatino Linotype" w:hAnsi="Palatino Linotype"/>
          <w:sz w:val="22"/>
          <w:szCs w:val="22"/>
          <w:u w:val="single"/>
          <w:lang w:eastAsia="es-ES"/>
        </w:rPr>
        <w:t>Sociedad</w:t>
      </w:r>
      <w:r w:rsidR="00904F57" w:rsidRPr="00E461D0">
        <w:rPr>
          <w:rFonts w:ascii="Palatino Linotype" w:hAnsi="Palatino Linotype"/>
          <w:sz w:val="22"/>
          <w:szCs w:val="22"/>
          <w:lang w:eastAsia="es-ES"/>
        </w:rPr>
        <w:t>” o la “</w:t>
      </w:r>
      <w:r w:rsidRPr="00E461D0">
        <w:rPr>
          <w:rFonts w:ascii="Palatino Linotype" w:hAnsi="Palatino Linotype"/>
          <w:sz w:val="22"/>
          <w:szCs w:val="22"/>
          <w:u w:val="single"/>
          <w:lang w:eastAsia="es-ES"/>
        </w:rPr>
        <w:t>Emisora</w:t>
      </w:r>
      <w:r w:rsidR="00904F57" w:rsidRPr="00E461D0">
        <w:rPr>
          <w:rFonts w:ascii="Palatino Linotype" w:hAnsi="Palatino Linotype"/>
          <w:sz w:val="22"/>
          <w:szCs w:val="22"/>
          <w:lang w:eastAsia="es-ES"/>
        </w:rPr>
        <w:t>”</w:t>
      </w:r>
      <w:r w:rsidRPr="00E461D0">
        <w:rPr>
          <w:rFonts w:ascii="Palatino Linotype" w:hAnsi="Palatino Linotype"/>
          <w:sz w:val="22"/>
          <w:szCs w:val="22"/>
          <w:lang w:eastAsia="es-ES"/>
        </w:rPr>
        <w:t xml:space="preserve">) </w:t>
      </w:r>
      <w:r w:rsidRPr="00E461D0">
        <w:rPr>
          <w:rFonts w:ascii="Palatino Linotype" w:hAnsi="Palatino Linotype"/>
          <w:sz w:val="22"/>
        </w:rPr>
        <w:t>de emisión de obligaciones negociables simples (no convertibles en acciones), bajo la Ley Nº 23.576 de la República Argentina (“</w:t>
      </w:r>
      <w:r w:rsidRPr="00E461D0">
        <w:rPr>
          <w:rFonts w:ascii="Palatino Linotype" w:hAnsi="Palatino Linotype"/>
          <w:sz w:val="22"/>
          <w:u w:val="single"/>
        </w:rPr>
        <w:t>Argentina</w:t>
      </w:r>
      <w:r w:rsidRPr="00E461D0">
        <w:rPr>
          <w:rFonts w:ascii="Palatino Linotype" w:hAnsi="Palatino Linotype"/>
          <w:sz w:val="22"/>
        </w:rPr>
        <w:t>”) y sus modificaciones (la “</w:t>
      </w:r>
      <w:r w:rsidRPr="00E461D0">
        <w:rPr>
          <w:rFonts w:ascii="Palatino Linotype" w:hAnsi="Palatino Linotype"/>
          <w:sz w:val="22"/>
          <w:u w:val="single"/>
        </w:rPr>
        <w:t>Ley de Obligaciones Negociables</w:t>
      </w:r>
      <w:r w:rsidRPr="00E461D0">
        <w:rPr>
          <w:rFonts w:ascii="Palatino Linotype" w:hAnsi="Palatino Linotype"/>
          <w:sz w:val="22"/>
        </w:rPr>
        <w:t xml:space="preserve">”), la Ley Nº 26.831 de Mercado de Capitales y sus modificatorias y reglamentarias incluyendo, sin limitación, el Decreto N° </w:t>
      </w:r>
      <w:r w:rsidRPr="00E461D0">
        <w:rPr>
          <w:rFonts w:ascii="Palatino Linotype" w:hAnsi="Palatino Linotype"/>
          <w:bCs/>
          <w:sz w:val="22"/>
          <w:szCs w:val="22"/>
          <w:lang w:eastAsia="ar-SA"/>
        </w:rPr>
        <w:t>471/2018, el Decreto N° 27/2018</w:t>
      </w:r>
      <w:r w:rsidRPr="00E461D0">
        <w:rPr>
          <w:rFonts w:ascii="Palatino Linotype" w:hAnsi="Palatino Linotype"/>
          <w:sz w:val="22"/>
        </w:rPr>
        <w:t xml:space="preserve"> (la “</w:t>
      </w:r>
      <w:r w:rsidRPr="00E461D0">
        <w:rPr>
          <w:rFonts w:ascii="Palatino Linotype" w:hAnsi="Palatino Linotype"/>
          <w:sz w:val="22"/>
          <w:u w:val="single"/>
        </w:rPr>
        <w:t>Ley de Mercado de Capitales</w:t>
      </w:r>
      <w:r w:rsidRPr="00E461D0">
        <w:rPr>
          <w:rFonts w:ascii="Palatino Linotype" w:hAnsi="Palatino Linotype"/>
          <w:sz w:val="22"/>
        </w:rPr>
        <w:t>”), y las normas de la Comisión Nacional de Valores (la “</w:t>
      </w:r>
      <w:r w:rsidRPr="00E461D0">
        <w:rPr>
          <w:rFonts w:ascii="Palatino Linotype" w:hAnsi="Palatino Linotype"/>
          <w:sz w:val="22"/>
          <w:u w:val="single"/>
        </w:rPr>
        <w:t>CNV</w:t>
      </w:r>
      <w:r w:rsidRPr="00E461D0">
        <w:rPr>
          <w:rFonts w:ascii="Palatino Linotype" w:hAnsi="Palatino Linotype"/>
          <w:sz w:val="22"/>
        </w:rPr>
        <w:t>”), según texto ordenado mediante la Resolución N° 622/2013 T.O. 2013 (junto con sus modificatorias y complementarias, las “</w:t>
      </w:r>
      <w:r w:rsidRPr="00E461D0">
        <w:rPr>
          <w:rFonts w:ascii="Palatino Linotype" w:hAnsi="Palatino Linotype"/>
          <w:sz w:val="22"/>
          <w:u w:val="single"/>
        </w:rPr>
        <w:t>Normas de la CNV</w:t>
      </w:r>
      <w:r w:rsidRPr="00E461D0">
        <w:rPr>
          <w:rFonts w:ascii="Palatino Linotype" w:hAnsi="Palatino Linotype"/>
          <w:sz w:val="22"/>
        </w:rPr>
        <w:t xml:space="preserve">”) </w:t>
      </w:r>
      <w:r w:rsidRPr="00E461D0">
        <w:rPr>
          <w:rFonts w:ascii="Palatino Linotype" w:hAnsi="Palatino Linotype"/>
          <w:sz w:val="22"/>
          <w:szCs w:val="22"/>
          <w:lang w:eastAsia="es-ES"/>
        </w:rPr>
        <w:t>(las “</w:t>
      </w:r>
      <w:r w:rsidRPr="00E461D0">
        <w:rPr>
          <w:rFonts w:ascii="Palatino Linotype" w:hAnsi="Palatino Linotype"/>
          <w:sz w:val="22"/>
          <w:szCs w:val="22"/>
          <w:u w:val="single"/>
          <w:lang w:eastAsia="es-ES"/>
        </w:rPr>
        <w:t>ON PyME</w:t>
      </w:r>
      <w:r w:rsidRPr="00E461D0">
        <w:rPr>
          <w:rFonts w:ascii="Palatino Linotype" w:hAnsi="Palatino Linotype"/>
          <w:sz w:val="22"/>
          <w:szCs w:val="22"/>
          <w:lang w:eastAsia="es-ES"/>
        </w:rPr>
        <w:t>” u “</w:t>
      </w:r>
      <w:r w:rsidRPr="00E461D0">
        <w:rPr>
          <w:rFonts w:ascii="Palatino Linotype" w:hAnsi="Palatino Linotype"/>
          <w:sz w:val="22"/>
          <w:szCs w:val="22"/>
          <w:u w:val="single"/>
          <w:lang w:eastAsia="es-ES"/>
        </w:rPr>
        <w:t>Obligaciones Negociables PyME</w:t>
      </w:r>
      <w:r w:rsidRPr="00E461D0">
        <w:rPr>
          <w:rFonts w:ascii="Palatino Linotype" w:hAnsi="Palatino Linotype"/>
          <w:sz w:val="22"/>
          <w:szCs w:val="22"/>
          <w:lang w:eastAsia="es-ES"/>
        </w:rPr>
        <w:t>”)</w:t>
      </w:r>
      <w:r w:rsidRPr="00E461D0">
        <w:rPr>
          <w:rFonts w:ascii="Palatino Linotype" w:hAnsi="Palatino Linotype"/>
          <w:sz w:val="22"/>
        </w:rPr>
        <w:t xml:space="preserve"> bajo el régimen de pequeñas y medianas empresas de la CNV (“</w:t>
      </w:r>
      <w:r w:rsidRPr="00E461D0">
        <w:rPr>
          <w:rFonts w:ascii="Palatino Linotype" w:hAnsi="Palatino Linotype"/>
          <w:sz w:val="22"/>
          <w:u w:val="single"/>
        </w:rPr>
        <w:t>PyME</w:t>
      </w:r>
      <w:r w:rsidRPr="00E461D0">
        <w:rPr>
          <w:rFonts w:ascii="Palatino Linotype" w:hAnsi="Palatino Linotype"/>
          <w:sz w:val="22"/>
        </w:rPr>
        <w:t xml:space="preserve">”) por un valor nominal de hasta $ </w:t>
      </w:r>
      <w:r w:rsidR="0091601E" w:rsidRPr="00E461D0">
        <w:rPr>
          <w:rFonts w:ascii="Palatino Linotype" w:hAnsi="Palatino Linotype"/>
          <w:sz w:val="22"/>
          <w:szCs w:val="22"/>
          <w:lang w:eastAsia="ar-SA"/>
        </w:rPr>
        <w:t>2</w:t>
      </w:r>
      <w:r w:rsidRPr="00E461D0">
        <w:rPr>
          <w:rFonts w:ascii="Palatino Linotype" w:hAnsi="Palatino Linotype"/>
          <w:sz w:val="22"/>
          <w:szCs w:val="22"/>
          <w:lang w:eastAsia="ar-SA"/>
        </w:rPr>
        <w:t>00</w:t>
      </w:r>
      <w:r w:rsidRPr="00E461D0">
        <w:rPr>
          <w:rFonts w:ascii="Palatino Linotype" w:hAnsi="Palatino Linotype"/>
          <w:sz w:val="22"/>
        </w:rPr>
        <w:t xml:space="preserve">.000.000 (Pesos </w:t>
      </w:r>
      <w:r w:rsidR="0091601E" w:rsidRPr="00E461D0">
        <w:rPr>
          <w:rFonts w:ascii="Palatino Linotype" w:hAnsi="Palatino Linotype"/>
          <w:sz w:val="22"/>
          <w:szCs w:val="22"/>
          <w:lang w:eastAsia="ar-SA"/>
        </w:rPr>
        <w:t>doscientos</w:t>
      </w:r>
      <w:r w:rsidR="0091601E" w:rsidRPr="00E461D0">
        <w:rPr>
          <w:rFonts w:ascii="Palatino Linotype" w:hAnsi="Palatino Linotype"/>
          <w:sz w:val="22"/>
        </w:rPr>
        <w:t xml:space="preserve"> </w:t>
      </w:r>
      <w:r w:rsidRPr="00E461D0">
        <w:rPr>
          <w:rFonts w:ascii="Palatino Linotype" w:hAnsi="Palatino Linotype"/>
          <w:sz w:val="22"/>
        </w:rPr>
        <w:t>millones) (o su equivalente en otras monedas) en circulación en cualquier momento (el “</w:t>
      </w:r>
      <w:r w:rsidRPr="00E461D0">
        <w:rPr>
          <w:rFonts w:ascii="Palatino Linotype" w:hAnsi="Palatino Linotype"/>
          <w:sz w:val="22"/>
          <w:u w:val="single"/>
        </w:rPr>
        <w:t>Programa</w:t>
      </w:r>
      <w:r w:rsidRPr="00E461D0">
        <w:rPr>
          <w:rFonts w:ascii="Palatino Linotype" w:hAnsi="Palatino Linotype"/>
          <w:sz w:val="22"/>
        </w:rPr>
        <w:t>”)</w:t>
      </w:r>
      <w:r w:rsidRPr="00E461D0">
        <w:rPr>
          <w:rFonts w:ascii="Palatino Linotype" w:hAnsi="Palatino Linotype"/>
          <w:sz w:val="22"/>
          <w:szCs w:val="22"/>
          <w:lang w:eastAsia="es-ES"/>
        </w:rPr>
        <w:t>. Las condiciones generales del Programa se encuentran descriptas en el presente Prospecto. Las condiciones particulares de las Obligaciones Negociables Py</w:t>
      </w:r>
      <w:r w:rsidR="00AE5F6E" w:rsidRPr="00E461D0">
        <w:rPr>
          <w:rFonts w:ascii="Palatino Linotype" w:hAnsi="Palatino Linotype"/>
          <w:sz w:val="22"/>
          <w:szCs w:val="22"/>
          <w:lang w:eastAsia="es-ES"/>
        </w:rPr>
        <w:t>ME</w:t>
      </w:r>
      <w:r w:rsidRPr="00E461D0">
        <w:rPr>
          <w:rFonts w:ascii="Palatino Linotype" w:hAnsi="Palatino Linotype"/>
          <w:sz w:val="22"/>
          <w:szCs w:val="22"/>
          <w:lang w:eastAsia="es-ES"/>
        </w:rPr>
        <w:t xml:space="preserve"> que se emitan bajo el Programa se encontrarán descriptas en los suplementos de </w:t>
      </w:r>
      <w:r w:rsidR="00B3792D" w:rsidRPr="00E461D0">
        <w:rPr>
          <w:rFonts w:ascii="Palatino Linotype" w:hAnsi="Palatino Linotype"/>
          <w:sz w:val="22"/>
          <w:szCs w:val="22"/>
          <w:lang w:eastAsia="es-ES"/>
        </w:rPr>
        <w:t xml:space="preserve">prospecto </w:t>
      </w:r>
      <w:r w:rsidRPr="00E461D0">
        <w:rPr>
          <w:rFonts w:ascii="Palatino Linotype" w:hAnsi="Palatino Linotype"/>
          <w:sz w:val="22"/>
          <w:szCs w:val="22"/>
          <w:lang w:eastAsia="es-ES"/>
        </w:rPr>
        <w:t>correspondientes a cada emisión de Obligaciones Negociables Py</w:t>
      </w:r>
      <w:r w:rsidR="00AE5F6E" w:rsidRPr="00E461D0">
        <w:rPr>
          <w:rFonts w:ascii="Palatino Linotype" w:hAnsi="Palatino Linotype"/>
          <w:sz w:val="22"/>
          <w:szCs w:val="22"/>
          <w:lang w:eastAsia="es-ES"/>
        </w:rPr>
        <w:t>ME</w:t>
      </w:r>
      <w:r w:rsidRPr="00E461D0">
        <w:rPr>
          <w:rFonts w:ascii="Palatino Linotype" w:hAnsi="Palatino Linotype"/>
          <w:sz w:val="22"/>
          <w:szCs w:val="22"/>
          <w:lang w:eastAsia="es-ES"/>
        </w:rPr>
        <w:t xml:space="preserve"> (el “</w:t>
      </w:r>
      <w:r w:rsidRPr="00E461D0">
        <w:rPr>
          <w:rFonts w:ascii="Palatino Linotype" w:hAnsi="Palatino Linotype"/>
          <w:sz w:val="22"/>
          <w:szCs w:val="22"/>
          <w:u w:val="single"/>
          <w:lang w:eastAsia="es-ES"/>
        </w:rPr>
        <w:t xml:space="preserve">Suplemento de </w:t>
      </w:r>
      <w:r w:rsidR="00386CA1" w:rsidRPr="00E461D0">
        <w:rPr>
          <w:rFonts w:ascii="Palatino Linotype" w:hAnsi="Palatino Linotype"/>
          <w:sz w:val="22"/>
          <w:szCs w:val="22"/>
          <w:u w:val="single"/>
          <w:lang w:eastAsia="es-ES"/>
        </w:rPr>
        <w:t>Prospecto</w:t>
      </w:r>
      <w:r w:rsidRPr="00E461D0">
        <w:rPr>
          <w:rFonts w:ascii="Palatino Linotype" w:hAnsi="Palatino Linotype"/>
          <w:sz w:val="22"/>
          <w:szCs w:val="22"/>
          <w:lang w:eastAsia="es-ES"/>
        </w:rPr>
        <w:t>”). Las Obligaciones Negociables Py</w:t>
      </w:r>
      <w:r w:rsidR="00AE5F6E" w:rsidRPr="00E461D0">
        <w:rPr>
          <w:rFonts w:ascii="Palatino Linotype" w:hAnsi="Palatino Linotype"/>
          <w:sz w:val="22"/>
          <w:szCs w:val="22"/>
          <w:lang w:eastAsia="es-ES"/>
        </w:rPr>
        <w:t>ME</w:t>
      </w:r>
      <w:r w:rsidRPr="00E461D0">
        <w:rPr>
          <w:rFonts w:ascii="Palatino Linotype" w:hAnsi="Palatino Linotype"/>
          <w:sz w:val="22"/>
          <w:szCs w:val="22"/>
          <w:lang w:eastAsia="es-ES"/>
        </w:rPr>
        <w:t xml:space="preserve"> constituirán obligaciones directas, incondicionales, que podrán ser privilegiadas o no y subordinadas o no, de</w:t>
      </w:r>
      <w:r w:rsidR="00AE5F6E" w:rsidRPr="00E461D0">
        <w:rPr>
          <w:rFonts w:ascii="Palatino Linotype" w:hAnsi="Palatino Linotype"/>
          <w:sz w:val="22"/>
          <w:szCs w:val="22"/>
          <w:lang w:eastAsia="es-ES"/>
        </w:rPr>
        <w:t xml:space="preserve"> La </w:t>
      </w:r>
      <w:r w:rsidRPr="00E461D0">
        <w:rPr>
          <w:rFonts w:ascii="Palatino Linotype" w:hAnsi="Palatino Linotype"/>
          <w:sz w:val="22"/>
          <w:szCs w:val="22"/>
          <w:lang w:eastAsia="es-ES"/>
        </w:rPr>
        <w:t>Emisor</w:t>
      </w:r>
      <w:r w:rsidR="00AE5F6E" w:rsidRPr="00E461D0">
        <w:rPr>
          <w:rFonts w:ascii="Palatino Linotype" w:hAnsi="Palatino Linotype"/>
          <w:sz w:val="22"/>
          <w:szCs w:val="22"/>
          <w:lang w:eastAsia="es-ES"/>
        </w:rPr>
        <w:t>a</w:t>
      </w:r>
      <w:r w:rsidRPr="00E461D0">
        <w:rPr>
          <w:rFonts w:ascii="Palatino Linotype" w:hAnsi="Palatino Linotype"/>
          <w:sz w:val="22"/>
          <w:szCs w:val="22"/>
          <w:lang w:eastAsia="es-ES"/>
        </w:rPr>
        <w:t xml:space="preserve"> y que podrán ser ofrecidas en clases separadas (cada una, una “</w:t>
      </w:r>
      <w:r w:rsidRPr="00E461D0">
        <w:rPr>
          <w:rFonts w:ascii="Palatino Linotype" w:hAnsi="Palatino Linotype"/>
          <w:sz w:val="22"/>
          <w:szCs w:val="22"/>
          <w:u w:val="single"/>
          <w:lang w:eastAsia="es-ES"/>
        </w:rPr>
        <w:t>Clase</w:t>
      </w:r>
      <w:r w:rsidRPr="00E461D0">
        <w:rPr>
          <w:rFonts w:ascii="Palatino Linotype" w:hAnsi="Palatino Linotype"/>
          <w:sz w:val="22"/>
          <w:szCs w:val="22"/>
          <w:lang w:eastAsia="es-ES"/>
        </w:rPr>
        <w:t>”) y éstas a su vez podrán dividirse en series (cada una, una “</w:t>
      </w:r>
      <w:r w:rsidRPr="00E461D0">
        <w:rPr>
          <w:rFonts w:ascii="Palatino Linotype" w:hAnsi="Palatino Linotype"/>
          <w:sz w:val="22"/>
          <w:szCs w:val="22"/>
          <w:u w:val="single"/>
          <w:lang w:eastAsia="es-ES"/>
        </w:rPr>
        <w:t>Serie</w:t>
      </w:r>
      <w:r w:rsidRPr="00E461D0">
        <w:rPr>
          <w:rFonts w:ascii="Palatino Linotype" w:hAnsi="Palatino Linotype"/>
          <w:sz w:val="22"/>
          <w:szCs w:val="22"/>
          <w:lang w:eastAsia="es-ES"/>
        </w:rPr>
        <w:t xml:space="preserve">”), en los montos, precios y bajo las condiciones que se especifiquen en el </w:t>
      </w:r>
      <w:r w:rsidR="00B3792D" w:rsidRPr="00E461D0">
        <w:rPr>
          <w:rFonts w:ascii="Palatino Linotype" w:hAnsi="Palatino Linotype"/>
          <w:sz w:val="22"/>
          <w:szCs w:val="22"/>
          <w:lang w:eastAsia="es-ES"/>
        </w:rPr>
        <w:t>Suplemento de Prospecto</w:t>
      </w:r>
      <w:r w:rsidRPr="00E461D0">
        <w:rPr>
          <w:rFonts w:ascii="Palatino Linotype" w:hAnsi="Palatino Linotype"/>
          <w:sz w:val="22"/>
          <w:szCs w:val="22"/>
          <w:lang w:eastAsia="es-ES"/>
        </w:rPr>
        <w:t xml:space="preserve"> correspondiente. Las condiciones generales del Programa aplicarán a cada Clase y/o Serie que se emita en todo aquello que no fuera establecido por las condiciones particulares de la respectiva Clase y/o Serie que se establezcan en el </w:t>
      </w:r>
      <w:r w:rsidR="00B3792D" w:rsidRPr="00E461D0">
        <w:rPr>
          <w:rFonts w:ascii="Palatino Linotype" w:hAnsi="Palatino Linotype"/>
          <w:sz w:val="22"/>
          <w:szCs w:val="22"/>
          <w:lang w:eastAsia="es-ES"/>
        </w:rPr>
        <w:t>Suplemento de Prospecto</w:t>
      </w:r>
      <w:r w:rsidRPr="00E461D0">
        <w:rPr>
          <w:rFonts w:ascii="Palatino Linotype" w:hAnsi="Palatino Linotype"/>
          <w:sz w:val="22"/>
          <w:szCs w:val="22"/>
          <w:lang w:eastAsia="es-ES"/>
        </w:rPr>
        <w:t xml:space="preserve"> correspondiente. </w:t>
      </w:r>
    </w:p>
    <w:p w14:paraId="70D9A735" w14:textId="77777777" w:rsidR="00F335FC" w:rsidRPr="00E461D0" w:rsidRDefault="00F335FC" w:rsidP="003C15F8">
      <w:pPr>
        <w:widowControl/>
        <w:spacing w:after="120"/>
        <w:jc w:val="both"/>
        <w:rPr>
          <w:rFonts w:ascii="Palatino Linotype" w:hAnsi="Palatino Linotype"/>
          <w:b/>
          <w:bCs/>
          <w:sz w:val="22"/>
          <w:szCs w:val="22"/>
          <w:lang w:eastAsia="es-ES"/>
        </w:rPr>
      </w:pPr>
      <w:r w:rsidRPr="00E461D0">
        <w:rPr>
          <w:rFonts w:ascii="Palatino Linotype" w:hAnsi="Palatino Linotype"/>
          <w:b/>
          <w:bCs/>
          <w:sz w:val="22"/>
          <w:szCs w:val="22"/>
          <w:lang w:eastAsia="es-ES"/>
        </w:rPr>
        <w:t xml:space="preserve">EL PROGRAMA NO CUENTA CON CALIFICACIÓN DE RIESGO. LAS OBLIGACIONES NEGOCIABLES PYME QUE SE EMITAN BAJO EL MISMO PODRÁN CONTAR CON CALIFICACIÓN DE RIESGO SEGÚN SE ESPECIFIQUE EN LOS SUPLEMENTOS DE </w:t>
      </w:r>
      <w:r w:rsidR="00B3792D" w:rsidRPr="00E461D0">
        <w:rPr>
          <w:rFonts w:ascii="Palatino Linotype" w:hAnsi="Palatino Linotype"/>
          <w:b/>
          <w:bCs/>
          <w:sz w:val="22"/>
          <w:szCs w:val="22"/>
          <w:lang w:eastAsia="es-ES"/>
        </w:rPr>
        <w:t xml:space="preserve">PROSPECTO </w:t>
      </w:r>
      <w:r w:rsidRPr="00E461D0">
        <w:rPr>
          <w:rFonts w:ascii="Palatino Linotype" w:hAnsi="Palatino Linotype"/>
          <w:b/>
          <w:bCs/>
          <w:sz w:val="22"/>
          <w:szCs w:val="22"/>
          <w:lang w:eastAsia="es-ES"/>
        </w:rPr>
        <w:t>CORRESPONDIENTES.</w:t>
      </w:r>
    </w:p>
    <w:p w14:paraId="68F09376" w14:textId="407E56B5" w:rsidR="00F335FC" w:rsidRPr="00E461D0" w:rsidRDefault="00F335FC" w:rsidP="00F335FC">
      <w:pPr>
        <w:widowControl/>
        <w:spacing w:before="270" w:after="270"/>
        <w:jc w:val="both"/>
        <w:rPr>
          <w:rFonts w:ascii="Palatino Linotype" w:hAnsi="Palatino Linotype"/>
          <w:iCs/>
          <w:color w:val="auto"/>
        </w:rPr>
      </w:pPr>
      <w:r w:rsidRPr="00E461D0">
        <w:rPr>
          <w:rFonts w:ascii="Palatino Linotype" w:hAnsi="Palatino Linotype"/>
          <w:iCs/>
          <w:color w:val="auto"/>
        </w:rPr>
        <w:lastRenderedPageBreak/>
        <w:t xml:space="preserve">Oferta pública autorizada en los términos de la Ley N° 26.831, los Decretos N° 1.087/93 y 1.023/13 y Normas de la Comisión Nacional de Valores, registrada bajo Resolución N° </w:t>
      </w:r>
      <w:r w:rsidR="002774AC">
        <w:rPr>
          <w:rFonts w:ascii="Palatino Linotype" w:hAnsi="Palatino Linotype"/>
          <w:iCs/>
          <w:color w:val="auto"/>
        </w:rPr>
        <w:t>RESFC-2019-20556-APN-DIR#CNV del Directorio</w:t>
      </w:r>
      <w:r w:rsidRPr="00E461D0">
        <w:rPr>
          <w:rFonts w:ascii="Palatino Linotype" w:hAnsi="Palatino Linotype"/>
          <w:iCs/>
          <w:color w:val="auto"/>
        </w:rPr>
        <w:t xml:space="preserve"> de la Comisión Nacional de Valores, cuya negociación se encuentra reservada con exclusividad a inversores calificados. Esta autorización sólo significa que se ha cumplido con los requisitos establecidos en materia de información. La Comisión Nacional de Valores no ha emitido juicio sobre los datos contenidos en el prospecto. La veracidad de la información contable, financiera y económica, así como de toda otra información suministrada en el presente prospecto es exclusiva responsabilidad del órgano de administración de la emisora y demás responsables según los artículos 119 y 120 de la Ley N° 26.831. El órgano de administración manifiesta, con carácter de declaración jurada, que el presente prospecto contiene, a la fecha de su publicación, información veraz y suficiente sobre todo hecho relevante que pueda afectar la situación patrimonial, económica y financiera de la emisora y de toda aquella que deba ser de conocimiento de los inversores calificados con relación a la presente emisión, conforme a las normas vigentes.</w:t>
      </w:r>
    </w:p>
    <w:p w14:paraId="705615C4" w14:textId="77777777" w:rsidR="00D61D64" w:rsidRPr="00E461D0" w:rsidRDefault="00D61D64" w:rsidP="00D61D64">
      <w:pPr>
        <w:widowControl/>
        <w:spacing w:before="270" w:after="270"/>
        <w:jc w:val="both"/>
        <w:rPr>
          <w:rFonts w:ascii="Palatino Linotype" w:hAnsi="Palatino Linotype"/>
          <w:iCs/>
          <w:color w:val="auto"/>
        </w:rPr>
      </w:pPr>
      <w:r w:rsidRPr="00E461D0">
        <w:rPr>
          <w:rFonts w:ascii="Palatino Linotype" w:hAnsi="Palatino Linotype"/>
          <w:iCs/>
          <w:color w:val="auto"/>
        </w:rPr>
        <w:t>Las obligaciones negociables autorizadas a oferta pública solo pueden negociarse públicamente en Mercados autorizados del país, para ser adquiridas por los inversores que indican las Normas de la Comisión Nacional de Valores en su Sección I del Capítulo VI del Título II”.</w:t>
      </w:r>
    </w:p>
    <w:p w14:paraId="318E02BB" w14:textId="77777777" w:rsidR="00F335FC" w:rsidRPr="00E461D0" w:rsidRDefault="00F335FC" w:rsidP="003C15F8">
      <w:pPr>
        <w:widowControl/>
        <w:spacing w:after="120"/>
        <w:jc w:val="both"/>
        <w:rPr>
          <w:rFonts w:ascii="Palatino Linotype" w:hAnsi="Palatino Linotype"/>
          <w:b/>
          <w:sz w:val="22"/>
        </w:rPr>
      </w:pPr>
      <w:r w:rsidRPr="00E461D0">
        <w:rPr>
          <w:rFonts w:ascii="Palatino Linotype" w:hAnsi="Palatino Linotype"/>
          <w:b/>
          <w:sz w:val="22"/>
        </w:rPr>
        <w:t>LAS OBLIGACIONES NEGOCIABLES PYME AUTORIZADAS A OFERTA PÚBLICA SOLO PUEDEN NEGOCIARSE PÚBLICAMENTE EN MERCADOS AUTORIZADOS DEL PAÍS, PARA SER ADQUIRIDAS POR LOS INVERSORES CALIFICADAS QUE INDICAN LAS NORMAS DE LA CNV EN SU SECCIÓN I DEL CAPÍTULO VI DEL TÍTULO II.</w:t>
      </w:r>
    </w:p>
    <w:p w14:paraId="300B8398" w14:textId="77777777" w:rsidR="00F335FC" w:rsidRPr="00E461D0" w:rsidRDefault="00F335FC" w:rsidP="00AE5F6E">
      <w:pPr>
        <w:widowControl/>
        <w:spacing w:after="120"/>
        <w:jc w:val="both"/>
        <w:rPr>
          <w:rFonts w:ascii="Palatino Linotype" w:hAnsi="Palatino Linotype"/>
          <w:sz w:val="22"/>
          <w:szCs w:val="22"/>
          <w:lang w:eastAsia="es-ES"/>
        </w:rPr>
      </w:pPr>
      <w:r w:rsidRPr="00E461D0">
        <w:rPr>
          <w:rFonts w:ascii="Palatino Linotype" w:hAnsi="Palatino Linotype"/>
          <w:sz w:val="22"/>
          <w:szCs w:val="22"/>
          <w:lang w:eastAsia="es-ES"/>
        </w:rPr>
        <w:t>Se podrá solicitar el listado y negociación de las Obligaciones Negociables Py</w:t>
      </w:r>
      <w:r w:rsidR="00B3792D" w:rsidRPr="00E461D0">
        <w:rPr>
          <w:rFonts w:ascii="Palatino Linotype" w:hAnsi="Palatino Linotype"/>
          <w:sz w:val="22"/>
          <w:szCs w:val="22"/>
          <w:lang w:eastAsia="es-ES"/>
        </w:rPr>
        <w:t>M</w:t>
      </w:r>
      <w:r w:rsidRPr="00E461D0">
        <w:rPr>
          <w:rFonts w:ascii="Palatino Linotype" w:hAnsi="Palatino Linotype"/>
          <w:sz w:val="22"/>
          <w:szCs w:val="22"/>
          <w:lang w:eastAsia="es-ES"/>
        </w:rPr>
        <w:t>e a ser emitidas bajo el Programa a Bolsas y Mercados Argentinos S.A. (“</w:t>
      </w:r>
      <w:r w:rsidRPr="00E461D0">
        <w:rPr>
          <w:rFonts w:ascii="Palatino Linotype" w:hAnsi="Palatino Linotype"/>
          <w:sz w:val="22"/>
          <w:szCs w:val="22"/>
          <w:u w:val="single"/>
          <w:lang w:eastAsia="es-ES"/>
        </w:rPr>
        <w:t>BYMA</w:t>
      </w:r>
      <w:r w:rsidRPr="00E461D0">
        <w:rPr>
          <w:rFonts w:ascii="Palatino Linotype" w:hAnsi="Palatino Linotype"/>
          <w:sz w:val="22"/>
          <w:szCs w:val="22"/>
          <w:lang w:eastAsia="es-ES"/>
        </w:rPr>
        <w:t>”), en el Mercado Abierto Electrónico S.A. (el “</w:t>
      </w:r>
      <w:r w:rsidRPr="00E461D0">
        <w:rPr>
          <w:rFonts w:ascii="Palatino Linotype" w:hAnsi="Palatino Linotype"/>
          <w:sz w:val="22"/>
          <w:szCs w:val="22"/>
          <w:u w:val="single"/>
          <w:lang w:eastAsia="es-ES"/>
        </w:rPr>
        <w:t>MAE</w:t>
      </w:r>
      <w:r w:rsidRPr="00E461D0">
        <w:rPr>
          <w:rFonts w:ascii="Palatino Linotype" w:hAnsi="Palatino Linotype"/>
          <w:sz w:val="22"/>
          <w:szCs w:val="22"/>
          <w:lang w:eastAsia="es-ES"/>
        </w:rPr>
        <w:t xml:space="preserve">”), o en cualquier mercado autorizado de Argentina, según se especifique en el respectivo </w:t>
      </w:r>
      <w:r w:rsidR="00B3792D" w:rsidRPr="00E461D0">
        <w:rPr>
          <w:rFonts w:ascii="Palatino Linotype" w:hAnsi="Palatino Linotype"/>
          <w:sz w:val="22"/>
          <w:szCs w:val="22"/>
          <w:lang w:eastAsia="es-ES"/>
        </w:rPr>
        <w:t>Suplemento de Prospecto</w:t>
      </w:r>
      <w:r w:rsidRPr="00E461D0">
        <w:rPr>
          <w:rFonts w:ascii="Palatino Linotype" w:hAnsi="Palatino Linotype"/>
          <w:sz w:val="22"/>
          <w:szCs w:val="22"/>
          <w:lang w:eastAsia="es-ES"/>
        </w:rPr>
        <w:t xml:space="preserve"> respectivo. Salvo que se indique de otra forma en el </w:t>
      </w:r>
      <w:r w:rsidR="00B3792D" w:rsidRPr="00E461D0">
        <w:rPr>
          <w:rFonts w:ascii="Palatino Linotype" w:hAnsi="Palatino Linotype"/>
          <w:sz w:val="22"/>
          <w:szCs w:val="22"/>
          <w:lang w:eastAsia="es-ES"/>
        </w:rPr>
        <w:t>Suplemento de Prospecto</w:t>
      </w:r>
      <w:r w:rsidRPr="00E461D0">
        <w:rPr>
          <w:rFonts w:ascii="Palatino Linotype" w:hAnsi="Palatino Linotype"/>
          <w:sz w:val="22"/>
          <w:szCs w:val="22"/>
          <w:lang w:eastAsia="es-ES"/>
        </w:rPr>
        <w:t xml:space="preserve"> aplicable, las Obligaciones Negociables PyME, serán depositadas en Caja de Valores S.A. (“</w:t>
      </w:r>
      <w:r w:rsidRPr="00E461D0">
        <w:rPr>
          <w:rFonts w:ascii="Palatino Linotype" w:hAnsi="Palatino Linotype"/>
          <w:sz w:val="22"/>
          <w:szCs w:val="22"/>
          <w:u w:val="single"/>
          <w:lang w:eastAsia="es-ES"/>
        </w:rPr>
        <w:t>Caja de Valores</w:t>
      </w:r>
      <w:r w:rsidRPr="00E461D0">
        <w:rPr>
          <w:rFonts w:ascii="Palatino Linotype" w:hAnsi="Palatino Linotype"/>
          <w:sz w:val="22"/>
          <w:szCs w:val="22"/>
          <w:lang w:eastAsia="es-ES"/>
        </w:rPr>
        <w:t>”) como depositario y agente de registro de las Obligaciones Negociables Py</w:t>
      </w:r>
      <w:r w:rsidR="00B3792D" w:rsidRPr="00E461D0">
        <w:rPr>
          <w:rFonts w:ascii="Palatino Linotype" w:hAnsi="Palatino Linotype"/>
          <w:sz w:val="22"/>
          <w:szCs w:val="22"/>
          <w:lang w:eastAsia="es-ES"/>
        </w:rPr>
        <w:t>ME</w:t>
      </w:r>
      <w:r w:rsidRPr="00E461D0">
        <w:rPr>
          <w:rFonts w:ascii="Palatino Linotype" w:hAnsi="Palatino Linotype"/>
          <w:sz w:val="22"/>
          <w:szCs w:val="22"/>
          <w:lang w:eastAsia="es-ES"/>
        </w:rPr>
        <w:t xml:space="preserve">. </w:t>
      </w:r>
    </w:p>
    <w:p w14:paraId="44C438E2" w14:textId="77777777" w:rsidR="00F335FC" w:rsidRPr="00E461D0" w:rsidRDefault="00F335FC" w:rsidP="003C15F8">
      <w:pPr>
        <w:widowControl/>
        <w:spacing w:after="120"/>
        <w:jc w:val="both"/>
        <w:rPr>
          <w:rFonts w:ascii="Palatino Linotype" w:eastAsia="Calibri" w:hAnsi="Palatino Linotype"/>
          <w:b/>
          <w:sz w:val="22"/>
          <w:szCs w:val="22"/>
          <w:lang w:eastAsia="es-ES"/>
        </w:rPr>
      </w:pPr>
      <w:r w:rsidRPr="00E461D0">
        <w:rPr>
          <w:rFonts w:ascii="Palatino Linotype" w:eastAsia="Calibri" w:hAnsi="Palatino Linotype"/>
          <w:b/>
          <w:sz w:val="22"/>
          <w:szCs w:val="22"/>
          <w:lang w:eastAsia="es-ES"/>
        </w:rPr>
        <w:t>De acuerdo a lo previsto en el artículo 13 de la Sección IV del Título XI de las Normas de la CNV se informa al público inversor que ni la Emisora, sus beneficiarios finales y/o las personas físicas o jurídicas que tuvieren como mínimo el VEINTE (20) por ciento de su capital o de los derechos a voto, o que por otros medios ejerzan el control final, directo o indirecto sobre la misma, registran condenas por delitos de lavado de activos y/o financiamiento del terrorismo y/o figuran en las listas de terroristas y organizaciones terroristas emitidas por el CONSEJO DE SEGURIDAD DE LAS NACIONES UNIDAS.</w:t>
      </w:r>
    </w:p>
    <w:p w14:paraId="36C707B3" w14:textId="77777777" w:rsidR="006C2553" w:rsidRPr="00E461D0" w:rsidRDefault="006C2553" w:rsidP="006C2553">
      <w:pPr>
        <w:widowControl/>
        <w:spacing w:after="120"/>
        <w:jc w:val="both"/>
        <w:rPr>
          <w:rFonts w:ascii="Palatino Linotype" w:hAnsi="Palatino Linotype"/>
          <w:sz w:val="22"/>
        </w:rPr>
      </w:pPr>
      <w:r w:rsidRPr="00E461D0">
        <w:rPr>
          <w:rFonts w:ascii="Palatino Linotype" w:hAnsi="Palatino Linotype"/>
          <w:sz w:val="22"/>
        </w:rPr>
        <w:t>Antes de tomar la decisión de inversión respecto de las Obligaciones Negociables</w:t>
      </w:r>
      <w:r w:rsidRPr="00E461D0">
        <w:rPr>
          <w:rFonts w:ascii="Palatino Linotype" w:hAnsi="Palatino Linotype"/>
          <w:sz w:val="22"/>
          <w:szCs w:val="22"/>
          <w:lang w:eastAsia="es-ES"/>
        </w:rPr>
        <w:t xml:space="preserve"> </w:t>
      </w:r>
      <w:r w:rsidRPr="00E461D0">
        <w:rPr>
          <w:rFonts w:ascii="Palatino Linotype" w:eastAsia="Calibri" w:hAnsi="Palatino Linotype"/>
          <w:sz w:val="22"/>
          <w:szCs w:val="22"/>
          <w:lang w:eastAsia="es-ES"/>
        </w:rPr>
        <w:t>PyME</w:t>
      </w:r>
      <w:r w:rsidRPr="00E461D0">
        <w:rPr>
          <w:rFonts w:ascii="Palatino Linotype" w:hAnsi="Palatino Linotype"/>
          <w:sz w:val="22"/>
        </w:rPr>
        <w:t xml:space="preserve">, el inversor deberá considerar los factores de riesgo que se describen en la Sección </w:t>
      </w:r>
      <w:r w:rsidR="005E2601" w:rsidRPr="00E461D0">
        <w:rPr>
          <w:rFonts w:ascii="Palatino Linotype" w:hAnsi="Palatino Linotype"/>
          <w:sz w:val="22"/>
        </w:rPr>
        <w:t xml:space="preserve">III </w:t>
      </w:r>
      <w:r w:rsidRPr="00E461D0">
        <w:rPr>
          <w:rFonts w:ascii="Palatino Linotype" w:hAnsi="Palatino Linotype"/>
          <w:sz w:val="22"/>
        </w:rPr>
        <w:t>“</w:t>
      </w:r>
      <w:r w:rsidRPr="00E461D0">
        <w:rPr>
          <w:rFonts w:ascii="Palatino Linotype" w:hAnsi="Palatino Linotype"/>
          <w:i/>
          <w:sz w:val="22"/>
        </w:rPr>
        <w:t>Factores de Riesgo</w:t>
      </w:r>
      <w:r w:rsidRPr="00E461D0">
        <w:rPr>
          <w:rFonts w:ascii="Palatino Linotype" w:hAnsi="Palatino Linotype"/>
          <w:sz w:val="22"/>
        </w:rPr>
        <w:t xml:space="preserve">” del presente Prospecto y el resto de la información contenida en el presente Prospecto y en los Suplementos de </w:t>
      </w:r>
      <w:r w:rsidR="00B3792D" w:rsidRPr="00E461D0">
        <w:rPr>
          <w:rFonts w:ascii="Palatino Linotype" w:hAnsi="Palatino Linotype"/>
          <w:sz w:val="22"/>
        </w:rPr>
        <w:t>Prospecto</w:t>
      </w:r>
      <w:r w:rsidRPr="00E461D0">
        <w:rPr>
          <w:rFonts w:ascii="Palatino Linotype" w:hAnsi="Palatino Linotype"/>
          <w:sz w:val="22"/>
        </w:rPr>
        <w:t>.</w:t>
      </w:r>
    </w:p>
    <w:p w14:paraId="0C7F3074" w14:textId="7C7923B8" w:rsidR="00F335FC" w:rsidRPr="00E461D0" w:rsidRDefault="00F335FC" w:rsidP="003C15F8">
      <w:pPr>
        <w:widowControl/>
        <w:spacing w:before="270" w:after="270"/>
        <w:jc w:val="center"/>
        <w:rPr>
          <w:rFonts w:ascii="Palatino Linotype" w:hAnsi="Palatino Linotype"/>
          <w:sz w:val="22"/>
        </w:rPr>
      </w:pPr>
      <w:r w:rsidRPr="00E461D0">
        <w:rPr>
          <w:rFonts w:ascii="Palatino Linotype" w:hAnsi="Palatino Linotype"/>
          <w:sz w:val="22"/>
        </w:rPr>
        <w:lastRenderedPageBreak/>
        <w:t xml:space="preserve">La fecha del presente Prospecto es </w:t>
      </w:r>
      <w:r w:rsidR="00772A03">
        <w:rPr>
          <w:rFonts w:ascii="Palatino Linotype" w:hAnsi="Palatino Linotype"/>
          <w:iCs/>
          <w:color w:val="auto"/>
        </w:rPr>
        <w:t>13</w:t>
      </w:r>
      <w:r w:rsidR="00622C0D">
        <w:rPr>
          <w:rFonts w:ascii="Palatino Linotype" w:hAnsi="Palatino Linotype"/>
          <w:iCs/>
          <w:color w:val="auto"/>
        </w:rPr>
        <w:t xml:space="preserve"> </w:t>
      </w:r>
      <w:r w:rsidRPr="00E461D0">
        <w:rPr>
          <w:rFonts w:ascii="Palatino Linotype" w:hAnsi="Palatino Linotype"/>
          <w:sz w:val="22"/>
        </w:rPr>
        <w:t xml:space="preserve">de </w:t>
      </w:r>
      <w:r w:rsidR="002774AC">
        <w:rPr>
          <w:rFonts w:ascii="Palatino Linotype" w:hAnsi="Palatino Linotype"/>
          <w:iCs/>
          <w:color w:val="auto"/>
        </w:rPr>
        <w:t>diciembre</w:t>
      </w:r>
      <w:r w:rsidRPr="00E461D0">
        <w:rPr>
          <w:rFonts w:ascii="Palatino Linotype" w:hAnsi="Palatino Linotype"/>
          <w:sz w:val="22"/>
        </w:rPr>
        <w:t xml:space="preserve"> de 2019.</w:t>
      </w:r>
    </w:p>
    <w:p w14:paraId="06727E21" w14:textId="77777777" w:rsidR="00F335FC" w:rsidRPr="00E461D0" w:rsidRDefault="00F335FC" w:rsidP="00F335FC">
      <w:pPr>
        <w:widowControl/>
        <w:spacing w:before="270" w:after="270"/>
        <w:jc w:val="both"/>
        <w:rPr>
          <w:rFonts w:ascii="Palatino Linotype" w:hAnsi="Palatino Linotype"/>
          <w:iCs/>
          <w:color w:val="auto"/>
          <w:sz w:val="22"/>
          <w:szCs w:val="22"/>
        </w:rPr>
        <w:sectPr w:rsidR="00F335FC" w:rsidRPr="00E461D0" w:rsidSect="00C02017">
          <w:headerReference w:type="default" r:id="rId10"/>
          <w:footerReference w:type="default" r:id="rId11"/>
          <w:pgSz w:w="12240" w:h="15840"/>
          <w:pgMar w:top="1417" w:right="1701" w:bottom="1417" w:left="1701" w:header="708" w:footer="708" w:gutter="0"/>
          <w:cols w:space="708"/>
          <w:docGrid w:linePitch="360"/>
        </w:sectPr>
      </w:pPr>
    </w:p>
    <w:sdt>
      <w:sdtPr>
        <w:rPr>
          <w:rFonts w:ascii="Arial" w:eastAsiaTheme="minorEastAsia" w:hAnsi="Arial" w:cs="Arial"/>
          <w:color w:val="000000"/>
          <w:sz w:val="20"/>
          <w:szCs w:val="20"/>
          <w:lang w:val="es-AR"/>
        </w:rPr>
        <w:id w:val="-1143735296"/>
        <w:docPartObj>
          <w:docPartGallery w:val="Table of Contents"/>
          <w:docPartUnique/>
        </w:docPartObj>
      </w:sdtPr>
      <w:sdtEndPr>
        <w:rPr>
          <w:b/>
        </w:rPr>
      </w:sdtEndPr>
      <w:sdtContent>
        <w:p w14:paraId="715D5D00" w14:textId="77777777" w:rsidR="00B3792D" w:rsidRPr="00622C0D" w:rsidRDefault="00C22F9B">
          <w:pPr>
            <w:pStyle w:val="TtulodeTDC"/>
            <w:rPr>
              <w:rFonts w:ascii="Palatino Linotype" w:hAnsi="Palatino Linotype"/>
              <w:b/>
              <w:color w:val="auto"/>
              <w:sz w:val="20"/>
              <w:szCs w:val="20"/>
              <w:lang w:val="es-AR"/>
            </w:rPr>
          </w:pPr>
          <w:r w:rsidRPr="00622C0D">
            <w:rPr>
              <w:rFonts w:ascii="Palatino Linotype" w:hAnsi="Palatino Linotype"/>
              <w:b/>
              <w:color w:val="auto"/>
              <w:sz w:val="20"/>
              <w:szCs w:val="20"/>
              <w:lang w:val="es-AR"/>
            </w:rPr>
            <w:t>ÍNDICE</w:t>
          </w:r>
        </w:p>
        <w:p w14:paraId="4A128EF6" w14:textId="77777777" w:rsidR="00435936" w:rsidRPr="00622C0D" w:rsidRDefault="00B3792D">
          <w:pPr>
            <w:pStyle w:val="TDC1"/>
            <w:rPr>
              <w:rFonts w:ascii="Palatino Linotype" w:hAnsi="Palatino Linotype" w:cstheme="minorBidi"/>
              <w:noProof/>
              <w:color w:val="auto"/>
              <w:lang w:val="es-MX"/>
            </w:rPr>
          </w:pPr>
          <w:r w:rsidRPr="00622C0D">
            <w:rPr>
              <w:rFonts w:ascii="Palatino Linotype" w:hAnsi="Palatino Linotype"/>
            </w:rPr>
            <w:fldChar w:fldCharType="begin"/>
          </w:r>
          <w:r w:rsidRPr="00622C0D">
            <w:rPr>
              <w:rFonts w:ascii="Palatino Linotype" w:hAnsi="Palatino Linotype"/>
            </w:rPr>
            <w:instrText xml:space="preserve"> TOC \o "1-3" \h \z \u </w:instrText>
          </w:r>
          <w:r w:rsidRPr="00622C0D">
            <w:rPr>
              <w:rFonts w:ascii="Palatino Linotype" w:hAnsi="Palatino Linotype"/>
            </w:rPr>
            <w:fldChar w:fldCharType="separate"/>
          </w:r>
          <w:hyperlink w:anchor="_Toc23325145" w:history="1">
            <w:r w:rsidR="00435936" w:rsidRPr="00622C0D">
              <w:rPr>
                <w:rStyle w:val="Hipervnculo"/>
                <w:rFonts w:ascii="Palatino Linotype" w:hAnsi="Palatino Linotype"/>
                <w:noProof/>
              </w:rPr>
              <w:t>I. DESCRIPCIÓN DE LA EMISORA</w:t>
            </w:r>
            <w:r w:rsidR="00435936" w:rsidRPr="00622C0D">
              <w:rPr>
                <w:rFonts w:ascii="Palatino Linotype" w:hAnsi="Palatino Linotype"/>
                <w:noProof/>
                <w:webHidden/>
              </w:rPr>
              <w:tab/>
            </w:r>
            <w:r w:rsidR="00435936" w:rsidRPr="00622C0D">
              <w:rPr>
                <w:rFonts w:ascii="Palatino Linotype" w:hAnsi="Palatino Linotype"/>
                <w:noProof/>
                <w:webHidden/>
              </w:rPr>
              <w:fldChar w:fldCharType="begin"/>
            </w:r>
            <w:r w:rsidR="00435936" w:rsidRPr="00622C0D">
              <w:rPr>
                <w:rFonts w:ascii="Palatino Linotype" w:hAnsi="Palatino Linotype"/>
                <w:noProof/>
                <w:webHidden/>
              </w:rPr>
              <w:instrText xml:space="preserve"> PAGEREF _Toc23325145 \h </w:instrText>
            </w:r>
            <w:r w:rsidR="00435936" w:rsidRPr="00622C0D">
              <w:rPr>
                <w:rFonts w:ascii="Palatino Linotype" w:hAnsi="Palatino Linotype"/>
                <w:noProof/>
                <w:webHidden/>
              </w:rPr>
            </w:r>
            <w:r w:rsidR="00435936" w:rsidRPr="00622C0D">
              <w:rPr>
                <w:rFonts w:ascii="Palatino Linotype" w:hAnsi="Palatino Linotype"/>
                <w:noProof/>
                <w:webHidden/>
              </w:rPr>
              <w:fldChar w:fldCharType="separate"/>
            </w:r>
            <w:r w:rsidR="00435936" w:rsidRPr="00622C0D">
              <w:rPr>
                <w:rFonts w:ascii="Palatino Linotype" w:hAnsi="Palatino Linotype"/>
                <w:noProof/>
                <w:webHidden/>
              </w:rPr>
              <w:t>4</w:t>
            </w:r>
            <w:r w:rsidR="00435936" w:rsidRPr="00622C0D">
              <w:rPr>
                <w:rFonts w:ascii="Palatino Linotype" w:hAnsi="Palatino Linotype"/>
                <w:noProof/>
                <w:webHidden/>
              </w:rPr>
              <w:fldChar w:fldCharType="end"/>
            </w:r>
          </w:hyperlink>
        </w:p>
        <w:p w14:paraId="45034544" w14:textId="77777777" w:rsidR="00435936" w:rsidRPr="00622C0D" w:rsidRDefault="0089034B">
          <w:pPr>
            <w:pStyle w:val="TDC1"/>
            <w:rPr>
              <w:rFonts w:ascii="Palatino Linotype" w:hAnsi="Palatino Linotype" w:cstheme="minorBidi"/>
              <w:noProof/>
              <w:color w:val="auto"/>
              <w:lang w:val="es-MX"/>
            </w:rPr>
          </w:pPr>
          <w:hyperlink w:anchor="_Toc23325146" w:history="1">
            <w:r w:rsidR="00435936" w:rsidRPr="00622C0D">
              <w:rPr>
                <w:rStyle w:val="Hipervnculo"/>
                <w:rFonts w:ascii="Palatino Linotype" w:hAnsi="Palatino Linotype"/>
                <w:noProof/>
              </w:rPr>
              <w:t>II. DATOS SOBRE LOS MIEMBROS DEL ÓRGANO DE ADMINISTRACIÓN Y SOBRE LOS MIEMBROS DEL ÓRGANO DE FISCALIZACIÓN.</w:t>
            </w:r>
            <w:r w:rsidR="00435936" w:rsidRPr="00622C0D">
              <w:rPr>
                <w:rFonts w:ascii="Palatino Linotype" w:hAnsi="Palatino Linotype"/>
                <w:noProof/>
                <w:webHidden/>
              </w:rPr>
              <w:tab/>
            </w:r>
            <w:r w:rsidR="00435936" w:rsidRPr="00622C0D">
              <w:rPr>
                <w:rFonts w:ascii="Palatino Linotype" w:hAnsi="Palatino Linotype"/>
                <w:noProof/>
                <w:webHidden/>
              </w:rPr>
              <w:fldChar w:fldCharType="begin"/>
            </w:r>
            <w:r w:rsidR="00435936" w:rsidRPr="00622C0D">
              <w:rPr>
                <w:rFonts w:ascii="Palatino Linotype" w:hAnsi="Palatino Linotype"/>
                <w:noProof/>
                <w:webHidden/>
              </w:rPr>
              <w:instrText xml:space="preserve"> PAGEREF _Toc23325146 \h </w:instrText>
            </w:r>
            <w:r w:rsidR="00435936" w:rsidRPr="00622C0D">
              <w:rPr>
                <w:rFonts w:ascii="Palatino Linotype" w:hAnsi="Palatino Linotype"/>
                <w:noProof/>
                <w:webHidden/>
              </w:rPr>
            </w:r>
            <w:r w:rsidR="00435936" w:rsidRPr="00622C0D">
              <w:rPr>
                <w:rFonts w:ascii="Palatino Linotype" w:hAnsi="Palatino Linotype"/>
                <w:noProof/>
                <w:webHidden/>
              </w:rPr>
              <w:fldChar w:fldCharType="separate"/>
            </w:r>
            <w:r w:rsidR="00435936" w:rsidRPr="00622C0D">
              <w:rPr>
                <w:rFonts w:ascii="Palatino Linotype" w:hAnsi="Palatino Linotype"/>
                <w:noProof/>
                <w:webHidden/>
              </w:rPr>
              <w:t>8</w:t>
            </w:r>
            <w:r w:rsidR="00435936" w:rsidRPr="00622C0D">
              <w:rPr>
                <w:rFonts w:ascii="Palatino Linotype" w:hAnsi="Palatino Linotype"/>
                <w:noProof/>
                <w:webHidden/>
              </w:rPr>
              <w:fldChar w:fldCharType="end"/>
            </w:r>
          </w:hyperlink>
        </w:p>
        <w:p w14:paraId="298509A3" w14:textId="77777777" w:rsidR="00435936" w:rsidRPr="00622C0D" w:rsidRDefault="0089034B">
          <w:pPr>
            <w:pStyle w:val="TDC1"/>
            <w:rPr>
              <w:rFonts w:ascii="Palatino Linotype" w:hAnsi="Palatino Linotype" w:cstheme="minorBidi"/>
              <w:noProof/>
              <w:color w:val="auto"/>
              <w:lang w:val="es-MX"/>
            </w:rPr>
          </w:pPr>
          <w:hyperlink w:anchor="_Toc23325147" w:history="1">
            <w:r w:rsidR="00435936" w:rsidRPr="00622C0D">
              <w:rPr>
                <w:rStyle w:val="Hipervnculo"/>
                <w:rFonts w:ascii="Palatino Linotype" w:hAnsi="Palatino Linotype"/>
                <w:noProof/>
              </w:rPr>
              <w:t>III. FACTORES DE RIESGO</w:t>
            </w:r>
            <w:r w:rsidR="00435936" w:rsidRPr="00622C0D">
              <w:rPr>
                <w:rFonts w:ascii="Palatino Linotype" w:hAnsi="Palatino Linotype"/>
                <w:noProof/>
                <w:webHidden/>
              </w:rPr>
              <w:tab/>
            </w:r>
            <w:r w:rsidR="00435936" w:rsidRPr="00622C0D">
              <w:rPr>
                <w:rFonts w:ascii="Palatino Linotype" w:hAnsi="Palatino Linotype"/>
                <w:noProof/>
                <w:webHidden/>
              </w:rPr>
              <w:fldChar w:fldCharType="begin"/>
            </w:r>
            <w:r w:rsidR="00435936" w:rsidRPr="00622C0D">
              <w:rPr>
                <w:rFonts w:ascii="Palatino Linotype" w:hAnsi="Palatino Linotype"/>
                <w:noProof/>
                <w:webHidden/>
              </w:rPr>
              <w:instrText xml:space="preserve"> PAGEREF _Toc23325147 \h </w:instrText>
            </w:r>
            <w:r w:rsidR="00435936" w:rsidRPr="00622C0D">
              <w:rPr>
                <w:rFonts w:ascii="Palatino Linotype" w:hAnsi="Palatino Linotype"/>
                <w:noProof/>
                <w:webHidden/>
              </w:rPr>
            </w:r>
            <w:r w:rsidR="00435936" w:rsidRPr="00622C0D">
              <w:rPr>
                <w:rFonts w:ascii="Palatino Linotype" w:hAnsi="Palatino Linotype"/>
                <w:noProof/>
                <w:webHidden/>
              </w:rPr>
              <w:fldChar w:fldCharType="separate"/>
            </w:r>
            <w:r w:rsidR="00435936" w:rsidRPr="00622C0D">
              <w:rPr>
                <w:rFonts w:ascii="Palatino Linotype" w:hAnsi="Palatino Linotype"/>
                <w:noProof/>
                <w:webHidden/>
              </w:rPr>
              <w:t>12</w:t>
            </w:r>
            <w:r w:rsidR="00435936" w:rsidRPr="00622C0D">
              <w:rPr>
                <w:rFonts w:ascii="Palatino Linotype" w:hAnsi="Palatino Linotype"/>
                <w:noProof/>
                <w:webHidden/>
              </w:rPr>
              <w:fldChar w:fldCharType="end"/>
            </w:r>
          </w:hyperlink>
        </w:p>
        <w:p w14:paraId="6FCF7413" w14:textId="77777777" w:rsidR="00435936" w:rsidRPr="00622C0D" w:rsidRDefault="0089034B">
          <w:pPr>
            <w:pStyle w:val="TDC1"/>
            <w:rPr>
              <w:rFonts w:ascii="Palatino Linotype" w:hAnsi="Palatino Linotype" w:cstheme="minorBidi"/>
              <w:noProof/>
              <w:color w:val="auto"/>
              <w:lang w:val="es-MX"/>
            </w:rPr>
          </w:pPr>
          <w:hyperlink w:anchor="_Toc23325148" w:history="1">
            <w:r w:rsidR="00435936" w:rsidRPr="00622C0D">
              <w:rPr>
                <w:rStyle w:val="Hipervnculo"/>
                <w:rFonts w:ascii="Palatino Linotype" w:hAnsi="Palatino Linotype"/>
                <w:noProof/>
              </w:rPr>
              <w:t>IV. DESTINO DE LOS FONDOS DE LA EMISIÓN</w:t>
            </w:r>
            <w:r w:rsidR="00435936" w:rsidRPr="00622C0D">
              <w:rPr>
                <w:rFonts w:ascii="Palatino Linotype" w:hAnsi="Palatino Linotype"/>
                <w:noProof/>
                <w:webHidden/>
              </w:rPr>
              <w:tab/>
            </w:r>
            <w:r w:rsidR="00435936" w:rsidRPr="00622C0D">
              <w:rPr>
                <w:rFonts w:ascii="Palatino Linotype" w:hAnsi="Palatino Linotype"/>
                <w:noProof/>
                <w:webHidden/>
              </w:rPr>
              <w:fldChar w:fldCharType="begin"/>
            </w:r>
            <w:r w:rsidR="00435936" w:rsidRPr="00622C0D">
              <w:rPr>
                <w:rFonts w:ascii="Palatino Linotype" w:hAnsi="Palatino Linotype"/>
                <w:noProof/>
                <w:webHidden/>
              </w:rPr>
              <w:instrText xml:space="preserve"> PAGEREF _Toc23325148 \h </w:instrText>
            </w:r>
            <w:r w:rsidR="00435936" w:rsidRPr="00622C0D">
              <w:rPr>
                <w:rFonts w:ascii="Palatino Linotype" w:hAnsi="Palatino Linotype"/>
                <w:noProof/>
                <w:webHidden/>
              </w:rPr>
            </w:r>
            <w:r w:rsidR="00435936" w:rsidRPr="00622C0D">
              <w:rPr>
                <w:rFonts w:ascii="Palatino Linotype" w:hAnsi="Palatino Linotype"/>
                <w:noProof/>
                <w:webHidden/>
              </w:rPr>
              <w:fldChar w:fldCharType="separate"/>
            </w:r>
            <w:r w:rsidR="00435936" w:rsidRPr="00622C0D">
              <w:rPr>
                <w:rFonts w:ascii="Palatino Linotype" w:hAnsi="Palatino Linotype"/>
                <w:noProof/>
                <w:webHidden/>
              </w:rPr>
              <w:t>26</w:t>
            </w:r>
            <w:r w:rsidR="00435936" w:rsidRPr="00622C0D">
              <w:rPr>
                <w:rFonts w:ascii="Palatino Linotype" w:hAnsi="Palatino Linotype"/>
                <w:noProof/>
                <w:webHidden/>
              </w:rPr>
              <w:fldChar w:fldCharType="end"/>
            </w:r>
          </w:hyperlink>
        </w:p>
        <w:p w14:paraId="04A4F025" w14:textId="77777777" w:rsidR="00435936" w:rsidRPr="00622C0D" w:rsidRDefault="0089034B">
          <w:pPr>
            <w:pStyle w:val="TDC1"/>
            <w:rPr>
              <w:rFonts w:ascii="Palatino Linotype" w:hAnsi="Palatino Linotype" w:cstheme="minorBidi"/>
              <w:noProof/>
              <w:color w:val="auto"/>
              <w:lang w:val="es-MX"/>
            </w:rPr>
          </w:pPr>
          <w:hyperlink w:anchor="_Toc23325149" w:history="1">
            <w:r w:rsidR="00435936" w:rsidRPr="00622C0D">
              <w:rPr>
                <w:rStyle w:val="Hipervnculo"/>
                <w:rFonts w:ascii="Palatino Linotype" w:hAnsi="Palatino Linotype"/>
                <w:noProof/>
              </w:rPr>
              <w:t>V. TERMINOS Y CONDICIONES GENERALES DE LAS OBLIGACIONES NEGOCIABLES PYME</w:t>
            </w:r>
            <w:r w:rsidR="00435936" w:rsidRPr="00622C0D">
              <w:rPr>
                <w:rFonts w:ascii="Palatino Linotype" w:hAnsi="Palatino Linotype"/>
                <w:noProof/>
                <w:webHidden/>
              </w:rPr>
              <w:tab/>
            </w:r>
            <w:r w:rsidR="00435936" w:rsidRPr="00622C0D">
              <w:rPr>
                <w:rFonts w:ascii="Palatino Linotype" w:hAnsi="Palatino Linotype"/>
                <w:noProof/>
                <w:webHidden/>
              </w:rPr>
              <w:fldChar w:fldCharType="begin"/>
            </w:r>
            <w:r w:rsidR="00435936" w:rsidRPr="00622C0D">
              <w:rPr>
                <w:rFonts w:ascii="Palatino Linotype" w:hAnsi="Palatino Linotype"/>
                <w:noProof/>
                <w:webHidden/>
              </w:rPr>
              <w:instrText xml:space="preserve"> PAGEREF _Toc23325149 \h </w:instrText>
            </w:r>
            <w:r w:rsidR="00435936" w:rsidRPr="00622C0D">
              <w:rPr>
                <w:rFonts w:ascii="Palatino Linotype" w:hAnsi="Palatino Linotype"/>
                <w:noProof/>
                <w:webHidden/>
              </w:rPr>
            </w:r>
            <w:r w:rsidR="00435936" w:rsidRPr="00622C0D">
              <w:rPr>
                <w:rFonts w:ascii="Palatino Linotype" w:hAnsi="Palatino Linotype"/>
                <w:noProof/>
                <w:webHidden/>
              </w:rPr>
              <w:fldChar w:fldCharType="separate"/>
            </w:r>
            <w:r w:rsidR="00435936" w:rsidRPr="00622C0D">
              <w:rPr>
                <w:rFonts w:ascii="Palatino Linotype" w:hAnsi="Palatino Linotype"/>
                <w:noProof/>
                <w:webHidden/>
              </w:rPr>
              <w:t>27</w:t>
            </w:r>
            <w:r w:rsidR="00435936" w:rsidRPr="00622C0D">
              <w:rPr>
                <w:rFonts w:ascii="Palatino Linotype" w:hAnsi="Palatino Linotype"/>
                <w:noProof/>
                <w:webHidden/>
              </w:rPr>
              <w:fldChar w:fldCharType="end"/>
            </w:r>
          </w:hyperlink>
        </w:p>
        <w:p w14:paraId="469D7D01" w14:textId="77777777" w:rsidR="00435936" w:rsidRPr="00622C0D" w:rsidRDefault="0089034B">
          <w:pPr>
            <w:pStyle w:val="TDC1"/>
            <w:rPr>
              <w:rFonts w:ascii="Palatino Linotype" w:hAnsi="Palatino Linotype" w:cstheme="minorBidi"/>
              <w:noProof/>
              <w:color w:val="auto"/>
              <w:lang w:val="es-MX"/>
            </w:rPr>
          </w:pPr>
          <w:hyperlink w:anchor="_Toc23325150" w:history="1">
            <w:r w:rsidR="00435936" w:rsidRPr="00622C0D">
              <w:rPr>
                <w:rStyle w:val="Hipervnculo"/>
                <w:rFonts w:ascii="Palatino Linotype" w:hAnsi="Palatino Linotype"/>
                <w:noProof/>
              </w:rPr>
              <w:t>VI. INFORMACIÓN CONTABLE</w:t>
            </w:r>
            <w:r w:rsidR="00435936" w:rsidRPr="00622C0D">
              <w:rPr>
                <w:rFonts w:ascii="Palatino Linotype" w:hAnsi="Palatino Linotype"/>
                <w:noProof/>
                <w:webHidden/>
              </w:rPr>
              <w:tab/>
            </w:r>
            <w:r w:rsidR="00435936" w:rsidRPr="00622C0D">
              <w:rPr>
                <w:rFonts w:ascii="Palatino Linotype" w:hAnsi="Palatino Linotype"/>
                <w:noProof/>
                <w:webHidden/>
              </w:rPr>
              <w:fldChar w:fldCharType="begin"/>
            </w:r>
            <w:r w:rsidR="00435936" w:rsidRPr="00622C0D">
              <w:rPr>
                <w:rFonts w:ascii="Palatino Linotype" w:hAnsi="Palatino Linotype"/>
                <w:noProof/>
                <w:webHidden/>
              </w:rPr>
              <w:instrText xml:space="preserve"> PAGEREF _Toc23325150 \h </w:instrText>
            </w:r>
            <w:r w:rsidR="00435936" w:rsidRPr="00622C0D">
              <w:rPr>
                <w:rFonts w:ascii="Palatino Linotype" w:hAnsi="Palatino Linotype"/>
                <w:noProof/>
                <w:webHidden/>
              </w:rPr>
            </w:r>
            <w:r w:rsidR="00435936" w:rsidRPr="00622C0D">
              <w:rPr>
                <w:rFonts w:ascii="Palatino Linotype" w:hAnsi="Palatino Linotype"/>
                <w:noProof/>
                <w:webHidden/>
              </w:rPr>
              <w:fldChar w:fldCharType="separate"/>
            </w:r>
            <w:r w:rsidR="00435936" w:rsidRPr="00622C0D">
              <w:rPr>
                <w:rFonts w:ascii="Palatino Linotype" w:hAnsi="Palatino Linotype"/>
                <w:noProof/>
                <w:webHidden/>
              </w:rPr>
              <w:t>32</w:t>
            </w:r>
            <w:r w:rsidR="00435936" w:rsidRPr="00622C0D">
              <w:rPr>
                <w:rFonts w:ascii="Palatino Linotype" w:hAnsi="Palatino Linotype"/>
                <w:noProof/>
                <w:webHidden/>
              </w:rPr>
              <w:fldChar w:fldCharType="end"/>
            </w:r>
          </w:hyperlink>
        </w:p>
        <w:p w14:paraId="22D166BB" w14:textId="77777777" w:rsidR="00435936" w:rsidRPr="00622C0D" w:rsidRDefault="0089034B">
          <w:pPr>
            <w:pStyle w:val="TDC1"/>
            <w:rPr>
              <w:rFonts w:ascii="Palatino Linotype" w:hAnsi="Palatino Linotype" w:cstheme="minorBidi"/>
              <w:noProof/>
              <w:color w:val="auto"/>
              <w:lang w:val="es-MX"/>
            </w:rPr>
          </w:pPr>
          <w:hyperlink w:anchor="_Toc23325151" w:history="1">
            <w:r w:rsidR="00435936" w:rsidRPr="00622C0D">
              <w:rPr>
                <w:rStyle w:val="Hipervnculo"/>
                <w:rFonts w:ascii="Palatino Linotype" w:hAnsi="Palatino Linotype"/>
                <w:noProof/>
              </w:rPr>
              <w:t>VII. DE LA OFERTA Y LA NEGOCIACIÓN</w:t>
            </w:r>
            <w:r w:rsidR="00435936" w:rsidRPr="00622C0D">
              <w:rPr>
                <w:rFonts w:ascii="Palatino Linotype" w:hAnsi="Palatino Linotype"/>
                <w:noProof/>
                <w:webHidden/>
              </w:rPr>
              <w:tab/>
            </w:r>
            <w:r w:rsidR="00435936" w:rsidRPr="00622C0D">
              <w:rPr>
                <w:rFonts w:ascii="Palatino Linotype" w:hAnsi="Palatino Linotype"/>
                <w:noProof/>
                <w:webHidden/>
              </w:rPr>
              <w:fldChar w:fldCharType="begin"/>
            </w:r>
            <w:r w:rsidR="00435936" w:rsidRPr="00622C0D">
              <w:rPr>
                <w:rFonts w:ascii="Palatino Linotype" w:hAnsi="Palatino Linotype"/>
                <w:noProof/>
                <w:webHidden/>
              </w:rPr>
              <w:instrText xml:space="preserve"> PAGEREF _Toc23325151 \h </w:instrText>
            </w:r>
            <w:r w:rsidR="00435936" w:rsidRPr="00622C0D">
              <w:rPr>
                <w:rFonts w:ascii="Palatino Linotype" w:hAnsi="Palatino Linotype"/>
                <w:noProof/>
                <w:webHidden/>
              </w:rPr>
            </w:r>
            <w:r w:rsidR="00435936" w:rsidRPr="00622C0D">
              <w:rPr>
                <w:rFonts w:ascii="Palatino Linotype" w:hAnsi="Palatino Linotype"/>
                <w:noProof/>
                <w:webHidden/>
              </w:rPr>
              <w:fldChar w:fldCharType="separate"/>
            </w:r>
            <w:r w:rsidR="00435936" w:rsidRPr="00622C0D">
              <w:rPr>
                <w:rFonts w:ascii="Palatino Linotype" w:hAnsi="Palatino Linotype"/>
                <w:noProof/>
                <w:webHidden/>
              </w:rPr>
              <w:t>35</w:t>
            </w:r>
            <w:r w:rsidR="00435936" w:rsidRPr="00622C0D">
              <w:rPr>
                <w:rFonts w:ascii="Palatino Linotype" w:hAnsi="Palatino Linotype"/>
                <w:noProof/>
                <w:webHidden/>
              </w:rPr>
              <w:fldChar w:fldCharType="end"/>
            </w:r>
          </w:hyperlink>
        </w:p>
        <w:p w14:paraId="565EE5D4" w14:textId="77777777" w:rsidR="00435936" w:rsidRPr="00622C0D" w:rsidRDefault="0089034B">
          <w:pPr>
            <w:pStyle w:val="TDC1"/>
            <w:rPr>
              <w:rFonts w:ascii="Palatino Linotype" w:hAnsi="Palatino Linotype" w:cstheme="minorBidi"/>
              <w:noProof/>
              <w:color w:val="auto"/>
              <w:lang w:val="es-MX"/>
            </w:rPr>
          </w:pPr>
          <w:hyperlink w:anchor="_Toc23325152" w:history="1">
            <w:r w:rsidR="00435936" w:rsidRPr="00622C0D">
              <w:rPr>
                <w:rStyle w:val="Hipervnculo"/>
                <w:rFonts w:ascii="Palatino Linotype" w:hAnsi="Palatino Linotype"/>
                <w:noProof/>
              </w:rPr>
              <w:t>VIII. CARGA IMPOSITIVA</w:t>
            </w:r>
            <w:r w:rsidR="00435936" w:rsidRPr="00622C0D">
              <w:rPr>
                <w:rFonts w:ascii="Palatino Linotype" w:hAnsi="Palatino Linotype"/>
                <w:noProof/>
                <w:webHidden/>
              </w:rPr>
              <w:tab/>
            </w:r>
            <w:r w:rsidR="00435936" w:rsidRPr="00622C0D">
              <w:rPr>
                <w:rFonts w:ascii="Palatino Linotype" w:hAnsi="Palatino Linotype"/>
                <w:noProof/>
                <w:webHidden/>
              </w:rPr>
              <w:fldChar w:fldCharType="begin"/>
            </w:r>
            <w:r w:rsidR="00435936" w:rsidRPr="00622C0D">
              <w:rPr>
                <w:rFonts w:ascii="Palatino Linotype" w:hAnsi="Palatino Linotype"/>
                <w:noProof/>
                <w:webHidden/>
              </w:rPr>
              <w:instrText xml:space="preserve"> PAGEREF _Toc23325152 \h </w:instrText>
            </w:r>
            <w:r w:rsidR="00435936" w:rsidRPr="00622C0D">
              <w:rPr>
                <w:rFonts w:ascii="Palatino Linotype" w:hAnsi="Palatino Linotype"/>
                <w:noProof/>
                <w:webHidden/>
              </w:rPr>
            </w:r>
            <w:r w:rsidR="00435936" w:rsidRPr="00622C0D">
              <w:rPr>
                <w:rFonts w:ascii="Palatino Linotype" w:hAnsi="Palatino Linotype"/>
                <w:noProof/>
                <w:webHidden/>
              </w:rPr>
              <w:fldChar w:fldCharType="separate"/>
            </w:r>
            <w:r w:rsidR="00435936" w:rsidRPr="00622C0D">
              <w:rPr>
                <w:rFonts w:ascii="Palatino Linotype" w:hAnsi="Palatino Linotype"/>
                <w:noProof/>
                <w:webHidden/>
              </w:rPr>
              <w:t>41</w:t>
            </w:r>
            <w:r w:rsidR="00435936" w:rsidRPr="00622C0D">
              <w:rPr>
                <w:rFonts w:ascii="Palatino Linotype" w:hAnsi="Palatino Linotype"/>
                <w:noProof/>
                <w:webHidden/>
              </w:rPr>
              <w:fldChar w:fldCharType="end"/>
            </w:r>
          </w:hyperlink>
        </w:p>
        <w:p w14:paraId="11A3E450" w14:textId="77777777" w:rsidR="00435936" w:rsidRPr="00622C0D" w:rsidRDefault="0089034B">
          <w:pPr>
            <w:pStyle w:val="TDC1"/>
            <w:rPr>
              <w:rFonts w:ascii="Palatino Linotype" w:hAnsi="Palatino Linotype" w:cstheme="minorBidi"/>
              <w:noProof/>
              <w:color w:val="auto"/>
              <w:lang w:val="es-MX"/>
            </w:rPr>
          </w:pPr>
          <w:hyperlink w:anchor="_Toc23325153" w:history="1">
            <w:r w:rsidR="00435936" w:rsidRPr="00622C0D">
              <w:rPr>
                <w:rStyle w:val="Hipervnculo"/>
                <w:rFonts w:ascii="Palatino Linotype" w:hAnsi="Palatino Linotype"/>
                <w:noProof/>
              </w:rPr>
              <w:t>IX. CONTROLES DE CAMBIO</w:t>
            </w:r>
            <w:r w:rsidR="00435936" w:rsidRPr="00622C0D">
              <w:rPr>
                <w:rFonts w:ascii="Palatino Linotype" w:hAnsi="Palatino Linotype"/>
                <w:noProof/>
                <w:webHidden/>
              </w:rPr>
              <w:tab/>
            </w:r>
            <w:r w:rsidR="00435936" w:rsidRPr="00622C0D">
              <w:rPr>
                <w:rFonts w:ascii="Palatino Linotype" w:hAnsi="Palatino Linotype"/>
                <w:noProof/>
                <w:webHidden/>
              </w:rPr>
              <w:fldChar w:fldCharType="begin"/>
            </w:r>
            <w:r w:rsidR="00435936" w:rsidRPr="00622C0D">
              <w:rPr>
                <w:rFonts w:ascii="Palatino Linotype" w:hAnsi="Palatino Linotype"/>
                <w:noProof/>
                <w:webHidden/>
              </w:rPr>
              <w:instrText xml:space="preserve"> PAGEREF _Toc23325153 \h </w:instrText>
            </w:r>
            <w:r w:rsidR="00435936" w:rsidRPr="00622C0D">
              <w:rPr>
                <w:rFonts w:ascii="Palatino Linotype" w:hAnsi="Palatino Linotype"/>
                <w:noProof/>
                <w:webHidden/>
              </w:rPr>
            </w:r>
            <w:r w:rsidR="00435936" w:rsidRPr="00622C0D">
              <w:rPr>
                <w:rFonts w:ascii="Palatino Linotype" w:hAnsi="Palatino Linotype"/>
                <w:noProof/>
                <w:webHidden/>
              </w:rPr>
              <w:fldChar w:fldCharType="separate"/>
            </w:r>
            <w:r w:rsidR="00435936" w:rsidRPr="00622C0D">
              <w:rPr>
                <w:rFonts w:ascii="Palatino Linotype" w:hAnsi="Palatino Linotype"/>
                <w:noProof/>
                <w:webHidden/>
              </w:rPr>
              <w:t>52</w:t>
            </w:r>
            <w:r w:rsidR="00435936" w:rsidRPr="00622C0D">
              <w:rPr>
                <w:rFonts w:ascii="Palatino Linotype" w:hAnsi="Palatino Linotype"/>
                <w:noProof/>
                <w:webHidden/>
              </w:rPr>
              <w:fldChar w:fldCharType="end"/>
            </w:r>
          </w:hyperlink>
        </w:p>
        <w:p w14:paraId="7941FB06" w14:textId="1F26F386" w:rsidR="00B3792D" w:rsidRPr="00E461D0" w:rsidRDefault="00B3792D">
          <w:r w:rsidRPr="00622C0D">
            <w:rPr>
              <w:rFonts w:ascii="Palatino Linotype" w:hAnsi="Palatino Linotype"/>
              <w:b/>
            </w:rPr>
            <w:fldChar w:fldCharType="end"/>
          </w:r>
        </w:p>
      </w:sdtContent>
    </w:sdt>
    <w:p w14:paraId="7347FF33" w14:textId="77777777" w:rsidR="00B3792D" w:rsidRPr="00E461D0" w:rsidRDefault="00B3792D" w:rsidP="00B3792D">
      <w:pPr>
        <w:pStyle w:val="Ttulo1"/>
        <w:rPr>
          <w:highlight w:val="yellow"/>
        </w:rPr>
        <w:sectPr w:rsidR="00B3792D" w:rsidRPr="00E461D0">
          <w:pgSz w:w="12240" w:h="15840"/>
          <w:pgMar w:top="1417" w:right="1701" w:bottom="1417" w:left="1701" w:header="708" w:footer="708" w:gutter="0"/>
          <w:cols w:space="708"/>
          <w:docGrid w:linePitch="360"/>
        </w:sectPr>
      </w:pPr>
    </w:p>
    <w:p w14:paraId="2C1648A1" w14:textId="77777777" w:rsidR="00DB40C1" w:rsidRPr="00E461D0" w:rsidRDefault="00DB40C1" w:rsidP="003C15F8">
      <w:pPr>
        <w:pStyle w:val="Ttulo1"/>
        <w:rPr>
          <w:i/>
        </w:rPr>
      </w:pPr>
      <w:bookmarkStart w:id="1" w:name="_Toc535599645"/>
      <w:bookmarkStart w:id="2" w:name="_Toc23325145"/>
      <w:r w:rsidRPr="00E461D0">
        <w:t>I. DESCRIPCIÓN DE LA EMISORA</w:t>
      </w:r>
      <w:bookmarkEnd w:id="1"/>
      <w:bookmarkEnd w:id="2"/>
    </w:p>
    <w:p w14:paraId="6DED2120" w14:textId="77777777" w:rsidR="00DB40C1" w:rsidRPr="00E461D0" w:rsidRDefault="00DB40C1" w:rsidP="00C12059">
      <w:pPr>
        <w:jc w:val="both"/>
        <w:rPr>
          <w:rFonts w:ascii="Palatino Linotype" w:hAnsi="Palatino Linotype"/>
          <w:i/>
        </w:rPr>
      </w:pPr>
    </w:p>
    <w:p w14:paraId="3D1CC442" w14:textId="77777777" w:rsidR="00C12059" w:rsidRPr="00E461D0" w:rsidRDefault="00C12059" w:rsidP="00C12059">
      <w:pPr>
        <w:jc w:val="both"/>
        <w:rPr>
          <w:rFonts w:ascii="Palatino Linotype" w:hAnsi="Palatino Linotype"/>
          <w:i/>
        </w:rPr>
      </w:pPr>
      <w:r w:rsidRPr="00E461D0">
        <w:rPr>
          <w:rFonts w:ascii="Palatino Linotype" w:hAnsi="Palatino Linotype"/>
          <w:i/>
        </w:rPr>
        <w:t>Antes de invertir en las Obligaciones Negociables Py</w:t>
      </w:r>
      <w:r w:rsidR="00B3792D" w:rsidRPr="00E461D0">
        <w:rPr>
          <w:rFonts w:ascii="Palatino Linotype" w:hAnsi="Palatino Linotype"/>
          <w:i/>
        </w:rPr>
        <w:t>ME</w:t>
      </w:r>
      <w:r w:rsidRPr="00E461D0">
        <w:rPr>
          <w:rFonts w:ascii="Palatino Linotype" w:hAnsi="Palatino Linotype"/>
          <w:i/>
        </w:rPr>
        <w:t>, el inversor debe leer cuidadosamente este Prospecto (junto con los estados contables auditados y trimestrales, y las notas relacionadas que se encuentran a disposición del público inversor en la página web de la CNV www.cnv.</w:t>
      </w:r>
      <w:r w:rsidR="00AE5F6E" w:rsidRPr="00E461D0">
        <w:rPr>
          <w:rFonts w:ascii="Palatino Linotype" w:hAnsi="Palatino Linotype"/>
          <w:i/>
        </w:rPr>
        <w:t>gov</w:t>
      </w:r>
      <w:r w:rsidRPr="00E461D0">
        <w:rPr>
          <w:rFonts w:ascii="Palatino Linotype" w:hAnsi="Palatino Linotype"/>
          <w:i/>
        </w:rPr>
        <w:t>.ar en el ítem Información Financiera) en su totalidad para un entendimiento más completo del negocio de</w:t>
      </w:r>
      <w:r w:rsidR="00B3792D" w:rsidRPr="00E461D0">
        <w:rPr>
          <w:rFonts w:ascii="Palatino Linotype" w:hAnsi="Palatino Linotype"/>
          <w:i/>
        </w:rPr>
        <w:t xml:space="preserve"> </w:t>
      </w:r>
      <w:r w:rsidRPr="00E461D0">
        <w:rPr>
          <w:rFonts w:ascii="Palatino Linotype" w:hAnsi="Palatino Linotype"/>
          <w:i/>
        </w:rPr>
        <w:t>l</w:t>
      </w:r>
      <w:r w:rsidR="00B3792D" w:rsidRPr="00E461D0">
        <w:rPr>
          <w:rFonts w:ascii="Palatino Linotype" w:hAnsi="Palatino Linotype"/>
          <w:i/>
        </w:rPr>
        <w:t>a</w:t>
      </w:r>
      <w:r w:rsidRPr="00E461D0">
        <w:rPr>
          <w:rFonts w:ascii="Palatino Linotype" w:hAnsi="Palatino Linotype"/>
          <w:i/>
        </w:rPr>
        <w:t xml:space="preserve"> Emisor</w:t>
      </w:r>
      <w:r w:rsidR="00B3792D" w:rsidRPr="00E461D0">
        <w:rPr>
          <w:rFonts w:ascii="Palatino Linotype" w:hAnsi="Palatino Linotype"/>
          <w:i/>
        </w:rPr>
        <w:t>a</w:t>
      </w:r>
      <w:r w:rsidRPr="00E461D0">
        <w:rPr>
          <w:rFonts w:ascii="Palatino Linotype" w:hAnsi="Palatino Linotype"/>
          <w:i/>
        </w:rPr>
        <w:t xml:space="preserve"> y de las Obligaciones Negociables Py</w:t>
      </w:r>
      <w:r w:rsidR="00B3792D" w:rsidRPr="00E461D0">
        <w:rPr>
          <w:rFonts w:ascii="Palatino Linotype" w:hAnsi="Palatino Linotype"/>
          <w:i/>
        </w:rPr>
        <w:t>ME</w:t>
      </w:r>
      <w:r w:rsidRPr="00E461D0">
        <w:rPr>
          <w:rFonts w:ascii="Palatino Linotype" w:hAnsi="Palatino Linotype"/>
          <w:i/>
        </w:rPr>
        <w:t>.</w:t>
      </w:r>
    </w:p>
    <w:p w14:paraId="13A1E6BB" w14:textId="77777777" w:rsidR="00C12059" w:rsidRPr="00E461D0" w:rsidRDefault="00C12059" w:rsidP="00C12059">
      <w:pPr>
        <w:jc w:val="both"/>
        <w:rPr>
          <w:rFonts w:ascii="Palatino Linotype" w:hAnsi="Palatino Linotype"/>
        </w:rPr>
      </w:pPr>
    </w:p>
    <w:p w14:paraId="451D43BD" w14:textId="77777777" w:rsidR="00C12059" w:rsidRPr="00E461D0" w:rsidRDefault="00C12059" w:rsidP="00C12059">
      <w:pPr>
        <w:jc w:val="both"/>
        <w:rPr>
          <w:rFonts w:ascii="Palatino Linotype" w:hAnsi="Palatino Linotype"/>
          <w:b/>
        </w:rPr>
      </w:pPr>
      <w:r w:rsidRPr="00E461D0">
        <w:rPr>
          <w:rFonts w:ascii="Palatino Linotype" w:hAnsi="Palatino Linotype"/>
          <w:b/>
        </w:rPr>
        <w:t>Denominación, forma legal, fecha de constitución, plazo y domicilio legal.</w:t>
      </w:r>
    </w:p>
    <w:p w14:paraId="0EBC7F28" w14:textId="77777777" w:rsidR="00C12059" w:rsidRPr="00E461D0" w:rsidRDefault="00C12059" w:rsidP="00C12059">
      <w:pPr>
        <w:jc w:val="both"/>
        <w:rPr>
          <w:rFonts w:ascii="Palatino Linotype" w:hAnsi="Palatino Linotype"/>
        </w:rPr>
      </w:pPr>
    </w:p>
    <w:p w14:paraId="7066DEAC" w14:textId="54C2432A" w:rsidR="00C12059" w:rsidRPr="00E461D0" w:rsidRDefault="00C12059" w:rsidP="00C12059">
      <w:pPr>
        <w:jc w:val="both"/>
        <w:rPr>
          <w:rFonts w:ascii="Palatino Linotype" w:hAnsi="Palatino Linotype"/>
        </w:rPr>
      </w:pPr>
      <w:r w:rsidRPr="00E461D0">
        <w:rPr>
          <w:rFonts w:ascii="Palatino Linotype" w:hAnsi="Palatino Linotype"/>
        </w:rPr>
        <w:t xml:space="preserve">Global Valores </w:t>
      </w:r>
      <w:r w:rsidR="009A4261" w:rsidRPr="00E461D0">
        <w:rPr>
          <w:rFonts w:ascii="Palatino Linotype" w:hAnsi="Palatino Linotype"/>
        </w:rPr>
        <w:t>S.A.</w:t>
      </w:r>
      <w:r w:rsidR="00FA6FBF" w:rsidRPr="00E461D0">
        <w:rPr>
          <w:rFonts w:ascii="Palatino Linotype" w:hAnsi="Palatino Linotype"/>
        </w:rPr>
        <w:t xml:space="preserve"> </w:t>
      </w:r>
      <w:r w:rsidRPr="00E461D0">
        <w:rPr>
          <w:rFonts w:ascii="Palatino Linotype" w:hAnsi="Palatino Linotype"/>
        </w:rPr>
        <w:t xml:space="preserve">(CUIT </w:t>
      </w:r>
      <w:r w:rsidR="0054314F" w:rsidRPr="00E461D0">
        <w:rPr>
          <w:rFonts w:ascii="Palatino Linotype" w:hAnsi="Palatino Linotype"/>
        </w:rPr>
        <w:t>30-70853727-2</w:t>
      </w:r>
      <w:r w:rsidR="009A4261" w:rsidRPr="00E461D0">
        <w:rPr>
          <w:rFonts w:ascii="Palatino Linotype" w:hAnsi="Palatino Linotype"/>
        </w:rPr>
        <w:t>)</w:t>
      </w:r>
      <w:r w:rsidR="0054314F" w:rsidRPr="00E461D0">
        <w:rPr>
          <w:rFonts w:ascii="Palatino Linotype" w:hAnsi="Palatino Linotype"/>
        </w:rPr>
        <w:t xml:space="preserve"> </w:t>
      </w:r>
      <w:r w:rsidRPr="00E461D0">
        <w:rPr>
          <w:rFonts w:ascii="Palatino Linotype" w:hAnsi="Palatino Linotype"/>
        </w:rPr>
        <w:t xml:space="preserve">es una sociedad anónima, sujeta y organizada bajo las leyes de la República Argentina. </w:t>
      </w:r>
    </w:p>
    <w:p w14:paraId="35794EB7" w14:textId="77777777" w:rsidR="00C12059" w:rsidRPr="00E461D0" w:rsidRDefault="00C12059" w:rsidP="00C12059">
      <w:pPr>
        <w:jc w:val="both"/>
        <w:rPr>
          <w:rFonts w:ascii="Palatino Linotype" w:hAnsi="Palatino Linotype"/>
        </w:rPr>
      </w:pPr>
    </w:p>
    <w:p w14:paraId="09CDA16B" w14:textId="77777777" w:rsidR="00C12059" w:rsidRPr="00E461D0" w:rsidRDefault="00C12059" w:rsidP="00C12059">
      <w:pPr>
        <w:jc w:val="both"/>
        <w:rPr>
          <w:rFonts w:ascii="Palatino Linotype" w:hAnsi="Palatino Linotype"/>
        </w:rPr>
      </w:pPr>
      <w:r w:rsidRPr="00E461D0">
        <w:rPr>
          <w:rFonts w:ascii="Palatino Linotype" w:hAnsi="Palatino Linotype"/>
        </w:rPr>
        <w:t xml:space="preserve">Fue originalmente constituida por escritura pública número </w:t>
      </w:r>
      <w:r w:rsidR="003B4A79" w:rsidRPr="00E461D0">
        <w:rPr>
          <w:rFonts w:ascii="Palatino Linotype" w:hAnsi="Palatino Linotype"/>
        </w:rPr>
        <w:t xml:space="preserve">1136, </w:t>
      </w:r>
      <w:r w:rsidRPr="00E461D0">
        <w:rPr>
          <w:rFonts w:ascii="Palatino Linotype" w:hAnsi="Palatino Linotype"/>
        </w:rPr>
        <w:t xml:space="preserve">de fecha </w:t>
      </w:r>
      <w:r w:rsidR="003B4A79" w:rsidRPr="00E461D0">
        <w:rPr>
          <w:rFonts w:ascii="Palatino Linotype" w:hAnsi="Palatino Linotype"/>
        </w:rPr>
        <w:t xml:space="preserve">29 de setiembre de 2003, </w:t>
      </w:r>
      <w:r w:rsidRPr="00E461D0">
        <w:rPr>
          <w:rFonts w:ascii="Palatino Linotype" w:hAnsi="Palatino Linotype"/>
        </w:rPr>
        <w:t xml:space="preserve">e inscripta bajo el </w:t>
      </w:r>
      <w:r w:rsidR="003B4A79" w:rsidRPr="00E461D0">
        <w:rPr>
          <w:rFonts w:ascii="Palatino Linotype" w:hAnsi="Palatino Linotype"/>
        </w:rPr>
        <w:t>Numero 13994</w:t>
      </w:r>
      <w:r w:rsidRPr="00E461D0">
        <w:rPr>
          <w:rFonts w:ascii="Palatino Linotype" w:hAnsi="Palatino Linotype"/>
        </w:rPr>
        <w:t xml:space="preserve"> </w:t>
      </w:r>
      <w:r w:rsidR="003B4A79" w:rsidRPr="00E461D0">
        <w:rPr>
          <w:rFonts w:ascii="Palatino Linotype" w:hAnsi="Palatino Linotype"/>
        </w:rPr>
        <w:t>Folio 4339</w:t>
      </w:r>
      <w:r w:rsidRPr="00E461D0">
        <w:rPr>
          <w:rFonts w:ascii="Palatino Linotype" w:hAnsi="Palatino Linotype"/>
        </w:rPr>
        <w:t xml:space="preserve"> del Libro </w:t>
      </w:r>
      <w:r w:rsidR="003B4A79" w:rsidRPr="00E461D0">
        <w:rPr>
          <w:rFonts w:ascii="Palatino Linotype" w:hAnsi="Palatino Linotype"/>
        </w:rPr>
        <w:t xml:space="preserve">23 </w:t>
      </w:r>
      <w:r w:rsidR="008913D0" w:rsidRPr="00E461D0">
        <w:rPr>
          <w:rFonts w:ascii="Palatino Linotype" w:hAnsi="Palatino Linotype"/>
        </w:rPr>
        <w:t xml:space="preserve">de Sociedades </w:t>
      </w:r>
      <w:r w:rsidR="003B4A79" w:rsidRPr="00E461D0">
        <w:rPr>
          <w:rFonts w:ascii="Palatino Linotype" w:hAnsi="Palatino Linotype"/>
        </w:rPr>
        <w:t>por Acciones</w:t>
      </w:r>
      <w:r w:rsidRPr="00E461D0">
        <w:rPr>
          <w:rFonts w:ascii="Palatino Linotype" w:hAnsi="Palatino Linotype"/>
        </w:rPr>
        <w:t>. La Sociedad fue constituida con un plazo de duración de 99 años, a partir de la fecha de su inscripción.</w:t>
      </w:r>
    </w:p>
    <w:p w14:paraId="30B63EAB" w14:textId="77777777" w:rsidR="00C12059" w:rsidRPr="00E461D0" w:rsidRDefault="00C12059" w:rsidP="00C12059">
      <w:pPr>
        <w:jc w:val="both"/>
        <w:rPr>
          <w:rFonts w:ascii="Palatino Linotype" w:hAnsi="Palatino Linotype"/>
        </w:rPr>
      </w:pPr>
    </w:p>
    <w:p w14:paraId="5A8EF3D2" w14:textId="3AABF0E9" w:rsidR="00C12059" w:rsidRPr="00B11A87" w:rsidRDefault="00C12059" w:rsidP="00B11A87">
      <w:pPr>
        <w:rPr>
          <w:rFonts w:ascii="Calibri" w:eastAsiaTheme="minorHAnsi" w:hAnsi="Calibri" w:cs="Calibri"/>
          <w:color w:val="auto"/>
          <w:lang w:val="es-MX" w:eastAsia="en-US"/>
        </w:rPr>
      </w:pPr>
      <w:r w:rsidRPr="00E461D0">
        <w:rPr>
          <w:rFonts w:ascii="Palatino Linotype" w:hAnsi="Palatino Linotype"/>
        </w:rPr>
        <w:t xml:space="preserve">La Sociedad tiene su sede social </w:t>
      </w:r>
      <w:r w:rsidR="0054314F" w:rsidRPr="00E461D0">
        <w:rPr>
          <w:rFonts w:ascii="Palatino Linotype" w:hAnsi="Palatino Linotype"/>
        </w:rPr>
        <w:t>en Orti</w:t>
      </w:r>
      <w:r w:rsidR="00B11A87">
        <w:rPr>
          <w:rFonts w:ascii="Palatino Linotype" w:hAnsi="Palatino Linotype"/>
        </w:rPr>
        <w:t>z de Ocampo 3302, Módulo 1</w:t>
      </w:r>
      <w:r w:rsidR="0054314F" w:rsidRPr="00E461D0">
        <w:rPr>
          <w:rFonts w:ascii="Palatino Linotype" w:hAnsi="Palatino Linotype"/>
        </w:rPr>
        <w:t>, piso 5</w:t>
      </w:r>
      <w:r w:rsidRPr="00E461D0">
        <w:rPr>
          <w:rFonts w:ascii="Palatino Linotype" w:hAnsi="Palatino Linotype"/>
        </w:rPr>
        <w:t xml:space="preserve"> Ciudad Autónoma de Bueno</w:t>
      </w:r>
      <w:r w:rsidR="00B11A87">
        <w:rPr>
          <w:rFonts w:ascii="Palatino Linotype" w:hAnsi="Palatino Linotype"/>
        </w:rPr>
        <w:t>s Aires, Argentina, teléfono:</w:t>
      </w:r>
      <w:r w:rsidRPr="00E461D0">
        <w:rPr>
          <w:rFonts w:ascii="Palatino Linotype" w:hAnsi="Palatino Linotype"/>
        </w:rPr>
        <w:t xml:space="preserve"> </w:t>
      </w:r>
      <w:r w:rsidR="0054314F" w:rsidRPr="00E461D0">
        <w:rPr>
          <w:rFonts w:ascii="Palatino Linotype" w:hAnsi="Palatino Linotype"/>
        </w:rPr>
        <w:t>5235-1200</w:t>
      </w:r>
      <w:r w:rsidR="00B11A87">
        <w:rPr>
          <w:rFonts w:ascii="Palatino Linotype" w:hAnsi="Palatino Linotype"/>
        </w:rPr>
        <w:t xml:space="preserve">, fax: </w:t>
      </w:r>
      <w:r w:rsidR="00B11A87" w:rsidRPr="00B11A87">
        <w:rPr>
          <w:rFonts w:ascii="Palatino Linotype" w:hAnsi="Palatino Linotype"/>
        </w:rPr>
        <w:t>11-3986-5688</w:t>
      </w:r>
      <w:r w:rsidR="0054314F" w:rsidRPr="00E461D0">
        <w:rPr>
          <w:rFonts w:ascii="Palatino Linotype" w:hAnsi="Palatino Linotype"/>
        </w:rPr>
        <w:t xml:space="preserve">, </w:t>
      </w:r>
      <w:r w:rsidRPr="00E461D0">
        <w:rPr>
          <w:rFonts w:ascii="Palatino Linotype" w:hAnsi="Palatino Linotype"/>
        </w:rPr>
        <w:t xml:space="preserve">correo electrónico </w:t>
      </w:r>
      <w:r w:rsidR="0054314F" w:rsidRPr="00E461D0">
        <w:rPr>
          <w:rFonts w:ascii="Palatino Linotype" w:hAnsi="Palatino Linotype"/>
        </w:rPr>
        <w:t>(</w:t>
      </w:r>
      <w:hyperlink r:id="rId12" w:history="1">
        <w:r w:rsidR="00A146A4" w:rsidRPr="00E461D0">
          <w:rPr>
            <w:rStyle w:val="Hipervnculo"/>
            <w:rFonts w:ascii="Palatino Linotype" w:hAnsi="Palatino Linotype"/>
          </w:rPr>
          <w:t>info@globalvalores.com.ar</w:t>
        </w:r>
      </w:hyperlink>
      <w:r w:rsidRPr="00E461D0">
        <w:rPr>
          <w:rFonts w:ascii="Palatino Linotype" w:hAnsi="Palatino Linotype"/>
        </w:rPr>
        <w:t xml:space="preserve">), y su página web es: </w:t>
      </w:r>
      <w:hyperlink r:id="rId13" w:history="1">
        <w:r w:rsidRPr="00E461D0">
          <w:rPr>
            <w:rStyle w:val="Hipervnculo"/>
            <w:rFonts w:ascii="Palatino Linotype" w:hAnsi="Palatino Linotype"/>
          </w:rPr>
          <w:t>www.globalvalores.com.ar</w:t>
        </w:r>
      </w:hyperlink>
      <w:r w:rsidRPr="00E461D0">
        <w:rPr>
          <w:rFonts w:ascii="Palatino Linotype" w:hAnsi="Palatino Linotype"/>
        </w:rPr>
        <w:t>.</w:t>
      </w:r>
    </w:p>
    <w:p w14:paraId="392CA6FE" w14:textId="77777777" w:rsidR="00C12059" w:rsidRPr="00E461D0" w:rsidRDefault="00C12059" w:rsidP="00C12059">
      <w:pPr>
        <w:jc w:val="both"/>
        <w:rPr>
          <w:rFonts w:ascii="Palatino Linotype" w:hAnsi="Palatino Linotype"/>
        </w:rPr>
      </w:pPr>
    </w:p>
    <w:p w14:paraId="010F20BD" w14:textId="77777777" w:rsidR="00C12059" w:rsidRPr="00E461D0" w:rsidRDefault="00C12059" w:rsidP="00C12059">
      <w:pPr>
        <w:jc w:val="both"/>
        <w:rPr>
          <w:rFonts w:ascii="Palatino Linotype" w:hAnsi="Palatino Linotype"/>
        </w:rPr>
      </w:pPr>
      <w:r w:rsidRPr="00E461D0">
        <w:rPr>
          <w:rFonts w:ascii="Palatino Linotype" w:hAnsi="Palatino Linotype"/>
        </w:rPr>
        <w:t>Domicilio social: Ortiz de Ocampo 3302, Módulo 1, Piso 5to, C1425DSV, Ciudad de Buenos Aires.</w:t>
      </w:r>
    </w:p>
    <w:p w14:paraId="3C67AA8F" w14:textId="77777777" w:rsidR="00C12059" w:rsidRPr="00CE678E" w:rsidRDefault="00C12059" w:rsidP="00C12059">
      <w:pPr>
        <w:jc w:val="both"/>
        <w:rPr>
          <w:rFonts w:ascii="Palatino Linotype" w:hAnsi="Palatino Linotype"/>
          <w:lang w:val="en-US"/>
        </w:rPr>
      </w:pPr>
      <w:r w:rsidRPr="00CE678E">
        <w:rPr>
          <w:rFonts w:ascii="Palatino Linotype" w:hAnsi="Palatino Linotype"/>
          <w:lang w:val="en-US"/>
        </w:rPr>
        <w:t>CUIT</w:t>
      </w:r>
      <w:r w:rsidR="0054314F" w:rsidRPr="00CE678E">
        <w:rPr>
          <w:rFonts w:ascii="Palatino Linotype" w:hAnsi="Palatino Linotype"/>
          <w:lang w:val="en-US"/>
        </w:rPr>
        <w:t>: 30-70853727-2</w:t>
      </w:r>
    </w:p>
    <w:p w14:paraId="7006F6C1" w14:textId="77777777" w:rsidR="00C12059" w:rsidRPr="00CE678E" w:rsidRDefault="00C12059" w:rsidP="00C12059">
      <w:pPr>
        <w:jc w:val="both"/>
        <w:rPr>
          <w:rFonts w:ascii="Palatino Linotype" w:hAnsi="Palatino Linotype"/>
          <w:lang w:val="en-US"/>
        </w:rPr>
      </w:pPr>
      <w:r w:rsidRPr="00CE678E">
        <w:rPr>
          <w:rFonts w:ascii="Palatino Linotype" w:hAnsi="Palatino Linotype"/>
          <w:lang w:val="en-US"/>
        </w:rPr>
        <w:t xml:space="preserve">Tel.: (5411) </w:t>
      </w:r>
      <w:r w:rsidR="0054314F" w:rsidRPr="00CE678E">
        <w:rPr>
          <w:rFonts w:ascii="Palatino Linotype" w:hAnsi="Palatino Linotype"/>
          <w:lang w:val="en-US"/>
        </w:rPr>
        <w:t>5235-1200</w:t>
      </w:r>
    </w:p>
    <w:p w14:paraId="5635485E" w14:textId="77777777" w:rsidR="00C12059" w:rsidRPr="00CE678E" w:rsidRDefault="00C12059" w:rsidP="00C12059">
      <w:pPr>
        <w:jc w:val="both"/>
        <w:rPr>
          <w:rFonts w:ascii="Palatino Linotype" w:hAnsi="Palatino Linotype"/>
          <w:lang w:val="en-US"/>
        </w:rPr>
      </w:pPr>
      <w:r w:rsidRPr="00CE678E">
        <w:rPr>
          <w:rFonts w:ascii="Palatino Linotype" w:hAnsi="Palatino Linotype"/>
          <w:lang w:val="en-US"/>
        </w:rPr>
        <w:t xml:space="preserve">E-mail: </w:t>
      </w:r>
      <w:r w:rsidR="0054314F" w:rsidRPr="00CE678E">
        <w:rPr>
          <w:rFonts w:ascii="Palatino Linotype" w:hAnsi="Palatino Linotype"/>
          <w:lang w:val="en-US"/>
        </w:rPr>
        <w:t>info</w:t>
      </w:r>
      <w:r w:rsidRPr="00CE678E">
        <w:rPr>
          <w:rFonts w:ascii="Palatino Linotype" w:hAnsi="Palatino Linotype"/>
          <w:lang w:val="en-US"/>
        </w:rPr>
        <w:t>@</w:t>
      </w:r>
      <w:r w:rsidR="0054314F" w:rsidRPr="00CE678E">
        <w:rPr>
          <w:rFonts w:ascii="Palatino Linotype" w:hAnsi="Palatino Linotype"/>
          <w:lang w:val="en-US"/>
        </w:rPr>
        <w:t>globalvalores</w:t>
      </w:r>
      <w:r w:rsidRPr="00CE678E">
        <w:rPr>
          <w:rFonts w:ascii="Palatino Linotype" w:hAnsi="Palatino Linotype"/>
          <w:lang w:val="en-US"/>
        </w:rPr>
        <w:t xml:space="preserve">.com.ar </w:t>
      </w:r>
    </w:p>
    <w:p w14:paraId="55261A89" w14:textId="77777777" w:rsidR="00C12059" w:rsidRPr="00E461D0" w:rsidRDefault="00C12059" w:rsidP="00C12059">
      <w:pPr>
        <w:jc w:val="both"/>
        <w:rPr>
          <w:rFonts w:ascii="Palatino Linotype" w:hAnsi="Palatino Linotype"/>
        </w:rPr>
      </w:pPr>
      <w:r w:rsidRPr="00E461D0">
        <w:rPr>
          <w:rFonts w:ascii="Palatino Linotype" w:hAnsi="Palatino Linotype"/>
        </w:rPr>
        <w:t xml:space="preserve">Página Web: </w:t>
      </w:r>
      <w:hyperlink r:id="rId14" w:history="1">
        <w:r w:rsidRPr="00E461D0">
          <w:rPr>
            <w:rStyle w:val="Hipervnculo"/>
            <w:rFonts w:ascii="Palatino Linotype" w:hAnsi="Palatino Linotype"/>
          </w:rPr>
          <w:t>www.globalvalores.com.ar</w:t>
        </w:r>
      </w:hyperlink>
      <w:r w:rsidRPr="00E461D0">
        <w:rPr>
          <w:rFonts w:ascii="Palatino Linotype" w:hAnsi="Palatino Linotype"/>
        </w:rPr>
        <w:t>.</w:t>
      </w:r>
    </w:p>
    <w:p w14:paraId="31D4D230" w14:textId="77777777" w:rsidR="00C12059" w:rsidRPr="00E461D0" w:rsidRDefault="00C12059" w:rsidP="00C12059">
      <w:pPr>
        <w:jc w:val="both"/>
        <w:rPr>
          <w:rFonts w:ascii="Palatino Linotype" w:hAnsi="Palatino Linotype"/>
        </w:rPr>
      </w:pPr>
    </w:p>
    <w:p w14:paraId="4C903BCD" w14:textId="77777777" w:rsidR="00C12059" w:rsidRPr="00E461D0" w:rsidRDefault="00C12059" w:rsidP="00C12059">
      <w:pPr>
        <w:jc w:val="both"/>
        <w:rPr>
          <w:rFonts w:ascii="Palatino Linotype" w:hAnsi="Palatino Linotype"/>
          <w:b/>
        </w:rPr>
      </w:pPr>
      <w:r w:rsidRPr="00E461D0">
        <w:rPr>
          <w:rFonts w:ascii="Palatino Linotype" w:hAnsi="Palatino Linotype"/>
          <w:b/>
        </w:rPr>
        <w:t xml:space="preserve">Breve reseña histórica y actividad de la Sociedad. </w:t>
      </w:r>
    </w:p>
    <w:p w14:paraId="5453026F" w14:textId="77777777" w:rsidR="00C12059" w:rsidRPr="00E461D0" w:rsidRDefault="00C12059" w:rsidP="00C12059">
      <w:pPr>
        <w:jc w:val="both"/>
        <w:rPr>
          <w:rFonts w:ascii="Palatino Linotype" w:hAnsi="Palatino Linotype"/>
        </w:rPr>
      </w:pPr>
    </w:p>
    <w:p w14:paraId="0F9149CC" w14:textId="0CA28D59" w:rsidR="009D3D7C" w:rsidRPr="00E461D0" w:rsidRDefault="0054314F" w:rsidP="009D3D7C">
      <w:pPr>
        <w:jc w:val="both"/>
        <w:rPr>
          <w:rFonts w:ascii="Palatino Linotype" w:hAnsi="Palatino Linotype"/>
        </w:rPr>
      </w:pPr>
      <w:r w:rsidRPr="00E461D0">
        <w:rPr>
          <w:rFonts w:ascii="Palatino Linotype" w:hAnsi="Palatino Linotype"/>
        </w:rPr>
        <w:t>Global inició sus</w:t>
      </w:r>
      <w:r w:rsidR="009D3D7C" w:rsidRPr="00E461D0">
        <w:rPr>
          <w:rFonts w:ascii="Palatino Linotype" w:hAnsi="Palatino Linotype"/>
        </w:rPr>
        <w:t xml:space="preserve"> actividades en 2004 por iniciativa de Luis Mornaghi, actual accionista y </w:t>
      </w:r>
      <w:r w:rsidRPr="00E461D0">
        <w:rPr>
          <w:rFonts w:ascii="Palatino Linotype" w:hAnsi="Palatino Linotype"/>
        </w:rPr>
        <w:t>P</w:t>
      </w:r>
      <w:r w:rsidR="009D3D7C" w:rsidRPr="00E461D0">
        <w:rPr>
          <w:rFonts w:ascii="Palatino Linotype" w:hAnsi="Palatino Linotype"/>
        </w:rPr>
        <w:t>residente</w:t>
      </w:r>
      <w:r w:rsidRPr="00E461D0">
        <w:rPr>
          <w:rFonts w:ascii="Palatino Linotype" w:hAnsi="Palatino Linotype"/>
        </w:rPr>
        <w:t xml:space="preserve"> de la </w:t>
      </w:r>
      <w:r w:rsidR="00461F72" w:rsidRPr="00E461D0">
        <w:rPr>
          <w:rFonts w:ascii="Palatino Linotype" w:hAnsi="Palatino Linotype"/>
        </w:rPr>
        <w:t>Compañía</w:t>
      </w:r>
      <w:r w:rsidR="009D3D7C" w:rsidRPr="00E461D0">
        <w:rPr>
          <w:rFonts w:ascii="Palatino Linotype" w:hAnsi="Palatino Linotype"/>
        </w:rPr>
        <w:t>, con más de 35 años de experiencia en el mercado financiero y bursátil del país.</w:t>
      </w:r>
    </w:p>
    <w:p w14:paraId="53C8D90C" w14:textId="77777777" w:rsidR="009D3D7C" w:rsidRPr="00E461D0" w:rsidRDefault="009D3D7C" w:rsidP="009D3D7C">
      <w:pPr>
        <w:jc w:val="both"/>
        <w:rPr>
          <w:rFonts w:ascii="Palatino Linotype" w:hAnsi="Palatino Linotype"/>
        </w:rPr>
      </w:pPr>
    </w:p>
    <w:p w14:paraId="5B3B7534" w14:textId="28DB9993" w:rsidR="00C87736" w:rsidRPr="00E461D0" w:rsidRDefault="00C87736" w:rsidP="009D3D7C">
      <w:pPr>
        <w:jc w:val="both"/>
        <w:rPr>
          <w:rFonts w:ascii="Palatino Linotype" w:hAnsi="Palatino Linotype"/>
        </w:rPr>
      </w:pPr>
      <w:r w:rsidRPr="00E461D0">
        <w:rPr>
          <w:rFonts w:ascii="Palatino Linotype" w:hAnsi="Palatino Linotype"/>
        </w:rPr>
        <w:t xml:space="preserve">La </w:t>
      </w:r>
      <w:r w:rsidR="009A4261" w:rsidRPr="00E461D0">
        <w:rPr>
          <w:rFonts w:ascii="Palatino Linotype" w:hAnsi="Palatino Linotype"/>
        </w:rPr>
        <w:t>S</w:t>
      </w:r>
      <w:r w:rsidRPr="00E461D0">
        <w:rPr>
          <w:rFonts w:ascii="Palatino Linotype" w:hAnsi="Palatino Linotype"/>
        </w:rPr>
        <w:t xml:space="preserve">ociedad </w:t>
      </w:r>
      <w:r w:rsidR="009A4261" w:rsidRPr="00E461D0">
        <w:rPr>
          <w:rFonts w:ascii="Palatino Linotype" w:hAnsi="Palatino Linotype"/>
        </w:rPr>
        <w:t>nació</w:t>
      </w:r>
      <w:r w:rsidRPr="00E461D0">
        <w:rPr>
          <w:rFonts w:ascii="Palatino Linotype" w:hAnsi="Palatino Linotype"/>
        </w:rPr>
        <w:t xml:space="preserve"> como Global Equity Sociedad de Bolsa S.A., nombre que luego</w:t>
      </w:r>
      <w:r w:rsidR="009A4261" w:rsidRPr="00E461D0">
        <w:rPr>
          <w:rFonts w:ascii="Palatino Linotype" w:hAnsi="Palatino Linotype"/>
        </w:rPr>
        <w:t xml:space="preserve"> fue sustituido por</w:t>
      </w:r>
      <w:r w:rsidRPr="00E461D0">
        <w:rPr>
          <w:rFonts w:ascii="Palatino Linotype" w:hAnsi="Palatino Linotype"/>
        </w:rPr>
        <w:t xml:space="preserve"> Global Equity S.A. </w:t>
      </w:r>
      <w:r w:rsidR="008913D0" w:rsidRPr="00E461D0">
        <w:rPr>
          <w:rFonts w:ascii="Palatino Linotype" w:hAnsi="Palatino Linotype"/>
        </w:rPr>
        <w:t xml:space="preserve">y finalmente </w:t>
      </w:r>
      <w:r w:rsidR="009A4261" w:rsidRPr="00E461D0">
        <w:rPr>
          <w:rFonts w:ascii="Palatino Linotype" w:hAnsi="Palatino Linotype"/>
        </w:rPr>
        <w:t>surgió el</w:t>
      </w:r>
      <w:r w:rsidR="008913D0" w:rsidRPr="00E461D0">
        <w:rPr>
          <w:rFonts w:ascii="Palatino Linotype" w:hAnsi="Palatino Linotype"/>
        </w:rPr>
        <w:t xml:space="preserve"> nombre actual</w:t>
      </w:r>
      <w:r w:rsidR="009A4261" w:rsidRPr="00E461D0">
        <w:rPr>
          <w:rFonts w:ascii="Palatino Linotype" w:hAnsi="Palatino Linotype"/>
        </w:rPr>
        <w:t>,</w:t>
      </w:r>
      <w:r w:rsidR="008913D0" w:rsidRPr="00E461D0">
        <w:rPr>
          <w:rFonts w:ascii="Palatino Linotype" w:hAnsi="Palatino Linotype"/>
        </w:rPr>
        <w:t xml:space="preserve"> Global Valores S.A.</w:t>
      </w:r>
    </w:p>
    <w:p w14:paraId="130C2F8C" w14:textId="77777777" w:rsidR="00C87736" w:rsidRPr="00E461D0" w:rsidRDefault="00C87736" w:rsidP="009D3D7C">
      <w:pPr>
        <w:jc w:val="both"/>
        <w:rPr>
          <w:rFonts w:ascii="Palatino Linotype" w:hAnsi="Palatino Linotype"/>
        </w:rPr>
      </w:pPr>
    </w:p>
    <w:p w14:paraId="5588D7AA" w14:textId="09BE03BA" w:rsidR="0054314F" w:rsidRPr="00E461D0" w:rsidRDefault="0054314F" w:rsidP="009D3D7C">
      <w:pPr>
        <w:jc w:val="both"/>
        <w:rPr>
          <w:rFonts w:ascii="Palatino Linotype" w:hAnsi="Palatino Linotype"/>
        </w:rPr>
      </w:pPr>
      <w:r w:rsidRPr="00E461D0">
        <w:rPr>
          <w:rFonts w:ascii="Palatino Linotype" w:hAnsi="Palatino Linotype"/>
        </w:rPr>
        <w:t xml:space="preserve">Global es un Agente de </w:t>
      </w:r>
      <w:r w:rsidR="009A4261" w:rsidRPr="00E461D0">
        <w:rPr>
          <w:rFonts w:ascii="Palatino Linotype" w:hAnsi="Palatino Linotype"/>
        </w:rPr>
        <w:t>Liquidación</w:t>
      </w:r>
      <w:r w:rsidRPr="00E461D0">
        <w:rPr>
          <w:rFonts w:ascii="Palatino Linotype" w:hAnsi="Palatino Linotype"/>
        </w:rPr>
        <w:t xml:space="preserve"> y Compensación </w:t>
      </w:r>
      <w:r w:rsidR="002B4F19" w:rsidRPr="00E461D0">
        <w:rPr>
          <w:rFonts w:ascii="Palatino Linotype" w:hAnsi="Palatino Linotype"/>
        </w:rPr>
        <w:t>Integral</w:t>
      </w:r>
      <w:r w:rsidR="009A4261" w:rsidRPr="00E461D0">
        <w:rPr>
          <w:rFonts w:ascii="Palatino Linotype" w:hAnsi="Palatino Linotype"/>
        </w:rPr>
        <w:t xml:space="preserve"> (“ALYC </w:t>
      </w:r>
      <w:r w:rsidR="002B4F19" w:rsidRPr="00E461D0">
        <w:rPr>
          <w:rFonts w:ascii="Palatino Linotype" w:hAnsi="Palatino Linotype"/>
        </w:rPr>
        <w:t>Integral</w:t>
      </w:r>
      <w:r w:rsidR="009A4261" w:rsidRPr="00E461D0">
        <w:rPr>
          <w:rFonts w:ascii="Palatino Linotype" w:hAnsi="Palatino Linotype"/>
        </w:rPr>
        <w:t>”)</w:t>
      </w:r>
      <w:r w:rsidRPr="00E461D0">
        <w:rPr>
          <w:rFonts w:ascii="Palatino Linotype" w:hAnsi="Palatino Linotype"/>
        </w:rPr>
        <w:t xml:space="preserve">, inscripto en la </w:t>
      </w:r>
      <w:r w:rsidR="009A4261" w:rsidRPr="00E461D0">
        <w:rPr>
          <w:rFonts w:ascii="Palatino Linotype" w:hAnsi="Palatino Linotype"/>
        </w:rPr>
        <w:t>Comisión</w:t>
      </w:r>
      <w:r w:rsidRPr="00E461D0">
        <w:rPr>
          <w:rFonts w:ascii="Palatino Linotype" w:hAnsi="Palatino Linotype"/>
        </w:rPr>
        <w:t xml:space="preserve"> Nacional de Valores de la República Argentina bajo el n</w:t>
      </w:r>
      <w:r w:rsidR="009A4261" w:rsidRPr="00E461D0">
        <w:rPr>
          <w:rFonts w:ascii="Palatino Linotype" w:hAnsi="Palatino Linotype"/>
        </w:rPr>
        <w:t>úmero</w:t>
      </w:r>
      <w:r w:rsidRPr="00E461D0">
        <w:rPr>
          <w:rFonts w:ascii="Palatino Linotype" w:hAnsi="Palatino Linotype"/>
        </w:rPr>
        <w:t xml:space="preserve"> 37. Asimismo, Global es </w:t>
      </w:r>
      <w:r w:rsidR="009A4261" w:rsidRPr="00E461D0">
        <w:rPr>
          <w:rFonts w:ascii="Palatino Linotype" w:hAnsi="Palatino Linotype"/>
        </w:rPr>
        <w:t>m</w:t>
      </w:r>
      <w:r w:rsidRPr="00E461D0">
        <w:rPr>
          <w:rFonts w:ascii="Palatino Linotype" w:hAnsi="Palatino Linotype"/>
        </w:rPr>
        <w:t xml:space="preserve">iembro y </w:t>
      </w:r>
      <w:r w:rsidR="009A4261" w:rsidRPr="00E461D0">
        <w:rPr>
          <w:rFonts w:ascii="Palatino Linotype" w:hAnsi="Palatino Linotype"/>
        </w:rPr>
        <w:t>a</w:t>
      </w:r>
      <w:r w:rsidRPr="00E461D0">
        <w:rPr>
          <w:rFonts w:ascii="Palatino Linotype" w:hAnsi="Palatino Linotype"/>
        </w:rPr>
        <w:t>ccionista de Bolsas y Mercados Argentinos (</w:t>
      </w:r>
      <w:r w:rsidR="009A4261" w:rsidRPr="00E461D0">
        <w:rPr>
          <w:rFonts w:ascii="Palatino Linotype" w:hAnsi="Palatino Linotype"/>
        </w:rPr>
        <w:t>“</w:t>
      </w:r>
      <w:r w:rsidRPr="00E461D0">
        <w:rPr>
          <w:rFonts w:ascii="Palatino Linotype" w:hAnsi="Palatino Linotype"/>
        </w:rPr>
        <w:t>BYMA</w:t>
      </w:r>
      <w:r w:rsidR="009A4261" w:rsidRPr="00E461D0">
        <w:rPr>
          <w:rFonts w:ascii="Palatino Linotype" w:hAnsi="Palatino Linotype"/>
        </w:rPr>
        <w:t>”</w:t>
      </w:r>
      <w:r w:rsidRPr="00E461D0">
        <w:rPr>
          <w:rFonts w:ascii="Palatino Linotype" w:hAnsi="Palatino Linotype"/>
        </w:rPr>
        <w:t xml:space="preserve">), el principal mercado bursátil de Argentina, </w:t>
      </w:r>
      <w:r w:rsidR="009A4261" w:rsidRPr="00E461D0">
        <w:rPr>
          <w:rFonts w:ascii="Palatino Linotype" w:hAnsi="Palatino Linotype"/>
        </w:rPr>
        <w:t xml:space="preserve">inscripto </w:t>
      </w:r>
      <w:r w:rsidRPr="00E461D0">
        <w:rPr>
          <w:rFonts w:ascii="Palatino Linotype" w:hAnsi="Palatino Linotype"/>
        </w:rPr>
        <w:t xml:space="preserve">bajo el </w:t>
      </w:r>
      <w:r w:rsidR="009A4261" w:rsidRPr="00E461D0">
        <w:rPr>
          <w:rFonts w:ascii="Palatino Linotype" w:hAnsi="Palatino Linotype"/>
        </w:rPr>
        <w:t>número</w:t>
      </w:r>
      <w:r w:rsidRPr="00E461D0">
        <w:rPr>
          <w:rFonts w:ascii="Palatino Linotype" w:hAnsi="Palatino Linotype"/>
        </w:rPr>
        <w:t xml:space="preserve"> 59. </w:t>
      </w:r>
      <w:r w:rsidR="009A4261" w:rsidRPr="00E461D0">
        <w:rPr>
          <w:rFonts w:ascii="Palatino Linotype" w:hAnsi="Palatino Linotype"/>
        </w:rPr>
        <w:t>Además,</w:t>
      </w:r>
      <w:r w:rsidRPr="00E461D0">
        <w:rPr>
          <w:rFonts w:ascii="Palatino Linotype" w:hAnsi="Palatino Linotype"/>
        </w:rPr>
        <w:t xml:space="preserve"> Global posee una membresía en el Mercado Abierto </w:t>
      </w:r>
      <w:r w:rsidR="009A4261" w:rsidRPr="00E461D0">
        <w:rPr>
          <w:rFonts w:ascii="Palatino Linotype" w:hAnsi="Palatino Linotype"/>
        </w:rPr>
        <w:t>Electrónico</w:t>
      </w:r>
      <w:r w:rsidRPr="00E461D0">
        <w:rPr>
          <w:rFonts w:ascii="Palatino Linotype" w:hAnsi="Palatino Linotype"/>
        </w:rPr>
        <w:t xml:space="preserve"> (</w:t>
      </w:r>
      <w:r w:rsidR="009A4261" w:rsidRPr="00E461D0">
        <w:rPr>
          <w:rFonts w:ascii="Palatino Linotype" w:hAnsi="Palatino Linotype"/>
        </w:rPr>
        <w:t>“</w:t>
      </w:r>
      <w:r w:rsidRPr="00E461D0">
        <w:rPr>
          <w:rFonts w:ascii="Palatino Linotype" w:hAnsi="Palatino Linotype"/>
        </w:rPr>
        <w:t>MAE</w:t>
      </w:r>
      <w:r w:rsidR="009A4261" w:rsidRPr="00E461D0">
        <w:rPr>
          <w:rFonts w:ascii="Palatino Linotype" w:hAnsi="Palatino Linotype"/>
        </w:rPr>
        <w:t>”</w:t>
      </w:r>
      <w:r w:rsidRPr="00E461D0">
        <w:rPr>
          <w:rFonts w:ascii="Palatino Linotype" w:hAnsi="Palatino Linotype"/>
        </w:rPr>
        <w:t xml:space="preserve">), es Agente de ROFEX </w:t>
      </w:r>
      <w:r w:rsidR="009A4261" w:rsidRPr="00E461D0">
        <w:rPr>
          <w:rFonts w:ascii="Palatino Linotype" w:hAnsi="Palatino Linotype"/>
        </w:rPr>
        <w:t xml:space="preserve">S.A. </w:t>
      </w:r>
      <w:r w:rsidRPr="00E461D0">
        <w:rPr>
          <w:rFonts w:ascii="Palatino Linotype" w:hAnsi="Palatino Linotype"/>
        </w:rPr>
        <w:t>(el principal mercado de futuros de Argentina), Agente Miembro del Mercado Argentino de Valores (MAV), que es mercado especialista en productos</w:t>
      </w:r>
      <w:r w:rsidR="0049617D" w:rsidRPr="00E461D0">
        <w:rPr>
          <w:rFonts w:ascii="Palatino Linotype" w:hAnsi="Palatino Linotype"/>
        </w:rPr>
        <w:t xml:space="preserve"> para pequeñas y medianas empresas</w:t>
      </w:r>
      <w:r w:rsidRPr="00E461D0">
        <w:rPr>
          <w:rFonts w:ascii="Palatino Linotype" w:hAnsi="Palatino Linotype"/>
        </w:rPr>
        <w:t xml:space="preserve"> </w:t>
      </w:r>
      <w:r w:rsidR="0049617D" w:rsidRPr="00E461D0">
        <w:rPr>
          <w:rFonts w:ascii="Palatino Linotype" w:hAnsi="Palatino Linotype"/>
        </w:rPr>
        <w:t>(“</w:t>
      </w:r>
      <w:r w:rsidRPr="00E461D0">
        <w:rPr>
          <w:rFonts w:ascii="Palatino Linotype" w:hAnsi="Palatino Linotype"/>
        </w:rPr>
        <w:t>P</w:t>
      </w:r>
      <w:r w:rsidR="0049617D" w:rsidRPr="00E461D0">
        <w:rPr>
          <w:rFonts w:ascii="Palatino Linotype" w:hAnsi="Palatino Linotype"/>
        </w:rPr>
        <w:t>y</w:t>
      </w:r>
      <w:r w:rsidRPr="00E461D0">
        <w:rPr>
          <w:rFonts w:ascii="Palatino Linotype" w:hAnsi="Palatino Linotype"/>
        </w:rPr>
        <w:t>M</w:t>
      </w:r>
      <w:r w:rsidR="0049617D" w:rsidRPr="00E461D0">
        <w:rPr>
          <w:rFonts w:ascii="Palatino Linotype" w:hAnsi="Palatino Linotype"/>
        </w:rPr>
        <w:t>Es”)</w:t>
      </w:r>
      <w:r w:rsidRPr="00E461D0">
        <w:rPr>
          <w:rFonts w:ascii="Palatino Linotype" w:hAnsi="Palatino Linotype"/>
        </w:rPr>
        <w:t xml:space="preserve"> y</w:t>
      </w:r>
      <w:r w:rsidR="009A4261" w:rsidRPr="00E461D0">
        <w:rPr>
          <w:rFonts w:ascii="Palatino Linotype" w:hAnsi="Palatino Linotype"/>
        </w:rPr>
        <w:t>,</w:t>
      </w:r>
      <w:r w:rsidRPr="00E461D0">
        <w:rPr>
          <w:rFonts w:ascii="Palatino Linotype" w:hAnsi="Palatino Linotype"/>
        </w:rPr>
        <w:t xml:space="preserve"> adicionalmente</w:t>
      </w:r>
      <w:r w:rsidR="009A4261" w:rsidRPr="00E461D0">
        <w:rPr>
          <w:rFonts w:ascii="Palatino Linotype" w:hAnsi="Palatino Linotype"/>
        </w:rPr>
        <w:t>,</w:t>
      </w:r>
      <w:r w:rsidRPr="00E461D0">
        <w:rPr>
          <w:rFonts w:ascii="Palatino Linotype" w:hAnsi="Palatino Linotype"/>
        </w:rPr>
        <w:t xml:space="preserve"> Global es Agente de Distribución y Colocación Integral de Fondos Comunes de Inversión (AC</w:t>
      </w:r>
      <w:r w:rsidR="009A4261" w:rsidRPr="00E461D0">
        <w:rPr>
          <w:rFonts w:ascii="Palatino Linotype" w:hAnsi="Palatino Linotype"/>
        </w:rPr>
        <w:t>y</w:t>
      </w:r>
      <w:r w:rsidRPr="00E461D0">
        <w:rPr>
          <w:rFonts w:ascii="Palatino Linotype" w:hAnsi="Palatino Linotype"/>
        </w:rPr>
        <w:t>DI)</w:t>
      </w:r>
      <w:r w:rsidR="0049617D" w:rsidRPr="00E461D0">
        <w:rPr>
          <w:rFonts w:ascii="Palatino Linotype" w:hAnsi="Palatino Linotype"/>
        </w:rPr>
        <w:t xml:space="preserve"> registrado</w:t>
      </w:r>
      <w:r w:rsidRPr="00E461D0">
        <w:rPr>
          <w:rFonts w:ascii="Palatino Linotype" w:hAnsi="Palatino Linotype"/>
        </w:rPr>
        <w:t xml:space="preserve"> bajo el n</w:t>
      </w:r>
      <w:r w:rsidR="0049617D" w:rsidRPr="00E461D0">
        <w:rPr>
          <w:rFonts w:ascii="Palatino Linotype" w:hAnsi="Palatino Linotype"/>
        </w:rPr>
        <w:t>úme</w:t>
      </w:r>
      <w:r w:rsidRPr="00E461D0">
        <w:rPr>
          <w:rFonts w:ascii="Palatino Linotype" w:hAnsi="Palatino Linotype"/>
        </w:rPr>
        <w:t xml:space="preserve">ro 58 </w:t>
      </w:r>
      <w:r w:rsidR="0049617D" w:rsidRPr="00E461D0">
        <w:rPr>
          <w:rFonts w:ascii="Palatino Linotype" w:hAnsi="Palatino Linotype"/>
        </w:rPr>
        <w:t>en</w:t>
      </w:r>
      <w:r w:rsidRPr="00E461D0">
        <w:rPr>
          <w:rFonts w:ascii="Palatino Linotype" w:hAnsi="Palatino Linotype"/>
        </w:rPr>
        <w:t xml:space="preserve"> la </w:t>
      </w:r>
      <w:r w:rsidR="009A4261" w:rsidRPr="00E461D0">
        <w:rPr>
          <w:rFonts w:ascii="Palatino Linotype" w:hAnsi="Palatino Linotype"/>
        </w:rPr>
        <w:t>Comisión</w:t>
      </w:r>
      <w:r w:rsidRPr="00E461D0">
        <w:rPr>
          <w:rFonts w:ascii="Palatino Linotype" w:hAnsi="Palatino Linotype"/>
        </w:rPr>
        <w:t xml:space="preserve"> Nacional de Valores.</w:t>
      </w:r>
    </w:p>
    <w:p w14:paraId="7DC66B5F" w14:textId="77777777" w:rsidR="0054314F" w:rsidRPr="00E461D0" w:rsidRDefault="0054314F" w:rsidP="009D3D7C">
      <w:pPr>
        <w:jc w:val="both"/>
        <w:rPr>
          <w:rFonts w:ascii="Palatino Linotype" w:hAnsi="Palatino Linotype"/>
        </w:rPr>
      </w:pPr>
    </w:p>
    <w:p w14:paraId="40121AD1" w14:textId="15AA4C42" w:rsidR="009D3D7C" w:rsidRPr="00E461D0" w:rsidRDefault="009D3D7C" w:rsidP="009D3D7C">
      <w:pPr>
        <w:jc w:val="both"/>
        <w:rPr>
          <w:rFonts w:ascii="Palatino Linotype" w:hAnsi="Palatino Linotype"/>
        </w:rPr>
      </w:pPr>
      <w:r w:rsidRPr="00E461D0">
        <w:rPr>
          <w:rFonts w:ascii="Palatino Linotype" w:hAnsi="Palatino Linotype"/>
        </w:rPr>
        <w:t>Con foco en clientes institucionales</w:t>
      </w:r>
      <w:r w:rsidR="0054314F" w:rsidRPr="00E461D0">
        <w:rPr>
          <w:rFonts w:ascii="Palatino Linotype" w:hAnsi="Palatino Linotype"/>
        </w:rPr>
        <w:t xml:space="preserve"> como ser Compañías de Seguros, Fondos Comunes de Inversión, Bancos y </w:t>
      </w:r>
      <w:r w:rsidR="00276B99" w:rsidRPr="00E461D0">
        <w:rPr>
          <w:rFonts w:ascii="Palatino Linotype" w:hAnsi="Palatino Linotype"/>
        </w:rPr>
        <w:t>Sociedades de Garantía Recíproca</w:t>
      </w:r>
      <w:r w:rsidRPr="00E461D0">
        <w:rPr>
          <w:rFonts w:ascii="Palatino Linotype" w:hAnsi="Palatino Linotype"/>
        </w:rPr>
        <w:t xml:space="preserve">, Global también brinda servicios a clientes corporativos, sector público y </w:t>
      </w:r>
      <w:r w:rsidR="00B3792D" w:rsidRPr="00E461D0">
        <w:rPr>
          <w:rFonts w:ascii="Palatino Linotype" w:hAnsi="Palatino Linotype"/>
        </w:rPr>
        <w:t>PyME</w:t>
      </w:r>
      <w:r w:rsidRPr="00E461D0">
        <w:rPr>
          <w:rFonts w:ascii="Palatino Linotype" w:hAnsi="Palatino Linotype"/>
        </w:rPr>
        <w:t xml:space="preserve">, especialmente en los negocios vinculados a </w:t>
      </w:r>
      <w:r w:rsidR="0049617D" w:rsidRPr="00E461D0">
        <w:rPr>
          <w:rFonts w:ascii="Palatino Linotype" w:hAnsi="Palatino Linotype"/>
        </w:rPr>
        <w:t>c</w:t>
      </w:r>
      <w:r w:rsidRPr="00E461D0">
        <w:rPr>
          <w:rFonts w:ascii="Palatino Linotype" w:hAnsi="Palatino Linotype"/>
        </w:rPr>
        <w:t xml:space="preserve">apital </w:t>
      </w:r>
      <w:r w:rsidR="0049617D" w:rsidRPr="00E461D0">
        <w:rPr>
          <w:rFonts w:ascii="Palatino Linotype" w:hAnsi="Palatino Linotype"/>
        </w:rPr>
        <w:t>m</w:t>
      </w:r>
      <w:r w:rsidRPr="00E461D0">
        <w:rPr>
          <w:rFonts w:ascii="Palatino Linotype" w:hAnsi="Palatino Linotype"/>
        </w:rPr>
        <w:t>arkets</w:t>
      </w:r>
      <w:r w:rsidR="0049617D" w:rsidRPr="00E461D0">
        <w:rPr>
          <w:rFonts w:ascii="Palatino Linotype" w:hAnsi="Palatino Linotype"/>
        </w:rPr>
        <w:t xml:space="preserve"> (o mercado de capitales)</w:t>
      </w:r>
      <w:r w:rsidR="00276B99" w:rsidRPr="00E461D0">
        <w:rPr>
          <w:rFonts w:ascii="Palatino Linotype" w:hAnsi="Palatino Linotype"/>
        </w:rPr>
        <w:t>. Finalmente</w:t>
      </w:r>
      <w:r w:rsidR="0049617D" w:rsidRPr="00E461D0">
        <w:rPr>
          <w:rFonts w:ascii="Palatino Linotype" w:hAnsi="Palatino Linotype"/>
        </w:rPr>
        <w:t>,</w:t>
      </w:r>
      <w:r w:rsidR="00276B99" w:rsidRPr="00E461D0">
        <w:rPr>
          <w:rFonts w:ascii="Palatino Linotype" w:hAnsi="Palatino Linotype"/>
        </w:rPr>
        <w:t xml:space="preserve"> Global también brinda servicios a </w:t>
      </w:r>
      <w:r w:rsidR="0049617D" w:rsidRPr="00E461D0">
        <w:rPr>
          <w:rFonts w:ascii="Palatino Linotype" w:hAnsi="Palatino Linotype"/>
        </w:rPr>
        <w:t>i</w:t>
      </w:r>
      <w:r w:rsidR="00276B99" w:rsidRPr="00E461D0">
        <w:rPr>
          <w:rFonts w:ascii="Palatino Linotype" w:hAnsi="Palatino Linotype"/>
        </w:rPr>
        <w:t xml:space="preserve">ndividuos mediante atención personalizada a través de asesores idóneos que asesoran al cliente en sus inversiones y a través de una plataforma digital de servicios mediante su </w:t>
      </w:r>
      <w:r w:rsidR="0049617D" w:rsidRPr="00E461D0">
        <w:rPr>
          <w:rFonts w:ascii="Palatino Linotype" w:hAnsi="Palatino Linotype"/>
        </w:rPr>
        <w:t>página</w:t>
      </w:r>
      <w:r w:rsidR="00276B99" w:rsidRPr="00E461D0">
        <w:rPr>
          <w:rFonts w:ascii="Palatino Linotype" w:hAnsi="Palatino Linotype"/>
        </w:rPr>
        <w:t xml:space="preserve"> web.</w:t>
      </w:r>
    </w:p>
    <w:p w14:paraId="119B8EC8" w14:textId="77777777" w:rsidR="009D3D7C" w:rsidRPr="00E461D0" w:rsidRDefault="009D3D7C" w:rsidP="009D3D7C">
      <w:pPr>
        <w:jc w:val="both"/>
        <w:rPr>
          <w:rFonts w:ascii="Palatino Linotype" w:hAnsi="Palatino Linotype"/>
        </w:rPr>
      </w:pPr>
    </w:p>
    <w:p w14:paraId="17C153BE" w14:textId="77777777" w:rsidR="00276B99" w:rsidRPr="00E461D0" w:rsidRDefault="00276B99" w:rsidP="009D3D7C">
      <w:pPr>
        <w:jc w:val="both"/>
        <w:rPr>
          <w:rFonts w:ascii="Palatino Linotype" w:hAnsi="Palatino Linotype"/>
          <w:u w:val="single"/>
        </w:rPr>
      </w:pPr>
      <w:r w:rsidRPr="00E461D0">
        <w:rPr>
          <w:rFonts w:ascii="Palatino Linotype" w:hAnsi="Palatino Linotype"/>
          <w:u w:val="single"/>
        </w:rPr>
        <w:t>Principales Líneas de Negocio</w:t>
      </w:r>
    </w:p>
    <w:p w14:paraId="6EB665A1" w14:textId="77777777" w:rsidR="00276B99" w:rsidRPr="00E461D0" w:rsidRDefault="00276B99" w:rsidP="009D3D7C">
      <w:pPr>
        <w:jc w:val="both"/>
        <w:rPr>
          <w:rFonts w:ascii="Palatino Linotype" w:hAnsi="Palatino Linotype"/>
          <w:u w:val="single"/>
        </w:rPr>
      </w:pPr>
    </w:p>
    <w:p w14:paraId="6665C7DF" w14:textId="2930A99A" w:rsidR="00276B99" w:rsidRPr="00E461D0" w:rsidRDefault="00276B99" w:rsidP="003C15F8">
      <w:pPr>
        <w:pStyle w:val="Prrafodelista"/>
        <w:numPr>
          <w:ilvl w:val="0"/>
          <w:numId w:val="12"/>
        </w:numPr>
        <w:jc w:val="both"/>
        <w:rPr>
          <w:rFonts w:ascii="Palatino Linotype" w:hAnsi="Palatino Linotype"/>
          <w:u w:val="single"/>
        </w:rPr>
      </w:pPr>
      <w:r w:rsidRPr="00E461D0">
        <w:rPr>
          <w:rFonts w:ascii="Palatino Linotype" w:hAnsi="Palatino Linotype"/>
          <w:u w:val="single"/>
        </w:rPr>
        <w:t xml:space="preserve">Sales &amp; Trading. </w:t>
      </w:r>
      <w:r w:rsidR="0049617D" w:rsidRPr="00E461D0">
        <w:rPr>
          <w:rFonts w:ascii="Palatino Linotype" w:hAnsi="Palatino Linotype"/>
        </w:rPr>
        <w:t>Negociación</w:t>
      </w:r>
      <w:r w:rsidRPr="00E461D0">
        <w:rPr>
          <w:rFonts w:ascii="Palatino Linotype" w:hAnsi="Palatino Linotype"/>
        </w:rPr>
        <w:t xml:space="preserve"> y Ejecución de </w:t>
      </w:r>
      <w:r w:rsidR="0049617D" w:rsidRPr="00E461D0">
        <w:rPr>
          <w:rFonts w:ascii="Palatino Linotype" w:hAnsi="Palatino Linotype"/>
        </w:rPr>
        <w:t>Órdenes</w:t>
      </w:r>
      <w:r w:rsidR="00F0094D" w:rsidRPr="00E461D0">
        <w:rPr>
          <w:rFonts w:ascii="Palatino Linotype" w:hAnsi="Palatino Linotype"/>
        </w:rPr>
        <w:t xml:space="preserve"> Mayoristas de Tí</w:t>
      </w:r>
      <w:r w:rsidRPr="00E461D0">
        <w:rPr>
          <w:rFonts w:ascii="Palatino Linotype" w:hAnsi="Palatino Linotype"/>
        </w:rPr>
        <w:t>tulos Públicos, Provinciales, Corporativos etc</w:t>
      </w:r>
      <w:r w:rsidR="0049617D" w:rsidRPr="00E461D0">
        <w:rPr>
          <w:rFonts w:ascii="Palatino Linotype" w:hAnsi="Palatino Linotype"/>
        </w:rPr>
        <w:t xml:space="preserve">.; </w:t>
      </w:r>
      <w:r w:rsidRPr="00E461D0">
        <w:rPr>
          <w:rFonts w:ascii="Palatino Linotype" w:hAnsi="Palatino Linotype"/>
        </w:rPr>
        <w:t>Acciones</w:t>
      </w:r>
      <w:r w:rsidR="0049617D" w:rsidRPr="00E461D0">
        <w:rPr>
          <w:rFonts w:ascii="Palatino Linotype" w:hAnsi="Palatino Linotype"/>
        </w:rPr>
        <w:t>;</w:t>
      </w:r>
      <w:r w:rsidRPr="00E461D0">
        <w:rPr>
          <w:rFonts w:ascii="Palatino Linotype" w:hAnsi="Palatino Linotype"/>
        </w:rPr>
        <w:t xml:space="preserve"> Opciones, y toda la gama de productos de inversión disponible</w:t>
      </w:r>
      <w:r w:rsidR="001C197F" w:rsidRPr="00E461D0">
        <w:rPr>
          <w:rFonts w:ascii="Palatino Linotype" w:hAnsi="Palatino Linotype"/>
        </w:rPr>
        <w:t>.</w:t>
      </w:r>
    </w:p>
    <w:p w14:paraId="69B1B5E9" w14:textId="4AE75063" w:rsidR="00276B99" w:rsidRPr="00E461D0" w:rsidRDefault="00034CA7" w:rsidP="003C15F8">
      <w:pPr>
        <w:pStyle w:val="Prrafodelista"/>
        <w:numPr>
          <w:ilvl w:val="0"/>
          <w:numId w:val="12"/>
        </w:numPr>
        <w:jc w:val="both"/>
        <w:rPr>
          <w:rFonts w:ascii="Palatino Linotype" w:hAnsi="Palatino Linotype"/>
          <w:u w:val="single"/>
        </w:rPr>
      </w:pPr>
      <w:r w:rsidRPr="00E461D0">
        <w:rPr>
          <w:rFonts w:ascii="Palatino Linotype" w:hAnsi="Palatino Linotype"/>
          <w:u w:val="single"/>
        </w:rPr>
        <w:t>Originación</w:t>
      </w:r>
      <w:r w:rsidR="006E7E4B" w:rsidRPr="00E461D0">
        <w:rPr>
          <w:rFonts w:ascii="Palatino Linotype" w:hAnsi="Palatino Linotype"/>
          <w:u w:val="single"/>
        </w:rPr>
        <w:t xml:space="preserve"> </w:t>
      </w:r>
      <w:r w:rsidR="00276B99" w:rsidRPr="00E461D0">
        <w:rPr>
          <w:rFonts w:ascii="Palatino Linotype" w:hAnsi="Palatino Linotype"/>
          <w:u w:val="single"/>
        </w:rPr>
        <w:t xml:space="preserve">de productos de Mercado de Capitales: </w:t>
      </w:r>
      <w:r w:rsidR="00276B99" w:rsidRPr="00E461D0">
        <w:rPr>
          <w:rFonts w:ascii="Palatino Linotype" w:hAnsi="Palatino Linotype"/>
        </w:rPr>
        <w:t xml:space="preserve">Emisiones Primarias en el mercado local de bonos, fideicomisos, obligaciones negociables, cheques y pagarés </w:t>
      </w:r>
      <w:r w:rsidR="0049617D" w:rsidRPr="00E461D0">
        <w:rPr>
          <w:rFonts w:ascii="Palatino Linotype" w:hAnsi="Palatino Linotype"/>
        </w:rPr>
        <w:t>bursátiles</w:t>
      </w:r>
      <w:r w:rsidR="00276B99" w:rsidRPr="00E461D0">
        <w:rPr>
          <w:rFonts w:ascii="Palatino Linotype" w:hAnsi="Palatino Linotype"/>
        </w:rPr>
        <w:t>. Atendiendo el mercado corporativo, el sector público y el mercado de las P</w:t>
      </w:r>
      <w:r w:rsidR="0049617D" w:rsidRPr="00E461D0">
        <w:rPr>
          <w:rFonts w:ascii="Palatino Linotype" w:hAnsi="Palatino Linotype"/>
        </w:rPr>
        <w:t>y</w:t>
      </w:r>
      <w:r w:rsidR="00276B99" w:rsidRPr="00E461D0">
        <w:rPr>
          <w:rFonts w:ascii="Palatino Linotype" w:hAnsi="Palatino Linotype"/>
        </w:rPr>
        <w:t>ME</w:t>
      </w:r>
      <w:r w:rsidR="00725319" w:rsidRPr="00E461D0">
        <w:rPr>
          <w:rFonts w:ascii="Palatino Linotype" w:hAnsi="Palatino Linotype"/>
        </w:rPr>
        <w:t>s</w:t>
      </w:r>
      <w:r w:rsidR="00276B99" w:rsidRPr="00E461D0">
        <w:rPr>
          <w:rFonts w:ascii="Palatino Linotype" w:hAnsi="Palatino Linotype"/>
        </w:rPr>
        <w:t>.</w:t>
      </w:r>
    </w:p>
    <w:p w14:paraId="619CAE2B" w14:textId="2703BED5" w:rsidR="00276B99" w:rsidRPr="00E461D0" w:rsidRDefault="00276B99" w:rsidP="003C15F8">
      <w:pPr>
        <w:pStyle w:val="Prrafodelista"/>
        <w:numPr>
          <w:ilvl w:val="0"/>
          <w:numId w:val="12"/>
        </w:numPr>
        <w:jc w:val="both"/>
        <w:rPr>
          <w:rFonts w:ascii="Palatino Linotype" w:hAnsi="Palatino Linotype"/>
          <w:u w:val="single"/>
        </w:rPr>
      </w:pPr>
      <w:r w:rsidRPr="00E461D0">
        <w:rPr>
          <w:rFonts w:ascii="Palatino Linotype" w:hAnsi="Palatino Linotype"/>
          <w:u w:val="single"/>
        </w:rPr>
        <w:t xml:space="preserve">Asset Management: </w:t>
      </w:r>
      <w:r w:rsidRPr="00E461D0">
        <w:rPr>
          <w:rFonts w:ascii="Palatino Linotype" w:hAnsi="Palatino Linotype"/>
        </w:rPr>
        <w:t>A través de la licencia AC</w:t>
      </w:r>
      <w:r w:rsidR="0049617D" w:rsidRPr="00E461D0">
        <w:rPr>
          <w:rFonts w:ascii="Palatino Linotype" w:hAnsi="Palatino Linotype"/>
        </w:rPr>
        <w:t>y</w:t>
      </w:r>
      <w:r w:rsidRPr="00E461D0">
        <w:rPr>
          <w:rFonts w:ascii="Palatino Linotype" w:hAnsi="Palatino Linotype"/>
        </w:rPr>
        <w:t xml:space="preserve">DI, Global distribuye Fondos Comunes de Inversión de </w:t>
      </w:r>
      <w:r w:rsidR="0049617D" w:rsidRPr="00E461D0">
        <w:rPr>
          <w:rFonts w:ascii="Palatino Linotype" w:hAnsi="Palatino Linotype"/>
        </w:rPr>
        <w:t>dos</w:t>
      </w:r>
      <w:r w:rsidRPr="00E461D0">
        <w:rPr>
          <w:rFonts w:ascii="Palatino Linotype" w:hAnsi="Palatino Linotype"/>
        </w:rPr>
        <w:t xml:space="preserve"> familias de fondos de reconocidas Sociedades Gerente</w:t>
      </w:r>
      <w:r w:rsidR="0049617D" w:rsidRPr="00E461D0">
        <w:rPr>
          <w:rFonts w:ascii="Palatino Linotype" w:hAnsi="Palatino Linotype"/>
        </w:rPr>
        <w:t>s</w:t>
      </w:r>
      <w:r w:rsidRPr="00E461D0">
        <w:rPr>
          <w:rFonts w:ascii="Palatino Linotype" w:hAnsi="Palatino Linotype"/>
        </w:rPr>
        <w:t xml:space="preserve"> como ser </w:t>
      </w:r>
      <w:r w:rsidR="000B5773" w:rsidRPr="00E461D0">
        <w:rPr>
          <w:rFonts w:ascii="Palatino Linotype" w:hAnsi="Palatino Linotype"/>
        </w:rPr>
        <w:t>Fondos Fima (Banco Galicia), Axis Inversiones y Quinquela Fondos</w:t>
      </w:r>
    </w:p>
    <w:p w14:paraId="5A96D51F" w14:textId="77777777" w:rsidR="00276B99" w:rsidRPr="00E461D0" w:rsidRDefault="00276B99" w:rsidP="009D3D7C">
      <w:pPr>
        <w:jc w:val="both"/>
        <w:rPr>
          <w:rFonts w:ascii="Palatino Linotype" w:hAnsi="Palatino Linotype"/>
        </w:rPr>
      </w:pPr>
    </w:p>
    <w:p w14:paraId="677AFE5F" w14:textId="77777777" w:rsidR="009D3D7C" w:rsidRPr="00E461D0" w:rsidRDefault="00276B99" w:rsidP="009D3D7C">
      <w:pPr>
        <w:jc w:val="both"/>
        <w:rPr>
          <w:rFonts w:ascii="Palatino Linotype" w:hAnsi="Palatino Linotype"/>
        </w:rPr>
      </w:pPr>
      <w:r w:rsidRPr="00E461D0">
        <w:rPr>
          <w:rFonts w:ascii="Palatino Linotype" w:hAnsi="Palatino Linotype"/>
        </w:rPr>
        <w:t>Global p</w:t>
      </w:r>
      <w:r w:rsidR="009D3D7C" w:rsidRPr="00E461D0">
        <w:rPr>
          <w:rFonts w:ascii="Palatino Linotype" w:hAnsi="Palatino Linotype"/>
        </w:rPr>
        <w:t>rivilegia</w:t>
      </w:r>
      <w:r w:rsidRPr="00E461D0">
        <w:rPr>
          <w:rFonts w:ascii="Palatino Linotype" w:hAnsi="Palatino Linotype"/>
        </w:rPr>
        <w:t xml:space="preserve"> </w:t>
      </w:r>
      <w:r w:rsidR="009D3D7C" w:rsidRPr="00E461D0">
        <w:rPr>
          <w:rFonts w:ascii="Palatino Linotype" w:hAnsi="Palatino Linotype"/>
        </w:rPr>
        <w:t>por sobre todas las cosas un servicio de excelencia centrado en la necesidad de cada cliente, en términos de estructuración, ejecución, precio y confidencialidad.</w:t>
      </w:r>
    </w:p>
    <w:p w14:paraId="747D62DE" w14:textId="77777777" w:rsidR="009D3D7C" w:rsidRPr="00E461D0" w:rsidRDefault="009D3D7C" w:rsidP="00C12059">
      <w:pPr>
        <w:jc w:val="both"/>
        <w:rPr>
          <w:rFonts w:ascii="Palatino Linotype" w:hAnsi="Palatino Linotype"/>
        </w:rPr>
      </w:pPr>
    </w:p>
    <w:p w14:paraId="0946CF1F" w14:textId="77777777" w:rsidR="00C87736" w:rsidRPr="00E461D0" w:rsidRDefault="00C87736" w:rsidP="00C12059">
      <w:pPr>
        <w:jc w:val="both"/>
        <w:rPr>
          <w:rFonts w:ascii="Palatino Linotype" w:hAnsi="Palatino Linotype"/>
        </w:rPr>
      </w:pPr>
      <w:r w:rsidRPr="00E461D0">
        <w:rPr>
          <w:rFonts w:ascii="Palatino Linotype" w:hAnsi="Palatino Linotype"/>
        </w:rPr>
        <w:t>La posición de Global en el mercado es reconocida por su destacada solidez, diversidad en las relaciones comerciales y eficiencia en la ejecución de los negocios.</w:t>
      </w:r>
    </w:p>
    <w:p w14:paraId="0204852C" w14:textId="77777777" w:rsidR="009D3D7C" w:rsidRPr="00E461D0" w:rsidRDefault="009D3D7C" w:rsidP="00C12059">
      <w:pPr>
        <w:jc w:val="both"/>
        <w:rPr>
          <w:rFonts w:ascii="Palatino Linotype" w:hAnsi="Palatino Linotype"/>
        </w:rPr>
      </w:pPr>
    </w:p>
    <w:p w14:paraId="02759965" w14:textId="77777777" w:rsidR="00C12059" w:rsidRPr="00E461D0" w:rsidRDefault="00C12059" w:rsidP="00C12059">
      <w:pPr>
        <w:jc w:val="both"/>
        <w:rPr>
          <w:rFonts w:ascii="Palatino Linotype" w:hAnsi="Palatino Linotype"/>
          <w:b/>
        </w:rPr>
      </w:pPr>
      <w:r w:rsidRPr="00E461D0">
        <w:rPr>
          <w:rFonts w:ascii="Palatino Linotype" w:hAnsi="Palatino Linotype"/>
          <w:b/>
        </w:rPr>
        <w:t xml:space="preserve">Organismo o ente estatal a cuyo control se encuentra sujeta la actividad de </w:t>
      </w:r>
      <w:r w:rsidR="009D3D7C" w:rsidRPr="00E461D0">
        <w:rPr>
          <w:rFonts w:ascii="Palatino Linotype" w:hAnsi="Palatino Linotype"/>
          <w:b/>
        </w:rPr>
        <w:t>Global</w:t>
      </w:r>
    </w:p>
    <w:p w14:paraId="748A68D6" w14:textId="77777777" w:rsidR="00C12059" w:rsidRPr="00E461D0" w:rsidRDefault="00C12059" w:rsidP="00C12059">
      <w:pPr>
        <w:jc w:val="both"/>
        <w:rPr>
          <w:rFonts w:ascii="Palatino Linotype" w:hAnsi="Palatino Linotype"/>
        </w:rPr>
      </w:pPr>
    </w:p>
    <w:p w14:paraId="7CE4D84F" w14:textId="77777777" w:rsidR="00276B99" w:rsidRPr="00E461D0" w:rsidRDefault="00276B99" w:rsidP="00C12059">
      <w:pPr>
        <w:jc w:val="both"/>
        <w:rPr>
          <w:rFonts w:ascii="Palatino Linotype" w:hAnsi="Palatino Linotype"/>
        </w:rPr>
      </w:pPr>
      <w:r w:rsidRPr="00E461D0">
        <w:rPr>
          <w:rFonts w:ascii="Palatino Linotype" w:hAnsi="Palatino Linotype"/>
        </w:rPr>
        <w:t>Global se encuentra regulado por las siguientes entidades:</w:t>
      </w:r>
    </w:p>
    <w:p w14:paraId="724B4E73" w14:textId="77777777" w:rsidR="00276B99" w:rsidRPr="00E461D0" w:rsidRDefault="00276B99" w:rsidP="00C12059">
      <w:pPr>
        <w:jc w:val="both"/>
        <w:rPr>
          <w:rFonts w:ascii="Palatino Linotype" w:hAnsi="Palatino Linotype"/>
        </w:rPr>
      </w:pPr>
    </w:p>
    <w:p w14:paraId="4E0D8671" w14:textId="19B93083" w:rsidR="00276B99" w:rsidRPr="00E461D0" w:rsidRDefault="001C52F0" w:rsidP="003C15F8">
      <w:pPr>
        <w:pStyle w:val="Prrafodelista"/>
        <w:numPr>
          <w:ilvl w:val="0"/>
          <w:numId w:val="13"/>
        </w:numPr>
        <w:jc w:val="both"/>
        <w:rPr>
          <w:rFonts w:ascii="Palatino Linotype" w:hAnsi="Palatino Linotype"/>
        </w:rPr>
      </w:pPr>
      <w:r w:rsidRPr="00E461D0">
        <w:rPr>
          <w:rFonts w:ascii="Palatino Linotype" w:hAnsi="Palatino Linotype"/>
        </w:rPr>
        <w:t>Comisión</w:t>
      </w:r>
      <w:r w:rsidR="00276B99" w:rsidRPr="00E461D0">
        <w:rPr>
          <w:rFonts w:ascii="Palatino Linotype" w:hAnsi="Palatino Linotype"/>
        </w:rPr>
        <w:t xml:space="preserve"> Nacional de Valores de la República Argentina</w:t>
      </w:r>
    </w:p>
    <w:p w14:paraId="1E2EA6A9" w14:textId="00A707CC" w:rsidR="00C12059" w:rsidRPr="00E461D0" w:rsidRDefault="001C52F0" w:rsidP="00513D93">
      <w:pPr>
        <w:pStyle w:val="Prrafodelista"/>
        <w:numPr>
          <w:ilvl w:val="0"/>
          <w:numId w:val="13"/>
        </w:numPr>
        <w:jc w:val="both"/>
        <w:rPr>
          <w:rFonts w:ascii="Palatino Linotype" w:hAnsi="Palatino Linotype"/>
        </w:rPr>
      </w:pPr>
      <w:r w:rsidRPr="00E461D0">
        <w:rPr>
          <w:rFonts w:ascii="Palatino Linotype" w:hAnsi="Palatino Linotype"/>
        </w:rPr>
        <w:t>Inspección</w:t>
      </w:r>
      <w:r w:rsidR="00276B99" w:rsidRPr="00E461D0">
        <w:rPr>
          <w:rFonts w:ascii="Palatino Linotype" w:hAnsi="Palatino Linotype"/>
        </w:rPr>
        <w:t xml:space="preserve"> General de Justicia</w:t>
      </w:r>
    </w:p>
    <w:p w14:paraId="7EBC582A" w14:textId="77777777" w:rsidR="009D3D7C" w:rsidRPr="00E461D0" w:rsidRDefault="009D3D7C" w:rsidP="00C12059">
      <w:pPr>
        <w:jc w:val="both"/>
        <w:rPr>
          <w:rFonts w:ascii="Palatino Linotype" w:hAnsi="Palatino Linotype"/>
        </w:rPr>
      </w:pPr>
    </w:p>
    <w:p w14:paraId="1A8F3AFF" w14:textId="77777777" w:rsidR="00C12059" w:rsidRPr="00E461D0" w:rsidRDefault="00C12059" w:rsidP="00C12059">
      <w:pPr>
        <w:jc w:val="both"/>
        <w:rPr>
          <w:rFonts w:ascii="Palatino Linotype" w:hAnsi="Palatino Linotype"/>
          <w:b/>
        </w:rPr>
      </w:pPr>
      <w:r w:rsidRPr="00E461D0">
        <w:rPr>
          <w:rFonts w:ascii="Palatino Linotype" w:hAnsi="Palatino Linotype"/>
          <w:b/>
        </w:rPr>
        <w:t>Estructura y organización del Emisor.</w:t>
      </w:r>
    </w:p>
    <w:p w14:paraId="6B19A49E" w14:textId="77777777" w:rsidR="00C12059" w:rsidRPr="00E461D0" w:rsidRDefault="00C12059" w:rsidP="00C12059">
      <w:pPr>
        <w:jc w:val="both"/>
        <w:rPr>
          <w:rFonts w:ascii="Palatino Linotype" w:hAnsi="Palatino Linotype"/>
        </w:rPr>
      </w:pPr>
      <w:r w:rsidRPr="00E461D0">
        <w:rPr>
          <w:rFonts w:ascii="Palatino Linotype" w:hAnsi="Palatino Linotype"/>
        </w:rPr>
        <w:t>Composición del capital. Accionistas Principales.</w:t>
      </w:r>
    </w:p>
    <w:p w14:paraId="51CD29C6" w14:textId="77777777" w:rsidR="009D3D7C" w:rsidRPr="00E461D0" w:rsidRDefault="009D3D7C" w:rsidP="00C12059">
      <w:pPr>
        <w:jc w:val="both"/>
        <w:rPr>
          <w:rFonts w:ascii="Palatino Linotype" w:hAnsi="Palatino Linotype"/>
        </w:rPr>
      </w:pPr>
    </w:p>
    <w:p w14:paraId="46C86BD1" w14:textId="77777777" w:rsidR="00C12059" w:rsidRPr="00E461D0" w:rsidRDefault="00C12059" w:rsidP="00C12059">
      <w:pPr>
        <w:jc w:val="both"/>
        <w:rPr>
          <w:rFonts w:ascii="Palatino Linotype" w:hAnsi="Palatino Linotype"/>
        </w:rPr>
      </w:pPr>
      <w:r w:rsidRPr="00E461D0">
        <w:rPr>
          <w:rFonts w:ascii="Palatino Linotype" w:hAnsi="Palatino Linotype"/>
        </w:rPr>
        <w:t>I. A continuación se describe la distribución del capital accionario de la Sociedad:</w:t>
      </w:r>
    </w:p>
    <w:p w14:paraId="11DD176E" w14:textId="77777777" w:rsidR="00C12059" w:rsidRPr="00E461D0" w:rsidRDefault="00C12059" w:rsidP="00C12059">
      <w:pPr>
        <w:jc w:val="both"/>
        <w:rPr>
          <w:rFonts w:ascii="Palatino Linotype" w:hAnsi="Palatino Linotype"/>
        </w:rPr>
      </w:pPr>
    </w:p>
    <w:p w14:paraId="69D89D04" w14:textId="77777777" w:rsidR="00902AA0" w:rsidRPr="00E461D0" w:rsidRDefault="00902AA0" w:rsidP="00C12059">
      <w:pPr>
        <w:jc w:val="both"/>
        <w:rPr>
          <w:rFonts w:ascii="Palatino Linotype" w:hAnsi="Palatino Linotype"/>
        </w:rPr>
      </w:pPr>
      <w:r w:rsidRPr="00E461D0">
        <w:rPr>
          <w:rFonts w:ascii="Palatino Linotype" w:hAnsi="Palatino Linotype"/>
        </w:rPr>
        <w:t>A la fecha del presente Prospecto, el capital social de Global, suscripto e integrado en su totalidad, se encuentra compuesto de la siguiente forma:</w:t>
      </w:r>
    </w:p>
    <w:p w14:paraId="360C9C4A" w14:textId="77777777" w:rsidR="00902AA0" w:rsidRPr="00E461D0" w:rsidRDefault="00902AA0" w:rsidP="00C12059">
      <w:pPr>
        <w:jc w:val="both"/>
        <w:rPr>
          <w:rFonts w:ascii="Palatino Linotype" w:hAnsi="Palatino Linotype"/>
        </w:rPr>
      </w:pPr>
    </w:p>
    <w:tbl>
      <w:tblPr>
        <w:tblStyle w:val="Tablaconcuadrcula"/>
        <w:tblW w:w="0" w:type="auto"/>
        <w:tblLook w:val="04A0" w:firstRow="1" w:lastRow="0" w:firstColumn="1" w:lastColumn="0" w:noHBand="0" w:noVBand="1"/>
      </w:tblPr>
      <w:tblGrid>
        <w:gridCol w:w="2207"/>
        <w:gridCol w:w="2207"/>
        <w:gridCol w:w="2207"/>
        <w:gridCol w:w="2207"/>
      </w:tblGrid>
      <w:tr w:rsidR="00902AA0" w:rsidRPr="00E461D0" w14:paraId="5ABDB37D" w14:textId="77777777" w:rsidTr="00A2331A">
        <w:tc>
          <w:tcPr>
            <w:tcW w:w="2207" w:type="dxa"/>
            <w:vAlign w:val="bottom"/>
          </w:tcPr>
          <w:p w14:paraId="1CD483B3" w14:textId="77777777" w:rsidR="00902AA0" w:rsidRPr="00E461D0" w:rsidRDefault="00902AA0" w:rsidP="00902AA0">
            <w:pPr>
              <w:rPr>
                <w:rFonts w:ascii="Palatino Linotype" w:hAnsi="Palatino Linotype"/>
                <w:b/>
              </w:rPr>
            </w:pPr>
            <w:r w:rsidRPr="00E461D0">
              <w:rPr>
                <w:rFonts w:ascii="Palatino Linotype" w:hAnsi="Palatino Linotype"/>
                <w:b/>
              </w:rPr>
              <w:t>Accionistas</w:t>
            </w:r>
          </w:p>
        </w:tc>
        <w:tc>
          <w:tcPr>
            <w:tcW w:w="2207" w:type="dxa"/>
            <w:vAlign w:val="bottom"/>
          </w:tcPr>
          <w:p w14:paraId="1FCD2213" w14:textId="77777777" w:rsidR="00902AA0" w:rsidRPr="00E461D0" w:rsidRDefault="00902AA0" w:rsidP="00902AA0">
            <w:pPr>
              <w:rPr>
                <w:rFonts w:ascii="Palatino Linotype" w:hAnsi="Palatino Linotype"/>
                <w:b/>
              </w:rPr>
            </w:pPr>
            <w:r w:rsidRPr="00E461D0">
              <w:rPr>
                <w:rFonts w:ascii="Palatino Linotype" w:hAnsi="Palatino Linotype"/>
                <w:b/>
              </w:rPr>
              <w:t>Cantidad de Acciones</w:t>
            </w:r>
          </w:p>
        </w:tc>
        <w:tc>
          <w:tcPr>
            <w:tcW w:w="2207" w:type="dxa"/>
            <w:vAlign w:val="bottom"/>
          </w:tcPr>
          <w:p w14:paraId="1BA107A6" w14:textId="77777777" w:rsidR="00902AA0" w:rsidRPr="00E461D0" w:rsidRDefault="00902AA0" w:rsidP="00902AA0">
            <w:pPr>
              <w:jc w:val="center"/>
              <w:rPr>
                <w:rFonts w:ascii="Palatino Linotype" w:hAnsi="Palatino Linotype"/>
                <w:b/>
              </w:rPr>
            </w:pPr>
            <w:r w:rsidRPr="00E461D0">
              <w:rPr>
                <w:rFonts w:ascii="Palatino Linotype" w:hAnsi="Palatino Linotype"/>
                <w:b/>
              </w:rPr>
              <w:t>Valor Nominal</w:t>
            </w:r>
          </w:p>
        </w:tc>
        <w:tc>
          <w:tcPr>
            <w:tcW w:w="2207" w:type="dxa"/>
            <w:vAlign w:val="bottom"/>
          </w:tcPr>
          <w:p w14:paraId="0BAF2F7E" w14:textId="77777777" w:rsidR="00902AA0" w:rsidRPr="00E461D0" w:rsidRDefault="00902AA0" w:rsidP="00902AA0">
            <w:pPr>
              <w:rPr>
                <w:rFonts w:ascii="Palatino Linotype" w:hAnsi="Palatino Linotype"/>
                <w:b/>
              </w:rPr>
            </w:pPr>
            <w:r w:rsidRPr="00E461D0">
              <w:rPr>
                <w:rFonts w:ascii="Palatino Linotype" w:hAnsi="Palatino Linotype"/>
                <w:b/>
              </w:rPr>
              <w:t>Cantidad de Votos</w:t>
            </w:r>
          </w:p>
        </w:tc>
      </w:tr>
      <w:tr w:rsidR="000620EE" w:rsidRPr="00E461D0" w14:paraId="2DF0ABF7" w14:textId="77777777" w:rsidTr="00902AA0">
        <w:tc>
          <w:tcPr>
            <w:tcW w:w="2207" w:type="dxa"/>
          </w:tcPr>
          <w:p w14:paraId="3A9B9D86" w14:textId="77777777" w:rsidR="000620EE" w:rsidRPr="00E461D0" w:rsidRDefault="00A234D9" w:rsidP="000620EE">
            <w:pPr>
              <w:rPr>
                <w:rFonts w:ascii="Palatino Linotype" w:hAnsi="Palatino Linotype"/>
              </w:rPr>
            </w:pPr>
            <w:r w:rsidRPr="00E461D0">
              <w:rPr>
                <w:rFonts w:ascii="Palatino Linotype" w:hAnsi="Palatino Linotype"/>
              </w:rPr>
              <w:t>Luis Andrés</w:t>
            </w:r>
            <w:r w:rsidR="004F042C" w:rsidRPr="00E461D0">
              <w:rPr>
                <w:rFonts w:ascii="Palatino Linotype" w:hAnsi="Palatino Linotype"/>
              </w:rPr>
              <w:t xml:space="preserve"> Mornaghi</w:t>
            </w:r>
          </w:p>
        </w:tc>
        <w:tc>
          <w:tcPr>
            <w:tcW w:w="2207" w:type="dxa"/>
          </w:tcPr>
          <w:p w14:paraId="7EF6F2B8" w14:textId="77777777" w:rsidR="000620EE" w:rsidRPr="00E461D0" w:rsidRDefault="003B4A79">
            <w:pPr>
              <w:rPr>
                <w:rFonts w:ascii="Palatino Linotype" w:hAnsi="Palatino Linotype"/>
              </w:rPr>
            </w:pPr>
            <w:r w:rsidRPr="00E461D0">
              <w:rPr>
                <w:rFonts w:ascii="Palatino Linotype" w:hAnsi="Palatino Linotype"/>
              </w:rPr>
              <w:t>15.784.972</w:t>
            </w:r>
          </w:p>
        </w:tc>
        <w:tc>
          <w:tcPr>
            <w:tcW w:w="2207" w:type="dxa"/>
          </w:tcPr>
          <w:p w14:paraId="62CA8343" w14:textId="77777777" w:rsidR="000620EE" w:rsidRPr="00E461D0" w:rsidRDefault="000620EE" w:rsidP="000620EE">
            <w:pPr>
              <w:rPr>
                <w:rFonts w:ascii="Palatino Linotype" w:hAnsi="Palatino Linotype"/>
              </w:rPr>
            </w:pPr>
            <w:r w:rsidRPr="00E461D0">
              <w:rPr>
                <w:rFonts w:ascii="Palatino Linotype" w:hAnsi="Palatino Linotype"/>
              </w:rPr>
              <w:t>$1</w:t>
            </w:r>
          </w:p>
        </w:tc>
        <w:tc>
          <w:tcPr>
            <w:tcW w:w="2207" w:type="dxa"/>
          </w:tcPr>
          <w:p w14:paraId="0E1A9C73" w14:textId="77777777" w:rsidR="000620EE" w:rsidRPr="00E461D0" w:rsidRDefault="00A234D9" w:rsidP="000620EE">
            <w:pPr>
              <w:rPr>
                <w:rFonts w:ascii="Palatino Linotype" w:hAnsi="Palatino Linotype"/>
              </w:rPr>
            </w:pPr>
            <w:r w:rsidRPr="00E461D0">
              <w:rPr>
                <w:rFonts w:ascii="Palatino Linotype" w:hAnsi="Palatino Linotype"/>
              </w:rPr>
              <w:t>15.784.972</w:t>
            </w:r>
          </w:p>
        </w:tc>
      </w:tr>
      <w:tr w:rsidR="000620EE" w:rsidRPr="00E461D0" w14:paraId="2F61B451" w14:textId="77777777" w:rsidTr="00902AA0">
        <w:tc>
          <w:tcPr>
            <w:tcW w:w="2207" w:type="dxa"/>
          </w:tcPr>
          <w:p w14:paraId="0501E173" w14:textId="77777777" w:rsidR="000620EE" w:rsidRPr="00E461D0" w:rsidRDefault="00A234D9" w:rsidP="000620EE">
            <w:pPr>
              <w:rPr>
                <w:rFonts w:ascii="Palatino Linotype" w:hAnsi="Palatino Linotype"/>
              </w:rPr>
            </w:pPr>
            <w:r w:rsidRPr="00E461D0">
              <w:rPr>
                <w:rFonts w:ascii="Palatino Linotype" w:hAnsi="Palatino Linotype"/>
              </w:rPr>
              <w:t>Carlos Sebastián</w:t>
            </w:r>
            <w:r w:rsidR="004F042C" w:rsidRPr="00E461D0">
              <w:rPr>
                <w:rFonts w:ascii="Palatino Linotype" w:hAnsi="Palatino Linotype"/>
              </w:rPr>
              <w:t xml:space="preserve"> Mornaghi</w:t>
            </w:r>
          </w:p>
        </w:tc>
        <w:tc>
          <w:tcPr>
            <w:tcW w:w="2207" w:type="dxa"/>
          </w:tcPr>
          <w:p w14:paraId="3432AD87" w14:textId="77777777" w:rsidR="000620EE" w:rsidRPr="00E461D0" w:rsidRDefault="003B4A79" w:rsidP="000620EE">
            <w:pPr>
              <w:rPr>
                <w:rFonts w:ascii="Palatino Linotype" w:hAnsi="Palatino Linotype"/>
              </w:rPr>
            </w:pPr>
            <w:r w:rsidRPr="00E461D0">
              <w:rPr>
                <w:rFonts w:ascii="Palatino Linotype" w:hAnsi="Palatino Linotype"/>
              </w:rPr>
              <w:t>2.358.674</w:t>
            </w:r>
          </w:p>
        </w:tc>
        <w:tc>
          <w:tcPr>
            <w:tcW w:w="2207" w:type="dxa"/>
          </w:tcPr>
          <w:p w14:paraId="1737E917" w14:textId="77777777" w:rsidR="000620EE" w:rsidRPr="00E461D0" w:rsidRDefault="000620EE" w:rsidP="000620EE">
            <w:pPr>
              <w:rPr>
                <w:rFonts w:ascii="Palatino Linotype" w:hAnsi="Palatino Linotype"/>
              </w:rPr>
            </w:pPr>
            <w:r w:rsidRPr="00E461D0">
              <w:rPr>
                <w:rFonts w:ascii="Palatino Linotype" w:hAnsi="Palatino Linotype"/>
              </w:rPr>
              <w:t>$1</w:t>
            </w:r>
          </w:p>
        </w:tc>
        <w:tc>
          <w:tcPr>
            <w:tcW w:w="2207" w:type="dxa"/>
          </w:tcPr>
          <w:p w14:paraId="56F5D10D" w14:textId="77777777" w:rsidR="000620EE" w:rsidRPr="00E461D0" w:rsidRDefault="00A234D9" w:rsidP="000620EE">
            <w:pPr>
              <w:rPr>
                <w:rFonts w:ascii="Palatino Linotype" w:hAnsi="Palatino Linotype"/>
              </w:rPr>
            </w:pPr>
            <w:r w:rsidRPr="00E461D0">
              <w:rPr>
                <w:rFonts w:ascii="Palatino Linotype" w:hAnsi="Palatino Linotype"/>
              </w:rPr>
              <w:t>2.358.674</w:t>
            </w:r>
          </w:p>
        </w:tc>
      </w:tr>
      <w:tr w:rsidR="00902AA0" w:rsidRPr="00E461D0" w14:paraId="630433DD" w14:textId="77777777" w:rsidTr="00902AA0">
        <w:tc>
          <w:tcPr>
            <w:tcW w:w="2207" w:type="dxa"/>
          </w:tcPr>
          <w:p w14:paraId="524F6409" w14:textId="77777777" w:rsidR="00902AA0" w:rsidRPr="00E461D0" w:rsidRDefault="00902AA0" w:rsidP="00902AA0">
            <w:pPr>
              <w:rPr>
                <w:rFonts w:ascii="Palatino Linotype" w:hAnsi="Palatino Linotype"/>
              </w:rPr>
            </w:pPr>
            <w:r w:rsidRPr="00E461D0">
              <w:rPr>
                <w:rFonts w:ascii="Palatino Linotype" w:hAnsi="Palatino Linotype"/>
              </w:rPr>
              <w:t>Total Capital Social</w:t>
            </w:r>
          </w:p>
        </w:tc>
        <w:tc>
          <w:tcPr>
            <w:tcW w:w="2207" w:type="dxa"/>
          </w:tcPr>
          <w:p w14:paraId="4ABD9A97" w14:textId="77777777" w:rsidR="00902AA0" w:rsidRPr="00E461D0" w:rsidRDefault="003B4A79" w:rsidP="00902AA0">
            <w:pPr>
              <w:rPr>
                <w:rFonts w:ascii="Palatino Linotype" w:hAnsi="Palatino Linotype"/>
              </w:rPr>
            </w:pPr>
            <w:r w:rsidRPr="00E461D0">
              <w:rPr>
                <w:rFonts w:ascii="Palatino Linotype" w:hAnsi="Palatino Linotype"/>
              </w:rPr>
              <w:t>18.143.646</w:t>
            </w:r>
          </w:p>
        </w:tc>
        <w:tc>
          <w:tcPr>
            <w:tcW w:w="2207" w:type="dxa"/>
          </w:tcPr>
          <w:p w14:paraId="66E06D38" w14:textId="77777777" w:rsidR="00902AA0" w:rsidRPr="00E461D0" w:rsidRDefault="00902AA0" w:rsidP="00902AA0">
            <w:pPr>
              <w:rPr>
                <w:rFonts w:ascii="Palatino Linotype" w:hAnsi="Palatino Linotype"/>
              </w:rPr>
            </w:pPr>
            <w:r w:rsidRPr="00E461D0">
              <w:rPr>
                <w:rFonts w:ascii="Palatino Linotype" w:hAnsi="Palatino Linotype"/>
              </w:rPr>
              <w:t>V/N $1</w:t>
            </w:r>
          </w:p>
        </w:tc>
        <w:tc>
          <w:tcPr>
            <w:tcW w:w="2207" w:type="dxa"/>
          </w:tcPr>
          <w:p w14:paraId="4ACAD96E" w14:textId="77777777" w:rsidR="00902AA0" w:rsidRPr="00E461D0" w:rsidRDefault="00A234D9" w:rsidP="003F1CB3">
            <w:pPr>
              <w:rPr>
                <w:rFonts w:ascii="Palatino Linotype" w:hAnsi="Palatino Linotype"/>
              </w:rPr>
            </w:pPr>
            <w:r w:rsidRPr="00E461D0">
              <w:rPr>
                <w:rFonts w:ascii="Palatino Linotype" w:hAnsi="Palatino Linotype"/>
              </w:rPr>
              <w:t>18.143.646</w:t>
            </w:r>
            <w:r w:rsidR="001E1DB8" w:rsidRPr="00E461D0">
              <w:rPr>
                <w:rFonts w:ascii="Palatino Linotype" w:hAnsi="Palatino Linotype"/>
              </w:rPr>
              <w:t xml:space="preserve"> </w:t>
            </w:r>
            <w:r w:rsidR="003F1CB3" w:rsidRPr="00E461D0">
              <w:rPr>
                <w:rFonts w:ascii="Palatino Linotype" w:hAnsi="Palatino Linotype"/>
              </w:rPr>
              <w:t>votos</w:t>
            </w:r>
          </w:p>
        </w:tc>
      </w:tr>
    </w:tbl>
    <w:p w14:paraId="33469C7F" w14:textId="77777777" w:rsidR="00902AA0" w:rsidRPr="00E461D0" w:rsidRDefault="00902AA0" w:rsidP="00C12059">
      <w:pPr>
        <w:jc w:val="both"/>
        <w:rPr>
          <w:rFonts w:ascii="Palatino Linotype" w:hAnsi="Palatino Linotype"/>
        </w:rPr>
      </w:pPr>
    </w:p>
    <w:p w14:paraId="36EE8D9A" w14:textId="38052821" w:rsidR="00902AA0" w:rsidRPr="00E461D0" w:rsidRDefault="00902AA0" w:rsidP="00902AA0">
      <w:pPr>
        <w:jc w:val="both"/>
        <w:rPr>
          <w:rFonts w:ascii="Palatino Linotype" w:hAnsi="Palatino Linotype"/>
        </w:rPr>
      </w:pPr>
      <w:r w:rsidRPr="00E461D0">
        <w:rPr>
          <w:rFonts w:ascii="Palatino Linotype" w:hAnsi="Palatino Linotype"/>
        </w:rPr>
        <w:t>El capital se conforma por acciones ordinarias, nominativas no endosables, de valor nominal un Peso ($ 1) cada una y con derecho a un voto por acción, por lo tanto, los accionistas principales no tiene</w:t>
      </w:r>
      <w:r w:rsidR="0014604A">
        <w:rPr>
          <w:rFonts w:ascii="Palatino Linotype" w:hAnsi="Palatino Linotype"/>
        </w:rPr>
        <w:t xml:space="preserve">n diferentes derechos de voto. </w:t>
      </w:r>
    </w:p>
    <w:p w14:paraId="78BB2223" w14:textId="77777777" w:rsidR="00902AA0" w:rsidRPr="00E461D0" w:rsidRDefault="00902AA0" w:rsidP="00902AA0">
      <w:pPr>
        <w:jc w:val="both"/>
        <w:rPr>
          <w:rFonts w:ascii="Palatino Linotype" w:hAnsi="Palatino Linotype"/>
        </w:rPr>
      </w:pPr>
    </w:p>
    <w:p w14:paraId="7451C077" w14:textId="77777777" w:rsidR="00C12059" w:rsidRPr="00E461D0" w:rsidRDefault="00C12059" w:rsidP="00C12059">
      <w:pPr>
        <w:jc w:val="both"/>
        <w:rPr>
          <w:rFonts w:ascii="Palatino Linotype" w:hAnsi="Palatino Linotype"/>
        </w:rPr>
      </w:pPr>
      <w:r w:rsidRPr="00E461D0">
        <w:rPr>
          <w:rFonts w:ascii="Palatino Linotype" w:hAnsi="Palatino Linotype"/>
        </w:rPr>
        <w:t>II. La sociedad no posee empresas controlantes ni controladas ni forma parte de grupo económico alguno.</w:t>
      </w:r>
    </w:p>
    <w:p w14:paraId="7F5198F3" w14:textId="77777777" w:rsidR="00C12059" w:rsidRPr="00E461D0" w:rsidRDefault="00C12059" w:rsidP="00C12059">
      <w:pPr>
        <w:jc w:val="both"/>
        <w:rPr>
          <w:rFonts w:ascii="Palatino Linotype" w:hAnsi="Palatino Linotype"/>
        </w:rPr>
      </w:pPr>
    </w:p>
    <w:p w14:paraId="6FFA04B3" w14:textId="77777777" w:rsidR="00C12059" w:rsidRPr="00E461D0" w:rsidRDefault="00C12059" w:rsidP="00C12059">
      <w:pPr>
        <w:jc w:val="both"/>
        <w:rPr>
          <w:rFonts w:ascii="Palatino Linotype" w:hAnsi="Palatino Linotype"/>
          <w:b/>
        </w:rPr>
      </w:pPr>
      <w:r w:rsidRPr="00E461D0">
        <w:rPr>
          <w:rFonts w:ascii="Palatino Linotype" w:hAnsi="Palatino Linotype"/>
          <w:b/>
        </w:rPr>
        <w:t>Descripción del Negocio.</w:t>
      </w:r>
    </w:p>
    <w:p w14:paraId="65934C06" w14:textId="77777777" w:rsidR="00C12059" w:rsidRPr="00E461D0" w:rsidRDefault="00C12059" w:rsidP="00C12059">
      <w:pPr>
        <w:jc w:val="both"/>
        <w:rPr>
          <w:rFonts w:ascii="Palatino Linotype" w:hAnsi="Palatino Linotype"/>
          <w:b/>
        </w:rPr>
      </w:pPr>
    </w:p>
    <w:p w14:paraId="5ED86BE7" w14:textId="77777777" w:rsidR="00C12059" w:rsidRPr="00E461D0" w:rsidRDefault="00C12059" w:rsidP="00C12059">
      <w:pPr>
        <w:jc w:val="both"/>
        <w:rPr>
          <w:rFonts w:ascii="Palatino Linotype" w:hAnsi="Palatino Linotype"/>
        </w:rPr>
      </w:pPr>
      <w:r w:rsidRPr="00E461D0">
        <w:rPr>
          <w:rFonts w:ascii="Palatino Linotype" w:hAnsi="Palatino Linotype"/>
        </w:rPr>
        <w:t xml:space="preserve">Objeto Social. </w:t>
      </w:r>
    </w:p>
    <w:p w14:paraId="2FB06213" w14:textId="77777777" w:rsidR="00C12059" w:rsidRPr="00E461D0" w:rsidRDefault="00C12059" w:rsidP="00C12059">
      <w:pPr>
        <w:jc w:val="both"/>
        <w:rPr>
          <w:rFonts w:ascii="Palatino Linotype" w:hAnsi="Palatino Linotype"/>
        </w:rPr>
      </w:pPr>
    </w:p>
    <w:p w14:paraId="1CAF2E9F" w14:textId="55BCB530" w:rsidR="00C12059" w:rsidRPr="00E461D0" w:rsidRDefault="00C12059" w:rsidP="00C12059">
      <w:pPr>
        <w:jc w:val="both"/>
        <w:rPr>
          <w:rFonts w:ascii="Palatino Linotype" w:hAnsi="Palatino Linotype"/>
        </w:rPr>
      </w:pPr>
      <w:r w:rsidRPr="00E461D0">
        <w:rPr>
          <w:rFonts w:ascii="Palatino Linotype" w:hAnsi="Palatino Linotype"/>
        </w:rPr>
        <w:t xml:space="preserve">Según el artículo </w:t>
      </w:r>
      <w:r w:rsidR="00477A98" w:rsidRPr="00E461D0">
        <w:rPr>
          <w:rFonts w:ascii="Palatino Linotype" w:hAnsi="Palatino Linotype"/>
        </w:rPr>
        <w:t>tercero</w:t>
      </w:r>
      <w:r w:rsidRPr="00E461D0">
        <w:rPr>
          <w:rFonts w:ascii="Palatino Linotype" w:hAnsi="Palatino Linotype"/>
        </w:rPr>
        <w:t xml:space="preserve"> d</w:t>
      </w:r>
      <w:r w:rsidR="00477A98" w:rsidRPr="00E461D0">
        <w:rPr>
          <w:rFonts w:ascii="Palatino Linotype" w:hAnsi="Palatino Linotype"/>
        </w:rPr>
        <w:t>el</w:t>
      </w:r>
      <w:r w:rsidR="00902AA0" w:rsidRPr="00E461D0">
        <w:rPr>
          <w:rFonts w:ascii="Palatino Linotype" w:hAnsi="Palatino Linotype"/>
        </w:rPr>
        <w:t xml:space="preserve"> estatuto social de</w:t>
      </w:r>
      <w:r w:rsidRPr="00E461D0">
        <w:rPr>
          <w:rFonts w:ascii="Palatino Linotype" w:hAnsi="Palatino Linotype"/>
        </w:rPr>
        <w:t xml:space="preserve"> </w:t>
      </w:r>
      <w:r w:rsidR="00902AA0" w:rsidRPr="00E461D0">
        <w:rPr>
          <w:rFonts w:ascii="Palatino Linotype" w:hAnsi="Palatino Linotype"/>
        </w:rPr>
        <w:t>Global</w:t>
      </w:r>
      <w:r w:rsidRPr="00E461D0">
        <w:rPr>
          <w:rFonts w:ascii="Palatino Linotype" w:hAnsi="Palatino Linotype"/>
        </w:rPr>
        <w:t>, la Sociedad tiene “por objeto</w:t>
      </w:r>
      <w:r w:rsidR="00902AA0" w:rsidRPr="00E461D0">
        <w:rPr>
          <w:rFonts w:ascii="Palatino Linotype" w:hAnsi="Palatino Linotype"/>
        </w:rPr>
        <w:t xml:space="preserve"> </w:t>
      </w:r>
      <w:r w:rsidR="00477A98" w:rsidRPr="00E461D0">
        <w:rPr>
          <w:rFonts w:ascii="Palatino Linotype" w:hAnsi="Palatino Linotype"/>
        </w:rPr>
        <w:t xml:space="preserve">dedicarse por cuenta propia a las siguientes actividades: FIDUCIARIA: 1) Actuar como Fiduciaria dentro de la República Argentina en los términos de la ley número 24.441, leyes y normas modificatorias y reglamentarias, especialmente en los términos del inciso e) del artículo 7º del Capítulo IV del título V y concordantes de las Normas de la Comisión Nacional de Valores, sus modificatorias y/o complementarias futuras.- 2) Constituir toda clase de fideicomisos, </w:t>
      </w:r>
      <w:r w:rsidR="00CA4202" w:rsidRPr="00E461D0">
        <w:rPr>
          <w:rFonts w:ascii="Palatino Linotype" w:hAnsi="Palatino Linotype"/>
        </w:rPr>
        <w:t>incluyendo</w:t>
      </w:r>
      <w:r w:rsidR="00477A98" w:rsidRPr="00E461D0">
        <w:rPr>
          <w:rFonts w:ascii="Palatino Linotype" w:hAnsi="Palatino Linotype"/>
        </w:rPr>
        <w:t xml:space="preserve"> a modo </w:t>
      </w:r>
      <w:r w:rsidR="00CA4202" w:rsidRPr="00E461D0">
        <w:rPr>
          <w:rFonts w:ascii="Palatino Linotype" w:hAnsi="Palatino Linotype"/>
        </w:rPr>
        <w:t>enunciativo</w:t>
      </w:r>
      <w:r w:rsidR="00477A98" w:rsidRPr="00E461D0">
        <w:rPr>
          <w:rFonts w:ascii="Palatino Linotype" w:hAnsi="Palatino Linotype"/>
        </w:rPr>
        <w:t xml:space="preserve"> – </w:t>
      </w:r>
      <w:r w:rsidR="00CA4202" w:rsidRPr="00E461D0">
        <w:rPr>
          <w:rFonts w:ascii="Palatino Linotype" w:hAnsi="Palatino Linotype"/>
        </w:rPr>
        <w:t>aunque</w:t>
      </w:r>
      <w:r w:rsidR="00477A98" w:rsidRPr="00E461D0">
        <w:rPr>
          <w:rFonts w:ascii="Palatino Linotype" w:hAnsi="Palatino Linotype"/>
        </w:rPr>
        <w:t xml:space="preserve"> no limitándose a ellos- a cualquier tipo de fideicomisos financieros o no, </w:t>
      </w:r>
      <w:r w:rsidR="00CA4202" w:rsidRPr="00E461D0">
        <w:rPr>
          <w:rFonts w:ascii="Palatino Linotype" w:hAnsi="Palatino Linotype"/>
        </w:rPr>
        <w:t>inmobiliarios</w:t>
      </w:r>
      <w:r w:rsidR="00477A98" w:rsidRPr="00E461D0">
        <w:rPr>
          <w:rFonts w:ascii="Palatino Linotype" w:hAnsi="Palatino Linotype"/>
        </w:rPr>
        <w:t xml:space="preserve">, de protección familiar, fideicomisos convencionales, legales, </w:t>
      </w:r>
      <w:r w:rsidR="003219BD" w:rsidRPr="00E461D0">
        <w:rPr>
          <w:rFonts w:ascii="Palatino Linotype" w:hAnsi="Palatino Linotype"/>
        </w:rPr>
        <w:t xml:space="preserve">testamentarios, de garantía, incluso aquellos fideicomisos previstos en la ley 23.696 Título III artículo 34 para programas de propiedad participada, de administración, de inversión y todo otro tipo de fideicomisos o servicios fiduciarios, de custodia de valores y bienes de terceros o asociada a terceros en cualquier lugar de esta República, o en el exterior, con sujeción a las leyes del respectivo país, a las siguientes actividades: a) COMERCIALES I. – De Agente de Negociación, de conformidad a lo dispuesto por la Ley Nº 26.831 y las NORMAS CNV (N.T. 2013), por lo que podrá actuar en la colocación primaria o registrando operaciones en la negociación secundaria, tanto para cartera propia como para terceros clientes, cumpliendo con las normas dispuestas a estos efectos por la Comisión Nacional de Valores. II. – De Agente de Liquidación y Compensación y Agente de Negociación Propio, de conformidad a lo dispuesto por la Ley Nº 26.831 y las NORMAS CNV (N.T. 2013), por lo que además de desarrollar las actividades propias de los Agentes de Negociación, podrá solamente intervenir en la liquidación y compensación de operaciones 8colocación primaria y negociación secundaria) registradas para cartera propia y sus clientes, siendo responsables del cumplimiento ante los Mercados y/o Cámaras Compensadoras de las obligaciones propias y de sus clientes. III. De Agente de Liquidación y Compensación Integral, de conformidad a lo dispuesto por la Ley Nº 26.831 y las NORMAS CNV (N.T. 2013) por lo que además de desarrollar las actividades propias de los Agentes de Negociación, podrá intervenir en la liquidación y compensación </w:t>
      </w:r>
      <w:r w:rsidR="00C959FA" w:rsidRPr="00E461D0">
        <w:rPr>
          <w:rFonts w:ascii="Palatino Linotype" w:hAnsi="Palatino Linotype"/>
        </w:rPr>
        <w:t>de operaciones (colocación primaria y negociación secundaria) registradas para cartera propia y sus clientes, como así también prestar el mencionado servicio de liquidación y compensación de operaciones a otros Agentes de Negociación registrados ante la Comisión Nacional de Valores, siendo responsables del cumplimiento ante los Mercados y/o Cámaras Compensadoras de las obligaciones propias, de sus clientes y de las obligaciones de los Agentes de Negociación con los que haya firmado un Conveni</w:t>
      </w:r>
      <w:r w:rsidR="00487CC9" w:rsidRPr="00E461D0">
        <w:rPr>
          <w:rFonts w:ascii="Palatino Linotype" w:hAnsi="Palatino Linotype"/>
        </w:rPr>
        <w:t>o de Liquidación y Compensación</w:t>
      </w:r>
      <w:r w:rsidR="00C959FA" w:rsidRPr="00E461D0">
        <w:rPr>
          <w:rFonts w:ascii="Palatino Linotype" w:hAnsi="Palatino Linotype"/>
        </w:rPr>
        <w:t>. A fin de llevar a cabo las actividades antes mencionadas, se requerirá estar registrado en la correspondiente categoría ante la Comisión Nacional de Valores. Asimismo, la sociedad podrá solicitar el registro ante el mencionado Organismo de Contralor de cualquier otra actividad que sea compatible confirme las normas reglamentarias. Cualquiera que sea la categoría en que se registre ante la Comisión Nacional de Valores, se encuentra facultada a realizar, en cualquier Mercado del país, cualquier clase de operaciones sobre valores negociables públicos o privados, permitidas por las disposiciones legales y reglamentarias vigentes a las categorías de Agentes mencionadas “ut-supra”; podrá operar en los mercados en los cuales se celebren contratos al contado o a término, de futuros y opciones sobre valores negociables: la prefinanciación y distribución primaria de valores en cualquiera de sus modalidades, y en general, intervenir en aquellas transacciones del Mercado de Capitales que puedan llevar a cabo las categorías de Agentes antes descriptas, en un todo de acuerdo con las disposiciones legales y reglamentarias en vigor. B) MANDATARIAS: administración por cuenta de terceros de negocios financieros, y en especial, los relacionados con títulos de crédito, títulos valores públicos o privados, representaciones, cobranzas, mandatos, comisiones, consignaciones y asesoramiento, con exclusión de aquello que en virtud de la materia haya sido reservado a profesionales con título habilitante; la actuación como Agente de suscripciones o servicios de renta y amortización; administración de carteras de valores, fideicomisos financieros como Agente Fiduciario, Fideicomisos no financieros u ordinarios y cualquier actividad financiera adecuada a la normativa vigente en la materia; como agente colocador de cuota-partes de Fondos Comunes de Inversión, conforme a las normas de la Comisión Nacional de Valores y los Mercados del país. c) FINANCIERAS: Operaciones que tengan por objeto títulos de crédito o títulos valores públicos o privados, asesoramiento</w:t>
      </w:r>
      <w:r w:rsidR="00CA4202" w:rsidRPr="00E461D0">
        <w:rPr>
          <w:rFonts w:ascii="Palatino Linotype" w:hAnsi="Palatino Linotype"/>
        </w:rPr>
        <w:t xml:space="preserve"> financiero y toda operación permitida por la ley vigente. No podrá realizar las actividades reguladas por la ley de Entidades Financieras u otras que requieran el concurso público. A tal fin la sociedad tiene plena capacidad jurídica para adquirir derechos y contraer obligaciones, ejerciendo todos los actos que no sean prohibidos por las leyes, o reglamentos, o por este Estatuto”.</w:t>
      </w:r>
      <w:r w:rsidR="00477A98" w:rsidRPr="00E461D0">
        <w:rPr>
          <w:rFonts w:ascii="Palatino Linotype" w:hAnsi="Palatino Linotype"/>
        </w:rPr>
        <w:t xml:space="preserve"> </w:t>
      </w:r>
    </w:p>
    <w:p w14:paraId="079C5AB0" w14:textId="77777777" w:rsidR="00C12059" w:rsidRPr="00E461D0" w:rsidRDefault="00C12059" w:rsidP="00C12059">
      <w:pPr>
        <w:jc w:val="both"/>
        <w:rPr>
          <w:rFonts w:ascii="Palatino Linotype" w:hAnsi="Palatino Linotype"/>
        </w:rPr>
      </w:pPr>
    </w:p>
    <w:p w14:paraId="144FCC03" w14:textId="77777777" w:rsidR="00C12059" w:rsidRPr="00E461D0" w:rsidRDefault="00C12059" w:rsidP="00C12059">
      <w:pPr>
        <w:jc w:val="both"/>
        <w:rPr>
          <w:rFonts w:ascii="Palatino Linotype" w:hAnsi="Palatino Linotype"/>
          <w:b/>
        </w:rPr>
      </w:pPr>
      <w:r w:rsidRPr="00E461D0">
        <w:rPr>
          <w:rFonts w:ascii="Palatino Linotype" w:hAnsi="Palatino Linotype"/>
          <w:b/>
        </w:rPr>
        <w:t xml:space="preserve">Actividad Principal. </w:t>
      </w:r>
    </w:p>
    <w:p w14:paraId="545239CC" w14:textId="77777777" w:rsidR="005D4234" w:rsidRPr="00E461D0" w:rsidRDefault="005D4234" w:rsidP="005D4234">
      <w:pPr>
        <w:jc w:val="both"/>
        <w:rPr>
          <w:rFonts w:ascii="Palatino Linotype" w:hAnsi="Palatino Linotype"/>
          <w:b/>
        </w:rPr>
      </w:pPr>
    </w:p>
    <w:p w14:paraId="5E907883" w14:textId="31CFAF61" w:rsidR="005D4234" w:rsidRPr="00E461D0" w:rsidRDefault="00476F59" w:rsidP="005D4234">
      <w:pPr>
        <w:jc w:val="both"/>
        <w:rPr>
          <w:rFonts w:ascii="Palatino Linotype" w:hAnsi="Palatino Linotype"/>
        </w:rPr>
      </w:pPr>
      <w:r w:rsidRPr="00E461D0">
        <w:rPr>
          <w:rFonts w:ascii="Palatino Linotype" w:hAnsi="Palatino Linotype"/>
        </w:rPr>
        <w:t xml:space="preserve">Global Valores S.A. es un Agente de </w:t>
      </w:r>
      <w:r w:rsidR="00E64BE1" w:rsidRPr="00E461D0">
        <w:rPr>
          <w:rFonts w:ascii="Palatino Linotype" w:hAnsi="Palatino Linotype"/>
        </w:rPr>
        <w:t xml:space="preserve">Negociación, </w:t>
      </w:r>
      <w:r w:rsidRPr="00E461D0">
        <w:rPr>
          <w:rFonts w:ascii="Palatino Linotype" w:hAnsi="Palatino Linotype"/>
        </w:rPr>
        <w:t xml:space="preserve">Liquidación y </w:t>
      </w:r>
      <w:r w:rsidR="006E7E4B" w:rsidRPr="00E461D0">
        <w:rPr>
          <w:rFonts w:ascii="Palatino Linotype" w:hAnsi="Palatino Linotype"/>
        </w:rPr>
        <w:t>Compensación</w:t>
      </w:r>
      <w:r w:rsidRPr="00E461D0">
        <w:rPr>
          <w:rFonts w:ascii="Palatino Linotype" w:hAnsi="Palatino Linotype"/>
        </w:rPr>
        <w:t xml:space="preserve"> Integral (“ALYC”) registrado bajo la Comisi</w:t>
      </w:r>
      <w:r w:rsidR="00E64BE1" w:rsidRPr="00E461D0">
        <w:rPr>
          <w:rFonts w:ascii="Palatino Linotype" w:hAnsi="Palatino Linotype"/>
        </w:rPr>
        <w:t>ó</w:t>
      </w:r>
      <w:r w:rsidRPr="00E461D0">
        <w:rPr>
          <w:rFonts w:ascii="Palatino Linotype" w:hAnsi="Palatino Linotype"/>
        </w:rPr>
        <w:t xml:space="preserve">n Nacional de Valores </w:t>
      </w:r>
      <w:r w:rsidR="00E64BE1" w:rsidRPr="00E461D0">
        <w:rPr>
          <w:rFonts w:ascii="Palatino Linotype" w:hAnsi="Palatino Linotype"/>
        </w:rPr>
        <w:t xml:space="preserve">bajo el n° 37 </w:t>
      </w:r>
      <w:r w:rsidRPr="00E461D0">
        <w:rPr>
          <w:rFonts w:ascii="Palatino Linotype" w:hAnsi="Palatino Linotype"/>
        </w:rPr>
        <w:t xml:space="preserve">y con autorización a </w:t>
      </w:r>
      <w:r w:rsidR="00E64BE1" w:rsidRPr="00E461D0">
        <w:rPr>
          <w:rFonts w:ascii="Palatino Linotype" w:hAnsi="Palatino Linotype"/>
        </w:rPr>
        <w:t xml:space="preserve">operar en los siguientes mercados: </w:t>
      </w:r>
      <w:r w:rsidR="00F0094D" w:rsidRPr="00E461D0">
        <w:rPr>
          <w:rFonts w:ascii="Palatino Linotype" w:hAnsi="Palatino Linotype"/>
        </w:rPr>
        <w:t>BYMA (n°59), MAE (n°659), ROFEX</w:t>
      </w:r>
      <w:r w:rsidR="00E64BE1" w:rsidRPr="00E461D0">
        <w:rPr>
          <w:rFonts w:ascii="Palatino Linotype" w:hAnsi="Palatino Linotype"/>
        </w:rPr>
        <w:t xml:space="preserve"> (n° 425), MAV (n°512). </w:t>
      </w:r>
      <w:r w:rsidR="00E461D0">
        <w:rPr>
          <w:rFonts w:ascii="Palatino Linotype" w:hAnsi="Palatino Linotype"/>
        </w:rPr>
        <w:t xml:space="preserve">La Compañía </w:t>
      </w:r>
      <w:r w:rsidR="00E64BE1" w:rsidRPr="00E461D0">
        <w:rPr>
          <w:rFonts w:ascii="Palatino Linotype" w:hAnsi="Palatino Linotype"/>
        </w:rPr>
        <w:t xml:space="preserve">a su vez se </w:t>
      </w:r>
      <w:r w:rsidR="00E461D0">
        <w:rPr>
          <w:rFonts w:ascii="Palatino Linotype" w:hAnsi="Palatino Linotype"/>
        </w:rPr>
        <w:t xml:space="preserve">encuentra </w:t>
      </w:r>
      <w:r w:rsidR="00E64BE1" w:rsidRPr="00E461D0">
        <w:rPr>
          <w:rFonts w:ascii="Palatino Linotype" w:hAnsi="Palatino Linotype"/>
        </w:rPr>
        <w:t>registrada</w:t>
      </w:r>
      <w:r w:rsidR="000B5773" w:rsidRPr="00E461D0">
        <w:rPr>
          <w:rFonts w:ascii="Palatino Linotype" w:hAnsi="Palatino Linotype"/>
        </w:rPr>
        <w:t xml:space="preserve"> </w:t>
      </w:r>
      <w:r w:rsidR="00315EF4" w:rsidRPr="00E461D0">
        <w:rPr>
          <w:rFonts w:ascii="Palatino Linotype" w:hAnsi="Palatino Linotype"/>
        </w:rPr>
        <w:t xml:space="preserve">en </w:t>
      </w:r>
      <w:r w:rsidR="00F0094D" w:rsidRPr="00E461D0">
        <w:rPr>
          <w:rFonts w:ascii="Palatino Linotype" w:hAnsi="Palatino Linotype"/>
        </w:rPr>
        <w:t>la Comisión Nacional de Valores</w:t>
      </w:r>
      <w:r w:rsidR="00E64BE1" w:rsidRPr="00E461D0">
        <w:rPr>
          <w:rFonts w:ascii="Palatino Linotype" w:hAnsi="Palatino Linotype"/>
        </w:rPr>
        <w:t xml:space="preserve"> como Agente de Colocación y Distribución Integral de Fondos Comunes de Inversión</w:t>
      </w:r>
      <w:r w:rsidR="000B5773" w:rsidRPr="00E461D0">
        <w:rPr>
          <w:rFonts w:ascii="Palatino Linotype" w:hAnsi="Palatino Linotype"/>
        </w:rPr>
        <w:t xml:space="preserve"> </w:t>
      </w:r>
      <w:r w:rsidR="00315EF4" w:rsidRPr="00E461D0">
        <w:rPr>
          <w:rFonts w:ascii="Palatino Linotype" w:hAnsi="Palatino Linotype"/>
        </w:rPr>
        <w:t xml:space="preserve">bajo el </w:t>
      </w:r>
      <w:r w:rsidR="00E461D0">
        <w:rPr>
          <w:rFonts w:ascii="Palatino Linotype" w:hAnsi="Palatino Linotype"/>
        </w:rPr>
        <w:t>N</w:t>
      </w:r>
      <w:r w:rsidR="00315EF4" w:rsidRPr="00E461D0">
        <w:rPr>
          <w:rFonts w:ascii="Palatino Linotype" w:hAnsi="Palatino Linotype"/>
        </w:rPr>
        <w:t>°</w:t>
      </w:r>
      <w:r w:rsidR="00E461D0">
        <w:rPr>
          <w:rFonts w:ascii="Palatino Linotype" w:hAnsi="Palatino Linotype"/>
        </w:rPr>
        <w:t xml:space="preserve"> </w:t>
      </w:r>
      <w:r w:rsidR="00315EF4" w:rsidRPr="00E461D0">
        <w:rPr>
          <w:rFonts w:ascii="Palatino Linotype" w:hAnsi="Palatino Linotype"/>
        </w:rPr>
        <w:t>58.</w:t>
      </w:r>
    </w:p>
    <w:p w14:paraId="32D97EB1" w14:textId="77777777" w:rsidR="00476F59" w:rsidRPr="00E461D0" w:rsidRDefault="00476F59" w:rsidP="005D4234">
      <w:pPr>
        <w:jc w:val="both"/>
        <w:rPr>
          <w:rFonts w:ascii="Palatino Linotype" w:hAnsi="Palatino Linotype"/>
        </w:rPr>
      </w:pPr>
    </w:p>
    <w:p w14:paraId="5911B6CA" w14:textId="6C5C60B5" w:rsidR="000B5773" w:rsidRPr="00E461D0" w:rsidRDefault="000B5773" w:rsidP="005D4234">
      <w:pPr>
        <w:jc w:val="both"/>
        <w:rPr>
          <w:rFonts w:ascii="Palatino Linotype" w:hAnsi="Palatino Linotype"/>
        </w:rPr>
      </w:pPr>
      <w:r w:rsidRPr="00E461D0">
        <w:rPr>
          <w:rFonts w:ascii="Palatino Linotype" w:hAnsi="Palatino Linotype"/>
        </w:rPr>
        <w:t>La empresa atiende clientes de diversos segmentos como ser Clientes Institucionales (</w:t>
      </w:r>
      <w:r w:rsidR="006E7E4B" w:rsidRPr="00E461D0">
        <w:rPr>
          <w:rFonts w:ascii="Palatino Linotype" w:hAnsi="Palatino Linotype"/>
        </w:rPr>
        <w:t>Compañías</w:t>
      </w:r>
      <w:r w:rsidRPr="00E461D0">
        <w:rPr>
          <w:rFonts w:ascii="Palatino Linotype" w:hAnsi="Palatino Linotype"/>
        </w:rPr>
        <w:t xml:space="preserve"> de Seguros, Fondos Comunes de </w:t>
      </w:r>
      <w:r w:rsidR="006E7E4B" w:rsidRPr="00E461D0">
        <w:rPr>
          <w:rFonts w:ascii="Palatino Linotype" w:hAnsi="Palatino Linotype"/>
        </w:rPr>
        <w:t>Inversión</w:t>
      </w:r>
      <w:r w:rsidRPr="00E461D0">
        <w:rPr>
          <w:rFonts w:ascii="Palatino Linotype" w:hAnsi="Palatino Linotype"/>
        </w:rPr>
        <w:t xml:space="preserve">, Cajas </w:t>
      </w:r>
      <w:r w:rsidR="006E7E4B" w:rsidRPr="00E461D0">
        <w:rPr>
          <w:rFonts w:ascii="Palatino Linotype" w:hAnsi="Palatino Linotype"/>
        </w:rPr>
        <w:t>Previsionales,</w:t>
      </w:r>
      <w:r w:rsidRPr="00E461D0">
        <w:rPr>
          <w:rFonts w:ascii="Palatino Linotype" w:hAnsi="Palatino Linotype"/>
        </w:rPr>
        <w:t xml:space="preserve"> etc.), Clientes Corporativos, Clientes PYME e Individuos</w:t>
      </w:r>
      <w:r w:rsidR="006E7E4B" w:rsidRPr="00E461D0">
        <w:rPr>
          <w:rFonts w:ascii="Palatino Linotype" w:hAnsi="Palatino Linotype"/>
        </w:rPr>
        <w:t>.</w:t>
      </w:r>
    </w:p>
    <w:p w14:paraId="4D597391" w14:textId="77777777" w:rsidR="00476F59" w:rsidRPr="00E461D0" w:rsidRDefault="00476F59" w:rsidP="005D4234">
      <w:pPr>
        <w:jc w:val="both"/>
        <w:rPr>
          <w:rFonts w:ascii="Palatino Linotype" w:hAnsi="Palatino Linotype"/>
          <w:b/>
        </w:rPr>
      </w:pPr>
    </w:p>
    <w:p w14:paraId="02C35CA1" w14:textId="527046A6" w:rsidR="000B5773" w:rsidRPr="00E461D0" w:rsidRDefault="000B5773" w:rsidP="005D4234">
      <w:pPr>
        <w:jc w:val="both"/>
        <w:rPr>
          <w:rFonts w:ascii="Palatino Linotype" w:hAnsi="Palatino Linotype"/>
        </w:rPr>
      </w:pPr>
      <w:r w:rsidRPr="00E461D0">
        <w:rPr>
          <w:rFonts w:ascii="Palatino Linotype" w:hAnsi="Palatino Linotype"/>
        </w:rPr>
        <w:t>Para dichos clientes Global ofrece toda la gama de servicios bursá</w:t>
      </w:r>
      <w:r w:rsidR="00F0094D" w:rsidRPr="00E461D0">
        <w:rPr>
          <w:rFonts w:ascii="Palatino Linotype" w:hAnsi="Palatino Linotype"/>
        </w:rPr>
        <w:t xml:space="preserve">tiles, de mercado de capitales </w:t>
      </w:r>
      <w:r w:rsidRPr="00E461D0">
        <w:rPr>
          <w:rFonts w:ascii="Palatino Linotype" w:hAnsi="Palatino Linotype"/>
        </w:rPr>
        <w:t>y de inversión además de participar en el segmento de financiamiento PYME a través del MAV (Mercado Argentino de Valores)</w:t>
      </w:r>
      <w:r w:rsidR="00E9735A" w:rsidRPr="00E461D0">
        <w:rPr>
          <w:rFonts w:ascii="Palatino Linotype" w:hAnsi="Palatino Linotype"/>
        </w:rPr>
        <w:t>.</w:t>
      </w:r>
    </w:p>
    <w:p w14:paraId="612CCE45" w14:textId="77777777" w:rsidR="000B5773" w:rsidRPr="00E461D0" w:rsidRDefault="000B5773" w:rsidP="005D4234">
      <w:pPr>
        <w:jc w:val="both"/>
        <w:rPr>
          <w:rFonts w:ascii="Palatino Linotype" w:hAnsi="Palatino Linotype"/>
        </w:rPr>
      </w:pPr>
    </w:p>
    <w:p w14:paraId="1BC549EF" w14:textId="3EBF5E4C" w:rsidR="000B5773" w:rsidRPr="00CE678E" w:rsidRDefault="000B5773" w:rsidP="005D4234">
      <w:pPr>
        <w:jc w:val="both"/>
        <w:rPr>
          <w:rFonts w:ascii="Palatino Linotype" w:hAnsi="Palatino Linotype"/>
        </w:rPr>
      </w:pPr>
      <w:r w:rsidRPr="00E461D0">
        <w:rPr>
          <w:rFonts w:ascii="Palatino Linotype" w:hAnsi="Palatino Linotype"/>
        </w:rPr>
        <w:t>En lo que respecta a su actividad como ACDI, se han firmado contratos de distribución de fondos comunes de inversión con Fondos Fima (Banco Galicia), Axis Inversiones y Quinquela Fondos.</w:t>
      </w:r>
    </w:p>
    <w:p w14:paraId="7AB20733" w14:textId="77777777" w:rsidR="000B5773" w:rsidRPr="00E461D0" w:rsidRDefault="000B5773" w:rsidP="005D4234">
      <w:pPr>
        <w:jc w:val="both"/>
        <w:rPr>
          <w:rFonts w:ascii="Palatino Linotype" w:hAnsi="Palatino Linotype"/>
          <w:b/>
        </w:rPr>
      </w:pPr>
    </w:p>
    <w:p w14:paraId="676C28B5" w14:textId="77777777" w:rsidR="005D4234" w:rsidRPr="00E461D0" w:rsidRDefault="005D4234" w:rsidP="005D4234">
      <w:pPr>
        <w:jc w:val="both"/>
        <w:rPr>
          <w:rFonts w:ascii="Palatino Linotype" w:hAnsi="Palatino Linotype"/>
          <w:b/>
        </w:rPr>
      </w:pPr>
      <w:r w:rsidRPr="00E461D0">
        <w:rPr>
          <w:rFonts w:ascii="Palatino Linotype" w:hAnsi="Palatino Linotype"/>
          <w:b/>
        </w:rPr>
        <w:t>Transacciones con partes relacionadas</w:t>
      </w:r>
    </w:p>
    <w:p w14:paraId="3B628FE8" w14:textId="77777777" w:rsidR="005D4234" w:rsidRPr="00E461D0" w:rsidRDefault="005D4234" w:rsidP="005D4234">
      <w:pPr>
        <w:jc w:val="both"/>
        <w:rPr>
          <w:rFonts w:ascii="Palatino Linotype" w:hAnsi="Palatino Linotype"/>
        </w:rPr>
      </w:pPr>
    </w:p>
    <w:p w14:paraId="4F377D30" w14:textId="77777777" w:rsidR="005D4234" w:rsidRPr="00E461D0" w:rsidRDefault="005D4234" w:rsidP="005D4234">
      <w:pPr>
        <w:jc w:val="both"/>
        <w:rPr>
          <w:rFonts w:ascii="Palatino Linotype" w:hAnsi="Palatino Linotype"/>
        </w:rPr>
      </w:pPr>
      <w:r w:rsidRPr="00E461D0">
        <w:rPr>
          <w:rFonts w:ascii="Palatino Linotype" w:hAnsi="Palatino Linotype"/>
        </w:rPr>
        <w:t xml:space="preserve">Al no ser parte de un grupo económico no existen contratos significativos entre la Sociedad y partes relacionada alguna. </w:t>
      </w:r>
    </w:p>
    <w:p w14:paraId="4939E7F9" w14:textId="37911FDF" w:rsidR="00C12059" w:rsidRPr="00E461D0" w:rsidRDefault="00C12059" w:rsidP="00C12059">
      <w:pPr>
        <w:jc w:val="both"/>
        <w:rPr>
          <w:rFonts w:ascii="Palatino Linotype" w:hAnsi="Palatino Linotype"/>
        </w:rPr>
      </w:pPr>
    </w:p>
    <w:p w14:paraId="4D850842" w14:textId="77777777" w:rsidR="005E2601" w:rsidRPr="00E461D0" w:rsidRDefault="005E2601" w:rsidP="00C12059">
      <w:pPr>
        <w:jc w:val="both"/>
        <w:rPr>
          <w:rFonts w:ascii="Palatino Linotype" w:hAnsi="Palatino Linotype"/>
        </w:rPr>
      </w:pPr>
    </w:p>
    <w:p w14:paraId="605579DA" w14:textId="77777777" w:rsidR="005D4234" w:rsidRPr="00E461D0" w:rsidRDefault="005D4234" w:rsidP="00641325">
      <w:pPr>
        <w:jc w:val="both"/>
        <w:rPr>
          <w:rFonts w:ascii="Palatino Linotype" w:hAnsi="Palatino Linotype"/>
        </w:rPr>
        <w:sectPr w:rsidR="005D4234" w:rsidRPr="00E461D0">
          <w:pgSz w:w="12240" w:h="15840"/>
          <w:pgMar w:top="1417" w:right="1701" w:bottom="1417" w:left="1701" w:header="708" w:footer="708" w:gutter="0"/>
          <w:cols w:space="708"/>
          <w:docGrid w:linePitch="360"/>
        </w:sectPr>
      </w:pPr>
    </w:p>
    <w:p w14:paraId="4A308DAA" w14:textId="77777777" w:rsidR="005D4234" w:rsidRPr="00E461D0" w:rsidRDefault="00C22F9B" w:rsidP="005D4234">
      <w:pPr>
        <w:pStyle w:val="Ttulo1"/>
      </w:pPr>
      <w:bookmarkStart w:id="3" w:name="_Toc535599646"/>
      <w:bookmarkStart w:id="4" w:name="_Toc23325146"/>
      <w:r w:rsidRPr="00E461D0">
        <w:t xml:space="preserve">II. </w:t>
      </w:r>
      <w:r w:rsidR="00A2331A" w:rsidRPr="00E461D0">
        <w:t>DATOS SOBRE LOS MIEMBROS DEL ÓRGANO DE ADMINISTRACIÓN Y SOBRE LOS MIEMBROS DEL ÓRGANO DE FISCALIZACIÓN.</w:t>
      </w:r>
      <w:bookmarkEnd w:id="3"/>
      <w:bookmarkEnd w:id="4"/>
      <w:r w:rsidR="00A2331A" w:rsidRPr="00E461D0">
        <w:t xml:space="preserve"> </w:t>
      </w:r>
    </w:p>
    <w:p w14:paraId="43B79B0F" w14:textId="77777777" w:rsidR="005D4234" w:rsidRPr="00E461D0" w:rsidRDefault="005D4234" w:rsidP="00641325">
      <w:pPr>
        <w:jc w:val="both"/>
        <w:rPr>
          <w:rFonts w:ascii="Palatino Linotype" w:hAnsi="Palatino Linotype"/>
        </w:rPr>
      </w:pPr>
    </w:p>
    <w:p w14:paraId="75C4624B" w14:textId="77777777" w:rsidR="00A2331A" w:rsidRPr="00E461D0" w:rsidRDefault="00A2331A" w:rsidP="00A2331A">
      <w:pPr>
        <w:pStyle w:val="Prrafodelista"/>
        <w:numPr>
          <w:ilvl w:val="0"/>
          <w:numId w:val="4"/>
        </w:numPr>
        <w:jc w:val="both"/>
        <w:rPr>
          <w:rFonts w:ascii="Palatino Linotype" w:hAnsi="Palatino Linotype"/>
          <w:b/>
        </w:rPr>
      </w:pPr>
      <w:r w:rsidRPr="00E461D0">
        <w:rPr>
          <w:rFonts w:ascii="Palatino Linotype" w:hAnsi="Palatino Linotype"/>
          <w:b/>
        </w:rPr>
        <w:t>Directores Titular y Suplentes. Gerencia.</w:t>
      </w:r>
    </w:p>
    <w:p w14:paraId="09FBBAE8" w14:textId="77777777" w:rsidR="00A2331A" w:rsidRPr="00E461D0" w:rsidRDefault="00A2331A" w:rsidP="00A2331A">
      <w:pPr>
        <w:jc w:val="both"/>
        <w:rPr>
          <w:rFonts w:ascii="Palatino Linotype" w:hAnsi="Palatino Linotype"/>
        </w:rPr>
      </w:pPr>
    </w:p>
    <w:p w14:paraId="193DF9E0" w14:textId="77777777" w:rsidR="00A2331A" w:rsidRPr="00E461D0" w:rsidRDefault="00A2331A" w:rsidP="00A2331A">
      <w:pPr>
        <w:jc w:val="both"/>
        <w:rPr>
          <w:rFonts w:ascii="Palatino Linotype" w:hAnsi="Palatino Linotype"/>
          <w:b/>
        </w:rPr>
      </w:pPr>
      <w:r w:rsidRPr="00E461D0">
        <w:rPr>
          <w:rFonts w:ascii="Palatino Linotype" w:hAnsi="Palatino Linotype"/>
          <w:b/>
        </w:rPr>
        <w:t>Directorio.</w:t>
      </w:r>
    </w:p>
    <w:p w14:paraId="79A7C490" w14:textId="77777777" w:rsidR="00A2331A" w:rsidRPr="00E461D0" w:rsidRDefault="00A2331A" w:rsidP="00A2331A">
      <w:pPr>
        <w:jc w:val="both"/>
        <w:rPr>
          <w:rFonts w:ascii="Palatino Linotype" w:hAnsi="Palatino Linotype"/>
        </w:rPr>
      </w:pPr>
    </w:p>
    <w:p w14:paraId="342CBF60" w14:textId="77777777" w:rsidR="00A2331A" w:rsidRPr="00E461D0" w:rsidRDefault="00A2331A" w:rsidP="00A2331A">
      <w:pPr>
        <w:jc w:val="both"/>
        <w:rPr>
          <w:rFonts w:ascii="Palatino Linotype" w:hAnsi="Palatino Linotype"/>
        </w:rPr>
      </w:pPr>
      <w:r w:rsidRPr="00E461D0">
        <w:rPr>
          <w:rFonts w:ascii="Palatino Linotype" w:hAnsi="Palatino Linotype"/>
        </w:rPr>
        <w:t xml:space="preserve">El Directorio de la Sociedad está formado en la actualidad por un Presidente, un Vicepresidente y </w:t>
      </w:r>
      <w:r w:rsidR="000263AA" w:rsidRPr="00E461D0">
        <w:rPr>
          <w:rFonts w:ascii="Palatino Linotype" w:hAnsi="Palatino Linotype"/>
        </w:rPr>
        <w:t>un</w:t>
      </w:r>
      <w:r w:rsidRPr="00E461D0">
        <w:rPr>
          <w:rFonts w:ascii="Palatino Linotype" w:hAnsi="Palatino Linotype"/>
        </w:rPr>
        <w:t xml:space="preserve"> director titulares. El señor </w:t>
      </w:r>
      <w:r w:rsidR="000263AA" w:rsidRPr="00E461D0">
        <w:rPr>
          <w:rFonts w:ascii="Palatino Linotype" w:hAnsi="Palatino Linotype"/>
        </w:rPr>
        <w:t>Luis Andrés Mornaghi</w:t>
      </w:r>
      <w:r w:rsidR="000620EE" w:rsidRPr="00E461D0" w:rsidDel="000620EE">
        <w:rPr>
          <w:rFonts w:ascii="Palatino Linotype" w:hAnsi="Palatino Linotype"/>
        </w:rPr>
        <w:t xml:space="preserve"> </w:t>
      </w:r>
      <w:r w:rsidRPr="00E461D0">
        <w:rPr>
          <w:rFonts w:ascii="Palatino Linotype" w:hAnsi="Palatino Linotype"/>
        </w:rPr>
        <w:t>es el actual Presidente del Directorio. El Directorio, de acuerdo con lo establecido en la ley 19.550, tiene a cargo la administración general de la Sociedad.</w:t>
      </w:r>
    </w:p>
    <w:p w14:paraId="33B6917B" w14:textId="77777777" w:rsidR="00A2331A" w:rsidRPr="00E461D0" w:rsidRDefault="00A2331A" w:rsidP="00A2331A">
      <w:pPr>
        <w:jc w:val="both"/>
        <w:rPr>
          <w:rFonts w:ascii="Palatino Linotype" w:hAnsi="Palatino Linotype"/>
        </w:rPr>
      </w:pPr>
    </w:p>
    <w:tbl>
      <w:tblPr>
        <w:tblStyle w:val="Tablaconcuadrcula"/>
        <w:tblW w:w="5000" w:type="pct"/>
        <w:tblLayout w:type="fixed"/>
        <w:tblLook w:val="04A0" w:firstRow="1" w:lastRow="0" w:firstColumn="1" w:lastColumn="0" w:noHBand="0" w:noVBand="1"/>
      </w:tblPr>
      <w:tblGrid>
        <w:gridCol w:w="1511"/>
        <w:gridCol w:w="1391"/>
        <w:gridCol w:w="1601"/>
        <w:gridCol w:w="1744"/>
        <w:gridCol w:w="1393"/>
        <w:gridCol w:w="1414"/>
      </w:tblGrid>
      <w:tr w:rsidR="00A234D9" w:rsidRPr="00E461D0" w14:paraId="6EB34065" w14:textId="77777777" w:rsidTr="00CE678E">
        <w:tc>
          <w:tcPr>
            <w:tcW w:w="835" w:type="pct"/>
          </w:tcPr>
          <w:p w14:paraId="7DF7D9B9" w14:textId="77777777" w:rsidR="00A2331A" w:rsidRPr="00E461D0" w:rsidRDefault="00A2331A" w:rsidP="00A2331A">
            <w:pPr>
              <w:rPr>
                <w:rFonts w:ascii="Palatino Linotype" w:hAnsi="Palatino Linotype"/>
                <w:b/>
                <w:sz w:val="18"/>
              </w:rPr>
            </w:pPr>
            <w:r w:rsidRPr="00E461D0">
              <w:rPr>
                <w:rFonts w:ascii="Palatino Linotype" w:hAnsi="Palatino Linotype"/>
                <w:b/>
                <w:sz w:val="18"/>
              </w:rPr>
              <w:t>Nombre</w:t>
            </w:r>
          </w:p>
        </w:tc>
        <w:tc>
          <w:tcPr>
            <w:tcW w:w="768" w:type="pct"/>
          </w:tcPr>
          <w:p w14:paraId="28687755" w14:textId="77777777" w:rsidR="00A2331A" w:rsidRPr="00E461D0" w:rsidRDefault="00A2331A" w:rsidP="00A2331A">
            <w:pPr>
              <w:rPr>
                <w:rFonts w:ascii="Palatino Linotype" w:hAnsi="Palatino Linotype"/>
                <w:b/>
                <w:sz w:val="18"/>
              </w:rPr>
            </w:pPr>
            <w:r w:rsidRPr="00E461D0">
              <w:rPr>
                <w:rFonts w:ascii="Palatino Linotype" w:hAnsi="Palatino Linotype"/>
                <w:b/>
                <w:sz w:val="18"/>
              </w:rPr>
              <w:t>Cargo</w:t>
            </w:r>
          </w:p>
        </w:tc>
        <w:tc>
          <w:tcPr>
            <w:tcW w:w="884" w:type="pct"/>
          </w:tcPr>
          <w:p w14:paraId="4AB6CBB9" w14:textId="77777777" w:rsidR="00A2331A" w:rsidRPr="00E461D0" w:rsidRDefault="00A2331A" w:rsidP="00A2331A">
            <w:pPr>
              <w:rPr>
                <w:rFonts w:ascii="Palatino Linotype" w:hAnsi="Palatino Linotype"/>
                <w:b/>
                <w:sz w:val="18"/>
              </w:rPr>
            </w:pPr>
            <w:r w:rsidRPr="00E461D0">
              <w:rPr>
                <w:rFonts w:ascii="Palatino Linotype" w:hAnsi="Palatino Linotype"/>
                <w:b/>
                <w:sz w:val="18"/>
              </w:rPr>
              <w:t>CUIT/CUIL</w:t>
            </w:r>
          </w:p>
        </w:tc>
        <w:tc>
          <w:tcPr>
            <w:tcW w:w="963" w:type="pct"/>
          </w:tcPr>
          <w:p w14:paraId="61B25BDC" w14:textId="77777777" w:rsidR="00A2331A" w:rsidRPr="00E461D0" w:rsidRDefault="00A2331A" w:rsidP="00A2331A">
            <w:pPr>
              <w:rPr>
                <w:rFonts w:ascii="Palatino Linotype" w:hAnsi="Palatino Linotype"/>
                <w:b/>
                <w:sz w:val="18"/>
              </w:rPr>
            </w:pPr>
            <w:r w:rsidRPr="00E461D0">
              <w:rPr>
                <w:rFonts w:ascii="Palatino Linotype" w:hAnsi="Palatino Linotype"/>
                <w:b/>
                <w:sz w:val="18"/>
              </w:rPr>
              <w:t>Domicilio especial</w:t>
            </w:r>
          </w:p>
        </w:tc>
        <w:tc>
          <w:tcPr>
            <w:tcW w:w="769" w:type="pct"/>
          </w:tcPr>
          <w:p w14:paraId="127AF718" w14:textId="77777777" w:rsidR="00A2331A" w:rsidRPr="00E461D0" w:rsidRDefault="00A2331A" w:rsidP="00A2331A">
            <w:pPr>
              <w:rPr>
                <w:rFonts w:ascii="Palatino Linotype" w:hAnsi="Palatino Linotype"/>
                <w:b/>
                <w:sz w:val="18"/>
              </w:rPr>
            </w:pPr>
            <w:r w:rsidRPr="00E461D0">
              <w:rPr>
                <w:rFonts w:ascii="Palatino Linotype" w:hAnsi="Palatino Linotype"/>
                <w:b/>
                <w:sz w:val="18"/>
              </w:rPr>
              <w:t>Fecha de designación</w:t>
            </w:r>
          </w:p>
        </w:tc>
        <w:tc>
          <w:tcPr>
            <w:tcW w:w="781" w:type="pct"/>
          </w:tcPr>
          <w:p w14:paraId="126603FA" w14:textId="77777777" w:rsidR="00A2331A" w:rsidRPr="00E461D0" w:rsidRDefault="00A2331A" w:rsidP="00A2331A">
            <w:pPr>
              <w:rPr>
                <w:rFonts w:ascii="Palatino Linotype" w:hAnsi="Palatino Linotype"/>
                <w:b/>
                <w:sz w:val="18"/>
              </w:rPr>
            </w:pPr>
            <w:r w:rsidRPr="00E461D0">
              <w:rPr>
                <w:rFonts w:ascii="Palatino Linotype" w:hAnsi="Palatino Linotype"/>
                <w:b/>
                <w:sz w:val="18"/>
              </w:rPr>
              <w:t>Fecha de vencimiento de mandato</w:t>
            </w:r>
          </w:p>
        </w:tc>
      </w:tr>
      <w:tr w:rsidR="00A234D9" w:rsidRPr="00E461D0" w14:paraId="247C3EBF" w14:textId="77777777" w:rsidTr="00CE678E">
        <w:tc>
          <w:tcPr>
            <w:tcW w:w="835" w:type="pct"/>
            <w:shd w:val="clear" w:color="auto" w:fill="auto"/>
          </w:tcPr>
          <w:p w14:paraId="6DBA53D5" w14:textId="77777777" w:rsidR="000620EE" w:rsidRPr="00E461D0" w:rsidRDefault="003B4A79" w:rsidP="000620EE">
            <w:pPr>
              <w:rPr>
                <w:rFonts w:ascii="Palatino Linotype" w:hAnsi="Palatino Linotype"/>
                <w:sz w:val="16"/>
              </w:rPr>
            </w:pPr>
            <w:r w:rsidRPr="00E461D0">
              <w:rPr>
                <w:rFonts w:ascii="Palatino Linotype" w:hAnsi="Palatino Linotype"/>
                <w:sz w:val="16"/>
                <w:szCs w:val="16"/>
              </w:rPr>
              <w:t>Luis Andres Mornaghi</w:t>
            </w:r>
          </w:p>
        </w:tc>
        <w:tc>
          <w:tcPr>
            <w:tcW w:w="768" w:type="pct"/>
            <w:shd w:val="clear" w:color="auto" w:fill="auto"/>
          </w:tcPr>
          <w:p w14:paraId="202EF703" w14:textId="77777777" w:rsidR="000620EE" w:rsidRPr="00E461D0" w:rsidRDefault="003B4A79" w:rsidP="000620EE">
            <w:pPr>
              <w:rPr>
                <w:rFonts w:ascii="Palatino Linotype" w:hAnsi="Palatino Linotype"/>
                <w:sz w:val="16"/>
              </w:rPr>
            </w:pPr>
            <w:r w:rsidRPr="00E461D0">
              <w:rPr>
                <w:rFonts w:ascii="Palatino Linotype" w:hAnsi="Palatino Linotype"/>
                <w:sz w:val="16"/>
                <w:szCs w:val="16"/>
              </w:rPr>
              <w:t>Presidente</w:t>
            </w:r>
          </w:p>
        </w:tc>
        <w:tc>
          <w:tcPr>
            <w:tcW w:w="884" w:type="pct"/>
          </w:tcPr>
          <w:p w14:paraId="44C6DF78" w14:textId="77777777" w:rsidR="000620EE" w:rsidRPr="00E461D0" w:rsidRDefault="00A234D9" w:rsidP="000620EE">
            <w:pPr>
              <w:rPr>
                <w:rFonts w:ascii="Palatino Linotype" w:hAnsi="Palatino Linotype"/>
                <w:sz w:val="16"/>
              </w:rPr>
            </w:pPr>
            <w:r w:rsidRPr="00E461D0">
              <w:rPr>
                <w:rFonts w:ascii="Palatino Linotype" w:hAnsi="Palatino Linotype"/>
                <w:sz w:val="16"/>
                <w:szCs w:val="16"/>
              </w:rPr>
              <w:t>20-14026492-0</w:t>
            </w:r>
          </w:p>
        </w:tc>
        <w:tc>
          <w:tcPr>
            <w:tcW w:w="963" w:type="pct"/>
          </w:tcPr>
          <w:p w14:paraId="1C77CCF9" w14:textId="38533BDA" w:rsidR="000620EE" w:rsidRPr="00E461D0" w:rsidRDefault="00A234D9" w:rsidP="000620EE">
            <w:pPr>
              <w:rPr>
                <w:rFonts w:ascii="Palatino Linotype" w:hAnsi="Palatino Linotype"/>
                <w:sz w:val="16"/>
              </w:rPr>
            </w:pPr>
            <w:r w:rsidRPr="00E461D0">
              <w:rPr>
                <w:rFonts w:ascii="Palatino Linotype" w:hAnsi="Palatino Linotype"/>
                <w:sz w:val="16"/>
                <w:szCs w:val="16"/>
              </w:rPr>
              <w:t>Don Bosco 222</w:t>
            </w:r>
            <w:r w:rsidR="002B4F19" w:rsidRPr="00E461D0">
              <w:rPr>
                <w:rFonts w:ascii="Palatino Linotype" w:hAnsi="Palatino Linotype"/>
                <w:sz w:val="16"/>
                <w:szCs w:val="16"/>
              </w:rPr>
              <w:t>2</w:t>
            </w:r>
            <w:r w:rsidRPr="00E461D0">
              <w:rPr>
                <w:rFonts w:ascii="Palatino Linotype" w:hAnsi="Palatino Linotype"/>
                <w:sz w:val="16"/>
                <w:szCs w:val="16"/>
              </w:rPr>
              <w:t>, San Isidro, Prov</w:t>
            </w:r>
            <w:r w:rsidR="00E461D0">
              <w:rPr>
                <w:rFonts w:ascii="Palatino Linotype" w:hAnsi="Palatino Linotype"/>
                <w:sz w:val="16"/>
                <w:szCs w:val="16"/>
              </w:rPr>
              <w:t>.</w:t>
            </w:r>
            <w:r w:rsidRPr="00E461D0">
              <w:rPr>
                <w:rFonts w:ascii="Palatino Linotype" w:hAnsi="Palatino Linotype"/>
                <w:sz w:val="16"/>
                <w:szCs w:val="16"/>
              </w:rPr>
              <w:t xml:space="preserve"> de Bs As</w:t>
            </w:r>
          </w:p>
        </w:tc>
        <w:tc>
          <w:tcPr>
            <w:tcW w:w="769" w:type="pct"/>
          </w:tcPr>
          <w:p w14:paraId="3AFF1FC9" w14:textId="77777777" w:rsidR="000620EE" w:rsidRPr="00E461D0" w:rsidRDefault="00A234D9" w:rsidP="000620EE">
            <w:pPr>
              <w:rPr>
                <w:rFonts w:ascii="Palatino Linotype" w:hAnsi="Palatino Linotype"/>
                <w:sz w:val="16"/>
              </w:rPr>
            </w:pPr>
            <w:r w:rsidRPr="00E461D0">
              <w:rPr>
                <w:rFonts w:ascii="Palatino Linotype" w:hAnsi="Palatino Linotype"/>
                <w:sz w:val="16"/>
                <w:szCs w:val="16"/>
              </w:rPr>
              <w:t>09/03/2017</w:t>
            </w:r>
          </w:p>
        </w:tc>
        <w:tc>
          <w:tcPr>
            <w:tcW w:w="781" w:type="pct"/>
          </w:tcPr>
          <w:p w14:paraId="687325C1" w14:textId="77777777" w:rsidR="000620EE" w:rsidRPr="00E461D0" w:rsidRDefault="00A234D9" w:rsidP="000620EE">
            <w:pPr>
              <w:rPr>
                <w:rFonts w:ascii="Palatino Linotype" w:hAnsi="Palatino Linotype"/>
                <w:sz w:val="16"/>
              </w:rPr>
            </w:pPr>
            <w:r w:rsidRPr="00E461D0">
              <w:rPr>
                <w:rFonts w:ascii="Palatino Linotype" w:hAnsi="Palatino Linotype"/>
                <w:sz w:val="16"/>
                <w:szCs w:val="16"/>
              </w:rPr>
              <w:t>31/12/2019</w:t>
            </w:r>
          </w:p>
        </w:tc>
      </w:tr>
      <w:tr w:rsidR="00A234D9" w:rsidRPr="00E461D0" w14:paraId="39743B6D" w14:textId="77777777" w:rsidTr="00CE678E">
        <w:tc>
          <w:tcPr>
            <w:tcW w:w="835" w:type="pct"/>
            <w:shd w:val="clear" w:color="auto" w:fill="auto"/>
          </w:tcPr>
          <w:p w14:paraId="4D7FF2DD" w14:textId="77777777" w:rsidR="000620EE" w:rsidRPr="00E461D0" w:rsidRDefault="003B4A79" w:rsidP="000620EE">
            <w:pPr>
              <w:rPr>
                <w:rFonts w:ascii="Palatino Linotype" w:hAnsi="Palatino Linotype"/>
                <w:sz w:val="16"/>
              </w:rPr>
            </w:pPr>
            <w:r w:rsidRPr="00E461D0">
              <w:rPr>
                <w:rFonts w:ascii="Palatino Linotype" w:hAnsi="Palatino Linotype"/>
                <w:sz w:val="16"/>
                <w:szCs w:val="16"/>
              </w:rPr>
              <w:t>Carlos Sebastian Mornaghi</w:t>
            </w:r>
          </w:p>
        </w:tc>
        <w:tc>
          <w:tcPr>
            <w:tcW w:w="768" w:type="pct"/>
            <w:shd w:val="clear" w:color="auto" w:fill="auto"/>
          </w:tcPr>
          <w:p w14:paraId="4094DB15" w14:textId="77777777" w:rsidR="000620EE" w:rsidRPr="00E461D0" w:rsidRDefault="003B4A79" w:rsidP="000620EE">
            <w:pPr>
              <w:rPr>
                <w:rFonts w:ascii="Palatino Linotype" w:hAnsi="Palatino Linotype"/>
                <w:sz w:val="16"/>
              </w:rPr>
            </w:pPr>
            <w:r w:rsidRPr="00E461D0">
              <w:rPr>
                <w:rFonts w:ascii="Palatino Linotype" w:hAnsi="Palatino Linotype"/>
                <w:sz w:val="16"/>
                <w:szCs w:val="16"/>
              </w:rPr>
              <w:t>Vice-presidente</w:t>
            </w:r>
          </w:p>
        </w:tc>
        <w:tc>
          <w:tcPr>
            <w:tcW w:w="884" w:type="pct"/>
          </w:tcPr>
          <w:p w14:paraId="29A58375" w14:textId="77777777" w:rsidR="000620EE" w:rsidRPr="00E461D0" w:rsidRDefault="00A234D9">
            <w:pPr>
              <w:rPr>
                <w:rFonts w:ascii="Palatino Linotype" w:hAnsi="Palatino Linotype"/>
                <w:sz w:val="16"/>
              </w:rPr>
            </w:pPr>
            <w:r w:rsidRPr="00E461D0">
              <w:rPr>
                <w:rFonts w:ascii="Palatino Linotype" w:hAnsi="Palatino Linotype"/>
                <w:sz w:val="16"/>
                <w:szCs w:val="16"/>
              </w:rPr>
              <w:t>20-14868159-8</w:t>
            </w:r>
          </w:p>
        </w:tc>
        <w:tc>
          <w:tcPr>
            <w:tcW w:w="963" w:type="pct"/>
          </w:tcPr>
          <w:p w14:paraId="4DB0D647" w14:textId="77777777" w:rsidR="000620EE" w:rsidRPr="00E461D0" w:rsidRDefault="00A234D9" w:rsidP="000620EE">
            <w:pPr>
              <w:rPr>
                <w:rFonts w:ascii="Palatino Linotype" w:hAnsi="Palatino Linotype"/>
                <w:sz w:val="16"/>
              </w:rPr>
            </w:pPr>
            <w:r w:rsidRPr="00E461D0">
              <w:rPr>
                <w:rFonts w:ascii="Palatino Linotype" w:hAnsi="Palatino Linotype"/>
                <w:sz w:val="16"/>
                <w:szCs w:val="16"/>
              </w:rPr>
              <w:t>Av. Figueroa Alcorta 3036 5to A</w:t>
            </w:r>
            <w:r w:rsidR="00240328" w:rsidRPr="00E461D0">
              <w:rPr>
                <w:rFonts w:ascii="Palatino Linotype" w:hAnsi="Palatino Linotype"/>
                <w:sz w:val="16"/>
                <w:szCs w:val="16"/>
              </w:rPr>
              <w:t>, CABA</w:t>
            </w:r>
          </w:p>
        </w:tc>
        <w:tc>
          <w:tcPr>
            <w:tcW w:w="769" w:type="pct"/>
          </w:tcPr>
          <w:p w14:paraId="1419332B" w14:textId="77777777" w:rsidR="000620EE" w:rsidRPr="00E461D0" w:rsidRDefault="00A234D9" w:rsidP="000620EE">
            <w:pPr>
              <w:rPr>
                <w:rFonts w:ascii="Palatino Linotype" w:hAnsi="Palatino Linotype"/>
                <w:sz w:val="16"/>
              </w:rPr>
            </w:pPr>
            <w:r w:rsidRPr="00E461D0">
              <w:rPr>
                <w:rFonts w:ascii="Palatino Linotype" w:hAnsi="Palatino Linotype"/>
                <w:sz w:val="16"/>
                <w:szCs w:val="16"/>
              </w:rPr>
              <w:t>09/03/2017</w:t>
            </w:r>
          </w:p>
        </w:tc>
        <w:tc>
          <w:tcPr>
            <w:tcW w:w="781" w:type="pct"/>
          </w:tcPr>
          <w:p w14:paraId="25CCB624" w14:textId="77777777" w:rsidR="000620EE" w:rsidRPr="00E461D0" w:rsidRDefault="00A234D9" w:rsidP="000620EE">
            <w:pPr>
              <w:rPr>
                <w:rFonts w:ascii="Palatino Linotype" w:hAnsi="Palatino Linotype"/>
                <w:sz w:val="16"/>
              </w:rPr>
            </w:pPr>
            <w:r w:rsidRPr="00E461D0">
              <w:rPr>
                <w:rFonts w:ascii="Palatino Linotype" w:hAnsi="Palatino Linotype"/>
                <w:sz w:val="16"/>
                <w:szCs w:val="16"/>
              </w:rPr>
              <w:t>31/12/2019</w:t>
            </w:r>
          </w:p>
        </w:tc>
      </w:tr>
      <w:tr w:rsidR="00A234D9" w:rsidRPr="00E461D0" w14:paraId="0149610F" w14:textId="77777777" w:rsidTr="00CE678E">
        <w:tc>
          <w:tcPr>
            <w:tcW w:w="835" w:type="pct"/>
          </w:tcPr>
          <w:p w14:paraId="3B188EDA" w14:textId="77777777" w:rsidR="000620EE" w:rsidRPr="00E461D0" w:rsidRDefault="003B4A79" w:rsidP="000620EE">
            <w:pPr>
              <w:rPr>
                <w:rFonts w:ascii="Palatino Linotype" w:hAnsi="Palatino Linotype"/>
                <w:sz w:val="16"/>
              </w:rPr>
            </w:pPr>
            <w:r w:rsidRPr="00E461D0">
              <w:rPr>
                <w:rFonts w:ascii="Palatino Linotype" w:hAnsi="Palatino Linotype"/>
                <w:sz w:val="16"/>
                <w:szCs w:val="16"/>
              </w:rPr>
              <w:t>Eduardo Peressini</w:t>
            </w:r>
          </w:p>
        </w:tc>
        <w:tc>
          <w:tcPr>
            <w:tcW w:w="768" w:type="pct"/>
          </w:tcPr>
          <w:p w14:paraId="382D1B43" w14:textId="77777777" w:rsidR="000620EE" w:rsidRPr="00E461D0" w:rsidRDefault="003B4A79" w:rsidP="000620EE">
            <w:pPr>
              <w:rPr>
                <w:rFonts w:ascii="Palatino Linotype" w:hAnsi="Palatino Linotype"/>
                <w:sz w:val="16"/>
              </w:rPr>
            </w:pPr>
            <w:r w:rsidRPr="00E461D0">
              <w:rPr>
                <w:rFonts w:ascii="Palatino Linotype" w:hAnsi="Palatino Linotype"/>
                <w:sz w:val="16"/>
                <w:szCs w:val="16"/>
              </w:rPr>
              <w:t>Director</w:t>
            </w:r>
          </w:p>
        </w:tc>
        <w:tc>
          <w:tcPr>
            <w:tcW w:w="884" w:type="pct"/>
          </w:tcPr>
          <w:p w14:paraId="357B998E" w14:textId="77777777" w:rsidR="000620EE" w:rsidRPr="00E461D0" w:rsidRDefault="00240328" w:rsidP="000620EE">
            <w:pPr>
              <w:rPr>
                <w:rFonts w:ascii="Palatino Linotype" w:hAnsi="Palatino Linotype"/>
                <w:sz w:val="16"/>
              </w:rPr>
            </w:pPr>
            <w:r w:rsidRPr="00E461D0">
              <w:rPr>
                <w:rFonts w:ascii="Palatino Linotype" w:hAnsi="Palatino Linotype"/>
                <w:sz w:val="16"/>
                <w:szCs w:val="16"/>
              </w:rPr>
              <w:t>20-12747443-6</w:t>
            </w:r>
          </w:p>
        </w:tc>
        <w:tc>
          <w:tcPr>
            <w:tcW w:w="963" w:type="pct"/>
          </w:tcPr>
          <w:p w14:paraId="61BEA99C" w14:textId="77777777" w:rsidR="000620EE" w:rsidRPr="00E461D0" w:rsidRDefault="00240328" w:rsidP="000620EE">
            <w:pPr>
              <w:rPr>
                <w:rFonts w:ascii="Palatino Linotype" w:hAnsi="Palatino Linotype"/>
                <w:sz w:val="16"/>
              </w:rPr>
            </w:pPr>
            <w:r w:rsidRPr="00E461D0">
              <w:rPr>
                <w:rFonts w:ascii="Palatino Linotype" w:hAnsi="Palatino Linotype"/>
                <w:sz w:val="16"/>
                <w:szCs w:val="16"/>
              </w:rPr>
              <w:t>Av. Avellaneda 530 3ro D, CABA</w:t>
            </w:r>
          </w:p>
        </w:tc>
        <w:tc>
          <w:tcPr>
            <w:tcW w:w="769" w:type="pct"/>
          </w:tcPr>
          <w:p w14:paraId="6A7DBB62" w14:textId="77777777" w:rsidR="000620EE" w:rsidRPr="00E461D0" w:rsidRDefault="00240328" w:rsidP="000620EE">
            <w:pPr>
              <w:rPr>
                <w:rFonts w:ascii="Palatino Linotype" w:hAnsi="Palatino Linotype"/>
                <w:sz w:val="16"/>
              </w:rPr>
            </w:pPr>
            <w:r w:rsidRPr="00E461D0">
              <w:rPr>
                <w:rFonts w:ascii="Palatino Linotype" w:hAnsi="Palatino Linotype"/>
                <w:sz w:val="16"/>
                <w:szCs w:val="16"/>
              </w:rPr>
              <w:t>09/03/2017</w:t>
            </w:r>
          </w:p>
        </w:tc>
        <w:tc>
          <w:tcPr>
            <w:tcW w:w="781" w:type="pct"/>
          </w:tcPr>
          <w:p w14:paraId="748A8626" w14:textId="77777777" w:rsidR="000620EE" w:rsidRPr="00E461D0" w:rsidRDefault="00240328" w:rsidP="000620EE">
            <w:pPr>
              <w:rPr>
                <w:rFonts w:ascii="Palatino Linotype" w:hAnsi="Palatino Linotype"/>
                <w:sz w:val="16"/>
              </w:rPr>
            </w:pPr>
            <w:r w:rsidRPr="00E461D0">
              <w:rPr>
                <w:rFonts w:ascii="Palatino Linotype" w:hAnsi="Palatino Linotype"/>
                <w:sz w:val="16"/>
                <w:szCs w:val="16"/>
              </w:rPr>
              <w:t>31/12/2019</w:t>
            </w:r>
          </w:p>
        </w:tc>
      </w:tr>
    </w:tbl>
    <w:p w14:paraId="771D3CA9" w14:textId="77777777" w:rsidR="00A2331A" w:rsidRPr="00E461D0" w:rsidRDefault="00A2331A" w:rsidP="00A2331A">
      <w:pPr>
        <w:jc w:val="both"/>
        <w:rPr>
          <w:rFonts w:ascii="Palatino Linotype" w:hAnsi="Palatino Linotype"/>
        </w:rPr>
      </w:pPr>
    </w:p>
    <w:p w14:paraId="37AD12C9" w14:textId="77777777" w:rsidR="005D4234" w:rsidRPr="00E461D0" w:rsidRDefault="00A2331A" w:rsidP="00641325">
      <w:pPr>
        <w:jc w:val="both"/>
        <w:rPr>
          <w:rFonts w:ascii="Palatino Linotype" w:hAnsi="Palatino Linotype"/>
        </w:rPr>
      </w:pPr>
      <w:r w:rsidRPr="00E461D0">
        <w:rPr>
          <w:rFonts w:ascii="Palatino Linotype" w:hAnsi="Palatino Linotype"/>
        </w:rPr>
        <w:t>A continuación se realiza un breve detalle de los antecedentes de los Sres. Directores:</w:t>
      </w:r>
    </w:p>
    <w:p w14:paraId="05B683E9" w14:textId="77777777" w:rsidR="00F01F6F" w:rsidRPr="00E461D0" w:rsidRDefault="00F01F6F" w:rsidP="00641325">
      <w:pPr>
        <w:jc w:val="both"/>
        <w:rPr>
          <w:rFonts w:ascii="Palatino Linotype" w:hAnsi="Palatino Linotype"/>
        </w:rPr>
      </w:pPr>
    </w:p>
    <w:p w14:paraId="45EF41C8" w14:textId="3EC36A17" w:rsidR="00F01F6F" w:rsidRPr="00E461D0" w:rsidRDefault="00A234D9" w:rsidP="00641325">
      <w:pPr>
        <w:jc w:val="both"/>
        <w:rPr>
          <w:rFonts w:ascii="Palatino Linotype" w:hAnsi="Palatino Linotype"/>
        </w:rPr>
      </w:pPr>
      <w:r w:rsidRPr="00E461D0">
        <w:rPr>
          <w:rFonts w:ascii="Palatino Linotype" w:hAnsi="Palatino Linotype"/>
          <w:i/>
        </w:rPr>
        <w:t>Luis Andres Mornaghi</w:t>
      </w:r>
      <w:r w:rsidR="0061290A" w:rsidRPr="00E461D0">
        <w:rPr>
          <w:rFonts w:ascii="Palatino Linotype" w:hAnsi="Palatino Linotype"/>
        </w:rPr>
        <w:t>: Nació</w:t>
      </w:r>
      <w:r w:rsidRPr="00E461D0">
        <w:rPr>
          <w:rFonts w:ascii="Palatino Linotype" w:hAnsi="Palatino Linotype"/>
        </w:rPr>
        <w:t xml:space="preserve"> en Bs</w:t>
      </w:r>
      <w:r w:rsidR="0061290A" w:rsidRPr="00E461D0">
        <w:rPr>
          <w:rFonts w:ascii="Palatino Linotype" w:hAnsi="Palatino Linotype"/>
        </w:rPr>
        <w:t>.</w:t>
      </w:r>
      <w:r w:rsidRPr="00E461D0">
        <w:rPr>
          <w:rFonts w:ascii="Palatino Linotype" w:hAnsi="Palatino Linotype"/>
        </w:rPr>
        <w:t xml:space="preserve"> As</w:t>
      </w:r>
      <w:r w:rsidR="0061290A" w:rsidRPr="00E461D0">
        <w:rPr>
          <w:rFonts w:ascii="Palatino Linotype" w:hAnsi="Palatino Linotype"/>
        </w:rPr>
        <w:t>.</w:t>
      </w:r>
      <w:r w:rsidRPr="00E461D0">
        <w:rPr>
          <w:rFonts w:ascii="Palatino Linotype" w:hAnsi="Palatino Linotype"/>
        </w:rPr>
        <w:t xml:space="preserve"> el 26</w:t>
      </w:r>
      <w:r w:rsidR="0061290A" w:rsidRPr="00E461D0">
        <w:rPr>
          <w:rFonts w:ascii="Palatino Linotype" w:hAnsi="Palatino Linotype"/>
        </w:rPr>
        <w:t xml:space="preserve"> de marzo de </w:t>
      </w:r>
      <w:r w:rsidRPr="00E461D0">
        <w:rPr>
          <w:rFonts w:ascii="Palatino Linotype" w:hAnsi="Palatino Linotype"/>
        </w:rPr>
        <w:t>1960</w:t>
      </w:r>
      <w:r w:rsidR="00240328" w:rsidRPr="00E461D0">
        <w:rPr>
          <w:rFonts w:ascii="Palatino Linotype" w:hAnsi="Palatino Linotype"/>
        </w:rPr>
        <w:t xml:space="preserve">. Es Contador Público Nacional, recibido en la Universidad Católica Argentina. Previo a la fundación de Global, el Sr. Mornaghi se ha </w:t>
      </w:r>
      <w:r w:rsidR="0061290A" w:rsidRPr="00E461D0">
        <w:rPr>
          <w:rFonts w:ascii="Palatino Linotype" w:hAnsi="Palatino Linotype"/>
        </w:rPr>
        <w:t>desempeñado,</w:t>
      </w:r>
      <w:r w:rsidR="00240328" w:rsidRPr="00E461D0">
        <w:rPr>
          <w:rFonts w:ascii="Palatino Linotype" w:hAnsi="Palatino Linotype"/>
        </w:rPr>
        <w:t xml:space="preserve"> </w:t>
      </w:r>
      <w:r w:rsidR="0061290A" w:rsidRPr="00E461D0">
        <w:rPr>
          <w:rFonts w:ascii="Palatino Linotype" w:hAnsi="Palatino Linotype"/>
        </w:rPr>
        <w:t>a lo largo de</w:t>
      </w:r>
      <w:r w:rsidR="00240328" w:rsidRPr="00E461D0">
        <w:rPr>
          <w:rFonts w:ascii="Palatino Linotype" w:hAnsi="Palatino Linotype"/>
        </w:rPr>
        <w:t xml:space="preserve"> su carrera </w:t>
      </w:r>
      <w:r w:rsidR="006E7E4B" w:rsidRPr="00E461D0">
        <w:rPr>
          <w:rFonts w:ascii="Palatino Linotype" w:hAnsi="Palatino Linotype"/>
        </w:rPr>
        <w:t>profesional</w:t>
      </w:r>
      <w:r w:rsidR="00240328" w:rsidRPr="00E461D0">
        <w:rPr>
          <w:rFonts w:ascii="Palatino Linotype" w:hAnsi="Palatino Linotype"/>
        </w:rPr>
        <w:t xml:space="preserve"> en el Banco Finansur, entidad de la que ha sido Vicepresidente y </w:t>
      </w:r>
      <w:r w:rsidR="0061290A" w:rsidRPr="00E461D0">
        <w:rPr>
          <w:rFonts w:ascii="Palatino Linotype" w:hAnsi="Palatino Linotype"/>
        </w:rPr>
        <w:t>en</w:t>
      </w:r>
      <w:r w:rsidR="00240328" w:rsidRPr="00E461D0">
        <w:rPr>
          <w:rFonts w:ascii="Palatino Linotype" w:hAnsi="Palatino Linotype"/>
        </w:rPr>
        <w:t xml:space="preserve"> Finansur Bursátil</w:t>
      </w:r>
      <w:r w:rsidR="0061290A" w:rsidRPr="00E461D0">
        <w:rPr>
          <w:rFonts w:ascii="Palatino Linotype" w:hAnsi="Palatino Linotype"/>
        </w:rPr>
        <w:t>,</w:t>
      </w:r>
      <w:r w:rsidR="00240328" w:rsidRPr="00E461D0">
        <w:rPr>
          <w:rFonts w:ascii="Palatino Linotype" w:hAnsi="Palatino Linotype"/>
        </w:rPr>
        <w:t xml:space="preserve"> de la que ha sido Presidente. </w:t>
      </w:r>
      <w:r w:rsidR="0061290A" w:rsidRPr="00E461D0">
        <w:rPr>
          <w:rFonts w:ascii="Palatino Linotype" w:hAnsi="Palatino Linotype"/>
        </w:rPr>
        <w:t>Además,</w:t>
      </w:r>
      <w:r w:rsidR="00240328" w:rsidRPr="00E461D0">
        <w:rPr>
          <w:rFonts w:ascii="Palatino Linotype" w:hAnsi="Palatino Linotype"/>
        </w:rPr>
        <w:t xml:space="preserve"> el Sr. Mornaghi ha sido Director de Arleo y de Galileo GNC. El Sr. Mornaghi es Socio de la Bolsa de Comercio de Buenos Aires </w:t>
      </w:r>
      <w:r w:rsidR="00315EF4" w:rsidRPr="00E461D0">
        <w:rPr>
          <w:rFonts w:ascii="Palatino Linotype" w:hAnsi="Palatino Linotype"/>
        </w:rPr>
        <w:t>desde el año 1980.</w:t>
      </w:r>
    </w:p>
    <w:p w14:paraId="06BB8215" w14:textId="77777777" w:rsidR="00F01F6F" w:rsidRPr="00E461D0" w:rsidRDefault="00F01F6F" w:rsidP="00F01F6F">
      <w:pPr>
        <w:jc w:val="both"/>
        <w:rPr>
          <w:rFonts w:ascii="Palatino Linotype" w:hAnsi="Palatino Linotype"/>
          <w:i/>
        </w:rPr>
      </w:pPr>
    </w:p>
    <w:p w14:paraId="627A0CBC" w14:textId="7B0147FA" w:rsidR="00F01F6F" w:rsidRPr="00E461D0" w:rsidRDefault="00A234D9" w:rsidP="00F01F6F">
      <w:pPr>
        <w:jc w:val="both"/>
        <w:rPr>
          <w:rFonts w:ascii="Palatino Linotype" w:hAnsi="Palatino Linotype"/>
        </w:rPr>
      </w:pPr>
      <w:r w:rsidRPr="00E461D0">
        <w:rPr>
          <w:rFonts w:ascii="Palatino Linotype" w:hAnsi="Palatino Linotype"/>
          <w:i/>
        </w:rPr>
        <w:t>Carlos Sebastian Mornaghi</w:t>
      </w:r>
      <w:r w:rsidR="0061290A" w:rsidRPr="00E461D0">
        <w:rPr>
          <w:rFonts w:ascii="Palatino Linotype" w:hAnsi="Palatino Linotype"/>
          <w:i/>
        </w:rPr>
        <w:t>:</w:t>
      </w:r>
      <w:r w:rsidR="00F01F6F" w:rsidRPr="00E461D0">
        <w:rPr>
          <w:rFonts w:ascii="Palatino Linotype" w:hAnsi="Palatino Linotype"/>
        </w:rPr>
        <w:t xml:space="preserve"> </w:t>
      </w:r>
      <w:r w:rsidR="0061290A" w:rsidRPr="00E461D0">
        <w:rPr>
          <w:rFonts w:ascii="Palatino Linotype" w:hAnsi="Palatino Linotype"/>
        </w:rPr>
        <w:t>Nació</w:t>
      </w:r>
      <w:r w:rsidRPr="00E461D0">
        <w:rPr>
          <w:rFonts w:ascii="Palatino Linotype" w:hAnsi="Palatino Linotype"/>
        </w:rPr>
        <w:t xml:space="preserve"> en Bs</w:t>
      </w:r>
      <w:r w:rsidR="0061290A" w:rsidRPr="00E461D0">
        <w:rPr>
          <w:rFonts w:ascii="Palatino Linotype" w:hAnsi="Palatino Linotype"/>
        </w:rPr>
        <w:t>.</w:t>
      </w:r>
      <w:r w:rsidRPr="00E461D0">
        <w:rPr>
          <w:rFonts w:ascii="Palatino Linotype" w:hAnsi="Palatino Linotype"/>
        </w:rPr>
        <w:t xml:space="preserve"> As</w:t>
      </w:r>
      <w:r w:rsidR="0061290A" w:rsidRPr="00E461D0">
        <w:rPr>
          <w:rFonts w:ascii="Palatino Linotype" w:hAnsi="Palatino Linotype"/>
        </w:rPr>
        <w:t>. el</w:t>
      </w:r>
      <w:r w:rsidRPr="00E461D0">
        <w:rPr>
          <w:rFonts w:ascii="Palatino Linotype" w:hAnsi="Palatino Linotype"/>
        </w:rPr>
        <w:t xml:space="preserve"> 01</w:t>
      </w:r>
      <w:r w:rsidR="0061290A" w:rsidRPr="00E461D0">
        <w:rPr>
          <w:rFonts w:ascii="Palatino Linotype" w:hAnsi="Palatino Linotype"/>
        </w:rPr>
        <w:t xml:space="preserve"> de febrero de </w:t>
      </w:r>
      <w:r w:rsidRPr="00E461D0">
        <w:rPr>
          <w:rFonts w:ascii="Palatino Linotype" w:hAnsi="Palatino Linotype"/>
        </w:rPr>
        <w:t>1962</w:t>
      </w:r>
      <w:r w:rsidR="00240328" w:rsidRPr="00E461D0">
        <w:rPr>
          <w:rFonts w:ascii="Palatino Linotype" w:hAnsi="Palatino Linotype"/>
        </w:rPr>
        <w:t xml:space="preserve">. Es Ingeniero Industrial, recibido en la Universidad de Buenos Aires. El Sr. Mornaghi ha sido Asesor Económico Financiero de Empresas, ha participado de la Reorganización de Pasivos, Fusiones y Adquisiciones y demás negocios vinculados a la </w:t>
      </w:r>
      <w:r w:rsidR="006E7E4B" w:rsidRPr="00E461D0">
        <w:rPr>
          <w:rFonts w:ascii="Palatino Linotype" w:hAnsi="Palatino Linotype"/>
        </w:rPr>
        <w:t>Asesoría</w:t>
      </w:r>
      <w:r w:rsidR="00240328" w:rsidRPr="00E461D0">
        <w:rPr>
          <w:rFonts w:ascii="Palatino Linotype" w:hAnsi="Palatino Linotype"/>
        </w:rPr>
        <w:t>.</w:t>
      </w:r>
    </w:p>
    <w:p w14:paraId="7F476F78" w14:textId="77777777" w:rsidR="00F01F6F" w:rsidRPr="00E461D0" w:rsidRDefault="00F01F6F" w:rsidP="00F01F6F">
      <w:pPr>
        <w:jc w:val="both"/>
        <w:rPr>
          <w:rFonts w:ascii="Palatino Linotype" w:hAnsi="Palatino Linotype"/>
          <w:i/>
        </w:rPr>
      </w:pPr>
    </w:p>
    <w:p w14:paraId="728C535D" w14:textId="7B3328FE" w:rsidR="00F01F6F" w:rsidRPr="00E461D0" w:rsidRDefault="00A234D9" w:rsidP="00F01F6F">
      <w:pPr>
        <w:jc w:val="both"/>
        <w:rPr>
          <w:rFonts w:ascii="Palatino Linotype" w:hAnsi="Palatino Linotype"/>
        </w:rPr>
      </w:pPr>
      <w:r w:rsidRPr="00E461D0">
        <w:rPr>
          <w:rFonts w:ascii="Palatino Linotype" w:hAnsi="Palatino Linotype"/>
          <w:i/>
        </w:rPr>
        <w:t>Eduardo Peressini</w:t>
      </w:r>
      <w:r w:rsidR="006E7E4B" w:rsidRPr="00E461D0">
        <w:rPr>
          <w:rFonts w:ascii="Palatino Linotype" w:hAnsi="Palatino Linotype"/>
          <w:i/>
        </w:rPr>
        <w:t xml:space="preserve">: </w:t>
      </w:r>
      <w:r w:rsidR="006E7E4B" w:rsidRPr="00E461D0">
        <w:rPr>
          <w:rFonts w:ascii="Palatino Linotype" w:hAnsi="Palatino Linotype"/>
        </w:rPr>
        <w:t>Nació</w:t>
      </w:r>
      <w:r w:rsidRPr="00E461D0">
        <w:rPr>
          <w:rFonts w:ascii="Palatino Linotype" w:hAnsi="Palatino Linotype"/>
        </w:rPr>
        <w:t xml:space="preserve"> en Bs</w:t>
      </w:r>
      <w:r w:rsidR="0061290A" w:rsidRPr="00E461D0">
        <w:rPr>
          <w:rFonts w:ascii="Palatino Linotype" w:hAnsi="Palatino Linotype"/>
        </w:rPr>
        <w:t>.</w:t>
      </w:r>
      <w:r w:rsidRPr="00E461D0">
        <w:rPr>
          <w:rFonts w:ascii="Palatino Linotype" w:hAnsi="Palatino Linotype"/>
        </w:rPr>
        <w:t xml:space="preserve"> As</w:t>
      </w:r>
      <w:r w:rsidR="0061290A" w:rsidRPr="00E461D0">
        <w:rPr>
          <w:rFonts w:ascii="Palatino Linotype" w:hAnsi="Palatino Linotype"/>
        </w:rPr>
        <w:t>. el</w:t>
      </w:r>
      <w:r w:rsidRPr="00E461D0">
        <w:rPr>
          <w:rFonts w:ascii="Palatino Linotype" w:hAnsi="Palatino Linotype"/>
        </w:rPr>
        <w:t xml:space="preserve"> 24</w:t>
      </w:r>
      <w:r w:rsidR="0061290A" w:rsidRPr="00E461D0">
        <w:rPr>
          <w:rFonts w:ascii="Palatino Linotype" w:hAnsi="Palatino Linotype"/>
        </w:rPr>
        <w:t xml:space="preserve"> de enero de </w:t>
      </w:r>
      <w:r w:rsidRPr="00E461D0">
        <w:rPr>
          <w:rFonts w:ascii="Palatino Linotype" w:hAnsi="Palatino Linotype"/>
        </w:rPr>
        <w:t>1957</w:t>
      </w:r>
      <w:r w:rsidR="00240328" w:rsidRPr="00E461D0">
        <w:rPr>
          <w:rFonts w:ascii="Palatino Linotype" w:hAnsi="Palatino Linotype"/>
        </w:rPr>
        <w:t>. El Sr. Peressini ha trabajado como operador en Finansur Bursátil y ha sido Mandatario en la Bolsa de Comercio de Buenos Aires, de la cual es Socio desd</w:t>
      </w:r>
      <w:r w:rsidR="0061290A" w:rsidRPr="00E461D0">
        <w:rPr>
          <w:rFonts w:ascii="Palatino Linotype" w:hAnsi="Palatino Linotype"/>
        </w:rPr>
        <w:t xml:space="preserve">e </w:t>
      </w:r>
      <w:r w:rsidR="00315EF4" w:rsidRPr="00E461D0">
        <w:rPr>
          <w:rFonts w:ascii="Palatino Linotype" w:hAnsi="Palatino Linotype"/>
        </w:rPr>
        <w:t>el año 1978</w:t>
      </w:r>
    </w:p>
    <w:p w14:paraId="0C6711E5" w14:textId="77777777" w:rsidR="00F01F6F" w:rsidRPr="00E461D0" w:rsidRDefault="00F01F6F" w:rsidP="00641325">
      <w:pPr>
        <w:jc w:val="both"/>
        <w:rPr>
          <w:rFonts w:ascii="Palatino Linotype" w:hAnsi="Palatino Linotype"/>
        </w:rPr>
      </w:pPr>
    </w:p>
    <w:p w14:paraId="37B4F872" w14:textId="1EDBFC9B" w:rsidR="005B137B" w:rsidRPr="00E461D0" w:rsidRDefault="00A2331A" w:rsidP="00A2331A">
      <w:pPr>
        <w:jc w:val="both"/>
        <w:rPr>
          <w:rFonts w:ascii="Palatino Linotype" w:hAnsi="Palatino Linotype"/>
          <w:b/>
        </w:rPr>
      </w:pPr>
      <w:r w:rsidRPr="00E461D0">
        <w:rPr>
          <w:rFonts w:ascii="Palatino Linotype" w:hAnsi="Palatino Linotype"/>
          <w:b/>
        </w:rPr>
        <w:t>Gerencia.</w:t>
      </w:r>
    </w:p>
    <w:p w14:paraId="56BC4F47" w14:textId="77777777" w:rsidR="009323D3" w:rsidRPr="00E461D0" w:rsidRDefault="009323D3" w:rsidP="00A2331A">
      <w:pPr>
        <w:jc w:val="both"/>
        <w:rPr>
          <w:rFonts w:ascii="Palatino Linotype" w:hAnsi="Palatino Linotype"/>
          <w:b/>
        </w:rPr>
      </w:pPr>
    </w:p>
    <w:p w14:paraId="1863A33B" w14:textId="32F5E3A9" w:rsidR="009323D3" w:rsidRPr="00E461D0" w:rsidRDefault="00FA6FBF" w:rsidP="00A2331A">
      <w:pPr>
        <w:jc w:val="both"/>
        <w:rPr>
          <w:rFonts w:ascii="Palatino Linotype" w:hAnsi="Palatino Linotype"/>
        </w:rPr>
      </w:pPr>
      <w:r w:rsidRPr="00E461D0">
        <w:rPr>
          <w:rFonts w:ascii="Palatino Linotype" w:hAnsi="Palatino Linotype"/>
        </w:rPr>
        <w:t>La Compañía no cuenta con una gerencia general o especial en los términos del art. 270 de la Ley N° Nº 19.550 (“Ley General de Sociedades”).</w:t>
      </w:r>
    </w:p>
    <w:p w14:paraId="23895E78" w14:textId="77777777" w:rsidR="00F01F6F" w:rsidRPr="00E461D0" w:rsidRDefault="00106843" w:rsidP="00A2331A">
      <w:pPr>
        <w:jc w:val="both"/>
        <w:rPr>
          <w:rFonts w:ascii="Palatino Linotype" w:hAnsi="Palatino Linotype"/>
          <w:u w:val="single"/>
        </w:rPr>
      </w:pPr>
      <w:r w:rsidRPr="00E461D0">
        <w:rPr>
          <w:rFonts w:ascii="Palatino Linotype" w:hAnsi="Palatino Linotype"/>
          <w:u w:val="single"/>
        </w:rPr>
        <w:t>Organigrama</w:t>
      </w:r>
    </w:p>
    <w:p w14:paraId="67F9D4FE" w14:textId="77777777" w:rsidR="00106843" w:rsidRPr="00E461D0" w:rsidRDefault="00106843" w:rsidP="00A2331A">
      <w:pPr>
        <w:jc w:val="both"/>
        <w:rPr>
          <w:rFonts w:ascii="Palatino Linotype" w:hAnsi="Palatino Linotype"/>
        </w:rPr>
      </w:pPr>
    </w:p>
    <w:p w14:paraId="766D0556" w14:textId="77777777" w:rsidR="00106843" w:rsidRPr="00E461D0" w:rsidRDefault="00106843" w:rsidP="00A2331A">
      <w:pPr>
        <w:jc w:val="both"/>
        <w:rPr>
          <w:rFonts w:ascii="Palatino Linotype" w:hAnsi="Palatino Linotype"/>
        </w:rPr>
      </w:pPr>
      <w:r w:rsidRPr="00CE678E">
        <w:rPr>
          <w:noProof/>
          <w:lang w:eastAsia="es-AR"/>
        </w:rPr>
        <w:drawing>
          <wp:inline distT="0" distB="0" distL="0" distR="0" wp14:anchorId="2939DBB2" wp14:editId="2BADFC2E">
            <wp:extent cx="5612130" cy="3624152"/>
            <wp:effectExtent l="0" t="0" r="0" b="0"/>
            <wp:docPr id="166"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2130" cy="3624152"/>
                    </a:xfrm>
                    <a:prstGeom prst="rect">
                      <a:avLst/>
                    </a:prstGeom>
                    <a:noFill/>
                    <a:ln>
                      <a:noFill/>
                    </a:ln>
                  </pic:spPr>
                </pic:pic>
              </a:graphicData>
            </a:graphic>
          </wp:inline>
        </w:drawing>
      </w:r>
    </w:p>
    <w:p w14:paraId="7F0E24BF" w14:textId="77777777" w:rsidR="00106843" w:rsidRPr="00E461D0" w:rsidRDefault="00106843" w:rsidP="00A2331A">
      <w:pPr>
        <w:jc w:val="both"/>
        <w:rPr>
          <w:rFonts w:ascii="Palatino Linotype" w:hAnsi="Palatino Linotype"/>
        </w:rPr>
      </w:pPr>
    </w:p>
    <w:p w14:paraId="14C5D819" w14:textId="77777777" w:rsidR="00106843" w:rsidRPr="00E461D0" w:rsidRDefault="00106843" w:rsidP="00A2331A">
      <w:pPr>
        <w:jc w:val="both"/>
        <w:rPr>
          <w:rFonts w:ascii="Palatino Linotype" w:hAnsi="Palatino Linotype"/>
        </w:rPr>
      </w:pPr>
    </w:p>
    <w:p w14:paraId="04FFF846" w14:textId="77777777" w:rsidR="00106843" w:rsidRPr="00E461D0" w:rsidRDefault="00106843" w:rsidP="00A2331A">
      <w:pPr>
        <w:jc w:val="both"/>
        <w:rPr>
          <w:rFonts w:ascii="Palatino Linotype" w:hAnsi="Palatino Linotype"/>
        </w:rPr>
      </w:pPr>
    </w:p>
    <w:p w14:paraId="33F52BEA" w14:textId="77777777" w:rsidR="00A2331A" w:rsidRPr="00E461D0" w:rsidRDefault="00A2331A" w:rsidP="00A2331A">
      <w:pPr>
        <w:pStyle w:val="Prrafodelista"/>
        <w:numPr>
          <w:ilvl w:val="0"/>
          <w:numId w:val="4"/>
        </w:numPr>
        <w:jc w:val="both"/>
        <w:rPr>
          <w:rFonts w:ascii="Palatino Linotype" w:hAnsi="Palatino Linotype"/>
          <w:b/>
        </w:rPr>
      </w:pPr>
      <w:r w:rsidRPr="00E461D0">
        <w:rPr>
          <w:rFonts w:ascii="Palatino Linotype" w:hAnsi="Palatino Linotype"/>
          <w:b/>
        </w:rPr>
        <w:t>Órgano de fiscalización</w:t>
      </w:r>
    </w:p>
    <w:p w14:paraId="5FA27697" w14:textId="77777777" w:rsidR="00A2331A" w:rsidRPr="00E461D0" w:rsidRDefault="00A2331A" w:rsidP="00A2331A">
      <w:pPr>
        <w:jc w:val="both"/>
        <w:rPr>
          <w:rFonts w:ascii="Palatino Linotype" w:hAnsi="Palatino Linotype"/>
        </w:rPr>
      </w:pPr>
    </w:p>
    <w:p w14:paraId="76AC5CBD" w14:textId="5B2BF45D" w:rsidR="00A2331A" w:rsidRPr="00E461D0" w:rsidRDefault="00BA12B6" w:rsidP="00641325">
      <w:pPr>
        <w:jc w:val="both"/>
        <w:rPr>
          <w:rFonts w:ascii="Palatino Linotype" w:hAnsi="Palatino Linotype"/>
        </w:rPr>
      </w:pPr>
      <w:r w:rsidRPr="00E461D0">
        <w:rPr>
          <w:rFonts w:ascii="Palatino Linotype" w:hAnsi="Palatino Linotype"/>
        </w:rPr>
        <w:t xml:space="preserve">La Comisión Fiscalizadora tiene a su cargo la revisión y supervisión de los actos de administración y de los asuntos de la Compañía y controla el cumplimiento del estatuto social y de las resoluciones adoptadas por las asambleas de accionistas. Los miembros de la Comisión Fiscalizadora son designados por la asamblea de accionistas y se desempeñan por el término de </w:t>
      </w:r>
      <w:r w:rsidR="00725319" w:rsidRPr="00E461D0">
        <w:rPr>
          <w:rFonts w:ascii="Palatino Linotype" w:hAnsi="Palatino Linotype"/>
        </w:rPr>
        <w:t>tres</w:t>
      </w:r>
      <w:r w:rsidRPr="00E461D0">
        <w:rPr>
          <w:rFonts w:ascii="Palatino Linotype" w:hAnsi="Palatino Linotype"/>
        </w:rPr>
        <w:t xml:space="preserve"> ejercicios, pudiendo ser reelegidos indefinidamente</w:t>
      </w:r>
      <w:r w:rsidR="00725319" w:rsidRPr="00E461D0">
        <w:rPr>
          <w:rFonts w:ascii="Palatino Linotype" w:hAnsi="Palatino Linotype"/>
        </w:rPr>
        <w:t xml:space="preserve">. </w:t>
      </w:r>
      <w:r w:rsidRPr="00E461D0">
        <w:rPr>
          <w:rFonts w:ascii="Palatino Linotype" w:hAnsi="Palatino Linotype"/>
        </w:rPr>
        <w:t>Según el artículo</w:t>
      </w:r>
      <w:r w:rsidR="00725319" w:rsidRPr="00E461D0">
        <w:rPr>
          <w:rFonts w:ascii="Palatino Linotype" w:hAnsi="Palatino Linotype"/>
        </w:rPr>
        <w:t xml:space="preserve"> décimo primero</w:t>
      </w:r>
      <w:r w:rsidRPr="00E461D0">
        <w:rPr>
          <w:rFonts w:ascii="Palatino Linotype" w:hAnsi="Palatino Linotype"/>
        </w:rPr>
        <w:t xml:space="preserve"> del estatuto de la Compañía, la Comisión Fiscalizadora está integrada por </w:t>
      </w:r>
      <w:r w:rsidR="00725319" w:rsidRPr="00E461D0">
        <w:rPr>
          <w:rFonts w:ascii="Palatino Linotype" w:hAnsi="Palatino Linotype"/>
        </w:rPr>
        <w:t>tres</w:t>
      </w:r>
      <w:r w:rsidRPr="00E461D0">
        <w:rPr>
          <w:rFonts w:ascii="Palatino Linotype" w:hAnsi="Palatino Linotype"/>
        </w:rPr>
        <w:t xml:space="preserve"> síndicos titulares y </w:t>
      </w:r>
      <w:r w:rsidR="00725319" w:rsidRPr="00E461D0">
        <w:rPr>
          <w:rFonts w:ascii="Palatino Linotype" w:hAnsi="Palatino Linotype"/>
        </w:rPr>
        <w:t>tres</w:t>
      </w:r>
      <w:r w:rsidRPr="00E461D0">
        <w:rPr>
          <w:rFonts w:ascii="Palatino Linotype" w:hAnsi="Palatino Linotype"/>
        </w:rPr>
        <w:t xml:space="preserve"> síndicos suplentes.</w:t>
      </w:r>
    </w:p>
    <w:p w14:paraId="4D6EAF5A" w14:textId="77777777" w:rsidR="00BA12B6" w:rsidRPr="00E461D0" w:rsidRDefault="00BA12B6" w:rsidP="00641325">
      <w:pPr>
        <w:jc w:val="both"/>
        <w:rPr>
          <w:rFonts w:ascii="Palatino Linotype" w:hAnsi="Palatino Linotype"/>
        </w:rPr>
      </w:pPr>
    </w:p>
    <w:p w14:paraId="2A49F0BB" w14:textId="7290ACB5" w:rsidR="00BA12B6" w:rsidRPr="00E461D0" w:rsidRDefault="00BA12B6" w:rsidP="00641325">
      <w:pPr>
        <w:jc w:val="both"/>
        <w:rPr>
          <w:rFonts w:ascii="Palatino Linotype" w:hAnsi="Palatino Linotype"/>
        </w:rPr>
      </w:pPr>
      <w:r w:rsidRPr="00E461D0">
        <w:rPr>
          <w:rFonts w:ascii="Palatino Linotype" w:hAnsi="Palatino Linotype"/>
        </w:rPr>
        <w:t xml:space="preserve">El siguiente cuadro incluye información acerca de los miembros de la Comisión Fiscalizadora que fueron elegidos en la asamblea extraordinaria del </w:t>
      </w:r>
      <w:r w:rsidR="00315EF4" w:rsidRPr="00E461D0">
        <w:rPr>
          <w:rFonts w:ascii="Palatino Linotype" w:hAnsi="Palatino Linotype"/>
        </w:rPr>
        <w:t>09/03/2017.</w:t>
      </w:r>
    </w:p>
    <w:p w14:paraId="2093B1A0" w14:textId="77777777" w:rsidR="00725319" w:rsidRPr="00E461D0" w:rsidRDefault="00725319" w:rsidP="00641325">
      <w:pPr>
        <w:jc w:val="both"/>
        <w:rPr>
          <w:rFonts w:ascii="Palatino Linotype" w:hAnsi="Palatino Linotype"/>
        </w:rPr>
      </w:pPr>
    </w:p>
    <w:p w14:paraId="71A4F206" w14:textId="77777777" w:rsidR="00A2331A" w:rsidRPr="00E461D0" w:rsidRDefault="00A2331A" w:rsidP="00641325">
      <w:pPr>
        <w:jc w:val="both"/>
        <w:rPr>
          <w:rFonts w:ascii="Palatino Linotype" w:hAnsi="Palatino Linotype"/>
        </w:rPr>
      </w:pPr>
    </w:p>
    <w:tbl>
      <w:tblPr>
        <w:tblStyle w:val="Tablaconcuadrcula"/>
        <w:tblW w:w="0" w:type="auto"/>
        <w:tblLayout w:type="fixed"/>
        <w:tblLook w:val="04A0" w:firstRow="1" w:lastRow="0" w:firstColumn="1" w:lastColumn="0" w:noHBand="0" w:noVBand="1"/>
      </w:tblPr>
      <w:tblGrid>
        <w:gridCol w:w="1351"/>
        <w:gridCol w:w="1231"/>
        <w:gridCol w:w="1593"/>
        <w:gridCol w:w="1497"/>
        <w:gridCol w:w="1563"/>
        <w:gridCol w:w="1593"/>
      </w:tblGrid>
      <w:tr w:rsidR="00A2331A" w:rsidRPr="00E461D0" w14:paraId="166FAB16" w14:textId="77777777" w:rsidTr="00CE678E">
        <w:tc>
          <w:tcPr>
            <w:tcW w:w="1351" w:type="dxa"/>
          </w:tcPr>
          <w:p w14:paraId="5FE5C3F1" w14:textId="77777777" w:rsidR="00A2331A" w:rsidRPr="00E461D0" w:rsidRDefault="00A2331A" w:rsidP="00A2331A">
            <w:pPr>
              <w:rPr>
                <w:rFonts w:ascii="Palatino Linotype" w:hAnsi="Palatino Linotype"/>
                <w:b/>
                <w:sz w:val="18"/>
              </w:rPr>
            </w:pPr>
            <w:r w:rsidRPr="00E461D0">
              <w:rPr>
                <w:rFonts w:ascii="Palatino Linotype" w:hAnsi="Palatino Linotype"/>
                <w:b/>
                <w:sz w:val="18"/>
              </w:rPr>
              <w:t>Nombre</w:t>
            </w:r>
          </w:p>
        </w:tc>
        <w:tc>
          <w:tcPr>
            <w:tcW w:w="1231" w:type="dxa"/>
          </w:tcPr>
          <w:p w14:paraId="0C9AE6D2" w14:textId="77777777" w:rsidR="00A2331A" w:rsidRPr="00E461D0" w:rsidRDefault="00A2331A" w:rsidP="00A2331A">
            <w:pPr>
              <w:rPr>
                <w:rFonts w:ascii="Palatino Linotype" w:hAnsi="Palatino Linotype"/>
                <w:b/>
                <w:sz w:val="18"/>
              </w:rPr>
            </w:pPr>
            <w:r w:rsidRPr="00E461D0">
              <w:rPr>
                <w:rFonts w:ascii="Palatino Linotype" w:hAnsi="Palatino Linotype"/>
                <w:b/>
                <w:sz w:val="18"/>
              </w:rPr>
              <w:t>Cargo</w:t>
            </w:r>
          </w:p>
        </w:tc>
        <w:tc>
          <w:tcPr>
            <w:tcW w:w="1593" w:type="dxa"/>
          </w:tcPr>
          <w:p w14:paraId="2D95B9D7" w14:textId="77777777" w:rsidR="00A2331A" w:rsidRPr="00E461D0" w:rsidRDefault="00A2331A" w:rsidP="00A2331A">
            <w:pPr>
              <w:rPr>
                <w:rFonts w:ascii="Palatino Linotype" w:hAnsi="Palatino Linotype"/>
                <w:b/>
                <w:sz w:val="18"/>
              </w:rPr>
            </w:pPr>
            <w:r w:rsidRPr="00E461D0">
              <w:rPr>
                <w:rFonts w:ascii="Palatino Linotype" w:hAnsi="Palatino Linotype"/>
                <w:b/>
                <w:sz w:val="18"/>
              </w:rPr>
              <w:t>CUIT/CUIL</w:t>
            </w:r>
          </w:p>
        </w:tc>
        <w:tc>
          <w:tcPr>
            <w:tcW w:w="1497" w:type="dxa"/>
          </w:tcPr>
          <w:p w14:paraId="640745BE" w14:textId="77777777" w:rsidR="00A2331A" w:rsidRPr="00E461D0" w:rsidRDefault="00A2331A" w:rsidP="00A2331A">
            <w:pPr>
              <w:rPr>
                <w:rFonts w:ascii="Palatino Linotype" w:hAnsi="Palatino Linotype"/>
                <w:b/>
                <w:sz w:val="18"/>
              </w:rPr>
            </w:pPr>
            <w:r w:rsidRPr="00E461D0">
              <w:rPr>
                <w:rFonts w:ascii="Palatino Linotype" w:hAnsi="Palatino Linotype"/>
                <w:b/>
                <w:sz w:val="18"/>
              </w:rPr>
              <w:t>Domicilio especial</w:t>
            </w:r>
          </w:p>
        </w:tc>
        <w:tc>
          <w:tcPr>
            <w:tcW w:w="1563" w:type="dxa"/>
          </w:tcPr>
          <w:p w14:paraId="060B85A9" w14:textId="77777777" w:rsidR="00A2331A" w:rsidRPr="00E461D0" w:rsidRDefault="00A2331A" w:rsidP="00A2331A">
            <w:pPr>
              <w:rPr>
                <w:rFonts w:ascii="Palatino Linotype" w:hAnsi="Palatino Linotype"/>
                <w:b/>
                <w:sz w:val="18"/>
              </w:rPr>
            </w:pPr>
            <w:r w:rsidRPr="00E461D0">
              <w:rPr>
                <w:rFonts w:ascii="Palatino Linotype" w:hAnsi="Palatino Linotype"/>
                <w:b/>
                <w:sz w:val="18"/>
              </w:rPr>
              <w:t>Fecha de designación</w:t>
            </w:r>
          </w:p>
        </w:tc>
        <w:tc>
          <w:tcPr>
            <w:tcW w:w="1593" w:type="dxa"/>
          </w:tcPr>
          <w:p w14:paraId="03134CA3" w14:textId="77777777" w:rsidR="00A2331A" w:rsidRPr="00E461D0" w:rsidRDefault="00A2331A" w:rsidP="00A2331A">
            <w:pPr>
              <w:rPr>
                <w:rFonts w:ascii="Palatino Linotype" w:hAnsi="Palatino Linotype"/>
                <w:b/>
                <w:sz w:val="18"/>
              </w:rPr>
            </w:pPr>
            <w:r w:rsidRPr="00E461D0">
              <w:rPr>
                <w:rFonts w:ascii="Palatino Linotype" w:hAnsi="Palatino Linotype"/>
                <w:b/>
                <w:sz w:val="18"/>
              </w:rPr>
              <w:t>Fecha de vencimiento de mandato</w:t>
            </w:r>
          </w:p>
        </w:tc>
      </w:tr>
      <w:tr w:rsidR="000620EE" w:rsidRPr="00E461D0" w14:paraId="4913C646" w14:textId="77777777" w:rsidTr="00F0094D">
        <w:tc>
          <w:tcPr>
            <w:tcW w:w="1351" w:type="dxa"/>
          </w:tcPr>
          <w:p w14:paraId="5503225E" w14:textId="4BF9467D" w:rsidR="000620EE" w:rsidRPr="00E461D0" w:rsidRDefault="00A146A4" w:rsidP="000620EE">
            <w:pPr>
              <w:rPr>
                <w:rFonts w:ascii="Palatino Linotype" w:hAnsi="Palatino Linotype"/>
              </w:rPr>
            </w:pPr>
            <w:r w:rsidRPr="00E461D0">
              <w:rPr>
                <w:rFonts w:ascii="Palatino Linotype" w:hAnsi="Palatino Linotype"/>
              </w:rPr>
              <w:t>José María Fresco</w:t>
            </w:r>
          </w:p>
        </w:tc>
        <w:tc>
          <w:tcPr>
            <w:tcW w:w="1231" w:type="dxa"/>
          </w:tcPr>
          <w:p w14:paraId="744A438A" w14:textId="1AE31240" w:rsidR="000620EE" w:rsidRPr="00E461D0" w:rsidRDefault="00315EF4" w:rsidP="000D59C6">
            <w:pPr>
              <w:rPr>
                <w:rFonts w:ascii="Palatino Linotype" w:hAnsi="Palatino Linotype"/>
              </w:rPr>
            </w:pPr>
            <w:r w:rsidRPr="00E461D0">
              <w:rPr>
                <w:rFonts w:ascii="Palatino Linotype" w:hAnsi="Palatino Linotype"/>
              </w:rPr>
              <w:t>Síndico Titular</w:t>
            </w:r>
          </w:p>
        </w:tc>
        <w:tc>
          <w:tcPr>
            <w:tcW w:w="1593" w:type="dxa"/>
          </w:tcPr>
          <w:p w14:paraId="600E0BB4" w14:textId="23FE9EF7" w:rsidR="000620EE" w:rsidRPr="00E461D0" w:rsidRDefault="00315EF4" w:rsidP="000D59C6">
            <w:pPr>
              <w:rPr>
                <w:rFonts w:ascii="Palatino Linotype" w:hAnsi="Palatino Linotype"/>
              </w:rPr>
            </w:pPr>
            <w:r w:rsidRPr="00E461D0">
              <w:rPr>
                <w:rFonts w:ascii="Palatino Linotype" w:hAnsi="Palatino Linotype"/>
              </w:rPr>
              <w:t>20-11203592-4</w:t>
            </w:r>
          </w:p>
        </w:tc>
        <w:tc>
          <w:tcPr>
            <w:tcW w:w="1497" w:type="dxa"/>
          </w:tcPr>
          <w:p w14:paraId="15E3DAED" w14:textId="7E318B97" w:rsidR="000620EE" w:rsidRPr="00E461D0" w:rsidRDefault="00315EF4" w:rsidP="00315EF4">
            <w:pPr>
              <w:rPr>
                <w:rFonts w:ascii="Palatino Linotype" w:hAnsi="Palatino Linotype"/>
              </w:rPr>
            </w:pPr>
            <w:r w:rsidRPr="00E461D0">
              <w:rPr>
                <w:rFonts w:ascii="Palatino Linotype" w:hAnsi="Palatino Linotype"/>
              </w:rPr>
              <w:t>Roque Saenz Peña 832, piso 6- CABA</w:t>
            </w:r>
          </w:p>
        </w:tc>
        <w:tc>
          <w:tcPr>
            <w:tcW w:w="1563" w:type="dxa"/>
          </w:tcPr>
          <w:p w14:paraId="6152641A" w14:textId="1BB9D03D" w:rsidR="000620EE" w:rsidRPr="00E461D0" w:rsidRDefault="00315EF4" w:rsidP="000D59C6">
            <w:pPr>
              <w:rPr>
                <w:rFonts w:ascii="Palatino Linotype" w:hAnsi="Palatino Linotype"/>
              </w:rPr>
            </w:pPr>
            <w:r w:rsidRPr="00E461D0">
              <w:rPr>
                <w:rFonts w:ascii="Palatino Linotype" w:hAnsi="Palatino Linotype"/>
              </w:rPr>
              <w:t>09/03/2017</w:t>
            </w:r>
          </w:p>
        </w:tc>
        <w:tc>
          <w:tcPr>
            <w:tcW w:w="1593" w:type="dxa"/>
          </w:tcPr>
          <w:p w14:paraId="30D72784" w14:textId="532ACD1E" w:rsidR="000620EE" w:rsidRPr="00E461D0" w:rsidRDefault="00315EF4" w:rsidP="000D59C6">
            <w:pPr>
              <w:rPr>
                <w:rFonts w:ascii="Palatino Linotype" w:hAnsi="Palatino Linotype"/>
              </w:rPr>
            </w:pPr>
            <w:r w:rsidRPr="00E461D0">
              <w:rPr>
                <w:rFonts w:ascii="Palatino Linotype" w:hAnsi="Palatino Linotype"/>
              </w:rPr>
              <w:t>31/12/2019</w:t>
            </w:r>
          </w:p>
        </w:tc>
      </w:tr>
      <w:tr w:rsidR="000D59C6" w:rsidRPr="00E461D0" w14:paraId="5AEEDABF" w14:textId="77777777" w:rsidTr="00F0094D">
        <w:tc>
          <w:tcPr>
            <w:tcW w:w="1351" w:type="dxa"/>
          </w:tcPr>
          <w:p w14:paraId="16AA44AC" w14:textId="7E57DCFC" w:rsidR="000D59C6" w:rsidRPr="00E461D0" w:rsidRDefault="000D59C6" w:rsidP="000D59C6">
            <w:pPr>
              <w:rPr>
                <w:rFonts w:ascii="Palatino Linotype" w:hAnsi="Palatino Linotype"/>
              </w:rPr>
            </w:pPr>
            <w:r w:rsidRPr="00E461D0">
              <w:rPr>
                <w:rFonts w:ascii="Palatino Linotype" w:hAnsi="Palatino Linotype"/>
              </w:rPr>
              <w:t xml:space="preserve">Ramiro </w:t>
            </w:r>
            <w:r w:rsidR="00476F59" w:rsidRPr="00E461D0">
              <w:rPr>
                <w:rFonts w:ascii="Palatino Linotype" w:hAnsi="Palatino Linotype"/>
              </w:rPr>
              <w:t>Hernán Perez</w:t>
            </w:r>
          </w:p>
        </w:tc>
        <w:tc>
          <w:tcPr>
            <w:tcW w:w="1231" w:type="dxa"/>
          </w:tcPr>
          <w:p w14:paraId="1D193AC6" w14:textId="133AA2BC" w:rsidR="000D59C6" w:rsidRPr="00E461D0" w:rsidRDefault="00315EF4" w:rsidP="000D59C6">
            <w:pPr>
              <w:rPr>
                <w:rFonts w:ascii="Palatino Linotype" w:hAnsi="Palatino Linotype"/>
              </w:rPr>
            </w:pPr>
            <w:r w:rsidRPr="00E461D0">
              <w:rPr>
                <w:rFonts w:ascii="Palatino Linotype" w:hAnsi="Palatino Linotype"/>
              </w:rPr>
              <w:t>Síndico Titular</w:t>
            </w:r>
          </w:p>
        </w:tc>
        <w:tc>
          <w:tcPr>
            <w:tcW w:w="1593" w:type="dxa"/>
          </w:tcPr>
          <w:p w14:paraId="6BF091EC" w14:textId="09A80599" w:rsidR="000D59C6" w:rsidRPr="00E461D0" w:rsidRDefault="00315EF4" w:rsidP="000D59C6">
            <w:pPr>
              <w:rPr>
                <w:rFonts w:ascii="Palatino Linotype" w:hAnsi="Palatino Linotype"/>
              </w:rPr>
            </w:pPr>
            <w:r w:rsidRPr="00E461D0">
              <w:rPr>
                <w:rFonts w:ascii="Palatino Linotype" w:hAnsi="Palatino Linotype"/>
              </w:rPr>
              <w:t>20-22276525-1</w:t>
            </w:r>
          </w:p>
        </w:tc>
        <w:tc>
          <w:tcPr>
            <w:tcW w:w="1497" w:type="dxa"/>
          </w:tcPr>
          <w:p w14:paraId="071AFC54" w14:textId="20D69482" w:rsidR="000D59C6" w:rsidRPr="00E461D0" w:rsidRDefault="00315EF4" w:rsidP="000D59C6">
            <w:pPr>
              <w:rPr>
                <w:rFonts w:ascii="Palatino Linotype" w:hAnsi="Palatino Linotype"/>
              </w:rPr>
            </w:pPr>
            <w:r w:rsidRPr="00E461D0">
              <w:rPr>
                <w:rFonts w:ascii="Palatino Linotype" w:hAnsi="Palatino Linotype"/>
              </w:rPr>
              <w:t>Riobamba 1234 piso 10, CABA</w:t>
            </w:r>
          </w:p>
        </w:tc>
        <w:tc>
          <w:tcPr>
            <w:tcW w:w="1563" w:type="dxa"/>
          </w:tcPr>
          <w:p w14:paraId="314EE414" w14:textId="55034439" w:rsidR="000D59C6" w:rsidRPr="00E461D0" w:rsidRDefault="00315EF4" w:rsidP="000D59C6">
            <w:pPr>
              <w:rPr>
                <w:rFonts w:ascii="Palatino Linotype" w:hAnsi="Palatino Linotype"/>
              </w:rPr>
            </w:pPr>
            <w:r w:rsidRPr="00E461D0">
              <w:rPr>
                <w:rFonts w:ascii="Palatino Linotype" w:hAnsi="Palatino Linotype"/>
              </w:rPr>
              <w:t>09/03/2017</w:t>
            </w:r>
          </w:p>
        </w:tc>
        <w:tc>
          <w:tcPr>
            <w:tcW w:w="1593" w:type="dxa"/>
          </w:tcPr>
          <w:p w14:paraId="3A90AAA2" w14:textId="610700E5" w:rsidR="000D59C6" w:rsidRPr="00E461D0" w:rsidRDefault="00315EF4" w:rsidP="000D59C6">
            <w:pPr>
              <w:rPr>
                <w:rFonts w:ascii="Palatino Linotype" w:hAnsi="Palatino Linotype"/>
              </w:rPr>
            </w:pPr>
            <w:r w:rsidRPr="00E461D0">
              <w:rPr>
                <w:rFonts w:ascii="Palatino Linotype" w:hAnsi="Palatino Linotype"/>
              </w:rPr>
              <w:t>31/12/2019</w:t>
            </w:r>
          </w:p>
        </w:tc>
      </w:tr>
      <w:tr w:rsidR="000D59C6" w:rsidRPr="00E461D0" w14:paraId="247FE212" w14:textId="77777777" w:rsidTr="00F0094D">
        <w:tc>
          <w:tcPr>
            <w:tcW w:w="1351" w:type="dxa"/>
          </w:tcPr>
          <w:p w14:paraId="184ABFAF" w14:textId="1755EFCE" w:rsidR="000D59C6" w:rsidRPr="00E461D0" w:rsidRDefault="000D59C6" w:rsidP="000D59C6">
            <w:pPr>
              <w:rPr>
                <w:rFonts w:ascii="Palatino Linotype" w:hAnsi="Palatino Linotype"/>
              </w:rPr>
            </w:pPr>
            <w:r w:rsidRPr="00E461D0">
              <w:rPr>
                <w:rFonts w:ascii="Palatino Linotype" w:hAnsi="Palatino Linotype"/>
              </w:rPr>
              <w:t>Paula Beatriz Salvia</w:t>
            </w:r>
          </w:p>
        </w:tc>
        <w:tc>
          <w:tcPr>
            <w:tcW w:w="1231" w:type="dxa"/>
          </w:tcPr>
          <w:p w14:paraId="06A85E71" w14:textId="1BC1EB2F" w:rsidR="000D59C6" w:rsidRPr="00E461D0" w:rsidRDefault="00315EF4" w:rsidP="000D59C6">
            <w:pPr>
              <w:rPr>
                <w:rFonts w:ascii="Palatino Linotype" w:hAnsi="Palatino Linotype"/>
              </w:rPr>
            </w:pPr>
            <w:r w:rsidRPr="00E461D0">
              <w:rPr>
                <w:rFonts w:ascii="Palatino Linotype" w:hAnsi="Palatino Linotype"/>
              </w:rPr>
              <w:t>Síndico Titular</w:t>
            </w:r>
          </w:p>
        </w:tc>
        <w:tc>
          <w:tcPr>
            <w:tcW w:w="1593" w:type="dxa"/>
          </w:tcPr>
          <w:p w14:paraId="043BBB91" w14:textId="68A2C377" w:rsidR="000D59C6" w:rsidRPr="00E461D0" w:rsidRDefault="00315EF4" w:rsidP="000D59C6">
            <w:pPr>
              <w:rPr>
                <w:rFonts w:ascii="Palatino Linotype" w:hAnsi="Palatino Linotype"/>
              </w:rPr>
            </w:pPr>
            <w:r w:rsidRPr="00E461D0">
              <w:rPr>
                <w:rFonts w:ascii="Palatino Linotype" w:hAnsi="Palatino Linotype"/>
              </w:rPr>
              <w:t>27-28649736-0</w:t>
            </w:r>
          </w:p>
        </w:tc>
        <w:tc>
          <w:tcPr>
            <w:tcW w:w="1497" w:type="dxa"/>
          </w:tcPr>
          <w:p w14:paraId="02976B18" w14:textId="51F4365E" w:rsidR="000D59C6" w:rsidRPr="00E461D0" w:rsidRDefault="00315EF4" w:rsidP="000D59C6">
            <w:pPr>
              <w:rPr>
                <w:rFonts w:ascii="Palatino Linotype" w:hAnsi="Palatino Linotype"/>
              </w:rPr>
            </w:pPr>
            <w:r w:rsidRPr="00E461D0">
              <w:rPr>
                <w:rFonts w:ascii="Palatino Linotype" w:hAnsi="Palatino Linotype"/>
              </w:rPr>
              <w:t>Eluatondo 858, Quilmes</w:t>
            </w:r>
          </w:p>
        </w:tc>
        <w:tc>
          <w:tcPr>
            <w:tcW w:w="1563" w:type="dxa"/>
          </w:tcPr>
          <w:p w14:paraId="05F41ACA" w14:textId="03109113" w:rsidR="000D59C6" w:rsidRPr="00E461D0" w:rsidRDefault="00315EF4" w:rsidP="000D59C6">
            <w:pPr>
              <w:rPr>
                <w:rFonts w:ascii="Palatino Linotype" w:hAnsi="Palatino Linotype"/>
              </w:rPr>
            </w:pPr>
            <w:r w:rsidRPr="00E461D0">
              <w:rPr>
                <w:rFonts w:ascii="Palatino Linotype" w:hAnsi="Palatino Linotype"/>
              </w:rPr>
              <w:t>09/03/2017</w:t>
            </w:r>
          </w:p>
        </w:tc>
        <w:tc>
          <w:tcPr>
            <w:tcW w:w="1593" w:type="dxa"/>
          </w:tcPr>
          <w:p w14:paraId="00B46B2A" w14:textId="121EFE54" w:rsidR="000D59C6" w:rsidRPr="00E461D0" w:rsidRDefault="00315EF4" w:rsidP="000D59C6">
            <w:pPr>
              <w:rPr>
                <w:rFonts w:ascii="Palatino Linotype" w:hAnsi="Palatino Linotype"/>
              </w:rPr>
            </w:pPr>
            <w:r w:rsidRPr="00E461D0">
              <w:rPr>
                <w:rFonts w:ascii="Palatino Linotype" w:hAnsi="Palatino Linotype"/>
              </w:rPr>
              <w:t>31/12/2019</w:t>
            </w:r>
          </w:p>
        </w:tc>
      </w:tr>
    </w:tbl>
    <w:p w14:paraId="7D5549AF" w14:textId="77777777" w:rsidR="00A2331A" w:rsidRPr="00E461D0" w:rsidRDefault="00A2331A" w:rsidP="00641325">
      <w:pPr>
        <w:jc w:val="both"/>
        <w:rPr>
          <w:rFonts w:ascii="Palatino Linotype" w:hAnsi="Palatino Linotype"/>
        </w:rPr>
      </w:pPr>
    </w:p>
    <w:p w14:paraId="4BF8B017" w14:textId="77777777" w:rsidR="00F01F6F" w:rsidRPr="00E461D0" w:rsidRDefault="00F01F6F" w:rsidP="00F01F6F">
      <w:pPr>
        <w:jc w:val="both"/>
        <w:rPr>
          <w:rFonts w:ascii="Palatino Linotype" w:hAnsi="Palatino Linotype"/>
        </w:rPr>
      </w:pPr>
      <w:r w:rsidRPr="00E461D0">
        <w:rPr>
          <w:rFonts w:ascii="Palatino Linotype" w:hAnsi="Palatino Linotype"/>
        </w:rPr>
        <w:t>A continuación se realiza un breve detalle de los antecedentes de los integrantes de la Comisión Fiscalizadora:</w:t>
      </w:r>
    </w:p>
    <w:p w14:paraId="1E884364" w14:textId="77777777" w:rsidR="00F01F6F" w:rsidRPr="00E461D0" w:rsidRDefault="00F01F6F" w:rsidP="00F01F6F">
      <w:pPr>
        <w:jc w:val="both"/>
        <w:rPr>
          <w:rFonts w:ascii="Palatino Linotype" w:hAnsi="Palatino Linotype"/>
        </w:rPr>
      </w:pPr>
    </w:p>
    <w:p w14:paraId="224ADC8C" w14:textId="21165393" w:rsidR="00A146A4" w:rsidRPr="00E461D0" w:rsidRDefault="00A146A4" w:rsidP="00F01F6F">
      <w:pPr>
        <w:jc w:val="both"/>
        <w:rPr>
          <w:rFonts w:ascii="Palatino Linotype" w:hAnsi="Palatino Linotype"/>
          <w:i/>
        </w:rPr>
      </w:pPr>
      <w:r w:rsidRPr="00E461D0">
        <w:rPr>
          <w:rFonts w:ascii="Palatino Linotype" w:hAnsi="Palatino Linotype"/>
          <w:i/>
        </w:rPr>
        <w:t>José María Fresco</w:t>
      </w:r>
      <w:r w:rsidRPr="00E461D0">
        <w:rPr>
          <w:rFonts w:ascii="Palatino Linotype" w:hAnsi="Palatino Linotype"/>
        </w:rPr>
        <w:t xml:space="preserve">: </w:t>
      </w:r>
      <w:r w:rsidR="00315EF4" w:rsidRPr="00E461D0">
        <w:rPr>
          <w:rFonts w:ascii="Palatino Linotype" w:hAnsi="Palatino Linotype"/>
        </w:rPr>
        <w:t>Nacido el 13/12/1954.Contador Público Nacional egresado de la Universidad de Morón. Contador y Auditor de diversas empresas</w:t>
      </w:r>
      <w:r w:rsidRPr="00E461D0">
        <w:rPr>
          <w:rFonts w:ascii="Palatino Linotype" w:hAnsi="Palatino Linotype"/>
          <w:i/>
        </w:rPr>
        <w:t xml:space="preserve"> </w:t>
      </w:r>
    </w:p>
    <w:p w14:paraId="5BA61835" w14:textId="77777777" w:rsidR="00A146A4" w:rsidRPr="00E461D0" w:rsidRDefault="00A146A4" w:rsidP="00F01F6F">
      <w:pPr>
        <w:jc w:val="both"/>
        <w:rPr>
          <w:rFonts w:ascii="Palatino Linotype" w:hAnsi="Palatino Linotype"/>
          <w:i/>
        </w:rPr>
      </w:pPr>
    </w:p>
    <w:p w14:paraId="587B3B21" w14:textId="1B2F8FF6" w:rsidR="00A146A4" w:rsidRPr="00E461D0" w:rsidRDefault="00A146A4" w:rsidP="00F01F6F">
      <w:pPr>
        <w:jc w:val="both"/>
        <w:rPr>
          <w:rFonts w:ascii="Palatino Linotype" w:hAnsi="Palatino Linotype"/>
          <w:i/>
        </w:rPr>
      </w:pPr>
      <w:r w:rsidRPr="00E461D0">
        <w:rPr>
          <w:rFonts w:ascii="Palatino Linotype" w:hAnsi="Palatino Linotype"/>
          <w:i/>
        </w:rPr>
        <w:t>Ramiro Hernán Pe</w:t>
      </w:r>
      <w:r w:rsidR="00476F59" w:rsidRPr="00E461D0">
        <w:rPr>
          <w:rFonts w:ascii="Palatino Linotype" w:hAnsi="Palatino Linotype"/>
          <w:i/>
        </w:rPr>
        <w:t>rez</w:t>
      </w:r>
      <w:r w:rsidRPr="00E461D0">
        <w:rPr>
          <w:rFonts w:ascii="Palatino Linotype" w:hAnsi="Palatino Linotype"/>
        </w:rPr>
        <w:t xml:space="preserve">: </w:t>
      </w:r>
      <w:r w:rsidR="00F0094D" w:rsidRPr="00E461D0">
        <w:rPr>
          <w:rFonts w:ascii="Palatino Linotype" w:hAnsi="Palatino Linotype"/>
        </w:rPr>
        <w:t xml:space="preserve">Nacido </w:t>
      </w:r>
      <w:r w:rsidR="00315EF4" w:rsidRPr="00E461D0">
        <w:rPr>
          <w:rFonts w:ascii="Palatino Linotype" w:hAnsi="Palatino Linotype"/>
        </w:rPr>
        <w:t xml:space="preserve">el 08/06/1971. Contador Público Nacional y Licenciado en Administración, egresado de la Universidad de Belgrano. Se desempeña como Contador Público independiente de empresas varias </w:t>
      </w:r>
    </w:p>
    <w:p w14:paraId="0DFB983A" w14:textId="77777777" w:rsidR="00A146A4" w:rsidRPr="00E461D0" w:rsidRDefault="00A146A4" w:rsidP="00F01F6F">
      <w:pPr>
        <w:jc w:val="both"/>
        <w:rPr>
          <w:rFonts w:ascii="Palatino Linotype" w:hAnsi="Palatino Linotype"/>
          <w:i/>
        </w:rPr>
      </w:pPr>
    </w:p>
    <w:p w14:paraId="6C8E0F6B" w14:textId="55CACA9A" w:rsidR="00F01F6F" w:rsidRPr="00E461D0" w:rsidRDefault="00A146A4" w:rsidP="00F01F6F">
      <w:pPr>
        <w:jc w:val="both"/>
        <w:rPr>
          <w:rFonts w:ascii="Palatino Linotype" w:hAnsi="Palatino Linotype"/>
        </w:rPr>
      </w:pPr>
      <w:r w:rsidRPr="00E461D0">
        <w:rPr>
          <w:rFonts w:ascii="Palatino Linotype" w:hAnsi="Palatino Linotype"/>
          <w:i/>
        </w:rPr>
        <w:t>Paula Beatriz Salvia</w:t>
      </w:r>
      <w:r w:rsidR="00F01F6F" w:rsidRPr="00E461D0">
        <w:rPr>
          <w:rFonts w:ascii="Palatino Linotype" w:hAnsi="Palatino Linotype"/>
        </w:rPr>
        <w:t xml:space="preserve">: </w:t>
      </w:r>
      <w:r w:rsidR="00315EF4" w:rsidRPr="00E461D0">
        <w:rPr>
          <w:rFonts w:ascii="Palatino Linotype" w:hAnsi="Palatino Linotype"/>
        </w:rPr>
        <w:t xml:space="preserve">Nacida el 28/01/1981. Es </w:t>
      </w:r>
      <w:r w:rsidR="00E9735A" w:rsidRPr="00E461D0">
        <w:rPr>
          <w:rFonts w:ascii="Palatino Linotype" w:hAnsi="Palatino Linotype"/>
        </w:rPr>
        <w:t>a</w:t>
      </w:r>
      <w:r w:rsidR="00315EF4" w:rsidRPr="00E461D0">
        <w:rPr>
          <w:rFonts w:ascii="Palatino Linotype" w:hAnsi="Palatino Linotype"/>
        </w:rPr>
        <w:t>bogada recibida en la Universidad de Buenos Aires. Ejerce la profesión de abogada de manera independiente</w:t>
      </w:r>
    </w:p>
    <w:p w14:paraId="20F26FA3" w14:textId="77777777" w:rsidR="00A2331A" w:rsidRPr="00E461D0" w:rsidRDefault="00A2331A" w:rsidP="00641325">
      <w:pPr>
        <w:jc w:val="both"/>
        <w:rPr>
          <w:rFonts w:ascii="Palatino Linotype" w:hAnsi="Palatino Linotype"/>
        </w:rPr>
      </w:pPr>
    </w:p>
    <w:p w14:paraId="0FB18C1F" w14:textId="77777777" w:rsidR="00A2331A" w:rsidRPr="00E461D0" w:rsidRDefault="00A2331A" w:rsidP="00A2331A">
      <w:pPr>
        <w:pStyle w:val="Prrafodelista"/>
        <w:numPr>
          <w:ilvl w:val="0"/>
          <w:numId w:val="4"/>
        </w:numPr>
        <w:jc w:val="both"/>
        <w:rPr>
          <w:rFonts w:ascii="Palatino Linotype" w:hAnsi="Palatino Linotype"/>
          <w:b/>
        </w:rPr>
      </w:pPr>
      <w:r w:rsidRPr="00E461D0">
        <w:rPr>
          <w:rFonts w:ascii="Palatino Linotype" w:hAnsi="Palatino Linotype"/>
          <w:b/>
        </w:rPr>
        <w:t>Auditores:</w:t>
      </w:r>
    </w:p>
    <w:p w14:paraId="295934D0" w14:textId="77777777" w:rsidR="00A2331A" w:rsidRPr="00E461D0" w:rsidRDefault="00A2331A" w:rsidP="00641325">
      <w:pPr>
        <w:jc w:val="both"/>
        <w:rPr>
          <w:rFonts w:ascii="Palatino Linotype" w:hAnsi="Palatino Linotype"/>
        </w:rPr>
      </w:pPr>
    </w:p>
    <w:p w14:paraId="5E4BE833" w14:textId="3538F9F9" w:rsidR="008913D0" w:rsidRPr="00E461D0" w:rsidRDefault="00A2331A" w:rsidP="00641325">
      <w:pPr>
        <w:jc w:val="both"/>
        <w:rPr>
          <w:rFonts w:ascii="Palatino Linotype" w:hAnsi="Palatino Linotype"/>
        </w:rPr>
      </w:pPr>
      <w:r w:rsidRPr="00E461D0">
        <w:rPr>
          <w:rFonts w:ascii="Palatino Linotype" w:hAnsi="Palatino Linotype"/>
        </w:rPr>
        <w:t xml:space="preserve">Los </w:t>
      </w:r>
      <w:r w:rsidR="009323D3" w:rsidRPr="00E461D0">
        <w:rPr>
          <w:rFonts w:ascii="Palatino Linotype" w:hAnsi="Palatino Linotype"/>
        </w:rPr>
        <w:t>e</w:t>
      </w:r>
      <w:r w:rsidRPr="00E461D0">
        <w:rPr>
          <w:rFonts w:ascii="Palatino Linotype" w:hAnsi="Palatino Linotype"/>
        </w:rPr>
        <w:t xml:space="preserve">stados </w:t>
      </w:r>
      <w:r w:rsidR="009323D3" w:rsidRPr="00E461D0">
        <w:rPr>
          <w:rFonts w:ascii="Palatino Linotype" w:hAnsi="Palatino Linotype"/>
        </w:rPr>
        <w:t>c</w:t>
      </w:r>
      <w:r w:rsidRPr="00E461D0">
        <w:rPr>
          <w:rFonts w:ascii="Palatino Linotype" w:hAnsi="Palatino Linotype"/>
        </w:rPr>
        <w:t xml:space="preserve">ontables han sido auditados </w:t>
      </w:r>
      <w:r w:rsidR="000263AA" w:rsidRPr="00E461D0">
        <w:rPr>
          <w:rFonts w:ascii="Palatino Linotype" w:hAnsi="Palatino Linotype"/>
        </w:rPr>
        <w:t>por el Dr. Ramiro Hernan Perez</w:t>
      </w:r>
      <w:r w:rsidRPr="00E461D0">
        <w:rPr>
          <w:rFonts w:ascii="Palatino Linotype" w:hAnsi="Palatino Linotype"/>
        </w:rPr>
        <w:t xml:space="preserve">, </w:t>
      </w:r>
      <w:r w:rsidR="008913D0" w:rsidRPr="00E461D0">
        <w:rPr>
          <w:rFonts w:ascii="Palatino Linotype" w:hAnsi="Palatino Linotype"/>
        </w:rPr>
        <w:t xml:space="preserve">Contador Público </w:t>
      </w:r>
      <w:r w:rsidR="009323D3" w:rsidRPr="00E461D0">
        <w:rPr>
          <w:rFonts w:ascii="Palatino Linotype" w:hAnsi="Palatino Linotype"/>
        </w:rPr>
        <w:t xml:space="preserve">Matrícula </w:t>
      </w:r>
      <w:r w:rsidR="008913D0" w:rsidRPr="00E461D0">
        <w:rPr>
          <w:rFonts w:ascii="Palatino Linotype" w:hAnsi="Palatino Linotype"/>
        </w:rPr>
        <w:t xml:space="preserve">C.P.C.E.C.A.B.A. T° 218 F° 193, con domicilio en Riobamba 1234 10° piso, CABA y CUIT </w:t>
      </w:r>
      <w:r w:rsidR="009323D3" w:rsidRPr="00E461D0">
        <w:rPr>
          <w:rFonts w:ascii="Palatino Linotype" w:hAnsi="Palatino Linotype"/>
        </w:rPr>
        <w:t xml:space="preserve">Nº </w:t>
      </w:r>
      <w:r w:rsidR="008913D0" w:rsidRPr="00E461D0">
        <w:rPr>
          <w:rFonts w:ascii="Palatino Linotype" w:hAnsi="Palatino Linotype"/>
        </w:rPr>
        <w:t>20-22276525-1</w:t>
      </w:r>
    </w:p>
    <w:p w14:paraId="2117E829" w14:textId="77777777" w:rsidR="00641325" w:rsidRPr="00E461D0" w:rsidRDefault="00641325" w:rsidP="00641325">
      <w:pPr>
        <w:jc w:val="both"/>
        <w:rPr>
          <w:rFonts w:ascii="Palatino Linotype" w:hAnsi="Palatino Linotype"/>
        </w:rPr>
      </w:pPr>
    </w:p>
    <w:p w14:paraId="2D323B7F" w14:textId="77777777" w:rsidR="00A2331A" w:rsidRPr="00E461D0" w:rsidRDefault="00A2331A" w:rsidP="00A2331A">
      <w:pPr>
        <w:pStyle w:val="Prrafodelista"/>
        <w:numPr>
          <w:ilvl w:val="0"/>
          <w:numId w:val="4"/>
        </w:numPr>
        <w:jc w:val="both"/>
        <w:rPr>
          <w:rFonts w:ascii="Palatino Linotype" w:hAnsi="Palatino Linotype"/>
          <w:b/>
        </w:rPr>
      </w:pPr>
      <w:r w:rsidRPr="00E461D0">
        <w:rPr>
          <w:rFonts w:ascii="Palatino Linotype" w:hAnsi="Palatino Linotype"/>
          <w:b/>
        </w:rPr>
        <w:t xml:space="preserve">Remuneraciones </w:t>
      </w:r>
    </w:p>
    <w:p w14:paraId="7B213F5D" w14:textId="77777777" w:rsidR="00A2331A" w:rsidRPr="00E461D0" w:rsidRDefault="00A2331A" w:rsidP="00641325">
      <w:pPr>
        <w:jc w:val="both"/>
        <w:rPr>
          <w:rFonts w:ascii="Palatino Linotype" w:hAnsi="Palatino Linotype"/>
        </w:rPr>
      </w:pPr>
    </w:p>
    <w:p w14:paraId="4588D6E2" w14:textId="1D335E7B" w:rsidR="00A2331A" w:rsidRPr="00E461D0" w:rsidRDefault="00A2331A" w:rsidP="00A2331A">
      <w:pPr>
        <w:jc w:val="both"/>
        <w:rPr>
          <w:rFonts w:ascii="Palatino Linotype" w:hAnsi="Palatino Linotype"/>
        </w:rPr>
      </w:pPr>
      <w:r w:rsidRPr="00E461D0">
        <w:rPr>
          <w:rFonts w:ascii="Palatino Linotype" w:hAnsi="Palatino Linotype"/>
        </w:rPr>
        <w:t xml:space="preserve">Las remuneraciones de la Gerencia y los Directores se encuentran alineadas con el mercado, buscando compensar competitivamente a los integrantes de la Compañía, en la medida de su nivel de influencia en los resultados de la compañía y el cumplimiento de sus objetivos y metas. </w:t>
      </w:r>
    </w:p>
    <w:p w14:paraId="2DA87EEF" w14:textId="77777777" w:rsidR="00A2331A" w:rsidRPr="00E461D0" w:rsidRDefault="00A2331A" w:rsidP="00A2331A">
      <w:pPr>
        <w:jc w:val="both"/>
        <w:rPr>
          <w:rFonts w:ascii="Palatino Linotype" w:hAnsi="Palatino Linotype"/>
        </w:rPr>
      </w:pPr>
    </w:p>
    <w:p w14:paraId="341A60B4" w14:textId="0611CF40" w:rsidR="00A2331A" w:rsidRPr="00E461D0" w:rsidRDefault="00A2331A" w:rsidP="00A2331A">
      <w:pPr>
        <w:jc w:val="both"/>
        <w:rPr>
          <w:rFonts w:ascii="Palatino Linotype" w:hAnsi="Palatino Linotype"/>
        </w:rPr>
      </w:pPr>
      <w:r w:rsidRPr="00E461D0">
        <w:rPr>
          <w:rFonts w:ascii="Palatino Linotype" w:hAnsi="Palatino Linotype"/>
        </w:rPr>
        <w:t xml:space="preserve">Los miembros de las gerencias y directores se comunican en forma cotidiana para el manejo de los negocios de </w:t>
      </w:r>
      <w:r w:rsidR="00F01F6F" w:rsidRPr="00E461D0">
        <w:rPr>
          <w:rFonts w:ascii="Palatino Linotype" w:hAnsi="Palatino Linotype"/>
        </w:rPr>
        <w:t>Global</w:t>
      </w:r>
      <w:r w:rsidRPr="00E461D0">
        <w:rPr>
          <w:rFonts w:ascii="Palatino Linotype" w:hAnsi="Palatino Linotype"/>
        </w:rPr>
        <w:t xml:space="preserve"> y toman decisiones consensuadas que resultan conocidas por todos ellos con anterioridad. Los directores y la gerencia se reúnen semanalmente para evaluar la situación de la Compañía, además de las reuniones de Directorio y las asambleas de Accionistas. </w:t>
      </w:r>
    </w:p>
    <w:p w14:paraId="72FCB6F9" w14:textId="77777777" w:rsidR="00A2331A" w:rsidRPr="00E461D0" w:rsidRDefault="00A2331A" w:rsidP="00A2331A">
      <w:pPr>
        <w:jc w:val="both"/>
        <w:rPr>
          <w:rFonts w:ascii="Palatino Linotype" w:hAnsi="Palatino Linotype"/>
        </w:rPr>
      </w:pPr>
    </w:p>
    <w:p w14:paraId="3AF0A7B5" w14:textId="66B967F0" w:rsidR="00E60E20" w:rsidRPr="00E60E20" w:rsidRDefault="00A2331A" w:rsidP="00087602">
      <w:pPr>
        <w:jc w:val="both"/>
        <w:rPr>
          <w:rFonts w:ascii="Palatino Linotype" w:hAnsi="Palatino Linotype"/>
          <w:color w:val="FF0000"/>
        </w:rPr>
      </w:pPr>
      <w:r w:rsidRPr="00435936">
        <w:rPr>
          <w:rFonts w:ascii="Palatino Linotype" w:hAnsi="Palatino Linotype"/>
        </w:rPr>
        <w:t xml:space="preserve">En la asamblea de Accionistas celebrada con fecha </w:t>
      </w:r>
      <w:r w:rsidR="009323D3" w:rsidRPr="00435936">
        <w:rPr>
          <w:rFonts w:ascii="Palatino Linotype" w:hAnsi="Palatino Linotype"/>
        </w:rPr>
        <w:t>9</w:t>
      </w:r>
      <w:r w:rsidRPr="00435936">
        <w:rPr>
          <w:rFonts w:ascii="Palatino Linotype" w:hAnsi="Palatino Linotype"/>
        </w:rPr>
        <w:t xml:space="preserve"> de </w:t>
      </w:r>
      <w:r w:rsidR="009323D3" w:rsidRPr="00435936">
        <w:rPr>
          <w:rFonts w:ascii="Palatino Linotype" w:hAnsi="Palatino Linotype"/>
        </w:rPr>
        <w:t>marzo</w:t>
      </w:r>
      <w:r w:rsidRPr="00435936">
        <w:rPr>
          <w:rFonts w:ascii="Palatino Linotype" w:hAnsi="Palatino Linotype"/>
        </w:rPr>
        <w:t xml:space="preserve"> de 2018, </w:t>
      </w:r>
      <w:r w:rsidR="009323D3" w:rsidRPr="00435936">
        <w:rPr>
          <w:rFonts w:ascii="Palatino Linotype" w:hAnsi="Palatino Linotype"/>
        </w:rPr>
        <w:t xml:space="preserve">los Directores y los miembros de la Comisión Fiscalizadora </w:t>
      </w:r>
      <w:r w:rsidR="00077984" w:rsidRPr="00435936">
        <w:rPr>
          <w:rFonts w:ascii="Palatino Linotype" w:hAnsi="Palatino Linotype"/>
        </w:rPr>
        <w:t>han renunciado al cobro de remuneraciones y honorarios correspondientes al ejercicio finalizado el 31 de diciembre de 2017.</w:t>
      </w:r>
      <w:r w:rsidR="00077984" w:rsidRPr="00E461D0">
        <w:rPr>
          <w:rFonts w:ascii="Palatino Linotype" w:hAnsi="Palatino Linotype"/>
        </w:rPr>
        <w:t xml:space="preserve"> </w:t>
      </w:r>
      <w:r w:rsidR="00E60E20">
        <w:rPr>
          <w:rFonts w:ascii="Palatino Linotype" w:hAnsi="Palatino Linotype"/>
        </w:rPr>
        <w:t xml:space="preserve">Asimismo, en la asamblea de Accionistas celebrada con fecha 10 de abril de 2019, </w:t>
      </w:r>
      <w:r w:rsidR="007C1597">
        <w:rPr>
          <w:rFonts w:ascii="Palatino Linotype" w:hAnsi="Palatino Linotype"/>
        </w:rPr>
        <w:t xml:space="preserve">cada uno de </w:t>
      </w:r>
      <w:r w:rsidR="00E60E20">
        <w:rPr>
          <w:rFonts w:ascii="Palatino Linotype" w:hAnsi="Palatino Linotype"/>
        </w:rPr>
        <w:t>los miembros de la Comisión Fiscalizadora han renunciado al cobro de remuneraciones y honorarios correspondientes al ejercicio finalizado el 31 de diciembre 2018. Por otra parte</w:t>
      </w:r>
      <w:r w:rsidR="007C1597">
        <w:rPr>
          <w:rFonts w:ascii="Palatino Linotype" w:hAnsi="Palatino Linotype"/>
        </w:rPr>
        <w:t xml:space="preserve">, en la mencionada asamblea se </w:t>
      </w:r>
      <w:r w:rsidR="007C1597" w:rsidRPr="00087602">
        <w:rPr>
          <w:rFonts w:ascii="Palatino Linotype" w:hAnsi="Palatino Linotype"/>
        </w:rPr>
        <w:t>aprobó como remuneración total del</w:t>
      </w:r>
      <w:r w:rsidR="00E60E20" w:rsidRPr="00087602">
        <w:rPr>
          <w:rFonts w:ascii="Palatino Linotype" w:hAnsi="Palatino Linotype"/>
        </w:rPr>
        <w:t xml:space="preserve"> Directorio la suma de $ 126.000 (pesos </w:t>
      </w:r>
      <w:r w:rsidR="00E60E20" w:rsidRPr="00087602">
        <w:rPr>
          <w:rFonts w:ascii="Palatino Linotype" w:hAnsi="Palatino Linotype"/>
          <w:color w:val="auto"/>
        </w:rPr>
        <w:t>cient</w:t>
      </w:r>
      <w:r w:rsidR="00087602">
        <w:rPr>
          <w:rFonts w:ascii="Palatino Linotype" w:hAnsi="Palatino Linotype"/>
          <w:color w:val="auto"/>
        </w:rPr>
        <w:t>o veintiséis mil) suma que se distribuyó</w:t>
      </w:r>
      <w:r w:rsidR="00E60E20" w:rsidRPr="00087602">
        <w:rPr>
          <w:rFonts w:ascii="Palatino Linotype" w:hAnsi="Palatino Linotype"/>
          <w:color w:val="auto"/>
        </w:rPr>
        <w:t xml:space="preserve"> en $ 42.000 (pesos cuarenta y dos mil) por cada u</w:t>
      </w:r>
      <w:r w:rsidR="00087602" w:rsidRPr="00087602">
        <w:rPr>
          <w:rFonts w:ascii="Palatino Linotype" w:hAnsi="Palatino Linotype"/>
          <w:color w:val="auto"/>
        </w:rPr>
        <w:t>no de los Directores Titulares.</w:t>
      </w:r>
    </w:p>
    <w:p w14:paraId="185583BC" w14:textId="77777777" w:rsidR="00F01F6F" w:rsidRPr="00E461D0" w:rsidRDefault="00F01F6F" w:rsidP="00A2331A">
      <w:pPr>
        <w:jc w:val="both"/>
        <w:rPr>
          <w:rFonts w:ascii="Palatino Linotype" w:hAnsi="Palatino Linotype"/>
        </w:rPr>
      </w:pPr>
    </w:p>
    <w:p w14:paraId="23AB7DE5" w14:textId="77777777" w:rsidR="00F01F6F" w:rsidRPr="00E461D0" w:rsidRDefault="00F01F6F" w:rsidP="00F01F6F">
      <w:pPr>
        <w:pStyle w:val="Prrafodelista"/>
        <w:numPr>
          <w:ilvl w:val="0"/>
          <w:numId w:val="4"/>
        </w:numPr>
        <w:jc w:val="both"/>
        <w:rPr>
          <w:rFonts w:ascii="Palatino Linotype" w:hAnsi="Palatino Linotype"/>
          <w:b/>
        </w:rPr>
      </w:pPr>
      <w:r w:rsidRPr="00E461D0">
        <w:rPr>
          <w:rFonts w:ascii="Palatino Linotype" w:hAnsi="Palatino Linotype"/>
          <w:b/>
        </w:rPr>
        <w:t>Empleados</w:t>
      </w:r>
    </w:p>
    <w:p w14:paraId="05096F52" w14:textId="77777777" w:rsidR="00A2331A" w:rsidRPr="00E461D0" w:rsidRDefault="00A2331A" w:rsidP="00641325">
      <w:pPr>
        <w:jc w:val="both"/>
        <w:rPr>
          <w:rFonts w:ascii="Palatino Linotype" w:hAnsi="Palatino Linotype"/>
        </w:rPr>
      </w:pPr>
    </w:p>
    <w:p w14:paraId="560047F2" w14:textId="77777777" w:rsidR="00F01F6F" w:rsidRPr="00E461D0" w:rsidRDefault="00F01F6F" w:rsidP="00641325">
      <w:pPr>
        <w:jc w:val="both"/>
        <w:rPr>
          <w:rFonts w:ascii="Palatino Linotype" w:hAnsi="Palatino Linotype"/>
        </w:rPr>
      </w:pPr>
      <w:r w:rsidRPr="00E461D0">
        <w:rPr>
          <w:rFonts w:ascii="Palatino Linotype" w:hAnsi="Palatino Linotype"/>
        </w:rPr>
        <w:t>La evolución de la cantidad de empleados de la Sociedad en los últimos tres (3) años se refleja en el siguiente cuadro comparativo:</w:t>
      </w:r>
    </w:p>
    <w:p w14:paraId="63D500BA" w14:textId="77777777" w:rsidR="00F01F6F" w:rsidRPr="00E461D0" w:rsidRDefault="00F01F6F" w:rsidP="00641325">
      <w:pPr>
        <w:jc w:val="both"/>
        <w:rPr>
          <w:rFonts w:ascii="Palatino Linotype" w:hAnsi="Palatino Linotype"/>
        </w:rPr>
      </w:pPr>
    </w:p>
    <w:tbl>
      <w:tblPr>
        <w:tblStyle w:val="Tablaconcuadrcula"/>
        <w:tblW w:w="5000" w:type="pct"/>
        <w:tblLook w:val="04A0" w:firstRow="1" w:lastRow="0" w:firstColumn="1" w:lastColumn="0" w:noHBand="0" w:noVBand="1"/>
      </w:tblPr>
      <w:tblGrid>
        <w:gridCol w:w="2263"/>
        <w:gridCol w:w="2263"/>
        <w:gridCol w:w="2264"/>
        <w:gridCol w:w="2264"/>
      </w:tblGrid>
      <w:tr w:rsidR="00F01F6F" w:rsidRPr="00E461D0" w14:paraId="46AD37A2" w14:textId="77777777" w:rsidTr="00F01F6F">
        <w:tc>
          <w:tcPr>
            <w:tcW w:w="1250" w:type="pct"/>
          </w:tcPr>
          <w:p w14:paraId="7D89DC66" w14:textId="77777777" w:rsidR="00F01F6F" w:rsidRPr="00E461D0" w:rsidRDefault="00F01F6F" w:rsidP="00F01F6F">
            <w:pPr>
              <w:rPr>
                <w:rFonts w:ascii="Palatino Linotype" w:hAnsi="Palatino Linotype"/>
              </w:rPr>
            </w:pPr>
          </w:p>
        </w:tc>
        <w:tc>
          <w:tcPr>
            <w:tcW w:w="1250" w:type="pct"/>
          </w:tcPr>
          <w:p w14:paraId="2CD9266C" w14:textId="77777777" w:rsidR="00F01F6F" w:rsidRPr="00E461D0" w:rsidRDefault="00F01F6F" w:rsidP="00F01F6F">
            <w:pPr>
              <w:rPr>
                <w:rFonts w:ascii="Palatino Linotype" w:hAnsi="Palatino Linotype"/>
                <w:b/>
              </w:rPr>
            </w:pPr>
            <w:r w:rsidRPr="00E461D0">
              <w:rPr>
                <w:rFonts w:ascii="Palatino Linotype" w:hAnsi="Palatino Linotype"/>
                <w:b/>
              </w:rPr>
              <w:t>2018</w:t>
            </w:r>
          </w:p>
        </w:tc>
        <w:tc>
          <w:tcPr>
            <w:tcW w:w="1250" w:type="pct"/>
          </w:tcPr>
          <w:p w14:paraId="21A3D055" w14:textId="77777777" w:rsidR="00F01F6F" w:rsidRPr="00E461D0" w:rsidRDefault="00F01F6F" w:rsidP="00F01F6F">
            <w:pPr>
              <w:rPr>
                <w:rFonts w:ascii="Palatino Linotype" w:hAnsi="Palatino Linotype"/>
                <w:b/>
              </w:rPr>
            </w:pPr>
            <w:r w:rsidRPr="00E461D0">
              <w:rPr>
                <w:rFonts w:ascii="Palatino Linotype" w:hAnsi="Palatino Linotype"/>
                <w:b/>
              </w:rPr>
              <w:t>2017</w:t>
            </w:r>
          </w:p>
        </w:tc>
        <w:tc>
          <w:tcPr>
            <w:tcW w:w="1250" w:type="pct"/>
          </w:tcPr>
          <w:p w14:paraId="247C1137" w14:textId="77777777" w:rsidR="00F01F6F" w:rsidRPr="00E461D0" w:rsidRDefault="00F01F6F" w:rsidP="00F01F6F">
            <w:pPr>
              <w:rPr>
                <w:rFonts w:ascii="Palatino Linotype" w:hAnsi="Palatino Linotype"/>
                <w:b/>
              </w:rPr>
            </w:pPr>
            <w:r w:rsidRPr="00E461D0">
              <w:rPr>
                <w:rFonts w:ascii="Palatino Linotype" w:hAnsi="Palatino Linotype"/>
                <w:b/>
              </w:rPr>
              <w:t>2016</w:t>
            </w:r>
          </w:p>
        </w:tc>
      </w:tr>
      <w:tr w:rsidR="000620EE" w:rsidRPr="00E461D0" w14:paraId="4B034DC7" w14:textId="77777777" w:rsidTr="00F01F6F">
        <w:tc>
          <w:tcPr>
            <w:tcW w:w="1250" w:type="pct"/>
          </w:tcPr>
          <w:p w14:paraId="7E3C14B8" w14:textId="77777777" w:rsidR="000620EE" w:rsidRPr="00E461D0" w:rsidRDefault="000620EE" w:rsidP="000620EE">
            <w:pPr>
              <w:rPr>
                <w:rFonts w:ascii="Palatino Linotype" w:hAnsi="Palatino Linotype"/>
              </w:rPr>
            </w:pPr>
            <w:r w:rsidRPr="00E461D0">
              <w:rPr>
                <w:rFonts w:ascii="Palatino Linotype" w:hAnsi="Palatino Linotype"/>
                <w:b/>
              </w:rPr>
              <w:t>Empleados</w:t>
            </w:r>
          </w:p>
        </w:tc>
        <w:tc>
          <w:tcPr>
            <w:tcW w:w="1250" w:type="pct"/>
          </w:tcPr>
          <w:p w14:paraId="61F3D300" w14:textId="77777777" w:rsidR="000620EE" w:rsidRPr="00E461D0" w:rsidRDefault="00E403E5" w:rsidP="000620EE">
            <w:pPr>
              <w:rPr>
                <w:rFonts w:ascii="Palatino Linotype" w:hAnsi="Palatino Linotype"/>
              </w:rPr>
            </w:pPr>
            <w:r w:rsidRPr="00E461D0">
              <w:rPr>
                <w:rFonts w:ascii="Palatino Linotype" w:hAnsi="Palatino Linotype"/>
              </w:rPr>
              <w:t>16</w:t>
            </w:r>
          </w:p>
        </w:tc>
        <w:tc>
          <w:tcPr>
            <w:tcW w:w="1250" w:type="pct"/>
          </w:tcPr>
          <w:p w14:paraId="61F28017" w14:textId="77777777" w:rsidR="000620EE" w:rsidRPr="00E461D0" w:rsidRDefault="00E403E5" w:rsidP="000620EE">
            <w:pPr>
              <w:rPr>
                <w:rFonts w:ascii="Palatino Linotype" w:hAnsi="Palatino Linotype"/>
              </w:rPr>
            </w:pPr>
            <w:r w:rsidRPr="00E461D0">
              <w:rPr>
                <w:rFonts w:ascii="Palatino Linotype" w:hAnsi="Palatino Linotype"/>
              </w:rPr>
              <w:t>16</w:t>
            </w:r>
          </w:p>
        </w:tc>
        <w:tc>
          <w:tcPr>
            <w:tcW w:w="1250" w:type="pct"/>
          </w:tcPr>
          <w:p w14:paraId="2F28CB12" w14:textId="77777777" w:rsidR="000620EE" w:rsidRPr="00E461D0" w:rsidRDefault="00E403E5" w:rsidP="000620EE">
            <w:pPr>
              <w:rPr>
                <w:rFonts w:ascii="Palatino Linotype" w:hAnsi="Palatino Linotype"/>
              </w:rPr>
            </w:pPr>
            <w:r w:rsidRPr="00E461D0">
              <w:rPr>
                <w:rFonts w:ascii="Palatino Linotype" w:hAnsi="Palatino Linotype"/>
              </w:rPr>
              <w:t>15</w:t>
            </w:r>
          </w:p>
        </w:tc>
      </w:tr>
    </w:tbl>
    <w:p w14:paraId="52F5FC24" w14:textId="77777777" w:rsidR="00F01F6F" w:rsidRPr="00E461D0" w:rsidRDefault="00F01F6F" w:rsidP="00641325">
      <w:pPr>
        <w:jc w:val="both"/>
        <w:rPr>
          <w:rFonts w:ascii="Palatino Linotype" w:hAnsi="Palatino Linotype"/>
        </w:rPr>
      </w:pPr>
    </w:p>
    <w:p w14:paraId="58CB95C5" w14:textId="77777777" w:rsidR="00F01F6F" w:rsidRPr="00E461D0" w:rsidRDefault="00F01F6F" w:rsidP="00641325">
      <w:pPr>
        <w:jc w:val="both"/>
        <w:rPr>
          <w:rFonts w:ascii="Palatino Linotype" w:hAnsi="Palatino Linotype"/>
        </w:rPr>
      </w:pPr>
    </w:p>
    <w:p w14:paraId="769E82FB" w14:textId="77777777" w:rsidR="00F01F6F" w:rsidRPr="00E461D0" w:rsidRDefault="00F01F6F" w:rsidP="00641325">
      <w:pPr>
        <w:jc w:val="both"/>
        <w:rPr>
          <w:rFonts w:ascii="Palatino Linotype" w:hAnsi="Palatino Linotype"/>
        </w:rPr>
      </w:pPr>
      <w:r w:rsidRPr="00E461D0">
        <w:rPr>
          <w:rFonts w:ascii="Palatino Linotype" w:hAnsi="Palatino Linotype"/>
        </w:rPr>
        <w:t xml:space="preserve">Como se puede </w:t>
      </w:r>
      <w:r w:rsidR="000263AA" w:rsidRPr="00E461D0">
        <w:rPr>
          <w:rFonts w:ascii="Palatino Linotype" w:hAnsi="Palatino Linotype"/>
        </w:rPr>
        <w:t xml:space="preserve">apreciar, Global ha mantenido su staff de personal durante los últimos 3 años obedeciendo a una política prudente de expansión de su plantilla. </w:t>
      </w:r>
    </w:p>
    <w:p w14:paraId="3A13CBB3" w14:textId="77777777" w:rsidR="00F01F6F" w:rsidRPr="00E461D0" w:rsidRDefault="00F01F6F" w:rsidP="00641325">
      <w:pPr>
        <w:jc w:val="both"/>
        <w:rPr>
          <w:rFonts w:ascii="Palatino Linotype" w:hAnsi="Palatino Linotype"/>
        </w:rPr>
      </w:pPr>
    </w:p>
    <w:p w14:paraId="247A56E3" w14:textId="77777777" w:rsidR="00641325" w:rsidRPr="00E461D0" w:rsidRDefault="00641325" w:rsidP="00641325">
      <w:pPr>
        <w:jc w:val="both"/>
        <w:rPr>
          <w:rFonts w:ascii="Palatino Linotype" w:hAnsi="Palatino Linotype"/>
        </w:rPr>
        <w:sectPr w:rsidR="00641325" w:rsidRPr="00E461D0">
          <w:pgSz w:w="12240" w:h="15840"/>
          <w:pgMar w:top="1417" w:right="1701" w:bottom="1417" w:left="1701" w:header="708" w:footer="708" w:gutter="0"/>
          <w:cols w:space="708"/>
          <w:docGrid w:linePitch="360"/>
        </w:sectPr>
      </w:pPr>
    </w:p>
    <w:p w14:paraId="04641989" w14:textId="77777777" w:rsidR="00B8528C" w:rsidRPr="00E461D0" w:rsidRDefault="00C22F9B" w:rsidP="00B8528C">
      <w:pPr>
        <w:pStyle w:val="Ttulo1"/>
      </w:pPr>
      <w:bookmarkStart w:id="5" w:name="_Toc535599647"/>
      <w:bookmarkStart w:id="6" w:name="_Toc23325147"/>
      <w:r w:rsidRPr="00E461D0">
        <w:t xml:space="preserve">III. </w:t>
      </w:r>
      <w:r w:rsidR="00B8528C" w:rsidRPr="00E461D0">
        <w:t>FACTORES DE RIESGO</w:t>
      </w:r>
      <w:bookmarkEnd w:id="5"/>
      <w:bookmarkEnd w:id="6"/>
    </w:p>
    <w:p w14:paraId="0F3452CC" w14:textId="77777777" w:rsidR="00B8528C" w:rsidRPr="00E461D0" w:rsidRDefault="00B8528C" w:rsidP="00641325">
      <w:pPr>
        <w:jc w:val="both"/>
        <w:rPr>
          <w:rFonts w:ascii="Palatino Linotype" w:hAnsi="Palatino Linotype"/>
        </w:rPr>
      </w:pPr>
    </w:p>
    <w:p w14:paraId="65590E29" w14:textId="77777777" w:rsidR="00B8528C" w:rsidRPr="00E461D0" w:rsidRDefault="00B8528C" w:rsidP="00B8528C">
      <w:pPr>
        <w:jc w:val="both"/>
        <w:rPr>
          <w:rFonts w:ascii="Palatino Linotype" w:hAnsi="Palatino Linotype"/>
          <w:i/>
          <w:sz w:val="18"/>
        </w:rPr>
      </w:pPr>
      <w:r w:rsidRPr="00E461D0">
        <w:rPr>
          <w:rFonts w:ascii="Palatino Linotype" w:hAnsi="Palatino Linotype"/>
          <w:i/>
          <w:sz w:val="18"/>
        </w:rPr>
        <w:t>Se recomienda a los potenciales inversores que antes de tomar decisiones de inversión respecto de las Obligaciones Negociables Py</w:t>
      </w:r>
      <w:r w:rsidR="00B3792D" w:rsidRPr="00E461D0">
        <w:rPr>
          <w:rFonts w:ascii="Palatino Linotype" w:hAnsi="Palatino Linotype"/>
          <w:i/>
          <w:sz w:val="18"/>
        </w:rPr>
        <w:t>ME</w:t>
      </w:r>
      <w:r w:rsidRPr="00E461D0">
        <w:rPr>
          <w:rFonts w:ascii="Palatino Linotype" w:hAnsi="Palatino Linotype"/>
          <w:i/>
          <w:sz w:val="18"/>
        </w:rPr>
        <w:t xml:space="preserve">, consideren detenidamente los riesgos e incertidumbres descriptos en el presente capítulo, y cualquier otra información incluida en otros de este Prospecto así como posteriormente en los factores de riesgo adicionales que puedan incluirse en los Suplementos de </w:t>
      </w:r>
      <w:r w:rsidR="00B3792D" w:rsidRPr="00E461D0">
        <w:rPr>
          <w:rFonts w:ascii="Palatino Linotype" w:hAnsi="Palatino Linotype"/>
          <w:i/>
          <w:sz w:val="18"/>
        </w:rPr>
        <w:t xml:space="preserve">Prospecto </w:t>
      </w:r>
      <w:r w:rsidRPr="00E461D0">
        <w:rPr>
          <w:rFonts w:ascii="Palatino Linotype" w:hAnsi="Palatino Linotype"/>
          <w:i/>
          <w:sz w:val="18"/>
        </w:rPr>
        <w:t>de cada Clase y/o Serie que se emita bajo el Programa. Los inversores deberán consultar a sus propios asesores legales e impositivos a fines de tomar las decisiones de inversión en las Obligaciones Negociables Py</w:t>
      </w:r>
      <w:r w:rsidR="00B3792D" w:rsidRPr="00E461D0">
        <w:rPr>
          <w:rFonts w:ascii="Palatino Linotype" w:hAnsi="Palatino Linotype"/>
          <w:i/>
          <w:sz w:val="18"/>
        </w:rPr>
        <w:t>ME</w:t>
      </w:r>
      <w:r w:rsidRPr="00E461D0">
        <w:rPr>
          <w:rFonts w:ascii="Palatino Linotype" w:hAnsi="Palatino Linotype"/>
          <w:i/>
          <w:sz w:val="18"/>
        </w:rPr>
        <w:t>. Los riesgos e incertidumbres descriptos a continuación tienen por objeto resaltar tanto los riesgos que generalmente afectan a Argentina y a la industria en que la Sociedad opera como así también los riesgos e incertidumbres específicos de la Sociedad y de las Obligaciones Negociables Py</w:t>
      </w:r>
      <w:r w:rsidR="00B3792D" w:rsidRPr="00E461D0">
        <w:rPr>
          <w:rFonts w:ascii="Palatino Linotype" w:hAnsi="Palatino Linotype"/>
          <w:i/>
          <w:sz w:val="18"/>
        </w:rPr>
        <w:t>ME</w:t>
      </w:r>
      <w:r w:rsidRPr="00E461D0">
        <w:rPr>
          <w:rFonts w:ascii="Palatino Linotype" w:hAnsi="Palatino Linotype"/>
          <w:i/>
          <w:sz w:val="18"/>
        </w:rPr>
        <w:t xml:space="preserve">. </w:t>
      </w:r>
    </w:p>
    <w:p w14:paraId="248121A0" w14:textId="77777777" w:rsidR="00B8528C" w:rsidRPr="00E461D0" w:rsidRDefault="00B8528C" w:rsidP="00B8528C">
      <w:pPr>
        <w:jc w:val="both"/>
        <w:rPr>
          <w:rFonts w:ascii="Palatino Linotype" w:hAnsi="Palatino Linotype"/>
        </w:rPr>
      </w:pPr>
    </w:p>
    <w:p w14:paraId="08F3ABBA" w14:textId="77777777" w:rsidR="00B8528C" w:rsidRPr="00E461D0" w:rsidRDefault="00B8528C" w:rsidP="00B8528C">
      <w:pPr>
        <w:jc w:val="both"/>
        <w:rPr>
          <w:rFonts w:ascii="Palatino Linotype" w:hAnsi="Palatino Linotype"/>
          <w:i/>
          <w:sz w:val="18"/>
        </w:rPr>
      </w:pPr>
      <w:r w:rsidRPr="00E461D0">
        <w:rPr>
          <w:rFonts w:ascii="Palatino Linotype" w:hAnsi="Palatino Linotype"/>
          <w:i/>
          <w:sz w:val="18"/>
        </w:rPr>
        <w:t>Los factores de riesgo enumerados en esta sección no constituyen los únicos riesgos relacionados con Argentina o con las actividades de la Sociedad o con las Obligaciones Negociables Py</w:t>
      </w:r>
      <w:r w:rsidR="00B3792D" w:rsidRPr="00E461D0">
        <w:rPr>
          <w:rFonts w:ascii="Palatino Linotype" w:hAnsi="Palatino Linotype"/>
          <w:i/>
          <w:sz w:val="18"/>
        </w:rPr>
        <w:t>ME</w:t>
      </w:r>
      <w:r w:rsidRPr="00E461D0">
        <w:rPr>
          <w:rFonts w:ascii="Palatino Linotype" w:hAnsi="Palatino Linotype"/>
          <w:i/>
          <w:sz w:val="18"/>
        </w:rPr>
        <w:t>, y podrían existir otros riesgos e incertidumbres que en este momento no han llegado a conocimiento de la Sociedad.</w:t>
      </w:r>
    </w:p>
    <w:p w14:paraId="070FC5AE" w14:textId="77777777" w:rsidR="00B8528C" w:rsidRPr="00E461D0" w:rsidRDefault="00B8528C" w:rsidP="00B8528C">
      <w:pPr>
        <w:jc w:val="both"/>
        <w:rPr>
          <w:rFonts w:ascii="Palatino Linotype" w:hAnsi="Palatino Linotype"/>
        </w:rPr>
      </w:pPr>
    </w:p>
    <w:p w14:paraId="031F6627" w14:textId="77777777" w:rsidR="00B8528C" w:rsidRPr="00E461D0" w:rsidRDefault="00B8528C" w:rsidP="00B8528C">
      <w:pPr>
        <w:pStyle w:val="Prrafodelista"/>
        <w:numPr>
          <w:ilvl w:val="0"/>
          <w:numId w:val="2"/>
        </w:numPr>
        <w:jc w:val="both"/>
        <w:rPr>
          <w:rFonts w:ascii="Palatino Linotype" w:hAnsi="Palatino Linotype"/>
          <w:b/>
        </w:rPr>
      </w:pPr>
      <w:r w:rsidRPr="00E461D0">
        <w:rPr>
          <w:rFonts w:ascii="Palatino Linotype" w:hAnsi="Palatino Linotype"/>
          <w:b/>
        </w:rPr>
        <w:t xml:space="preserve">Factores de riesgo relacionados con Argentina </w:t>
      </w:r>
    </w:p>
    <w:p w14:paraId="669E93A6" w14:textId="77777777" w:rsidR="00B8528C" w:rsidRPr="00E461D0" w:rsidRDefault="00B8528C" w:rsidP="00B8528C">
      <w:pPr>
        <w:jc w:val="both"/>
        <w:rPr>
          <w:rFonts w:ascii="Palatino Linotype" w:hAnsi="Palatino Linotype"/>
        </w:rPr>
      </w:pPr>
    </w:p>
    <w:p w14:paraId="6C932AF6" w14:textId="3250BCEF" w:rsidR="00B8528C" w:rsidRPr="00E461D0" w:rsidRDefault="00E3543E" w:rsidP="00B8528C">
      <w:pPr>
        <w:jc w:val="both"/>
        <w:rPr>
          <w:rFonts w:ascii="Palatino Linotype" w:hAnsi="Palatino Linotype"/>
          <w:b/>
          <w:i/>
        </w:rPr>
      </w:pPr>
      <w:r w:rsidRPr="00E461D0">
        <w:rPr>
          <w:rFonts w:ascii="Palatino Linotype" w:hAnsi="Palatino Linotype"/>
          <w:b/>
          <w:i/>
        </w:rPr>
        <w:t>Nuestros negocios dependen en gran medida de las condiciones económicas de Argentina</w:t>
      </w:r>
    </w:p>
    <w:p w14:paraId="64E4002C" w14:textId="77777777" w:rsidR="00B8528C" w:rsidRPr="00E461D0" w:rsidRDefault="00B8528C" w:rsidP="00B8528C">
      <w:pPr>
        <w:jc w:val="both"/>
        <w:rPr>
          <w:rFonts w:ascii="Palatino Linotype" w:hAnsi="Palatino Linotype"/>
        </w:rPr>
      </w:pPr>
    </w:p>
    <w:p w14:paraId="19E78BE7" w14:textId="77777777" w:rsidR="00B8528C" w:rsidRPr="00E461D0" w:rsidRDefault="00B8528C" w:rsidP="00B8528C">
      <w:pPr>
        <w:jc w:val="both"/>
        <w:rPr>
          <w:rFonts w:ascii="Palatino Linotype" w:hAnsi="Palatino Linotype"/>
        </w:rPr>
      </w:pPr>
      <w:r w:rsidRPr="00E461D0">
        <w:rPr>
          <w:rFonts w:ascii="Palatino Linotype" w:hAnsi="Palatino Linotype"/>
        </w:rPr>
        <w:t>Esencialmente todas las operaciones, bienes y clientes de la Compañía se encuentran ubicados en Argentina, por lo cual su situación patrimonial y los resultados de sus operaciones dependen de las condiciones macroeconómicas y políticas en Argentina, incluyendo sobre todo los índices de inflación, tipo de cambio, los cambios en la política de gobierno, la inestabilidad social y otros sucesos políticos, económicos o internacionales que ocurran en Argentina o que la afecten de alguna manera.</w:t>
      </w:r>
    </w:p>
    <w:p w14:paraId="62EED051" w14:textId="77777777" w:rsidR="00B8528C" w:rsidRPr="00E461D0" w:rsidRDefault="00B8528C" w:rsidP="00B8528C">
      <w:pPr>
        <w:jc w:val="both"/>
        <w:rPr>
          <w:rFonts w:ascii="Palatino Linotype" w:hAnsi="Palatino Linotype"/>
        </w:rPr>
      </w:pPr>
    </w:p>
    <w:p w14:paraId="7EBAA47D" w14:textId="77777777" w:rsidR="00B8528C" w:rsidRPr="00E461D0" w:rsidRDefault="00B8528C" w:rsidP="00B8528C">
      <w:pPr>
        <w:jc w:val="both"/>
        <w:rPr>
          <w:rFonts w:ascii="Palatino Linotype" w:hAnsi="Palatino Linotype"/>
        </w:rPr>
      </w:pPr>
      <w:r w:rsidRPr="00E461D0">
        <w:rPr>
          <w:rFonts w:ascii="Palatino Linotype" w:hAnsi="Palatino Linotype"/>
        </w:rPr>
        <w:t>Todas aquellas políticas gubernamentales cuyos efectos afecten adversamente a la economía, capacidad de compra y acceso al crédito del consumidor argentino, repercutirán también negativamente sobre los resultados operativos de la Compañía. Las medidas del gobierno nacional argentino (el “Gobierno”) en relación con la economía, incluyendo las decisiones en materia de inflación, tasas de interés, controles de precios, controles de cambio e impuestos, han tenido y podrían continuar teniendo un efecto sustancial y adverso sobre las entidades del sector privado, incluyendo a la Compañía.</w:t>
      </w:r>
    </w:p>
    <w:p w14:paraId="59455348" w14:textId="77777777" w:rsidR="00B8528C" w:rsidRPr="00E461D0" w:rsidRDefault="00B8528C" w:rsidP="00B8528C">
      <w:pPr>
        <w:jc w:val="both"/>
        <w:rPr>
          <w:rFonts w:ascii="Palatino Linotype" w:hAnsi="Palatino Linotype"/>
        </w:rPr>
      </w:pPr>
    </w:p>
    <w:p w14:paraId="5398E55F" w14:textId="77777777" w:rsidR="00B8528C" w:rsidRPr="00E461D0" w:rsidRDefault="00B8528C" w:rsidP="00B8528C">
      <w:pPr>
        <w:jc w:val="both"/>
        <w:rPr>
          <w:rFonts w:ascii="Palatino Linotype" w:hAnsi="Palatino Linotype"/>
        </w:rPr>
      </w:pPr>
      <w:r w:rsidRPr="00E461D0">
        <w:rPr>
          <w:rFonts w:ascii="Palatino Linotype" w:hAnsi="Palatino Linotype"/>
        </w:rPr>
        <w:t>La Compañía no puede garantizar que los futuros acontecimientos económicos, sociales y políticos de Argentina, no tendrán un efecto adverso sobre la misma. En caso que así lo tuvieran, la situación patrimonial o financiera o de otro tipo, los resultados, las operaciones y los negocios de la Compañía podrían ser afectadas de manera sustancial y adversa.</w:t>
      </w:r>
    </w:p>
    <w:p w14:paraId="23DBB1F5" w14:textId="77777777" w:rsidR="00B8528C" w:rsidRPr="00E461D0" w:rsidRDefault="00B8528C" w:rsidP="00B8528C">
      <w:pPr>
        <w:jc w:val="both"/>
        <w:rPr>
          <w:rFonts w:ascii="Palatino Linotype" w:hAnsi="Palatino Linotype"/>
        </w:rPr>
      </w:pPr>
    </w:p>
    <w:p w14:paraId="10E0ADE2" w14:textId="023A9451" w:rsidR="003E2CE7" w:rsidRPr="00E461D0" w:rsidRDefault="003E2CE7" w:rsidP="00B8528C">
      <w:pPr>
        <w:jc w:val="both"/>
        <w:rPr>
          <w:rFonts w:ascii="Palatino Linotype" w:hAnsi="Palatino Linotype"/>
          <w:b/>
          <w:i/>
        </w:rPr>
      </w:pPr>
      <w:r w:rsidRPr="00E461D0">
        <w:rPr>
          <w:rFonts w:ascii="Palatino Linotype" w:hAnsi="Palatino Linotype"/>
          <w:b/>
          <w:i/>
        </w:rPr>
        <w:t>La inestabilidad política y económica en Argentina, entre otros factores, podría tener un efecto material adverso en la capacidad del Emisor de hacer pagos con respecto a las Obligaciones Negociables</w:t>
      </w:r>
    </w:p>
    <w:p w14:paraId="167B7093" w14:textId="77777777" w:rsidR="003E2CE7" w:rsidRPr="00E461D0" w:rsidRDefault="003E2CE7" w:rsidP="00B8528C">
      <w:pPr>
        <w:jc w:val="both"/>
        <w:rPr>
          <w:rFonts w:ascii="Palatino Linotype" w:hAnsi="Palatino Linotype"/>
        </w:rPr>
      </w:pPr>
    </w:p>
    <w:p w14:paraId="3E46C3C5" w14:textId="77777777" w:rsidR="00B8528C" w:rsidRPr="00E461D0" w:rsidRDefault="00B8528C" w:rsidP="00B8528C">
      <w:pPr>
        <w:jc w:val="both"/>
        <w:rPr>
          <w:rFonts w:ascii="Palatino Linotype" w:hAnsi="Palatino Linotype"/>
        </w:rPr>
      </w:pPr>
      <w:r w:rsidRPr="00E461D0">
        <w:rPr>
          <w:rFonts w:ascii="Palatino Linotype" w:hAnsi="Palatino Linotype"/>
        </w:rPr>
        <w:t>La economía argentina se ha caracterizado en las últimas décadas por un alto grado de inestabilidad y volatilidad, períodos de crecimiento bajo o negativo y niveles de inflación y devaluación altos y variables. La economía argentina, en general, y los resultados de las operaciones de Global, el valor de mercado de las Obligaciones Negociables Py</w:t>
      </w:r>
      <w:r w:rsidR="00B3792D" w:rsidRPr="00E461D0">
        <w:rPr>
          <w:rFonts w:ascii="Palatino Linotype" w:hAnsi="Palatino Linotype"/>
        </w:rPr>
        <w:t>ME</w:t>
      </w:r>
      <w:r w:rsidRPr="00E461D0">
        <w:rPr>
          <w:rFonts w:ascii="Palatino Linotype" w:hAnsi="Palatino Linotype"/>
        </w:rPr>
        <w:t>, y la habilidad de Global de hacer pagos con respecto a los mismos, pueden verse afectados por un número de factores posibles, entre los cuales se encuentran la eventual dificultad de Argentina para generar un sendero de crecimiento sostenido, los efectos de la inflación, la limitada capacidad de Argentina de obtener financiación, una baja en los precios internacionales de las principales exportaciones de productos primarios (“</w:t>
      </w:r>
      <w:r w:rsidRPr="00E461D0">
        <w:rPr>
          <w:rFonts w:ascii="Palatino Linotype" w:hAnsi="Palatino Linotype"/>
          <w:i/>
        </w:rPr>
        <w:t>commodities</w:t>
      </w:r>
      <w:r w:rsidRPr="00E461D0">
        <w:rPr>
          <w:rFonts w:ascii="Palatino Linotype" w:hAnsi="Palatino Linotype"/>
        </w:rPr>
        <w:t xml:space="preserve">”) argentinos, las fluctuaciones en el tipo de cambio de los competidores de Argentina, las decisiones del Gobierno en materia regulatoria y la vulnerabilidad de la economía argentina a shocks externos. </w:t>
      </w:r>
    </w:p>
    <w:p w14:paraId="3BD12626" w14:textId="77777777" w:rsidR="007F232E" w:rsidRPr="00E461D0" w:rsidRDefault="007F232E" w:rsidP="00B8528C">
      <w:pPr>
        <w:jc w:val="both"/>
        <w:rPr>
          <w:rFonts w:ascii="Palatino Linotype" w:hAnsi="Palatino Linotype"/>
        </w:rPr>
      </w:pPr>
    </w:p>
    <w:p w14:paraId="4DA15FAA" w14:textId="19A00281" w:rsidR="00E3543E" w:rsidRPr="00E461D0" w:rsidRDefault="00E3543E" w:rsidP="00E3543E">
      <w:pPr>
        <w:jc w:val="both"/>
        <w:rPr>
          <w:rFonts w:ascii="Palatino Linotype" w:hAnsi="Palatino Linotype"/>
        </w:rPr>
      </w:pPr>
      <w:r w:rsidRPr="00E461D0">
        <w:rPr>
          <w:rFonts w:ascii="Palatino Linotype" w:hAnsi="Palatino Linotype"/>
        </w:rPr>
        <w:t>Argentina ha enfrentado y continúa enfrentando presiones inflacionarias. De acuerdo con los datos de inflación publicados por el Instituto Nacional de Estadística y Censos de la República Argentina (el “INDEC”), cuya página web oficial es http://www.indec.gov.ar/, en 2018, el índice de precios al consumidor ("IPC") y el índice de precios al por mayor se incrementó en un 47,6% y 73,5%, respectivamente. La inflación acumulada de tres años superó el 100% provocando que la Argentina sea considerada como una economía hiperinflacionaria. Durante enero, febrero, marzo, abril, mayo, junio, julio y agosto de 2019, la inflación se mantuvo en niveles altos, el IPC registró aumento del 2,9%, 3,8%, 4,7%, 3,4%, 3,1%, 2,7%, 2,2% y 4,0%, respectivamente, mes a mes.</w:t>
      </w:r>
    </w:p>
    <w:p w14:paraId="2A8CBD3F" w14:textId="77777777" w:rsidR="00E3543E" w:rsidRPr="00E461D0" w:rsidRDefault="00E3543E" w:rsidP="00E3543E">
      <w:pPr>
        <w:jc w:val="both"/>
        <w:rPr>
          <w:rFonts w:ascii="Palatino Linotype" w:hAnsi="Palatino Linotype"/>
        </w:rPr>
      </w:pPr>
    </w:p>
    <w:p w14:paraId="42DFE37C" w14:textId="1CE9EE7D" w:rsidR="00E3543E" w:rsidRPr="00E461D0" w:rsidRDefault="00E3543E" w:rsidP="00E3543E">
      <w:pPr>
        <w:jc w:val="both"/>
        <w:rPr>
          <w:rFonts w:ascii="Palatino Linotype" w:hAnsi="Palatino Linotype"/>
        </w:rPr>
      </w:pPr>
      <w:r w:rsidRPr="00E461D0">
        <w:rPr>
          <w:rFonts w:ascii="Palatino Linotype" w:hAnsi="Palatino Linotype"/>
        </w:rPr>
        <w:t xml:space="preserve">Asimismo, ciertas variables macroeconómicas que se vieron afectadas durante 2018 pueden verse afectadas durante 2019 que afectan el desarrollo de la actividad económica de Argentina. Entre otras variables, el crecimiento de la tasa de interés de Argentina (la tasa Badlar promedió un 34,3% durante 2018), el </w:t>
      </w:r>
      <w:r w:rsidR="00CE678E">
        <w:rPr>
          <w:rFonts w:ascii="Palatino Linotype" w:hAnsi="Palatino Linotype"/>
        </w:rPr>
        <w:t>P</w:t>
      </w:r>
      <w:r w:rsidRPr="00E461D0">
        <w:rPr>
          <w:rFonts w:ascii="Palatino Linotype" w:hAnsi="Palatino Linotype"/>
        </w:rPr>
        <w:t>eso argentino ha experimentado una devaluación del 101% durante el período diciembre 2017-diciembre 2018, como así también la caída de la actividad económica, que de acuerdo a estimaciones provisorias del Estimador Mensual de Actividad Económica (EMAE) publicado por el INDEC, mostro una variación negativa de la actividad económica en el PIB (Producto Interno Bruto) provisorio se contrajo un 2,6% en 2018, y el riesgo país de Argentina supero los 2.300 puntos el 29 de agosto de 2019 en comparación con los 817 puntos que registró el 31 de diciembre de 2018.</w:t>
      </w:r>
    </w:p>
    <w:p w14:paraId="7444DE12" w14:textId="77777777" w:rsidR="00E3543E" w:rsidRPr="00E461D0" w:rsidRDefault="00E3543E" w:rsidP="00E3543E">
      <w:pPr>
        <w:jc w:val="both"/>
        <w:rPr>
          <w:rFonts w:ascii="Palatino Linotype" w:hAnsi="Palatino Linotype"/>
        </w:rPr>
      </w:pPr>
    </w:p>
    <w:p w14:paraId="2226E703" w14:textId="77777777" w:rsidR="00E3543E" w:rsidRPr="00E461D0" w:rsidRDefault="00E3543E" w:rsidP="00E3543E">
      <w:pPr>
        <w:jc w:val="both"/>
        <w:rPr>
          <w:rFonts w:ascii="Palatino Linotype" w:hAnsi="Palatino Linotype"/>
        </w:rPr>
      </w:pPr>
      <w:r w:rsidRPr="00E461D0">
        <w:rPr>
          <w:rFonts w:ascii="Palatino Linotype" w:hAnsi="Palatino Linotype"/>
        </w:rPr>
        <w:t>La economía argentina depende de una serie de factores, incluyendo (pero no limitado a) los siguientes:</w:t>
      </w:r>
    </w:p>
    <w:p w14:paraId="49792532" w14:textId="77777777" w:rsidR="00E3543E" w:rsidRPr="00E461D0" w:rsidRDefault="00E3543E" w:rsidP="00BD3832">
      <w:pPr>
        <w:ind w:left="705" w:hanging="705"/>
        <w:jc w:val="both"/>
        <w:rPr>
          <w:rFonts w:ascii="Palatino Linotype" w:hAnsi="Palatino Linotype"/>
        </w:rPr>
      </w:pPr>
      <w:r w:rsidRPr="00E461D0">
        <w:rPr>
          <w:rFonts w:ascii="Palatino Linotype" w:hAnsi="Palatino Linotype"/>
        </w:rPr>
        <w:t>•</w:t>
      </w:r>
      <w:r w:rsidRPr="00E461D0">
        <w:rPr>
          <w:rFonts w:ascii="Palatino Linotype" w:hAnsi="Palatino Linotype"/>
        </w:rPr>
        <w:tab/>
        <w:t>La producción local, demanda internacional y los precios para los principales commodities de exportación de la Argentina;</w:t>
      </w:r>
    </w:p>
    <w:p w14:paraId="4794D777" w14:textId="1EBC372F" w:rsidR="00E3543E" w:rsidRPr="00E461D0" w:rsidRDefault="00E3543E" w:rsidP="00E3543E">
      <w:pPr>
        <w:jc w:val="both"/>
        <w:rPr>
          <w:rFonts w:ascii="Palatino Linotype" w:hAnsi="Palatino Linotype"/>
        </w:rPr>
      </w:pPr>
      <w:r w:rsidRPr="00E461D0">
        <w:rPr>
          <w:rFonts w:ascii="Palatino Linotype" w:hAnsi="Palatino Linotype"/>
        </w:rPr>
        <w:t>•</w:t>
      </w:r>
      <w:r w:rsidRPr="00E461D0">
        <w:rPr>
          <w:rFonts w:ascii="Palatino Linotype" w:hAnsi="Palatino Linotype"/>
        </w:rPr>
        <w:tab/>
        <w:t xml:space="preserve">La estabilidad y competitividad del </w:t>
      </w:r>
      <w:r w:rsidR="00CE678E">
        <w:rPr>
          <w:rFonts w:ascii="Palatino Linotype" w:hAnsi="Palatino Linotype"/>
        </w:rPr>
        <w:t>P</w:t>
      </w:r>
      <w:r w:rsidRPr="00E461D0">
        <w:rPr>
          <w:rFonts w:ascii="Palatino Linotype" w:hAnsi="Palatino Linotype"/>
        </w:rPr>
        <w:t>eso con relación a otras monedas;</w:t>
      </w:r>
    </w:p>
    <w:p w14:paraId="341AC414" w14:textId="77777777" w:rsidR="00E3543E" w:rsidRPr="00E461D0" w:rsidRDefault="00E3543E" w:rsidP="00E3543E">
      <w:pPr>
        <w:jc w:val="both"/>
        <w:rPr>
          <w:rFonts w:ascii="Palatino Linotype" w:hAnsi="Palatino Linotype"/>
        </w:rPr>
      </w:pPr>
      <w:r w:rsidRPr="00E461D0">
        <w:rPr>
          <w:rFonts w:ascii="Palatino Linotype" w:hAnsi="Palatino Linotype"/>
        </w:rPr>
        <w:t>•</w:t>
      </w:r>
      <w:r w:rsidRPr="00E461D0">
        <w:rPr>
          <w:rFonts w:ascii="Palatino Linotype" w:hAnsi="Palatino Linotype"/>
        </w:rPr>
        <w:tab/>
        <w:t>La competitividad y eficiencia de la industria y servicios locales de la Argentina;</w:t>
      </w:r>
    </w:p>
    <w:p w14:paraId="01E0F090" w14:textId="77777777" w:rsidR="00E3543E" w:rsidRPr="00E461D0" w:rsidRDefault="00E3543E" w:rsidP="00E3543E">
      <w:pPr>
        <w:jc w:val="both"/>
        <w:rPr>
          <w:rFonts w:ascii="Palatino Linotype" w:hAnsi="Palatino Linotype"/>
        </w:rPr>
      </w:pPr>
      <w:r w:rsidRPr="00E461D0">
        <w:rPr>
          <w:rFonts w:ascii="Palatino Linotype" w:hAnsi="Palatino Linotype"/>
        </w:rPr>
        <w:t>•</w:t>
      </w:r>
      <w:r w:rsidRPr="00E461D0">
        <w:rPr>
          <w:rFonts w:ascii="Palatino Linotype" w:hAnsi="Palatino Linotype"/>
        </w:rPr>
        <w:tab/>
        <w:t>El nivel de consumo interno;</w:t>
      </w:r>
      <w:r w:rsidRPr="00E461D0">
        <w:rPr>
          <w:rFonts w:ascii="Palatino Linotype" w:hAnsi="Palatino Linotype"/>
        </w:rPr>
        <w:tab/>
      </w:r>
    </w:p>
    <w:p w14:paraId="2D7967C1" w14:textId="77777777" w:rsidR="00E3543E" w:rsidRPr="00E461D0" w:rsidRDefault="00E3543E" w:rsidP="00E3543E">
      <w:pPr>
        <w:jc w:val="both"/>
        <w:rPr>
          <w:rFonts w:ascii="Palatino Linotype" w:hAnsi="Palatino Linotype"/>
        </w:rPr>
      </w:pPr>
      <w:r w:rsidRPr="00E461D0">
        <w:rPr>
          <w:rFonts w:ascii="Palatino Linotype" w:hAnsi="Palatino Linotype"/>
        </w:rPr>
        <w:t>•</w:t>
      </w:r>
      <w:r w:rsidRPr="00E461D0">
        <w:rPr>
          <w:rFonts w:ascii="Palatino Linotype" w:hAnsi="Palatino Linotype"/>
        </w:rPr>
        <w:tab/>
        <w:t xml:space="preserve">Inversión y financiamiento interno y externo; </w:t>
      </w:r>
    </w:p>
    <w:p w14:paraId="258E2DBC" w14:textId="77777777" w:rsidR="00E3543E" w:rsidRPr="00E461D0" w:rsidRDefault="00E3543E" w:rsidP="00E3543E">
      <w:pPr>
        <w:jc w:val="both"/>
        <w:rPr>
          <w:rFonts w:ascii="Palatino Linotype" w:hAnsi="Palatino Linotype"/>
        </w:rPr>
      </w:pPr>
      <w:r w:rsidRPr="00E461D0">
        <w:rPr>
          <w:rFonts w:ascii="Palatino Linotype" w:hAnsi="Palatino Linotype"/>
        </w:rPr>
        <w:t>•</w:t>
      </w:r>
      <w:r w:rsidRPr="00E461D0">
        <w:rPr>
          <w:rFonts w:ascii="Palatino Linotype" w:hAnsi="Palatino Linotype"/>
        </w:rPr>
        <w:tab/>
        <w:t>Shocks económicos externos adversos;</w:t>
      </w:r>
    </w:p>
    <w:p w14:paraId="5A7D4EE0" w14:textId="77777777" w:rsidR="00E3543E" w:rsidRPr="00E461D0" w:rsidRDefault="00E3543E" w:rsidP="00E3543E">
      <w:pPr>
        <w:jc w:val="both"/>
        <w:rPr>
          <w:rFonts w:ascii="Palatino Linotype" w:hAnsi="Palatino Linotype"/>
        </w:rPr>
      </w:pPr>
      <w:r w:rsidRPr="00E461D0">
        <w:rPr>
          <w:rFonts w:ascii="Palatino Linotype" w:hAnsi="Palatino Linotype"/>
        </w:rPr>
        <w:t>•</w:t>
      </w:r>
      <w:r w:rsidRPr="00E461D0">
        <w:rPr>
          <w:rFonts w:ascii="Palatino Linotype" w:hAnsi="Palatino Linotype"/>
        </w:rPr>
        <w:tab/>
        <w:t>Cambios en las políticas económicas o fiscales que pudiera adoptar el Gobierno Nacional;</w:t>
      </w:r>
    </w:p>
    <w:p w14:paraId="1447CF74" w14:textId="77777777" w:rsidR="00E3543E" w:rsidRPr="00E461D0" w:rsidRDefault="00E3543E" w:rsidP="00E3543E">
      <w:pPr>
        <w:jc w:val="both"/>
        <w:rPr>
          <w:rFonts w:ascii="Palatino Linotype" w:hAnsi="Palatino Linotype"/>
        </w:rPr>
      </w:pPr>
      <w:r w:rsidRPr="00E461D0">
        <w:rPr>
          <w:rFonts w:ascii="Palatino Linotype" w:hAnsi="Palatino Linotype"/>
        </w:rPr>
        <w:t>•</w:t>
      </w:r>
      <w:r w:rsidRPr="00E461D0">
        <w:rPr>
          <w:rFonts w:ascii="Palatino Linotype" w:hAnsi="Palatino Linotype"/>
        </w:rPr>
        <w:tab/>
        <w:t>Disputas laborales y paros, que pueden afectar diversos sectores de la economía argentina;</w:t>
      </w:r>
    </w:p>
    <w:p w14:paraId="21EE5415" w14:textId="77777777" w:rsidR="00E3543E" w:rsidRPr="00E461D0" w:rsidRDefault="00E3543E" w:rsidP="00E3543E">
      <w:pPr>
        <w:jc w:val="both"/>
        <w:rPr>
          <w:rFonts w:ascii="Palatino Linotype" w:hAnsi="Palatino Linotype"/>
        </w:rPr>
      </w:pPr>
      <w:r w:rsidRPr="00E461D0">
        <w:rPr>
          <w:rFonts w:ascii="Palatino Linotype" w:hAnsi="Palatino Linotype"/>
        </w:rPr>
        <w:t>•</w:t>
      </w:r>
      <w:r w:rsidRPr="00E461D0">
        <w:rPr>
          <w:rFonts w:ascii="Palatino Linotype" w:hAnsi="Palatino Linotype"/>
        </w:rPr>
        <w:tab/>
        <w:t>El nivel de gastos por parte del Gobierno Nacional y la dificultad de disminuir el déficit fiscal;</w:t>
      </w:r>
    </w:p>
    <w:p w14:paraId="4F1C7348" w14:textId="77777777" w:rsidR="00E3543E" w:rsidRPr="00E461D0" w:rsidRDefault="00E3543E" w:rsidP="00E3543E">
      <w:pPr>
        <w:jc w:val="both"/>
        <w:rPr>
          <w:rFonts w:ascii="Palatino Linotype" w:hAnsi="Palatino Linotype"/>
        </w:rPr>
      </w:pPr>
      <w:r w:rsidRPr="00E461D0">
        <w:rPr>
          <w:rFonts w:ascii="Palatino Linotype" w:hAnsi="Palatino Linotype"/>
        </w:rPr>
        <w:t>•</w:t>
      </w:r>
      <w:r w:rsidRPr="00E461D0">
        <w:rPr>
          <w:rFonts w:ascii="Palatino Linotype" w:hAnsi="Palatino Linotype"/>
        </w:rPr>
        <w:tab/>
        <w:t>El nivel de desempleo, que afecta el consumo;</w:t>
      </w:r>
    </w:p>
    <w:p w14:paraId="117F8034" w14:textId="77777777" w:rsidR="00E3543E" w:rsidRPr="00E461D0" w:rsidRDefault="00E3543E" w:rsidP="00E3543E">
      <w:pPr>
        <w:jc w:val="both"/>
        <w:rPr>
          <w:rFonts w:ascii="Palatino Linotype" w:hAnsi="Palatino Linotype"/>
        </w:rPr>
      </w:pPr>
      <w:r w:rsidRPr="00E461D0">
        <w:rPr>
          <w:rFonts w:ascii="Palatino Linotype" w:hAnsi="Palatino Linotype"/>
        </w:rPr>
        <w:t>•</w:t>
      </w:r>
      <w:r w:rsidRPr="00E461D0">
        <w:rPr>
          <w:rFonts w:ascii="Palatino Linotype" w:hAnsi="Palatino Linotype"/>
        </w:rPr>
        <w:tab/>
        <w:t>La inestabilidad política; y</w:t>
      </w:r>
    </w:p>
    <w:p w14:paraId="636605B5" w14:textId="77777777" w:rsidR="00E3543E" w:rsidRPr="00E461D0" w:rsidRDefault="00E3543E" w:rsidP="00E3543E">
      <w:pPr>
        <w:jc w:val="both"/>
        <w:rPr>
          <w:rFonts w:ascii="Palatino Linotype" w:hAnsi="Palatino Linotype"/>
        </w:rPr>
      </w:pPr>
      <w:r w:rsidRPr="00E461D0">
        <w:rPr>
          <w:rFonts w:ascii="Palatino Linotype" w:hAnsi="Palatino Linotype"/>
        </w:rPr>
        <w:t>•</w:t>
      </w:r>
      <w:r w:rsidRPr="00E461D0">
        <w:rPr>
          <w:rFonts w:ascii="Palatino Linotype" w:hAnsi="Palatino Linotype"/>
        </w:rPr>
        <w:tab/>
        <w:t>Las tasas de interés y de inflación.</w:t>
      </w:r>
    </w:p>
    <w:p w14:paraId="11083D9F" w14:textId="77777777" w:rsidR="00E3543E" w:rsidRPr="00E461D0" w:rsidRDefault="00E3543E" w:rsidP="00E3543E">
      <w:pPr>
        <w:jc w:val="both"/>
        <w:rPr>
          <w:rFonts w:ascii="Palatino Linotype" w:hAnsi="Palatino Linotype"/>
        </w:rPr>
      </w:pPr>
    </w:p>
    <w:p w14:paraId="2BA05324" w14:textId="77777777" w:rsidR="009F4782" w:rsidRDefault="009F4782" w:rsidP="004C54BB">
      <w:pPr>
        <w:jc w:val="both"/>
        <w:rPr>
          <w:rFonts w:ascii="Palatino Linotype" w:hAnsi="Palatino Linotype"/>
        </w:rPr>
      </w:pPr>
    </w:p>
    <w:p w14:paraId="3C628F6C" w14:textId="26E7F7C6" w:rsidR="004C54BB" w:rsidRPr="00E461D0" w:rsidRDefault="009F4782" w:rsidP="004C54BB">
      <w:pPr>
        <w:jc w:val="both"/>
        <w:rPr>
          <w:rFonts w:ascii="Palatino Linotype" w:hAnsi="Palatino Linotype"/>
        </w:rPr>
      </w:pPr>
      <w:r>
        <w:rPr>
          <w:rFonts w:ascii="Palatino Linotype" w:hAnsi="Palatino Linotype"/>
        </w:rPr>
        <w:t>El resultado obtenido en las elecciones presidenciales que tuvieron lugar el 27 de octubre del presente año</w:t>
      </w:r>
      <w:r w:rsidR="0009447F">
        <w:rPr>
          <w:rFonts w:ascii="Palatino Linotype" w:hAnsi="Palatino Linotype"/>
        </w:rPr>
        <w:t xml:space="preserve"> (ver “</w:t>
      </w:r>
      <w:r w:rsidR="00435936" w:rsidRPr="00435936">
        <w:rPr>
          <w:rFonts w:ascii="Palatino Linotype" w:hAnsi="Palatino Linotype"/>
          <w:i/>
        </w:rPr>
        <w:t>El resultado de las elecciones presidenciales y provinciales efectuadas en el país el 27 de octubre de 2019 podría generar incertidumbre en la economía argentina y en consecuencia en nuestros negocios y los resultados de nuestras operaciones</w:t>
      </w:r>
      <w:r w:rsidR="0009447F">
        <w:rPr>
          <w:rFonts w:ascii="Palatino Linotype" w:hAnsi="Palatino Linotype"/>
        </w:rPr>
        <w:t>” bajo la presente sección)</w:t>
      </w:r>
      <w:r>
        <w:rPr>
          <w:rFonts w:ascii="Palatino Linotype" w:hAnsi="Palatino Linotype"/>
        </w:rPr>
        <w:t>,</w:t>
      </w:r>
      <w:r w:rsidR="004C54BB" w:rsidRPr="00E461D0">
        <w:rPr>
          <w:rFonts w:ascii="Palatino Linotype" w:hAnsi="Palatino Linotype"/>
        </w:rPr>
        <w:t xml:space="preserve"> podría implicar cambios en la agenda de reformas estructurales que sostiene como necesarias la actual administración. Estos eventos pueden afectar adversamente nuestra condición financiera y los resultados de nuestras operaciones.</w:t>
      </w:r>
    </w:p>
    <w:p w14:paraId="2C250178" w14:textId="77777777" w:rsidR="004C54BB" w:rsidRPr="00E461D0" w:rsidRDefault="004C54BB" w:rsidP="00E3543E">
      <w:pPr>
        <w:jc w:val="both"/>
        <w:rPr>
          <w:rFonts w:ascii="Palatino Linotype" w:hAnsi="Palatino Linotype"/>
        </w:rPr>
      </w:pPr>
    </w:p>
    <w:p w14:paraId="11B33B72" w14:textId="3479DECC" w:rsidR="004C54BB" w:rsidRPr="00E461D0" w:rsidRDefault="004C54BB" w:rsidP="004C54BB">
      <w:pPr>
        <w:jc w:val="both"/>
        <w:rPr>
          <w:rFonts w:ascii="Palatino Linotype" w:hAnsi="Palatino Linotype"/>
        </w:rPr>
      </w:pPr>
      <w:r w:rsidRPr="00E461D0">
        <w:rPr>
          <w:rFonts w:ascii="Palatino Linotype" w:hAnsi="Palatino Linotype"/>
        </w:rPr>
        <w:t>La inflación sigue siendo un desafío para la Argentina. El actual Gobierno implementó una política de reducción del déficit fiscal primario como porcentaje del PBI a lo largo del tiempo con la consecuente reducción de la dependencia del Tes</w:t>
      </w:r>
      <w:r w:rsidR="0014604A">
        <w:rPr>
          <w:rFonts w:ascii="Palatino Linotype" w:hAnsi="Palatino Linotype"/>
        </w:rPr>
        <w:t>oro</w:t>
      </w:r>
      <w:r w:rsidRPr="00E461D0">
        <w:rPr>
          <w:rFonts w:ascii="Palatino Linotype" w:hAnsi="Palatino Linotype"/>
        </w:rPr>
        <w:t xml:space="preserve"> del financiamiento del Banco Central. Esta política al momento ha sido poco efectiva en parte como consecuencia de la depreciación del </w:t>
      </w:r>
      <w:r w:rsidR="00CE678E">
        <w:rPr>
          <w:rFonts w:ascii="Palatino Linotype" w:hAnsi="Palatino Linotype"/>
        </w:rPr>
        <w:t>P</w:t>
      </w:r>
      <w:r w:rsidRPr="00E461D0">
        <w:rPr>
          <w:rFonts w:ascii="Palatino Linotype" w:hAnsi="Palatino Linotype"/>
        </w:rPr>
        <w:t>eso, la cual revitalizó la evolución de precios. Si las medidas adoptadas por la administración actual o la próxima no logran resolver los problemas inflacionarios esto podría tener un impacto negativo en las condiciones económicas y financieras del país y afectar nuestras operaciones y situación financiera.</w:t>
      </w:r>
    </w:p>
    <w:p w14:paraId="4E74F871" w14:textId="77777777" w:rsidR="00E3543E" w:rsidRPr="00E461D0" w:rsidRDefault="00E3543E" w:rsidP="00E3543E">
      <w:pPr>
        <w:jc w:val="both"/>
        <w:rPr>
          <w:rFonts w:ascii="Palatino Linotype" w:hAnsi="Palatino Linotype"/>
        </w:rPr>
      </w:pPr>
    </w:p>
    <w:p w14:paraId="4895574F" w14:textId="5CACAC50" w:rsidR="00E3543E" w:rsidRPr="00E461D0" w:rsidRDefault="00E3543E" w:rsidP="00E3543E">
      <w:pPr>
        <w:jc w:val="both"/>
        <w:rPr>
          <w:rFonts w:ascii="Palatino Linotype" w:hAnsi="Palatino Linotype"/>
        </w:rPr>
      </w:pPr>
      <w:r w:rsidRPr="00E461D0">
        <w:rPr>
          <w:rFonts w:ascii="Palatino Linotype" w:hAnsi="Palatino Linotype"/>
        </w:rPr>
        <w:t>El</w:t>
      </w:r>
      <w:r w:rsidR="0014604A">
        <w:rPr>
          <w:rFonts w:ascii="Palatino Linotype" w:hAnsi="Palatino Linotype"/>
        </w:rPr>
        <w:t xml:space="preserve"> pasado</w:t>
      </w:r>
      <w:r w:rsidRPr="00E461D0">
        <w:rPr>
          <w:rFonts w:ascii="Palatino Linotype" w:hAnsi="Palatino Linotype"/>
        </w:rPr>
        <w:t xml:space="preserve"> 8 de mayo de 2018, el presidente Macri anunció que el gobierno argentino iniciaría negociaciones con el FMI con el objetivo de adquirir una línea de crédito stand-by </w:t>
      </w:r>
      <w:r w:rsidR="0073289A" w:rsidRPr="00E461D0">
        <w:rPr>
          <w:rFonts w:ascii="Palatino Linotype" w:hAnsi="Palatino Linotype"/>
        </w:rPr>
        <w:t xml:space="preserve">(el “Acuerdo Stand-By”) </w:t>
      </w:r>
      <w:r w:rsidRPr="00E461D0">
        <w:rPr>
          <w:rFonts w:ascii="Palatino Linotype" w:hAnsi="Palatino Linotype"/>
        </w:rPr>
        <w:t xml:space="preserve">que permitiría a la Argentina acceder al financiamiento del FMI. El 8 de junio de 2018, los puntos clave del acuerdo se hicieron públicos, que consisten en un préstamo stand-by por US$50.000 millones, sujeto a ajustes estrictos, principalmente debido a inquietudes fiscales y políticas, a las que estará sujeto el </w:t>
      </w:r>
      <w:r w:rsidR="0073289A" w:rsidRPr="00E461D0">
        <w:rPr>
          <w:rFonts w:ascii="Palatino Linotype" w:hAnsi="Palatino Linotype"/>
        </w:rPr>
        <w:t>Gobierno Nacional</w:t>
      </w:r>
      <w:r w:rsidRPr="00E461D0">
        <w:rPr>
          <w:rFonts w:ascii="Palatino Linotype" w:hAnsi="Palatino Linotype"/>
        </w:rPr>
        <w:t xml:space="preserve"> en los próximos años. El 22 de junio de 2018, el FMI realizó un desembolso inicial de US$15.000 millones. Adicionalmente, el 26 de septiembre de 2018, Argentina publicó un nuevo acuerdo con el FMI. Este nuevo acuerdo respaldó el </w:t>
      </w:r>
      <w:r w:rsidR="004E7B3C" w:rsidRPr="00E461D0">
        <w:rPr>
          <w:rFonts w:ascii="Palatino Linotype" w:hAnsi="Palatino Linotype"/>
        </w:rPr>
        <w:t>A</w:t>
      </w:r>
      <w:r w:rsidRPr="00E461D0">
        <w:rPr>
          <w:rFonts w:ascii="Palatino Linotype" w:hAnsi="Palatino Linotype"/>
        </w:rPr>
        <w:t xml:space="preserve">cuerdo </w:t>
      </w:r>
      <w:r w:rsidR="004E7B3C" w:rsidRPr="00E461D0">
        <w:rPr>
          <w:rFonts w:ascii="Palatino Linotype" w:hAnsi="Palatino Linotype"/>
        </w:rPr>
        <w:t>S</w:t>
      </w:r>
      <w:r w:rsidRPr="00E461D0">
        <w:rPr>
          <w:rFonts w:ascii="Palatino Linotype" w:hAnsi="Palatino Linotype"/>
        </w:rPr>
        <w:t>tand-</w:t>
      </w:r>
      <w:r w:rsidR="004E7B3C" w:rsidRPr="00E461D0">
        <w:rPr>
          <w:rFonts w:ascii="Palatino Linotype" w:hAnsi="Palatino Linotype"/>
        </w:rPr>
        <w:t>B</w:t>
      </w:r>
      <w:r w:rsidRPr="00E461D0">
        <w:rPr>
          <w:rFonts w:ascii="Palatino Linotype" w:hAnsi="Palatino Linotype"/>
        </w:rPr>
        <w:t>y de tres años, aprobado el 20 de junio de 2018 e incluye un aumento en los fondos disponibles del FMI de US$19.000 millones hasta fines de 2019. También aument</w:t>
      </w:r>
      <w:r w:rsidR="00FE5C1D" w:rsidRPr="00E461D0">
        <w:rPr>
          <w:rFonts w:ascii="Palatino Linotype" w:hAnsi="Palatino Linotype"/>
        </w:rPr>
        <w:t>ó</w:t>
      </w:r>
      <w:r w:rsidRPr="00E461D0">
        <w:rPr>
          <w:rFonts w:ascii="Palatino Linotype" w:hAnsi="Palatino Linotype"/>
        </w:rPr>
        <w:t xml:space="preserve"> el monto máximo de préstamo disponible, a US$57.100 millones hasta 2021. Los fondos disponibles en el marco del </w:t>
      </w:r>
      <w:r w:rsidR="00FE5C1D" w:rsidRPr="00E461D0">
        <w:rPr>
          <w:rFonts w:ascii="Palatino Linotype" w:hAnsi="Palatino Linotype"/>
        </w:rPr>
        <w:t>acuerdo</w:t>
      </w:r>
      <w:r w:rsidRPr="00E461D0">
        <w:rPr>
          <w:rFonts w:ascii="Palatino Linotype" w:hAnsi="Palatino Linotype"/>
        </w:rPr>
        <w:t xml:space="preserve"> ya no serán tratados como reservas preventivas, ya que el gobierno argentino ha indicado que pretenden utilizar el financiamiento del FMI como apoyo presupuestario. El plan económico apoyado por el FMI </w:t>
      </w:r>
      <w:r w:rsidR="002A3B3C" w:rsidRPr="00E461D0">
        <w:rPr>
          <w:rFonts w:ascii="Palatino Linotype" w:hAnsi="Palatino Linotype"/>
        </w:rPr>
        <w:t xml:space="preserve">fue elaborado con el objetivo de </w:t>
      </w:r>
      <w:r w:rsidRPr="00E461D0">
        <w:rPr>
          <w:rFonts w:ascii="Palatino Linotype" w:hAnsi="Palatino Linotype"/>
        </w:rPr>
        <w:t>fortalecer la economía argentina al centrarse en cuatro pilares clave: (</w:t>
      </w:r>
      <w:r w:rsidR="00FE5C1D" w:rsidRPr="00E461D0">
        <w:rPr>
          <w:rFonts w:ascii="Palatino Linotype" w:hAnsi="Palatino Linotype"/>
        </w:rPr>
        <w:t>i</w:t>
      </w:r>
      <w:r w:rsidRPr="00E461D0">
        <w:rPr>
          <w:rFonts w:ascii="Palatino Linotype" w:hAnsi="Palatino Linotype"/>
        </w:rPr>
        <w:t>) restaurar la confianza del mercado; (</w:t>
      </w:r>
      <w:r w:rsidR="00FE5C1D" w:rsidRPr="00E461D0">
        <w:rPr>
          <w:rFonts w:ascii="Palatino Linotype" w:hAnsi="Palatino Linotype"/>
        </w:rPr>
        <w:t>ii</w:t>
      </w:r>
      <w:r w:rsidRPr="00E461D0">
        <w:rPr>
          <w:rFonts w:ascii="Palatino Linotype" w:hAnsi="Palatino Linotype"/>
        </w:rPr>
        <w:t>) proteger a los sectores más vulnerables de la sociedad; (</w:t>
      </w:r>
      <w:r w:rsidR="00FE5C1D" w:rsidRPr="00E461D0">
        <w:rPr>
          <w:rFonts w:ascii="Palatino Linotype" w:hAnsi="Palatino Linotype"/>
        </w:rPr>
        <w:t>iii</w:t>
      </w:r>
      <w:r w:rsidRPr="00E461D0">
        <w:rPr>
          <w:rFonts w:ascii="Palatino Linotype" w:hAnsi="Palatino Linotype"/>
        </w:rPr>
        <w:t>) fortalecer la credibilidad del marco de metas de inflación del BCRA; y (</w:t>
      </w:r>
      <w:r w:rsidR="00FE5C1D" w:rsidRPr="00E461D0">
        <w:rPr>
          <w:rFonts w:ascii="Palatino Linotype" w:hAnsi="Palatino Linotype"/>
        </w:rPr>
        <w:t>iv</w:t>
      </w:r>
      <w:r w:rsidRPr="00E461D0">
        <w:rPr>
          <w:rFonts w:ascii="Palatino Linotype" w:hAnsi="Palatino Linotype"/>
        </w:rPr>
        <w:t>) disminuir progresivamente las tensiones en la balanza de pagos. No hay garantías sobre el impacto que tendrá el préstamo del FMI en la economía argentina, sus activos o en la situación económica y financiera de las empresas argentinas.</w:t>
      </w:r>
    </w:p>
    <w:p w14:paraId="6AFC940F" w14:textId="77777777" w:rsidR="006A5D81" w:rsidRPr="00E461D0" w:rsidRDefault="006A5D81" w:rsidP="00E3543E">
      <w:pPr>
        <w:jc w:val="both"/>
        <w:rPr>
          <w:rFonts w:ascii="Palatino Linotype" w:hAnsi="Palatino Linotype"/>
        </w:rPr>
      </w:pPr>
    </w:p>
    <w:p w14:paraId="24433D9B" w14:textId="7FAD5362" w:rsidR="00E3543E" w:rsidRPr="00E461D0" w:rsidRDefault="00E3543E" w:rsidP="00E3543E">
      <w:pPr>
        <w:jc w:val="both"/>
        <w:rPr>
          <w:rFonts w:ascii="Palatino Linotype" w:hAnsi="Palatino Linotype"/>
        </w:rPr>
      </w:pPr>
      <w:r w:rsidRPr="00E461D0">
        <w:rPr>
          <w:rFonts w:ascii="Palatino Linotype" w:hAnsi="Palatino Linotype"/>
        </w:rPr>
        <w:t xml:space="preserve">Algunos de los compromisos asumidos por el Gobierno Nacional, como contrapartida del préstamo del FMI consisten en: reducción del déficit fiscal primario alcanzándose un </w:t>
      </w:r>
      <w:r w:rsidR="00FE5C1D" w:rsidRPr="00E461D0">
        <w:rPr>
          <w:rFonts w:ascii="Palatino Linotype" w:hAnsi="Palatino Linotype"/>
        </w:rPr>
        <w:t xml:space="preserve">superávit </w:t>
      </w:r>
      <w:r w:rsidRPr="00E461D0">
        <w:rPr>
          <w:rFonts w:ascii="Palatino Linotype" w:hAnsi="Palatino Linotype"/>
        </w:rPr>
        <w:t>en 2021, y reducción del stock de títulos del BCRA proporcionando al mismo un nivel de capital que garantice su autonomía financiera, entre otros. El acuerdo incluye una “cláusula social” según la cual, en caso de que la situación social se deteriore, el Gobierno Nacional podría desviarse de los objetivos de reducir el déficit fiscal e incrementar el gasto social para la protección de los sectores más vulnerables.</w:t>
      </w:r>
    </w:p>
    <w:p w14:paraId="76C902AD" w14:textId="77777777" w:rsidR="006A5D81" w:rsidRPr="00E461D0" w:rsidRDefault="006A5D81" w:rsidP="00E3543E">
      <w:pPr>
        <w:jc w:val="both"/>
        <w:rPr>
          <w:rFonts w:ascii="Palatino Linotype" w:hAnsi="Palatino Linotype"/>
        </w:rPr>
      </w:pPr>
    </w:p>
    <w:p w14:paraId="6FAF46DB" w14:textId="7872C2E9" w:rsidR="00E3543E" w:rsidRPr="00E461D0" w:rsidRDefault="00E3543E" w:rsidP="00FE5C1D">
      <w:pPr>
        <w:jc w:val="both"/>
        <w:rPr>
          <w:rFonts w:ascii="Palatino Linotype" w:hAnsi="Palatino Linotype"/>
        </w:rPr>
      </w:pPr>
      <w:r w:rsidRPr="00E461D0">
        <w:rPr>
          <w:rFonts w:ascii="Palatino Linotype" w:hAnsi="Palatino Linotype"/>
        </w:rPr>
        <w:t xml:space="preserve">El 26 de octubre de 2018, el FMI aprobó la primera revisión del desempeño de Argentina bajo el nuevo </w:t>
      </w:r>
      <w:r w:rsidR="004E7B3C" w:rsidRPr="00E461D0">
        <w:rPr>
          <w:rFonts w:ascii="Palatino Linotype" w:hAnsi="Palatino Linotype"/>
        </w:rPr>
        <w:t>A</w:t>
      </w:r>
      <w:r w:rsidRPr="00E461D0">
        <w:rPr>
          <w:rFonts w:ascii="Palatino Linotype" w:hAnsi="Palatino Linotype"/>
        </w:rPr>
        <w:t xml:space="preserve">cuerdo </w:t>
      </w:r>
      <w:r w:rsidR="004E7B3C" w:rsidRPr="00E461D0">
        <w:rPr>
          <w:rFonts w:ascii="Palatino Linotype" w:hAnsi="Palatino Linotype"/>
        </w:rPr>
        <w:t>S</w:t>
      </w:r>
      <w:r w:rsidRPr="00E461D0">
        <w:rPr>
          <w:rFonts w:ascii="Palatino Linotype" w:hAnsi="Palatino Linotype"/>
        </w:rPr>
        <w:t>tand-</w:t>
      </w:r>
      <w:r w:rsidR="004E7B3C" w:rsidRPr="00E461D0">
        <w:rPr>
          <w:rFonts w:ascii="Palatino Linotype" w:hAnsi="Palatino Linotype"/>
        </w:rPr>
        <w:t>B</w:t>
      </w:r>
      <w:r w:rsidRPr="00E461D0">
        <w:rPr>
          <w:rFonts w:ascii="Palatino Linotype" w:hAnsi="Palatino Linotype"/>
        </w:rPr>
        <w:t xml:space="preserve">y y autorizó una nueva transferencia de aproximadamente US$5.700 millones. El 19 de diciembre de 2018, el FMI aprobó un nuevo desembolso de US$7.600 millones, que junto con los dos desembolsos anteriores alcanzaron un monto total de US$28.300 millones para el año 2018. </w:t>
      </w:r>
      <w:r w:rsidR="00FE5C1D" w:rsidRPr="00E461D0">
        <w:rPr>
          <w:rFonts w:ascii="Palatino Linotype" w:hAnsi="Palatino Linotype"/>
        </w:rPr>
        <w:t xml:space="preserve">Los desembolsos del FMI en lo que va del año, ocurrieron en abril de 2019, cuando transfirió US$10.818 millones, y en julio de 2019, por US$ 5.386 millones. No podemos predecir con exactitud qué medidas se adoptará n para cumplir los acuerdos celebrados con el FMI o sus consecuencias sobre la economía argentina en general y si ello podría generar un cambio adverso en nuestra condición financiera y en el resultado de nuestras operaciones. A la fecha del presente Prospecto, </w:t>
      </w:r>
      <w:r w:rsidRPr="00E461D0">
        <w:rPr>
          <w:rFonts w:ascii="Palatino Linotype" w:hAnsi="Palatino Linotype"/>
        </w:rPr>
        <w:t>tras los cambios que sufrió el Ministerio de Hacienda de la Nación con la designación del nuevo ministro Ec. Hernán Lacunza</w:t>
      </w:r>
      <w:r w:rsidR="00FE5C1D" w:rsidRPr="00E461D0">
        <w:rPr>
          <w:rFonts w:ascii="Palatino Linotype" w:hAnsi="Palatino Linotype"/>
        </w:rPr>
        <w:t xml:space="preserve"> al frente de la cartera</w:t>
      </w:r>
      <w:r w:rsidR="00780FFC">
        <w:rPr>
          <w:rFonts w:ascii="Palatino Linotype" w:hAnsi="Palatino Linotype"/>
        </w:rPr>
        <w:t xml:space="preserve"> y el reciente resultado obtenido en las elecciones presidenciales del 27 de octubre de 2019</w:t>
      </w:r>
      <w:r w:rsidRPr="00E461D0">
        <w:rPr>
          <w:rFonts w:ascii="Palatino Linotype" w:hAnsi="Palatino Linotype"/>
        </w:rPr>
        <w:t xml:space="preserve">, se plantean dudas sobre </w:t>
      </w:r>
      <w:r w:rsidR="00FE5C1D" w:rsidRPr="00E461D0">
        <w:rPr>
          <w:rFonts w:ascii="Palatino Linotype" w:hAnsi="Palatino Linotype"/>
        </w:rPr>
        <w:t>la factibilid</w:t>
      </w:r>
      <w:r w:rsidR="0014604A">
        <w:rPr>
          <w:rFonts w:ascii="Palatino Linotype" w:hAnsi="Palatino Linotype"/>
        </w:rPr>
        <w:t>ad del sexto desembolso</w:t>
      </w:r>
      <w:r w:rsidR="00FE5C1D" w:rsidRPr="00E461D0">
        <w:rPr>
          <w:rFonts w:ascii="Palatino Linotype" w:hAnsi="Palatino Linotype"/>
        </w:rPr>
        <w:t xml:space="preserve"> </w:t>
      </w:r>
      <w:r w:rsidRPr="00E461D0">
        <w:rPr>
          <w:rFonts w:ascii="Palatino Linotype" w:hAnsi="Palatino Linotype"/>
        </w:rPr>
        <w:t xml:space="preserve">por otros US$5.400 millones hasta </w:t>
      </w:r>
      <w:r w:rsidR="00FE5C1D" w:rsidRPr="00E461D0">
        <w:rPr>
          <w:rFonts w:ascii="Palatino Linotype" w:hAnsi="Palatino Linotype"/>
        </w:rPr>
        <w:t xml:space="preserve">un eventual recambio en el gobierno. </w:t>
      </w:r>
    </w:p>
    <w:p w14:paraId="2AC12D93" w14:textId="77777777" w:rsidR="00282755" w:rsidRPr="00E461D0" w:rsidRDefault="00282755" w:rsidP="00FE5C1D">
      <w:pPr>
        <w:jc w:val="both"/>
        <w:rPr>
          <w:rFonts w:ascii="Palatino Linotype" w:hAnsi="Palatino Linotype"/>
        </w:rPr>
      </w:pPr>
    </w:p>
    <w:p w14:paraId="1878912C" w14:textId="491DEBE2" w:rsidR="006A5D81" w:rsidRPr="00E461D0" w:rsidRDefault="00FE5C1D" w:rsidP="00FE5C1D">
      <w:pPr>
        <w:jc w:val="both"/>
        <w:rPr>
          <w:rFonts w:ascii="Palatino Linotype" w:hAnsi="Palatino Linotype"/>
        </w:rPr>
      </w:pPr>
      <w:r w:rsidRPr="00E461D0">
        <w:rPr>
          <w:rFonts w:ascii="Palatino Linotype" w:hAnsi="Palatino Linotype"/>
        </w:rPr>
        <w:t>En septiembre de 2018, el Banco Central estableció una nueva política monetaria con el objetivo de</w:t>
      </w:r>
      <w:r w:rsidR="00E461D0">
        <w:rPr>
          <w:rFonts w:ascii="Palatino Linotype" w:hAnsi="Palatino Linotype"/>
        </w:rPr>
        <w:t xml:space="preserve"> </w:t>
      </w:r>
      <w:r w:rsidRPr="00E461D0">
        <w:rPr>
          <w:rFonts w:ascii="Palatino Linotype" w:hAnsi="Palatino Linotype"/>
        </w:rPr>
        <w:t>reducir la tasa de inflación. El BCRA se comprometió a no aumentar la base monetaria (con excepción</w:t>
      </w:r>
      <w:r w:rsidR="00E461D0">
        <w:rPr>
          <w:rFonts w:ascii="Palatino Linotype" w:hAnsi="Palatino Linotype"/>
        </w:rPr>
        <w:t xml:space="preserve"> de </w:t>
      </w:r>
      <w:r w:rsidRPr="00E461D0">
        <w:rPr>
          <w:rFonts w:ascii="Palatino Linotype" w:hAnsi="Palatino Linotype"/>
        </w:rPr>
        <w:t>diciembre, mes que exhibe un incremento estacional de la demanda de dinero), y definió los rangos para una zona de intervención y una zona de no intervención aplicables al tipo de cambio.</w:t>
      </w:r>
    </w:p>
    <w:p w14:paraId="4068C77E" w14:textId="77777777" w:rsidR="00FE5C1D" w:rsidRPr="00E461D0" w:rsidRDefault="00FE5C1D" w:rsidP="00E3543E">
      <w:pPr>
        <w:jc w:val="both"/>
        <w:rPr>
          <w:rFonts w:ascii="Palatino Linotype" w:hAnsi="Palatino Linotype"/>
        </w:rPr>
      </w:pPr>
    </w:p>
    <w:p w14:paraId="7DC320CB" w14:textId="1C8F930A" w:rsidR="00FE5C1D" w:rsidRPr="00E461D0" w:rsidRDefault="00FE5C1D" w:rsidP="00FE5C1D">
      <w:pPr>
        <w:jc w:val="both"/>
        <w:rPr>
          <w:rFonts w:ascii="Palatino Linotype" w:hAnsi="Palatino Linotype"/>
        </w:rPr>
      </w:pPr>
      <w:r w:rsidRPr="00E461D0">
        <w:rPr>
          <w:rFonts w:ascii="Palatino Linotype" w:hAnsi="Palatino Linotype"/>
        </w:rPr>
        <w:t>Respecto de la política cambiaria, la amplitud de la zona de no intervención derivó en la volatilidad del</w:t>
      </w:r>
      <w:r w:rsidR="00282755" w:rsidRPr="00E461D0">
        <w:rPr>
          <w:rFonts w:ascii="Palatino Linotype" w:hAnsi="Palatino Linotype"/>
        </w:rPr>
        <w:t xml:space="preserve"> </w:t>
      </w:r>
      <w:r w:rsidRPr="00E461D0">
        <w:rPr>
          <w:rFonts w:ascii="Palatino Linotype" w:hAnsi="Palatino Linotype"/>
        </w:rPr>
        <w:t>tipo de cambio hasta fines de abril de 2019, cuando con acuerdo del FMI, la mencionada zona pasó a ser sólo una zona de referencia, lo que habilitaba al BCRA a intervenir dentro de la misma. Desde entonces y hasta las PASO el Peso redujo notablemente su volatilidad. Transcurridas las elecciones primarias, el</w:t>
      </w:r>
      <w:r w:rsidR="00282755" w:rsidRPr="00E461D0">
        <w:rPr>
          <w:rFonts w:ascii="Palatino Linotype" w:hAnsi="Palatino Linotype"/>
        </w:rPr>
        <w:t xml:space="preserve"> </w:t>
      </w:r>
      <w:r w:rsidRPr="00E461D0">
        <w:rPr>
          <w:rFonts w:ascii="Palatino Linotype" w:hAnsi="Palatino Linotype"/>
        </w:rPr>
        <w:t>rebalanceo de probabilidades respecto de un cambio de Gobierno derivó en incertidumbre y consecuente</w:t>
      </w:r>
      <w:r w:rsidR="00282755" w:rsidRPr="00E461D0">
        <w:rPr>
          <w:rFonts w:ascii="Palatino Linotype" w:hAnsi="Palatino Linotype"/>
        </w:rPr>
        <w:t xml:space="preserve"> </w:t>
      </w:r>
      <w:r w:rsidRPr="00E461D0">
        <w:rPr>
          <w:rFonts w:ascii="Palatino Linotype" w:hAnsi="Palatino Linotype"/>
        </w:rPr>
        <w:t>dolarización, presionando sobre el nivel de reservas internacionales y resultando en un control de</w:t>
      </w:r>
      <w:r w:rsidR="00282755" w:rsidRPr="00E461D0">
        <w:rPr>
          <w:rFonts w:ascii="Palatino Linotype" w:hAnsi="Palatino Linotype"/>
        </w:rPr>
        <w:t xml:space="preserve"> </w:t>
      </w:r>
      <w:r w:rsidRPr="00E461D0">
        <w:rPr>
          <w:rFonts w:ascii="Palatino Linotype" w:hAnsi="Palatino Linotype"/>
        </w:rPr>
        <w:t xml:space="preserve">capitales. El mismo consiste en reglamentaciones que van desde la limitación de compra de </w:t>
      </w:r>
      <w:r w:rsidR="00CE678E">
        <w:rPr>
          <w:rFonts w:ascii="Palatino Linotype" w:hAnsi="Palatino Linotype"/>
        </w:rPr>
        <w:t>D</w:t>
      </w:r>
      <w:r w:rsidRPr="00E461D0">
        <w:rPr>
          <w:rFonts w:ascii="Palatino Linotype" w:hAnsi="Palatino Linotype"/>
        </w:rPr>
        <w:t>ólares para</w:t>
      </w:r>
      <w:r w:rsidR="00282755" w:rsidRPr="00E461D0">
        <w:rPr>
          <w:rFonts w:ascii="Palatino Linotype" w:hAnsi="Palatino Linotype"/>
        </w:rPr>
        <w:t xml:space="preserve"> </w:t>
      </w:r>
      <w:r w:rsidRPr="00E461D0">
        <w:rPr>
          <w:rFonts w:ascii="Palatino Linotype" w:hAnsi="Palatino Linotype"/>
        </w:rPr>
        <w:t xml:space="preserve">personas físicas hasta un máximo de USD 10.000 mensuales hasta la imposibilidad de comprar </w:t>
      </w:r>
      <w:r w:rsidR="00CE678E">
        <w:rPr>
          <w:rFonts w:ascii="Palatino Linotype" w:hAnsi="Palatino Linotype"/>
        </w:rPr>
        <w:t>D</w:t>
      </w:r>
      <w:r w:rsidRPr="00E461D0">
        <w:rPr>
          <w:rFonts w:ascii="Palatino Linotype" w:hAnsi="Palatino Linotype"/>
        </w:rPr>
        <w:t>ólares</w:t>
      </w:r>
      <w:r w:rsidR="00282755" w:rsidRPr="00E461D0">
        <w:rPr>
          <w:rFonts w:ascii="Palatino Linotype" w:hAnsi="Palatino Linotype"/>
        </w:rPr>
        <w:t xml:space="preserve"> </w:t>
      </w:r>
      <w:r w:rsidRPr="00E461D0">
        <w:rPr>
          <w:rFonts w:ascii="Palatino Linotype" w:hAnsi="Palatino Linotype"/>
        </w:rPr>
        <w:t>para atesoramiento por parte de las personas jurídicas, pasando por limitaciones para girar dividendos,</w:t>
      </w:r>
      <w:r w:rsidR="00282755" w:rsidRPr="00E461D0">
        <w:rPr>
          <w:rFonts w:ascii="Palatino Linotype" w:hAnsi="Palatino Linotype"/>
        </w:rPr>
        <w:t xml:space="preserve"> </w:t>
      </w:r>
      <w:r w:rsidRPr="00E461D0">
        <w:rPr>
          <w:rFonts w:ascii="Palatino Linotype" w:hAnsi="Palatino Linotype"/>
        </w:rPr>
        <w:t>entre otros. Desde la implementación del control de capitales en septiembre de este año, el Peso volvió a</w:t>
      </w:r>
      <w:r w:rsidR="00282755" w:rsidRPr="00E461D0">
        <w:rPr>
          <w:rFonts w:ascii="Palatino Linotype" w:hAnsi="Palatino Linotype"/>
        </w:rPr>
        <w:t xml:space="preserve"> </w:t>
      </w:r>
      <w:r w:rsidRPr="00E461D0">
        <w:rPr>
          <w:rFonts w:ascii="Palatino Linotype" w:hAnsi="Palatino Linotype"/>
        </w:rPr>
        <w:t>mostrar una marcada disminución en su volatilidad</w:t>
      </w:r>
      <w:r w:rsidR="00282755" w:rsidRPr="00E461D0">
        <w:rPr>
          <w:rFonts w:ascii="Palatino Linotype" w:hAnsi="Palatino Linotype"/>
        </w:rPr>
        <w:t>.</w:t>
      </w:r>
    </w:p>
    <w:p w14:paraId="0EBA069E" w14:textId="77777777" w:rsidR="00FE5C1D" w:rsidRPr="00E461D0" w:rsidRDefault="00FE5C1D" w:rsidP="00E3543E">
      <w:pPr>
        <w:jc w:val="both"/>
        <w:rPr>
          <w:rFonts w:ascii="Palatino Linotype" w:hAnsi="Palatino Linotype"/>
        </w:rPr>
      </w:pPr>
    </w:p>
    <w:p w14:paraId="59B97E3D" w14:textId="77777777" w:rsidR="00FE5C1D" w:rsidRPr="00E461D0" w:rsidRDefault="00FE5C1D" w:rsidP="00FE5C1D">
      <w:pPr>
        <w:jc w:val="both"/>
        <w:rPr>
          <w:rFonts w:ascii="Palatino Linotype" w:hAnsi="Palatino Linotype"/>
        </w:rPr>
      </w:pPr>
      <w:r w:rsidRPr="00E461D0">
        <w:rPr>
          <w:rFonts w:ascii="Palatino Linotype" w:hAnsi="Palatino Linotype"/>
        </w:rPr>
        <w:t xml:space="preserve">Respecto de la política monetaria, el esquema original era consistente con metas de equilibrio fiscal primario en 2019 y superávit en 2020. En consecuencia, el Banco Central no realizaría más transferencias al Tesoro Nacional, eliminando así esta fuente de emisión monetaria y reforzando su compromiso con una inflación decreciente a lo largo del tiempo. Tras el resultado de las PASO, el incremento del tipo de cambio y la consecuente aceleración en la inflación impulsó al BCRA a flexibilizar el objetivo de emisión cero con el fin de amortiguar la caída de la base monetaria en términos reales. </w:t>
      </w:r>
    </w:p>
    <w:p w14:paraId="3C2CCE31" w14:textId="77777777" w:rsidR="00FE5C1D" w:rsidRPr="00E461D0" w:rsidRDefault="00FE5C1D" w:rsidP="00FE5C1D">
      <w:pPr>
        <w:jc w:val="both"/>
        <w:rPr>
          <w:rFonts w:ascii="Palatino Linotype" w:hAnsi="Palatino Linotype"/>
        </w:rPr>
      </w:pPr>
    </w:p>
    <w:p w14:paraId="1DEEF416" w14:textId="77777777" w:rsidR="00FE5C1D" w:rsidRPr="00E461D0" w:rsidRDefault="00FE5C1D" w:rsidP="00FE5C1D">
      <w:pPr>
        <w:jc w:val="both"/>
        <w:rPr>
          <w:rFonts w:ascii="Palatino Linotype" w:hAnsi="Palatino Linotype"/>
        </w:rPr>
      </w:pPr>
      <w:r w:rsidRPr="00E461D0">
        <w:rPr>
          <w:rFonts w:ascii="Palatino Linotype" w:hAnsi="Palatino Linotype"/>
        </w:rPr>
        <w:t>Si las medidas adoptadas por la administración actual o la próxima no logran resolver los problemas inflacionarios esto podría tener un impacto negativo en las condiciones económicas y financieras del país y afectar nuestras operaciones, situación financiera y resultados operativos.</w:t>
      </w:r>
    </w:p>
    <w:p w14:paraId="7316B200" w14:textId="77777777" w:rsidR="00FE5C1D" w:rsidRPr="00E461D0" w:rsidRDefault="00FE5C1D" w:rsidP="00FE5C1D">
      <w:pPr>
        <w:jc w:val="both"/>
        <w:rPr>
          <w:rFonts w:ascii="Palatino Linotype" w:hAnsi="Palatino Linotype"/>
        </w:rPr>
      </w:pPr>
    </w:p>
    <w:p w14:paraId="48B7AB2D" w14:textId="77777777" w:rsidR="00FE5C1D" w:rsidRPr="00E461D0" w:rsidRDefault="00FE5C1D" w:rsidP="00FE5C1D">
      <w:pPr>
        <w:jc w:val="both"/>
        <w:rPr>
          <w:rFonts w:ascii="Palatino Linotype" w:hAnsi="Palatino Linotype"/>
        </w:rPr>
      </w:pPr>
      <w:r w:rsidRPr="00E461D0">
        <w:rPr>
          <w:rFonts w:ascii="Palatino Linotype" w:hAnsi="Palatino Linotype"/>
        </w:rPr>
        <w:t>Tanto la inflación como la depreciación de la moneda condujeron a un aumento en la deuda de Argentina y tuvieron un efecto adverso en la capacidad de Argentina de pagar su deuda. Además, resultados fiscales más débiles podrían tener un efecto material adverso sobre la capacidad del Gobierno para acceder al financiamiento a largo plazo, lo que, a su vez, podría perjudicar a la economía y la situación financiera de Argentina. Asimismo, considerando el programa macroeconómico del próximo Gobierno, éste podría no tener la capacidad o la voluntad de acceder a los mercados de capitales locales o internacionales, y la capacidad de Argentina para pagar el remanente de su deuda pública podría verse afectada negativamente y, por lo tanto, afectar adversamente la economía argentina y su situación financiera.</w:t>
      </w:r>
    </w:p>
    <w:p w14:paraId="492EBCE2" w14:textId="77777777" w:rsidR="00FE5C1D" w:rsidRPr="00E461D0" w:rsidRDefault="00FE5C1D" w:rsidP="00FE5C1D">
      <w:pPr>
        <w:jc w:val="both"/>
        <w:rPr>
          <w:rFonts w:ascii="Palatino Linotype" w:hAnsi="Palatino Linotype"/>
        </w:rPr>
      </w:pPr>
    </w:p>
    <w:p w14:paraId="2110F448" w14:textId="77777777" w:rsidR="00FE5C1D" w:rsidRPr="00E461D0" w:rsidRDefault="00FE5C1D" w:rsidP="00FE5C1D">
      <w:pPr>
        <w:jc w:val="both"/>
        <w:rPr>
          <w:rFonts w:ascii="Palatino Linotype" w:hAnsi="Palatino Linotype"/>
        </w:rPr>
      </w:pPr>
      <w:r w:rsidRPr="00E461D0">
        <w:rPr>
          <w:rFonts w:ascii="Palatino Linotype" w:hAnsi="Palatino Linotype"/>
        </w:rPr>
        <w:t>La economía argentina es vulnerable a situaciones adversas que afectan a sus principales socios comerciales. Una disminución significativa en el crecimiento económico de cualquiera de los principales socios comerciales de la Argentina, como Brasil, China o los Estados Unidos, podría tener un efecto material adverso en la balanza comercial y afectar negativamente el crecimiento económico de Argentina, y por lo tanto podría afectar adversamente nuestra condición financiera y los resultados de nuestras operaciones. Por otra parte, una significativa depreciación de las monedas de los socios comerciales o competidores comerciales de Argentina podría afectar negativamente a la competitividad y por lo tanto afectar negativamente su economía y nuestra condición financiera y los resultados de nuestras operaciones.</w:t>
      </w:r>
    </w:p>
    <w:p w14:paraId="22784141" w14:textId="77777777" w:rsidR="00FE5C1D" w:rsidRPr="00E461D0" w:rsidRDefault="00FE5C1D" w:rsidP="00FE5C1D">
      <w:pPr>
        <w:jc w:val="both"/>
        <w:rPr>
          <w:rFonts w:ascii="Palatino Linotype" w:hAnsi="Palatino Linotype"/>
        </w:rPr>
      </w:pPr>
    </w:p>
    <w:p w14:paraId="793D4A0B" w14:textId="02AAEB85" w:rsidR="009A0BA5" w:rsidRPr="00E461D0" w:rsidRDefault="00FE5C1D" w:rsidP="00E3543E">
      <w:pPr>
        <w:jc w:val="both"/>
        <w:rPr>
          <w:rFonts w:ascii="Palatino Linotype" w:hAnsi="Palatino Linotype"/>
        </w:rPr>
      </w:pPr>
      <w:r w:rsidRPr="00E461D0">
        <w:rPr>
          <w:rFonts w:ascii="Palatino Linotype" w:hAnsi="Palatino Linotype"/>
        </w:rPr>
        <w:t>Adicionalmente, debido a las medidas de emergencia adoptadas por el Gobierno Nacional durante o después de la crisis económica de Argentina del 2001-2002, accionistas extranjeros de empresas que operan en Argentina comenzaron procedimientos de arbitraje contra el Gobierno Nacional ante el Centro Internacional de Arreglo de Diferencias Relativas a Inversiones (el "CIADI") y las normas de arbitraje de la Comisión de las Naciones Unidas para el Derecho Mercantil Internacional (la "UNCITRAL"). Las demandas pendientes que se tramitan ante el CIADI y UNCITRAL podrían generar nuevos fallos en contra del Gobierno, lo que podría dar como resultado un efecto adverso significativo en la capacidad del Gobierno para implementar reformas e incentivar el crecimiento económico. No podemos asegurar que el Gobierno Nacional no incumplirá en el futuro sus obligaciones. Si el Gobierno Nacional fuera a cesar el pago de su deuda, ello probablemente resultaría en un deterioro de la actividad económica, aumento de las tasas de interés, presión sobre el mercado cambiario y alta inflación, y como tal afectar negativamente nuestras operaciones y/o situación financiera. Asimismo, si Argentina no tuviera acceso a financiación privada internacional o de organismos multilaterales, o ve limitada la recepción de inversión extranjera directa, es posible que no esté en condiciones de hacer frente a sus obligaciones y la financiación proveniente de instituciones financieras multilaterales podría verse limitada o no estar disponible. Asimismo, la falta de capacidad de Argentina para obtener crédito en mercados internacionales podría tener, en el futuro, un efecto adverso en nuestra habilidad para acceder a los mercados de crédito internacional a tasas de mercado para financiar nuestras operaciones.</w:t>
      </w:r>
    </w:p>
    <w:p w14:paraId="7219F972" w14:textId="77777777" w:rsidR="00FE5C1D" w:rsidRPr="00E461D0" w:rsidRDefault="00FE5C1D" w:rsidP="00E3543E">
      <w:pPr>
        <w:jc w:val="both"/>
        <w:rPr>
          <w:rFonts w:ascii="Palatino Linotype" w:hAnsi="Palatino Linotype"/>
        </w:rPr>
      </w:pPr>
    </w:p>
    <w:p w14:paraId="79CA632E" w14:textId="204842FB" w:rsidR="00E3543E" w:rsidRPr="00E461D0" w:rsidRDefault="00E3543E" w:rsidP="00E3543E">
      <w:pPr>
        <w:jc w:val="both"/>
        <w:rPr>
          <w:rFonts w:ascii="Palatino Linotype" w:hAnsi="Palatino Linotype"/>
          <w:b/>
          <w:i/>
        </w:rPr>
      </w:pPr>
      <w:r w:rsidRPr="00E461D0">
        <w:rPr>
          <w:rFonts w:ascii="Palatino Linotype" w:hAnsi="Palatino Linotype"/>
          <w:b/>
          <w:i/>
        </w:rPr>
        <w:t xml:space="preserve">El resultado de las elecciones presidenciales y provinciales </w:t>
      </w:r>
      <w:r w:rsidR="009F4782">
        <w:rPr>
          <w:rFonts w:ascii="Palatino Linotype" w:hAnsi="Palatino Linotype"/>
          <w:b/>
          <w:i/>
        </w:rPr>
        <w:t>efectuadas</w:t>
      </w:r>
      <w:r w:rsidRPr="00E461D0">
        <w:rPr>
          <w:rFonts w:ascii="Palatino Linotype" w:hAnsi="Palatino Linotype"/>
          <w:b/>
          <w:i/>
        </w:rPr>
        <w:t xml:space="preserve"> en el país </w:t>
      </w:r>
      <w:r w:rsidR="009F4782">
        <w:rPr>
          <w:rFonts w:ascii="Palatino Linotype" w:hAnsi="Palatino Linotype"/>
          <w:b/>
          <w:i/>
        </w:rPr>
        <w:t>el 27 de octubre de</w:t>
      </w:r>
      <w:r w:rsidRPr="00E461D0">
        <w:rPr>
          <w:rFonts w:ascii="Palatino Linotype" w:hAnsi="Palatino Linotype"/>
          <w:b/>
          <w:i/>
        </w:rPr>
        <w:t xml:space="preserve"> 2019 </w:t>
      </w:r>
      <w:r w:rsidR="00E461D0" w:rsidRPr="00E461D0">
        <w:rPr>
          <w:rFonts w:ascii="Palatino Linotype" w:hAnsi="Palatino Linotype"/>
          <w:b/>
          <w:i/>
        </w:rPr>
        <w:t>podría</w:t>
      </w:r>
      <w:r w:rsidRPr="00E461D0">
        <w:rPr>
          <w:rFonts w:ascii="Palatino Linotype" w:hAnsi="Palatino Linotype"/>
          <w:b/>
          <w:i/>
        </w:rPr>
        <w:t xml:space="preserve"> generar incertidumbre en la economía argentina y en consecuencia en nuestros negocios y los resultados de nuestras operaciones. </w:t>
      </w:r>
    </w:p>
    <w:p w14:paraId="75338BC7" w14:textId="77777777" w:rsidR="00282755" w:rsidRDefault="00282755" w:rsidP="00E3543E">
      <w:pPr>
        <w:jc w:val="both"/>
        <w:rPr>
          <w:rFonts w:ascii="Palatino Linotype" w:hAnsi="Palatino Linotype"/>
        </w:rPr>
      </w:pPr>
    </w:p>
    <w:p w14:paraId="23E50490" w14:textId="77777777" w:rsidR="0009447F" w:rsidRPr="009F4782" w:rsidRDefault="0009447F" w:rsidP="0009447F">
      <w:pPr>
        <w:jc w:val="both"/>
        <w:rPr>
          <w:rFonts w:ascii="Palatino Linotype" w:hAnsi="Palatino Linotype"/>
        </w:rPr>
      </w:pPr>
      <w:r w:rsidRPr="009F4782">
        <w:rPr>
          <w:rFonts w:ascii="Palatino Linotype" w:hAnsi="Palatino Linotype"/>
        </w:rPr>
        <w:t>Con fecha 27 de octubre de 2019 se celebraron en la República Argentina las elecciones nacionales donde resultó ganador y presidente electo de conformidad con el Artículo 97 de la Constitución Nacional al obtener “</w:t>
      </w:r>
      <w:r w:rsidRPr="00544EB8">
        <w:rPr>
          <w:rFonts w:ascii="Palatino Linotype" w:hAnsi="Palatino Linotype"/>
          <w:i/>
        </w:rPr>
        <w:t>más del cuarenta y cinco por ciento de los votos afirmativos válidamente emitidos</w:t>
      </w:r>
      <w:r w:rsidRPr="009F4782">
        <w:rPr>
          <w:rFonts w:ascii="Palatino Linotype" w:hAnsi="Palatino Linotype"/>
        </w:rPr>
        <w:t>” el Sr. Alberto Fernández como Presidente y la Sra. Cristina Fernández de Kirchner como Vicepresidente de la Argentina, quienes ejercerán sus cargos a partir del 10 de diciembre de 2019.</w:t>
      </w:r>
    </w:p>
    <w:p w14:paraId="23ECD26B" w14:textId="77777777" w:rsidR="0009447F" w:rsidRPr="009F4782" w:rsidRDefault="0009447F" w:rsidP="0009447F">
      <w:pPr>
        <w:jc w:val="both"/>
        <w:rPr>
          <w:rFonts w:ascii="Palatino Linotype" w:hAnsi="Palatino Linotype"/>
        </w:rPr>
      </w:pPr>
    </w:p>
    <w:p w14:paraId="4F511EFF" w14:textId="222AC766" w:rsidR="0009447F" w:rsidRPr="009F4782" w:rsidRDefault="0009447F" w:rsidP="0009447F">
      <w:pPr>
        <w:jc w:val="both"/>
        <w:rPr>
          <w:rFonts w:ascii="Palatino Linotype" w:hAnsi="Palatino Linotype"/>
        </w:rPr>
      </w:pPr>
      <w:r w:rsidRPr="009F4782">
        <w:rPr>
          <w:rFonts w:ascii="Palatino Linotype" w:hAnsi="Palatino Linotype"/>
        </w:rPr>
        <w:t xml:space="preserve">La fórmula presidencial del partido político “Frente de Todos” obtuvo un 48,10% de los votos en el escrutinio provisorio y la fórmula oficialista del partido “Juntos por el Cambio”, liderada por el Presidente en ejercicio Sr. Mauricio Macri y el </w:t>
      </w:r>
      <w:r>
        <w:rPr>
          <w:rFonts w:ascii="Palatino Linotype" w:hAnsi="Palatino Linotype"/>
        </w:rPr>
        <w:t xml:space="preserve">candidato a </w:t>
      </w:r>
      <w:r w:rsidRPr="009F4782">
        <w:rPr>
          <w:rFonts w:ascii="Palatino Linotype" w:hAnsi="Palatino Linotype"/>
        </w:rPr>
        <w:t>Vicepresidente Miguel A. Pichetto obtuvo un 40,37% de los votos. En este sentido, respecto de las</w:t>
      </w:r>
      <w:r>
        <w:rPr>
          <w:rFonts w:ascii="Palatino Linotype" w:hAnsi="Palatino Linotype"/>
        </w:rPr>
        <w:t xml:space="preserve"> elecciones </w:t>
      </w:r>
      <w:r w:rsidRPr="00E461D0">
        <w:rPr>
          <w:rFonts w:ascii="Palatino Linotype" w:hAnsi="Palatino Linotype"/>
        </w:rPr>
        <w:t>primarias, abiertas, simultaneas y obligatorias</w:t>
      </w:r>
      <w:r>
        <w:rPr>
          <w:rFonts w:ascii="Palatino Linotype" w:hAnsi="Palatino Linotype"/>
        </w:rPr>
        <w:t xml:space="preserve"> (“</w:t>
      </w:r>
      <w:r w:rsidRPr="009F4782">
        <w:rPr>
          <w:rFonts w:ascii="Palatino Linotype" w:hAnsi="Palatino Linotype"/>
        </w:rPr>
        <w:t>PASO</w:t>
      </w:r>
      <w:r>
        <w:rPr>
          <w:rFonts w:ascii="Palatino Linotype" w:hAnsi="Palatino Linotype"/>
        </w:rPr>
        <w:t>”)</w:t>
      </w:r>
      <w:r w:rsidRPr="009F4782">
        <w:rPr>
          <w:rFonts w:ascii="Palatino Linotype" w:hAnsi="Palatino Linotype"/>
        </w:rPr>
        <w:t>, la fórmula del “Frente de Todos” retrocedió un 1,39% y la formula oficialista aumentó su caudal de votos en un 7,44%.</w:t>
      </w:r>
    </w:p>
    <w:p w14:paraId="761F0B74" w14:textId="77777777" w:rsidR="0009447F" w:rsidRPr="009F4782" w:rsidRDefault="0009447F" w:rsidP="0009447F">
      <w:pPr>
        <w:jc w:val="both"/>
        <w:rPr>
          <w:rFonts w:ascii="Palatino Linotype" w:hAnsi="Palatino Linotype"/>
        </w:rPr>
      </w:pPr>
    </w:p>
    <w:p w14:paraId="200753C8" w14:textId="77777777" w:rsidR="0009447F" w:rsidRPr="009F4782" w:rsidRDefault="0009447F" w:rsidP="0009447F">
      <w:pPr>
        <w:jc w:val="both"/>
        <w:rPr>
          <w:rFonts w:ascii="Palatino Linotype" w:hAnsi="Palatino Linotype"/>
        </w:rPr>
      </w:pPr>
      <w:r w:rsidRPr="009F4782">
        <w:rPr>
          <w:rFonts w:ascii="Palatino Linotype" w:hAnsi="Palatino Linotype"/>
        </w:rPr>
        <w:t>Los resultados mencionados precedentemente significaron que “Juntos por el Cambio” sumara nueve bancas en la Cámara de Diputados del Poder Legislativo y mantuviera las mismas bancas en la Cámara de Senadores. Por otro lado, el “Frente de Todos” sumó tres bancas en la Cámara de Senadores y mantuvo sus bancas en la Cámara de Diputados. En función de ello, sobre un total de 257 bancas en la Cámara de Diputados, 120 bancas quedaron en poder del “Frente de Todos”, 119 bancas quedaron en poder de “Juntos por el Cambio” y las restantes 15 bancas quedaron divididas entre los restantes partidos políticos. Para lograr el quórum en la Cámara de Diputados es necesario reunir 129 diputados. En lo que respecta a la Cámara de Senadores, sobre un total de 72 bancas, el “Frente de Todos” obtuvo 37 bancas y “Juntos por el Cambio” 29 bancas, quedando las restantes bancas distribuidas entre el resto de los partidos políticos. Para lograr el quórum en la Cámara de Senadores es necesario reunir 37 senadores.</w:t>
      </w:r>
    </w:p>
    <w:p w14:paraId="5425F633" w14:textId="77777777" w:rsidR="0009447F" w:rsidRPr="009F4782" w:rsidRDefault="0009447F" w:rsidP="0009447F">
      <w:pPr>
        <w:jc w:val="both"/>
        <w:rPr>
          <w:rFonts w:ascii="Palatino Linotype" w:hAnsi="Palatino Linotype"/>
        </w:rPr>
      </w:pPr>
    </w:p>
    <w:p w14:paraId="4F62D480" w14:textId="77777777" w:rsidR="0009447F" w:rsidRDefault="0009447F" w:rsidP="0009447F">
      <w:pPr>
        <w:jc w:val="both"/>
        <w:rPr>
          <w:rFonts w:ascii="Palatino Linotype" w:hAnsi="Palatino Linotype"/>
        </w:rPr>
      </w:pPr>
      <w:r w:rsidRPr="009F4782">
        <w:rPr>
          <w:rFonts w:ascii="Palatino Linotype" w:hAnsi="Palatino Linotype"/>
        </w:rPr>
        <w:t>En la Provincia de Buenos Aires, el distrito con más electores de la Argentina, el candidato electo Axel Kiciloff obtuvo un 52,28% de los votos, derrotando a la candidata oficialista María Eugenia Vidal que obtuvo un 38,39%; mientras que en la Ciudad Autónoma de Buenos Aires, el cuarto distrito con más electores del país, el candidato oficialista Horacio Rodríguez Larreta obtuvo la victoria en primera vuelta con el 55,90% de los votos, evitando de esa forma la segunda vuelta.</w:t>
      </w:r>
    </w:p>
    <w:p w14:paraId="4E9B6DC9" w14:textId="77777777" w:rsidR="0009447F" w:rsidRDefault="0009447F" w:rsidP="00E3543E">
      <w:pPr>
        <w:jc w:val="both"/>
        <w:rPr>
          <w:rFonts w:ascii="Palatino Linotype" w:hAnsi="Palatino Linotype"/>
        </w:rPr>
      </w:pPr>
    </w:p>
    <w:p w14:paraId="1C47EDE0" w14:textId="14B1E68D" w:rsidR="009F4782" w:rsidRPr="00E461D0" w:rsidRDefault="0009447F" w:rsidP="00E3543E">
      <w:pPr>
        <w:jc w:val="both"/>
        <w:rPr>
          <w:rFonts w:ascii="Palatino Linotype" w:hAnsi="Palatino Linotype"/>
        </w:rPr>
      </w:pPr>
      <w:r>
        <w:rPr>
          <w:rFonts w:ascii="Palatino Linotype" w:hAnsi="Palatino Linotype"/>
        </w:rPr>
        <w:t>N</w:t>
      </w:r>
      <w:r w:rsidR="009F4782" w:rsidRPr="009F4782">
        <w:rPr>
          <w:rFonts w:ascii="Palatino Linotype" w:hAnsi="Palatino Linotype"/>
        </w:rPr>
        <w:t>o es posible predecir las medidas que podrán ser adoptadas por la nueva administración electa tanto a nivel nacional o provincial, lo cual podría tener un efecto sustancialmente adverso en la economía o en la habilidad de Argentina de cumplir con sus obligaciones lo que podría afectar nuestra condición financiera y los resultados de nuestras operaciones.</w:t>
      </w:r>
    </w:p>
    <w:p w14:paraId="23ECB5E3" w14:textId="77777777" w:rsidR="00B8528C" w:rsidRPr="00E461D0" w:rsidRDefault="00B8528C" w:rsidP="00B8528C">
      <w:pPr>
        <w:jc w:val="both"/>
        <w:rPr>
          <w:rFonts w:ascii="Palatino Linotype" w:hAnsi="Palatino Linotype"/>
        </w:rPr>
      </w:pPr>
    </w:p>
    <w:p w14:paraId="218831F9" w14:textId="6131A8A8" w:rsidR="00282755" w:rsidRPr="00CE678E" w:rsidRDefault="00282755" w:rsidP="00282755">
      <w:pPr>
        <w:jc w:val="both"/>
        <w:rPr>
          <w:rFonts w:ascii="Palatino Linotype" w:hAnsi="Palatino Linotype"/>
          <w:b/>
          <w:i/>
        </w:rPr>
      </w:pPr>
      <w:r w:rsidRPr="00E461D0">
        <w:rPr>
          <w:rFonts w:ascii="Palatino Linotype" w:hAnsi="Palatino Linotype"/>
          <w:b/>
          <w:i/>
        </w:rPr>
        <w:t>Si en el futuro hubiese limitaciones para obtener financiamiento y atraer inversiones extranjeras directas, ello podría tener un efecto adverso sobre la economía y el desarrollo financiero de la Compañía</w:t>
      </w:r>
      <w:r w:rsidRPr="00CE678E">
        <w:rPr>
          <w:rFonts w:ascii="Palatino Linotype" w:hAnsi="Palatino Linotype"/>
          <w:b/>
          <w:i/>
        </w:rPr>
        <w:t>.</w:t>
      </w:r>
    </w:p>
    <w:p w14:paraId="4920147D" w14:textId="77777777" w:rsidR="00282755" w:rsidRPr="00E461D0" w:rsidRDefault="00282755" w:rsidP="00282755">
      <w:pPr>
        <w:jc w:val="both"/>
        <w:rPr>
          <w:rFonts w:ascii="Palatino Linotype" w:hAnsi="Palatino Linotype"/>
        </w:rPr>
      </w:pPr>
    </w:p>
    <w:p w14:paraId="00F1E970" w14:textId="393D9AD1" w:rsidR="00282755" w:rsidRPr="00E461D0" w:rsidRDefault="00282755" w:rsidP="00282755">
      <w:pPr>
        <w:jc w:val="both"/>
        <w:rPr>
          <w:rFonts w:ascii="Palatino Linotype" w:hAnsi="Palatino Linotype"/>
        </w:rPr>
      </w:pPr>
      <w:r w:rsidRPr="00E461D0">
        <w:rPr>
          <w:rFonts w:ascii="Palatino Linotype" w:hAnsi="Palatino Linotype"/>
        </w:rPr>
        <w:t>En el pasado la Argentina ha tenido un acceso limitado al financiamiento externo, fundamentalmente por haber entrado en default en diciembre de 2001 con tenedores de bonos del exterior, con instituciones financieras multilaterales y otras instituciones financieras. Al respecto, se destaca que en 2006 Argentina canceló toda su deuda pendiente con el FMI, realizó canjes de deuda con ciertos bonistas entre 2004 y 2010, y llegó a un acuerdo con el Club de París en 2014. El 1° de marzo de 2016 se alcanzó un acuerdo entre el Gobierno Nacional y otros grupos de holdouts, consistente en la realización de un pago en efectivo a los fondos NML, Aurelius, Barcebridge y Davidson Kempner, que debía realizarse antes del 14 de abril de 2016, el cual fue postergado hacia el 22 de abril de 2016. El mencionado acuerdo fue aprobado por el Congreso de la Nación mediante la Ley N° 27.249.</w:t>
      </w:r>
    </w:p>
    <w:p w14:paraId="4D6AA9D6" w14:textId="77777777" w:rsidR="00282755" w:rsidRPr="00E461D0" w:rsidRDefault="00282755" w:rsidP="00282755">
      <w:pPr>
        <w:jc w:val="both"/>
        <w:rPr>
          <w:rFonts w:ascii="Palatino Linotype" w:hAnsi="Palatino Linotype"/>
        </w:rPr>
      </w:pPr>
    </w:p>
    <w:p w14:paraId="5B952835" w14:textId="77777777" w:rsidR="00282755" w:rsidRPr="00E461D0" w:rsidRDefault="00282755" w:rsidP="00282755">
      <w:pPr>
        <w:jc w:val="both"/>
        <w:rPr>
          <w:rFonts w:ascii="Palatino Linotype" w:hAnsi="Palatino Linotype"/>
        </w:rPr>
      </w:pPr>
      <w:r w:rsidRPr="00E461D0">
        <w:rPr>
          <w:rFonts w:ascii="Palatino Linotype" w:hAnsi="Palatino Linotype"/>
        </w:rPr>
        <w:t>Con fecha 18 de abril de 2016, con el fin de saldar la deuda relacionada a los holdouts, Argentina emitió bonos por US$16.500 millones con una tasa que varía según el tramo desde el 6,25% hasta el 8% nominal anual, con vencimientos de hasta 30 años. En virtud de ello, Standard &amp; Poor’s subió sus calificaciones a la deuda soberana en moneda local de la Argentina de largo y corto plazo a “B” y “B”, respectivamente, desde “CCC+” y “C”. Asimismo, elevó su nota para la deuda soberana de corto plazo en moneda extranjera de D a B.</w:t>
      </w:r>
    </w:p>
    <w:p w14:paraId="100247D1" w14:textId="77777777" w:rsidR="00282755" w:rsidRPr="00E461D0" w:rsidRDefault="00282755" w:rsidP="00282755">
      <w:pPr>
        <w:jc w:val="both"/>
        <w:rPr>
          <w:rFonts w:ascii="Palatino Linotype" w:hAnsi="Palatino Linotype"/>
        </w:rPr>
      </w:pPr>
    </w:p>
    <w:p w14:paraId="04344DC7" w14:textId="77777777" w:rsidR="00282755" w:rsidRPr="00E461D0" w:rsidRDefault="00282755" w:rsidP="00282755">
      <w:pPr>
        <w:jc w:val="both"/>
        <w:rPr>
          <w:rFonts w:ascii="Palatino Linotype" w:hAnsi="Palatino Linotype"/>
        </w:rPr>
      </w:pPr>
      <w:r w:rsidRPr="00E461D0">
        <w:rPr>
          <w:rFonts w:ascii="Palatino Linotype" w:hAnsi="Palatino Linotype"/>
        </w:rPr>
        <w:t>Posteriormente, con fecha 30 de octubre de 2017, la calificadora Standard &amp; Poor´s (S&amp;P) subió su calificación crediticia soberana de Argentina de largo plazo a “B+” desde “B”. A la fecha del presente Prospecto, tras el resultado de las PASO, y debido a la gran incertidumbre económica y política, entre otros factores determinantes, la calificadora Standard &amp; Poor´s (S&amp;P) le otorgó una calificación de “CCC-“a la deuda soberana en moneda local de Argentina a largo plazo, y una calificación de “C” a la deuda soberana en moneda local de Argentina a corto plazo.</w:t>
      </w:r>
    </w:p>
    <w:p w14:paraId="4289E4EF" w14:textId="77777777" w:rsidR="00282755" w:rsidRPr="00E461D0" w:rsidRDefault="00282755" w:rsidP="00282755">
      <w:pPr>
        <w:jc w:val="both"/>
        <w:rPr>
          <w:rFonts w:ascii="Palatino Linotype" w:hAnsi="Palatino Linotype"/>
        </w:rPr>
      </w:pPr>
    </w:p>
    <w:p w14:paraId="65988609" w14:textId="275DEA19" w:rsidR="00282755" w:rsidRPr="00E461D0" w:rsidRDefault="00282755" w:rsidP="00282755">
      <w:pPr>
        <w:jc w:val="both"/>
        <w:rPr>
          <w:rFonts w:ascii="Palatino Linotype" w:hAnsi="Palatino Linotype"/>
        </w:rPr>
      </w:pPr>
      <w:r w:rsidRPr="00E461D0">
        <w:rPr>
          <w:rFonts w:ascii="Palatino Linotype" w:hAnsi="Palatino Linotype"/>
        </w:rPr>
        <w:t>En mayo de 2018, el Gobierno Nacional anunció el inicio de negociaciones con el FMI con la intención de solicitar un “Acuerdo Stand-</w:t>
      </w:r>
      <w:r w:rsidR="003E2CE7" w:rsidRPr="00E461D0">
        <w:rPr>
          <w:rFonts w:ascii="Palatino Linotype" w:hAnsi="Palatino Linotype"/>
        </w:rPr>
        <w:t>B</w:t>
      </w:r>
      <w:r w:rsidRPr="00E461D0">
        <w:rPr>
          <w:rFonts w:ascii="Palatino Linotype" w:hAnsi="Palatino Linotype"/>
        </w:rPr>
        <w:t>y”. Para mayor información sobre éste acuerdo véase “</w:t>
      </w:r>
      <w:r w:rsidRPr="00E461D0">
        <w:rPr>
          <w:rFonts w:ascii="Palatino Linotype" w:hAnsi="Palatino Linotype"/>
          <w:i/>
        </w:rPr>
        <w:t>Factores de Riesgo — La inestabilidad política y económica en Argentina, entre otros factores, podría tener un efecto material adverso en la capacidad del Emisor de hacer pagos con respecto a las Obligaciones Negociables” del presente Prospecto</w:t>
      </w:r>
      <w:r w:rsidR="003E2CE7" w:rsidRPr="00E461D0">
        <w:rPr>
          <w:rFonts w:ascii="Palatino Linotype" w:hAnsi="Palatino Linotype"/>
        </w:rPr>
        <w:t>”</w:t>
      </w:r>
      <w:r w:rsidRPr="00E461D0">
        <w:rPr>
          <w:rFonts w:ascii="Palatino Linotype" w:hAnsi="Palatino Linotype"/>
        </w:rPr>
        <w:t>.</w:t>
      </w:r>
    </w:p>
    <w:p w14:paraId="3F206DA8" w14:textId="77777777" w:rsidR="00282755" w:rsidRPr="00E461D0" w:rsidRDefault="00282755" w:rsidP="00282755">
      <w:pPr>
        <w:jc w:val="both"/>
        <w:rPr>
          <w:rFonts w:ascii="Palatino Linotype" w:hAnsi="Palatino Linotype"/>
        </w:rPr>
      </w:pPr>
    </w:p>
    <w:p w14:paraId="275AF0B2" w14:textId="77777777" w:rsidR="00282755" w:rsidRPr="00E461D0" w:rsidRDefault="00282755" w:rsidP="00282755">
      <w:pPr>
        <w:jc w:val="both"/>
        <w:rPr>
          <w:rFonts w:ascii="Palatino Linotype" w:hAnsi="Palatino Linotype"/>
        </w:rPr>
      </w:pPr>
      <w:r w:rsidRPr="00E461D0">
        <w:rPr>
          <w:rFonts w:ascii="Palatino Linotype" w:hAnsi="Palatino Linotype"/>
        </w:rPr>
        <w:t>Por otra parte, en mayo de 2019 Morgan Stanley Capital International (“MSCI”, por sus siglas en inglés) anunció la reclasificación de la Argentina en la categoría de “Mercado Emergente” desde la de “Mercado de Frontera”. El índice del MSCI es referencia a nivel mundial en el sector bursátil y otorga una mayor importancia al acceso de capital de los inversores. Se espera que la reclasificación a “Mercado Emergente” otorgue más inversiones, más liquidez, un aumento del ingreso de capitales, otorgue mayor confianza y mejor financiamiento en el mercado de capitales, entre otros beneficios. MSCI advirtió que la continuidad de las acciones argentinas en el índice estaría en riesgo si el país imponía controles de capitales. A través de un comunicado, MSCI mantiene por ahora en ese sitial a la Argentina porque los controles de capitales realizados en septiembre no afectan a las acciones incluidas en su panel, que cotizan en el exterior, motivo por el cual seguirá n cotizando en su panel. No obstante, actualmente la firma MSCI, inició formalmente un proceso de consulta y la decisión acerca del mantenimiento o no en la categoría “Mercado Emergente” se tomaría en diciembre de este año.</w:t>
      </w:r>
    </w:p>
    <w:p w14:paraId="3A579C7F" w14:textId="77777777" w:rsidR="00282755" w:rsidRPr="00E461D0" w:rsidRDefault="00282755" w:rsidP="00282755">
      <w:pPr>
        <w:jc w:val="both"/>
        <w:rPr>
          <w:rFonts w:ascii="Palatino Linotype" w:hAnsi="Palatino Linotype"/>
        </w:rPr>
      </w:pPr>
    </w:p>
    <w:p w14:paraId="66D0A5F1" w14:textId="77777777" w:rsidR="00282755" w:rsidRPr="00E461D0" w:rsidRDefault="00282755" w:rsidP="00282755">
      <w:pPr>
        <w:jc w:val="both"/>
        <w:rPr>
          <w:rFonts w:ascii="Palatino Linotype" w:hAnsi="Palatino Linotype"/>
        </w:rPr>
      </w:pPr>
      <w:r w:rsidRPr="00E461D0">
        <w:rPr>
          <w:rFonts w:ascii="Palatino Linotype" w:hAnsi="Palatino Linotype"/>
        </w:rPr>
        <w:t>Por último, en la primer semana de septiembre Moody´s colocó a todas las calificaciones en revisión para la baja como consecuencia de la baja calificación del bono soberano de Argentina a Caa2 de B2 que captura el creciente riesgo para inversores derivados de las presiones cada vez mayores sobre las finanzas del Gobierno Nacional, reflejadas recientemente en la decisión del Gobierno de postergar el pago de más de US$8.000 millones en deuda a corto plazo mediante el Decreto 596/2019, publicado el jueves 29 de agosto del corriente, con el cual inició el Gobierno la reformulación del programa financiero que pospone pagos de deuda por más de US$100.000 millones. La norma dispone que las obligaciones de pago correspondientes a los títulos representativos de deuda pública nacional de corto plazo (Letes, Lecap, Lecer y Lelink) serán pagados en “cuotas” a los tenedores institucionales, que según el PEN constituyen aproximadamente el 10% de quienes detentan dichos títulos. Según el art. 1°, a dichos tenedores institucionales se les pagará un 15% al vencimiento, un 25% a los 90 días y el 60% restante a los seis meses, sin quitas en el capital ni en los intereses. El artículo 2° en cambio, excluye de la medida a las personas humanas que conserven dichos títulos, aunque solamente aquellos registrados al 31 de julio de 2019.</w:t>
      </w:r>
    </w:p>
    <w:p w14:paraId="4E1B8DAD" w14:textId="77777777" w:rsidR="00282755" w:rsidRPr="00E461D0" w:rsidRDefault="00282755" w:rsidP="00282755">
      <w:pPr>
        <w:jc w:val="both"/>
        <w:rPr>
          <w:rFonts w:ascii="Palatino Linotype" w:hAnsi="Palatino Linotype"/>
        </w:rPr>
      </w:pPr>
    </w:p>
    <w:p w14:paraId="0FC75C68" w14:textId="2BD2C490" w:rsidR="00061A86" w:rsidRPr="00E461D0" w:rsidRDefault="00282755" w:rsidP="00061A86">
      <w:pPr>
        <w:jc w:val="both"/>
        <w:rPr>
          <w:rFonts w:ascii="Palatino Linotype" w:hAnsi="Palatino Linotype"/>
        </w:rPr>
      </w:pPr>
      <w:r w:rsidRPr="00E461D0">
        <w:rPr>
          <w:rFonts w:ascii="Palatino Linotype" w:hAnsi="Palatino Linotype"/>
        </w:rPr>
        <w:t>Si la República Argentina perdiese nuevamente su capacidad para acceder en forma fluida al mercado de capitales internacional y atraer inversiones extranjeras directas, existe el riesgo de que el país no obtenga el capital necesario para reiniciar el ciclo de inversión y lograr altas tasas de crecimiento económico. La condición fiscal del país podría verse adversamente afectada, lo que podría generar más inflación y socavar la capacidad del Gobierno de implementar políticas económicas diseñadas para promover el crecimiento. La dificultad de sostener en el tiempo el crecimiento económico con una razonable estabilidad de precios podría derivar en un renovado episodio de inestabilidad económica, lo cual tendría un efecto adverso en la capacidad de la Compañía de repagar las Obligaciones Negociables</w:t>
      </w:r>
      <w:r w:rsidR="00BD3832" w:rsidRPr="00E461D0">
        <w:rPr>
          <w:rFonts w:ascii="Palatino Linotype" w:hAnsi="Palatino Linotype"/>
        </w:rPr>
        <w:t xml:space="preserve"> PYME</w:t>
      </w:r>
      <w:r w:rsidRPr="00E461D0">
        <w:rPr>
          <w:rFonts w:ascii="Palatino Linotype" w:hAnsi="Palatino Linotype"/>
        </w:rPr>
        <w:t>.</w:t>
      </w:r>
    </w:p>
    <w:p w14:paraId="38772470" w14:textId="77777777" w:rsidR="00B8528C" w:rsidRPr="00E461D0" w:rsidRDefault="00B8528C" w:rsidP="00B8528C">
      <w:pPr>
        <w:jc w:val="both"/>
        <w:rPr>
          <w:rFonts w:ascii="Palatino Linotype" w:hAnsi="Palatino Linotype"/>
        </w:rPr>
      </w:pPr>
    </w:p>
    <w:p w14:paraId="4DBDB5B4" w14:textId="77777777" w:rsidR="00B8528C" w:rsidRPr="00E461D0" w:rsidRDefault="00B8528C" w:rsidP="00B8528C">
      <w:pPr>
        <w:jc w:val="both"/>
        <w:rPr>
          <w:rFonts w:ascii="Palatino Linotype" w:hAnsi="Palatino Linotype"/>
          <w:b/>
          <w:i/>
        </w:rPr>
      </w:pPr>
      <w:r w:rsidRPr="00E461D0">
        <w:rPr>
          <w:rFonts w:ascii="Palatino Linotype" w:hAnsi="Palatino Linotype"/>
          <w:b/>
          <w:i/>
        </w:rPr>
        <w:t xml:space="preserve">Un descenso en los precios internacionales de los commodities exportados por Argentina y una apreciación real adicional del Peso respecto del Dólar podría perjudicar la situación económica y crear nuevas presiones sobre el mercado cambiario y tener un efecto sustancialmente adverso. </w:t>
      </w:r>
    </w:p>
    <w:p w14:paraId="01F08C24" w14:textId="77777777" w:rsidR="00473ED5" w:rsidRPr="00E461D0" w:rsidRDefault="00473ED5" w:rsidP="00B8528C">
      <w:pPr>
        <w:jc w:val="both"/>
        <w:rPr>
          <w:rFonts w:ascii="Palatino Linotype" w:hAnsi="Palatino Linotype"/>
        </w:rPr>
      </w:pPr>
    </w:p>
    <w:p w14:paraId="043CFB14" w14:textId="77777777" w:rsidR="00B8528C" w:rsidRPr="00E461D0" w:rsidRDefault="00B8528C" w:rsidP="00B8528C">
      <w:pPr>
        <w:jc w:val="both"/>
        <w:rPr>
          <w:rFonts w:ascii="Palatino Linotype" w:hAnsi="Palatino Linotype"/>
        </w:rPr>
      </w:pPr>
      <w:r w:rsidRPr="00E461D0">
        <w:rPr>
          <w:rFonts w:ascii="Palatino Linotype" w:hAnsi="Palatino Linotype"/>
        </w:rPr>
        <w:t xml:space="preserve">La dependencia generada por la Argentina con respecto a la exportación de determinados </w:t>
      </w:r>
      <w:r w:rsidRPr="00E461D0">
        <w:rPr>
          <w:rFonts w:ascii="Palatino Linotype" w:hAnsi="Palatino Linotype"/>
          <w:i/>
        </w:rPr>
        <w:t>commodities</w:t>
      </w:r>
      <w:r w:rsidRPr="00E461D0">
        <w:rPr>
          <w:rFonts w:ascii="Palatino Linotype" w:hAnsi="Palatino Linotype"/>
        </w:rPr>
        <w:t xml:space="preserve"> tales como la soja, hacen al país más vulnerable a las variaciones de precios de los mismos. </w:t>
      </w:r>
    </w:p>
    <w:p w14:paraId="3278D203" w14:textId="77777777" w:rsidR="00473ED5" w:rsidRPr="00E461D0" w:rsidRDefault="00473ED5" w:rsidP="00B8528C">
      <w:pPr>
        <w:jc w:val="both"/>
        <w:rPr>
          <w:rFonts w:ascii="Palatino Linotype" w:hAnsi="Palatino Linotype"/>
        </w:rPr>
      </w:pPr>
    </w:p>
    <w:p w14:paraId="601D79D8" w14:textId="08E8253E" w:rsidR="00B8528C" w:rsidRPr="00E461D0" w:rsidRDefault="00B8528C">
      <w:pPr>
        <w:jc w:val="both"/>
        <w:rPr>
          <w:rFonts w:ascii="Palatino Linotype" w:hAnsi="Palatino Linotype"/>
        </w:rPr>
      </w:pPr>
      <w:r w:rsidRPr="00E461D0">
        <w:rPr>
          <w:rFonts w:ascii="Palatino Linotype" w:hAnsi="Palatino Linotype"/>
        </w:rPr>
        <w:t xml:space="preserve">Una significativa apreciación real del </w:t>
      </w:r>
      <w:r w:rsidR="00473ED5" w:rsidRPr="00E461D0">
        <w:rPr>
          <w:rFonts w:ascii="Palatino Linotype" w:hAnsi="Palatino Linotype"/>
        </w:rPr>
        <w:t>P</w:t>
      </w:r>
      <w:r w:rsidRPr="00E461D0">
        <w:rPr>
          <w:rFonts w:ascii="Palatino Linotype" w:hAnsi="Palatino Linotype"/>
        </w:rPr>
        <w:t>eso podría reducir la competitividad de Argentina, afectando de forma significativa las exportaciones del país lo que a su vez podría crear nuevas presiones recesivas en su economía y por consiguiente una nueva situación de desequilibrio en el mercado cambiario que podría derivar en una elevada volatilidad del tipo de cambio. Más importante, en el corto plazo, una significativa apreciación del tipo de cambio real podría reducir significativamente los ingresos tributarios del sector público argentino en términos reales, dada la fuerte dependencia de los ingresos tributarios de los impuestos a las exportaciones (retenciones).</w:t>
      </w:r>
    </w:p>
    <w:p w14:paraId="65D85056" w14:textId="77777777" w:rsidR="00B8528C" w:rsidRPr="00E461D0" w:rsidRDefault="00B8528C" w:rsidP="00B8528C">
      <w:pPr>
        <w:jc w:val="both"/>
        <w:rPr>
          <w:rFonts w:ascii="Palatino Linotype" w:hAnsi="Palatino Linotype"/>
        </w:rPr>
      </w:pPr>
    </w:p>
    <w:p w14:paraId="368ED4F3" w14:textId="77777777" w:rsidR="00B8528C" w:rsidRPr="00E461D0" w:rsidRDefault="00B8528C">
      <w:pPr>
        <w:jc w:val="both"/>
        <w:rPr>
          <w:rFonts w:ascii="Palatino Linotype" w:hAnsi="Palatino Linotype"/>
          <w:b/>
          <w:i/>
        </w:rPr>
      </w:pPr>
      <w:r w:rsidRPr="00E461D0">
        <w:rPr>
          <w:rFonts w:ascii="Palatino Linotype" w:hAnsi="Palatino Linotype"/>
          <w:b/>
          <w:i/>
        </w:rPr>
        <w:t>Cierta volatilidad en el marco regulatorio podría tener un efecto adverso en l</w:t>
      </w:r>
      <w:r w:rsidR="00473ED5" w:rsidRPr="00E461D0">
        <w:rPr>
          <w:rFonts w:ascii="Palatino Linotype" w:hAnsi="Palatino Linotype"/>
          <w:b/>
          <w:i/>
        </w:rPr>
        <w:t>a economía del país en general.</w:t>
      </w:r>
    </w:p>
    <w:p w14:paraId="208C42B9" w14:textId="77777777" w:rsidR="00473ED5" w:rsidRPr="00E461D0" w:rsidRDefault="00473ED5">
      <w:pPr>
        <w:jc w:val="both"/>
        <w:rPr>
          <w:rFonts w:ascii="Palatino Linotype" w:hAnsi="Palatino Linotype"/>
        </w:rPr>
      </w:pPr>
    </w:p>
    <w:p w14:paraId="3FE881E2" w14:textId="77777777" w:rsidR="00B8528C" w:rsidRPr="00E461D0" w:rsidRDefault="00B8528C" w:rsidP="00BD3832">
      <w:pPr>
        <w:jc w:val="both"/>
        <w:rPr>
          <w:rFonts w:ascii="Palatino Linotype" w:hAnsi="Palatino Linotype"/>
        </w:rPr>
      </w:pPr>
      <w:r w:rsidRPr="00E461D0">
        <w:rPr>
          <w:rFonts w:ascii="Palatino Linotype" w:hAnsi="Palatino Linotype"/>
        </w:rPr>
        <w:t>En el pasado</w:t>
      </w:r>
      <w:r w:rsidR="00473ED5" w:rsidRPr="00E461D0">
        <w:rPr>
          <w:rFonts w:ascii="Palatino Linotype" w:hAnsi="Palatino Linotype"/>
        </w:rPr>
        <w:t xml:space="preserve"> el</w:t>
      </w:r>
      <w:r w:rsidRPr="00E461D0">
        <w:rPr>
          <w:rFonts w:ascii="Palatino Linotype" w:hAnsi="Palatino Linotype"/>
        </w:rPr>
        <w:t xml:space="preserve"> Gobierno ejerció un control significativo sobre la economía. No puede asegurarse que las normas que dicten las actuales autoridades argentinas en el marco de las nuevas políticas sociales y económicas no afecten en forma sustancialmente adversa los activos, ingresos y los resultados operativos de compañías en el sector privado, incluyendo a Global, los derechos de los tenedores de títulos valores emitidos por dichas entidades, o el valor de dichos títulos valores, incluyendo, sin limitación, a las Obligaciones Negociables Pyme.</w:t>
      </w:r>
    </w:p>
    <w:p w14:paraId="24E18D8E" w14:textId="77777777" w:rsidR="00904F57" w:rsidRPr="00E461D0" w:rsidRDefault="00904F57" w:rsidP="004E7B3C">
      <w:pPr>
        <w:jc w:val="both"/>
        <w:rPr>
          <w:rFonts w:ascii="Palatino Linotype" w:hAnsi="Palatino Linotype"/>
        </w:rPr>
      </w:pPr>
    </w:p>
    <w:p w14:paraId="32900D8B" w14:textId="1BAA4480" w:rsidR="00061A86" w:rsidRPr="00E461D0" w:rsidRDefault="00904F57" w:rsidP="00BD3832">
      <w:pPr>
        <w:jc w:val="both"/>
        <w:rPr>
          <w:rFonts w:ascii="Palatino Linotype" w:hAnsi="Palatino Linotype"/>
        </w:rPr>
      </w:pPr>
      <w:r w:rsidRPr="00E461D0">
        <w:rPr>
          <w:rFonts w:ascii="Palatino Linotype" w:hAnsi="Palatino Linotype"/>
        </w:rPr>
        <w:t xml:space="preserve">La incertidumbre política en Argentina sobre las medidas que debe tomar la administración </w:t>
      </w:r>
      <w:r w:rsidR="0009447F">
        <w:rPr>
          <w:rFonts w:ascii="Palatino Linotype" w:hAnsi="Palatino Linotype"/>
        </w:rPr>
        <w:t xml:space="preserve">electa </w:t>
      </w:r>
      <w:r w:rsidRPr="00E461D0">
        <w:rPr>
          <w:rFonts w:ascii="Palatino Linotype" w:hAnsi="Palatino Linotype"/>
        </w:rPr>
        <w:t xml:space="preserve">con respecto a la economía podría generar volatilidad en la cotización de los valores negociables de empresas argentinas. Además, </w:t>
      </w:r>
      <w:r w:rsidR="009F4782">
        <w:rPr>
          <w:rFonts w:ascii="Palatino Linotype" w:hAnsi="Palatino Linotype"/>
        </w:rPr>
        <w:t>tras el resultado de las</w:t>
      </w:r>
      <w:r w:rsidRPr="00E461D0">
        <w:rPr>
          <w:rFonts w:ascii="Palatino Linotype" w:hAnsi="Palatino Linotype"/>
        </w:rPr>
        <w:t xml:space="preserve"> elecciones presidenciales, existe incertidumbre sobre</w:t>
      </w:r>
      <w:r w:rsidR="0009447F">
        <w:rPr>
          <w:rFonts w:ascii="Palatino Linotype" w:hAnsi="Palatino Linotype"/>
        </w:rPr>
        <w:t xml:space="preserve"> las políticas que serán aplicadas por el </w:t>
      </w:r>
      <w:r w:rsidRPr="00E461D0">
        <w:rPr>
          <w:rFonts w:ascii="Palatino Linotype" w:hAnsi="Palatino Linotype"/>
        </w:rPr>
        <w:t xml:space="preserve">presidente </w:t>
      </w:r>
      <w:r w:rsidR="009F4782">
        <w:rPr>
          <w:rFonts w:ascii="Palatino Linotype" w:hAnsi="Palatino Linotype"/>
        </w:rPr>
        <w:t>electo</w:t>
      </w:r>
      <w:r w:rsidR="0009447F">
        <w:rPr>
          <w:rFonts w:ascii="Palatino Linotype" w:hAnsi="Palatino Linotype"/>
        </w:rPr>
        <w:t xml:space="preserve"> Dr.</w:t>
      </w:r>
      <w:r w:rsidR="009F4782">
        <w:rPr>
          <w:rFonts w:ascii="Palatino Linotype" w:hAnsi="Palatino Linotype"/>
        </w:rPr>
        <w:t xml:space="preserve"> Alberto Fernández</w:t>
      </w:r>
      <w:r w:rsidRPr="00E461D0">
        <w:rPr>
          <w:rFonts w:ascii="Palatino Linotype" w:hAnsi="Palatino Linotype"/>
        </w:rPr>
        <w:t xml:space="preserve">. </w:t>
      </w:r>
      <w:r w:rsidR="00780FFC">
        <w:rPr>
          <w:rFonts w:ascii="Palatino Linotype" w:hAnsi="Palatino Linotype"/>
        </w:rPr>
        <w:t>No</w:t>
      </w:r>
      <w:r w:rsidRPr="00E461D0">
        <w:rPr>
          <w:rFonts w:ascii="Palatino Linotype" w:hAnsi="Palatino Linotype"/>
        </w:rPr>
        <w:t xml:space="preserve"> podemos predecir cómo la administración que asuma</w:t>
      </w:r>
      <w:r w:rsidR="00780FFC">
        <w:rPr>
          <w:rFonts w:ascii="Palatino Linotype" w:hAnsi="Palatino Linotype"/>
        </w:rPr>
        <w:t xml:space="preserve"> bajo la presidencia de Alberto Fernández</w:t>
      </w:r>
      <w:r w:rsidRPr="00E461D0">
        <w:rPr>
          <w:rFonts w:ascii="Palatino Linotype" w:hAnsi="Palatino Linotype"/>
        </w:rPr>
        <w:t xml:space="preserve"> abordará ciertos otros asuntos políticos y económicos, como el financiamiento del gasto público, los subsidios al servicio público y las reformas tributarias, o el impacto que cualquier medida relacionada con estos asuntos implementada por la administración elegida tendrá en la economía argentina en su conjunto.</w:t>
      </w:r>
    </w:p>
    <w:p w14:paraId="55CB8A4D" w14:textId="77777777" w:rsidR="00B8528C" w:rsidRPr="00E461D0" w:rsidRDefault="00B8528C" w:rsidP="00B8528C">
      <w:pPr>
        <w:jc w:val="both"/>
        <w:rPr>
          <w:rFonts w:ascii="Palatino Linotype" w:hAnsi="Palatino Linotype"/>
        </w:rPr>
      </w:pPr>
    </w:p>
    <w:p w14:paraId="7C858595" w14:textId="77777777" w:rsidR="00B8528C" w:rsidRPr="00E461D0" w:rsidRDefault="00B8528C" w:rsidP="00B8528C">
      <w:pPr>
        <w:jc w:val="both"/>
        <w:rPr>
          <w:rFonts w:ascii="Palatino Linotype" w:hAnsi="Palatino Linotype"/>
          <w:b/>
          <w:i/>
        </w:rPr>
      </w:pPr>
      <w:r w:rsidRPr="00E461D0">
        <w:rPr>
          <w:rFonts w:ascii="Palatino Linotype" w:hAnsi="Palatino Linotype"/>
          <w:b/>
          <w:i/>
        </w:rPr>
        <w:t xml:space="preserve">La economía argentina y su mercado de bienes, servicios financieros y valores siguen siendo vulnerables a factores externos, lo que podría afectar al crecimiento económico del país. </w:t>
      </w:r>
    </w:p>
    <w:p w14:paraId="2962AEA0" w14:textId="77777777" w:rsidR="00473ED5" w:rsidRPr="00E461D0" w:rsidRDefault="00473ED5" w:rsidP="00B8528C">
      <w:pPr>
        <w:jc w:val="both"/>
        <w:rPr>
          <w:rFonts w:ascii="Palatino Linotype" w:hAnsi="Palatino Linotype"/>
        </w:rPr>
      </w:pPr>
    </w:p>
    <w:p w14:paraId="49D1EF97" w14:textId="77777777" w:rsidR="00B8528C" w:rsidRPr="00E461D0" w:rsidRDefault="00B8528C" w:rsidP="00B8528C">
      <w:pPr>
        <w:jc w:val="both"/>
        <w:rPr>
          <w:rFonts w:ascii="Palatino Linotype" w:hAnsi="Palatino Linotype"/>
        </w:rPr>
      </w:pPr>
      <w:r w:rsidRPr="00E461D0">
        <w:rPr>
          <w:rFonts w:ascii="Palatino Linotype" w:hAnsi="Palatino Linotype"/>
        </w:rPr>
        <w:t xml:space="preserve">El mercado financiero y de valores en Argentina está influenciado, en diferentes grados, por condiciones económicas y de mercado de otros países. Aunque dichas condiciones podrían variar entre los distintos países, las reacciones de inversores a eventos que ocurran en un país podrían afectar el flujo de capitales a emisores en otros países, y como consecuencia, afectar los precios de negociación de sus valores. Menores ingresos de capital y bajos precios en el mercado de valores de un país podrían tener un efecto sustancialmente adverso en la economía real de dichos países en forma de tasas de interés más altas y </w:t>
      </w:r>
      <w:r w:rsidR="00473ED5" w:rsidRPr="00E461D0">
        <w:rPr>
          <w:rFonts w:ascii="Palatino Linotype" w:hAnsi="Palatino Linotype"/>
        </w:rPr>
        <w:t>volatilidad del tipo de cambio.</w:t>
      </w:r>
    </w:p>
    <w:p w14:paraId="15E147EE" w14:textId="77777777" w:rsidR="00473ED5" w:rsidRPr="00E461D0" w:rsidRDefault="00473ED5" w:rsidP="00B8528C">
      <w:pPr>
        <w:jc w:val="both"/>
        <w:rPr>
          <w:rFonts w:ascii="Palatino Linotype" w:hAnsi="Palatino Linotype"/>
        </w:rPr>
      </w:pPr>
    </w:p>
    <w:p w14:paraId="7E91214A" w14:textId="77777777" w:rsidR="00B8528C" w:rsidRPr="00E461D0" w:rsidRDefault="00B8528C" w:rsidP="00B8528C">
      <w:pPr>
        <w:jc w:val="both"/>
        <w:rPr>
          <w:rFonts w:ascii="Palatino Linotype" w:hAnsi="Palatino Linotype"/>
        </w:rPr>
      </w:pPr>
      <w:r w:rsidRPr="00E461D0">
        <w:rPr>
          <w:rFonts w:ascii="Palatino Linotype" w:hAnsi="Palatino Linotype"/>
        </w:rPr>
        <w:t>Durante los períodos de incertidumbre en los mercados internacionales, los inversores elijen generalmente invertir en activos de alta calidad (“</w:t>
      </w:r>
      <w:r w:rsidRPr="00E461D0">
        <w:rPr>
          <w:rFonts w:ascii="Palatino Linotype" w:hAnsi="Palatino Linotype"/>
          <w:i/>
        </w:rPr>
        <w:t>flight to quality</w:t>
      </w:r>
      <w:r w:rsidRPr="00E461D0">
        <w:rPr>
          <w:rFonts w:ascii="Palatino Linotype" w:hAnsi="Palatino Linotype"/>
        </w:rPr>
        <w:t>”) en detrimento de los activos de los mercados emergentes. Esto ha producido, y podría producir en un futuro un impacto negativo en la economía Argentina y podría continuar afectando de manera negativa la economía del país en un futuro cercano.</w:t>
      </w:r>
    </w:p>
    <w:p w14:paraId="20B71E0E" w14:textId="77777777" w:rsidR="00473ED5" w:rsidRPr="00E461D0" w:rsidRDefault="00473ED5" w:rsidP="00B8528C">
      <w:pPr>
        <w:jc w:val="both"/>
        <w:rPr>
          <w:rFonts w:ascii="Palatino Linotype" w:hAnsi="Palatino Linotype"/>
        </w:rPr>
      </w:pPr>
    </w:p>
    <w:p w14:paraId="2C08B077" w14:textId="5AD21E25" w:rsidR="00B8528C" w:rsidRPr="00E461D0" w:rsidRDefault="00B8528C" w:rsidP="00B8528C">
      <w:pPr>
        <w:jc w:val="both"/>
        <w:rPr>
          <w:rFonts w:ascii="Palatino Linotype" w:hAnsi="Palatino Linotype"/>
        </w:rPr>
      </w:pPr>
      <w:r w:rsidRPr="00E461D0">
        <w:rPr>
          <w:rFonts w:ascii="Palatino Linotype" w:hAnsi="Palatino Linotype"/>
        </w:rPr>
        <w:t xml:space="preserve">El activo accionar del Banco Central Europeo mostrando su poder a la hora de sostener los precios de la deuda soberana de los países de la región generó una mejora en el humor de los mercados durante la segunda parte de 2012. Por su parte, el agresivo accionar de la Reserva Federal de los Estados Unidos, implementando una política monetaria expansiva no tradicional (inyectando liquidez a los mercados) ha servido para sustentar la recuperación evidenciada a partir de la segunda parte de 2012 por los precios de los principales activos financieros. Si bien durante 2013 se mantuvo el elevado estímulo monetario por parte de la Reserva Federal norteamericana, a partir de enero de 2014 comenzaron a moderarse los programas de compras de activos por parte de dicha institución conforme mejora el empleo y el nivel de actividad en Estados Unidos. Así, el eventual cambio de sesgo de la política monetaria norteamericana en el futuro implicaría un contexto de </w:t>
      </w:r>
      <w:r w:rsidR="00CE678E">
        <w:rPr>
          <w:rFonts w:ascii="Palatino Linotype" w:hAnsi="Palatino Linotype"/>
        </w:rPr>
        <w:t>D</w:t>
      </w:r>
      <w:r w:rsidRPr="00E461D0">
        <w:rPr>
          <w:rFonts w:ascii="Palatino Linotype" w:hAnsi="Palatino Linotype"/>
        </w:rPr>
        <w:t xml:space="preserve">ólar fortalecido, mayor presión sobre </w:t>
      </w:r>
      <w:r w:rsidRPr="00E461D0">
        <w:rPr>
          <w:rFonts w:ascii="Palatino Linotype" w:hAnsi="Palatino Linotype"/>
          <w:i/>
        </w:rPr>
        <w:t>commodities</w:t>
      </w:r>
      <w:r w:rsidRPr="00E461D0">
        <w:rPr>
          <w:rFonts w:ascii="Palatino Linotype" w:hAnsi="Palatino Linotype"/>
        </w:rPr>
        <w:t xml:space="preserve"> y menores flujos hacia mercados emergentes. Durante el 2017 la Reserva Federal norteamericana ha incrementado la tasa de interés del 0,5% al 1,25%</w:t>
      </w:r>
      <w:r w:rsidR="00473ED5" w:rsidRPr="00E461D0">
        <w:rPr>
          <w:rFonts w:ascii="Palatino Linotype" w:hAnsi="Palatino Linotype"/>
        </w:rPr>
        <w:t>, en el 2018 se la llevo a 2,</w:t>
      </w:r>
      <w:r w:rsidR="00C70801" w:rsidRPr="00E461D0">
        <w:rPr>
          <w:rFonts w:ascii="Palatino Linotype" w:hAnsi="Palatino Linotype"/>
        </w:rPr>
        <w:t>25</w:t>
      </w:r>
      <w:r w:rsidR="00473ED5" w:rsidRPr="00E461D0">
        <w:rPr>
          <w:rFonts w:ascii="Palatino Linotype" w:hAnsi="Palatino Linotype"/>
        </w:rPr>
        <w:t xml:space="preserve">% </w:t>
      </w:r>
      <w:r w:rsidRPr="00E461D0">
        <w:rPr>
          <w:rFonts w:ascii="Palatino Linotype" w:hAnsi="Palatino Linotype"/>
        </w:rPr>
        <w:t>y según se ha dado a trascender al público se prevé</w:t>
      </w:r>
      <w:r w:rsidR="000D32DF" w:rsidRPr="00E461D0">
        <w:rPr>
          <w:rFonts w:ascii="Palatino Linotype" w:hAnsi="Palatino Linotype"/>
        </w:rPr>
        <w:t xml:space="preserve"> que en 2019 serían necesarios solo dos aumentos de tasas; siendo que antes preveían tres.</w:t>
      </w:r>
      <w:r w:rsidR="00473ED5" w:rsidRPr="00E461D0">
        <w:rPr>
          <w:rFonts w:ascii="Palatino Linotype" w:hAnsi="Palatino Linotype"/>
        </w:rPr>
        <w:t xml:space="preserve"> </w:t>
      </w:r>
    </w:p>
    <w:p w14:paraId="6466939B" w14:textId="77777777" w:rsidR="00473ED5" w:rsidRPr="00E461D0" w:rsidRDefault="00473ED5" w:rsidP="00B8528C">
      <w:pPr>
        <w:jc w:val="both"/>
        <w:rPr>
          <w:rFonts w:ascii="Palatino Linotype" w:hAnsi="Palatino Linotype"/>
        </w:rPr>
      </w:pPr>
    </w:p>
    <w:p w14:paraId="4E397AFF" w14:textId="77777777" w:rsidR="00B8528C" w:rsidRPr="00E461D0" w:rsidRDefault="00B8528C" w:rsidP="00B8528C">
      <w:pPr>
        <w:jc w:val="both"/>
        <w:rPr>
          <w:rFonts w:ascii="Palatino Linotype" w:hAnsi="Palatino Linotype"/>
        </w:rPr>
      </w:pPr>
      <w:r w:rsidRPr="00E461D0">
        <w:rPr>
          <w:rFonts w:ascii="Palatino Linotype" w:hAnsi="Palatino Linotype"/>
        </w:rPr>
        <w:t xml:space="preserve">Adicionalmente, la desaceleración de la economía de China ha traído preocupación a la región, ya que se trata del principal demandante de materias primas. Los precios de los </w:t>
      </w:r>
      <w:r w:rsidRPr="00E461D0">
        <w:rPr>
          <w:rFonts w:ascii="Palatino Linotype" w:hAnsi="Palatino Linotype"/>
          <w:i/>
        </w:rPr>
        <w:t>commodities</w:t>
      </w:r>
      <w:r w:rsidRPr="00E461D0">
        <w:rPr>
          <w:rFonts w:ascii="Palatino Linotype" w:hAnsi="Palatino Linotype"/>
        </w:rPr>
        <w:t>, en particular las oleaginosas que produce Argentina, han reducido sus precios y de persistir esta situación se vería afectado el ingreso de divisas provenientes del sector exportador. Asimismo, los mercados bursátiles de aquél país han experimentado fuertes caídas que han tenido cierto impacto en los mercados financieros del resto del mundo. De mantenerse esta evolución negativa, podría dificultar y/o encarecer el financiamiento local.</w:t>
      </w:r>
    </w:p>
    <w:p w14:paraId="0E3072BD" w14:textId="77777777" w:rsidR="00473ED5" w:rsidRPr="00E461D0" w:rsidRDefault="00473ED5" w:rsidP="00B8528C">
      <w:pPr>
        <w:jc w:val="both"/>
        <w:rPr>
          <w:rFonts w:ascii="Palatino Linotype" w:hAnsi="Palatino Linotype"/>
        </w:rPr>
      </w:pPr>
    </w:p>
    <w:p w14:paraId="73AE77ED" w14:textId="34049A4F" w:rsidR="00B8528C" w:rsidRPr="00E461D0" w:rsidRDefault="00B8528C" w:rsidP="00B8528C">
      <w:pPr>
        <w:jc w:val="both"/>
        <w:rPr>
          <w:rFonts w:ascii="Palatino Linotype" w:hAnsi="Palatino Linotype"/>
        </w:rPr>
      </w:pPr>
      <w:r w:rsidRPr="00E461D0">
        <w:rPr>
          <w:rFonts w:ascii="Palatino Linotype" w:hAnsi="Palatino Linotype"/>
        </w:rPr>
        <w:t>El 23 de junio de 2016, el Reino Unido votó a favor de su salida de la Unión Europea, denominado “Brexit”. A la fecha de este Prospecto, las acciones que tomará el Reino Unido para efectivamente dejar la Unión Europea y la duración de dicho proceso es incierta</w:t>
      </w:r>
      <w:r w:rsidR="00473ED5" w:rsidRPr="00E461D0">
        <w:rPr>
          <w:rFonts w:ascii="Palatino Linotype" w:hAnsi="Palatino Linotype"/>
        </w:rPr>
        <w:t xml:space="preserve"> y continúa a la fecha sin definición</w:t>
      </w:r>
      <w:r w:rsidRPr="00E461D0">
        <w:rPr>
          <w:rFonts w:ascii="Palatino Linotype" w:hAnsi="Palatino Linotype"/>
        </w:rPr>
        <w:t>. Los resultados del referéndum del Reino Unido han causado y se anticipa que continuarán causando, volatilidad en los mercados financieros, que a su vez podría tener efectos sustancialmente adversos en el negocio del Global, su condición financiera y los resultados de sus operaciones.</w:t>
      </w:r>
    </w:p>
    <w:p w14:paraId="073BB2F1" w14:textId="77777777" w:rsidR="00473ED5" w:rsidRPr="00E461D0" w:rsidRDefault="00473ED5" w:rsidP="00B8528C">
      <w:pPr>
        <w:jc w:val="both"/>
        <w:rPr>
          <w:rFonts w:ascii="Palatino Linotype" w:hAnsi="Palatino Linotype"/>
        </w:rPr>
      </w:pPr>
    </w:p>
    <w:p w14:paraId="184C7423" w14:textId="77777777" w:rsidR="00B8528C" w:rsidRPr="00E461D0" w:rsidRDefault="00B8528C" w:rsidP="00B8528C">
      <w:pPr>
        <w:jc w:val="both"/>
        <w:rPr>
          <w:rFonts w:ascii="Palatino Linotype" w:hAnsi="Palatino Linotype"/>
        </w:rPr>
      </w:pPr>
      <w:r w:rsidRPr="00E461D0">
        <w:rPr>
          <w:rFonts w:ascii="Palatino Linotype" w:hAnsi="Palatino Linotype"/>
        </w:rPr>
        <w:t>El 8 de noviembre de 2016, Donald J. Trump fue electo como el presidente de los Estados Unidos, cuyo mandato inició el 20 de enero de 2017. Durante la campaña electoral, Trump mostró su interés por evaluar mayores controles al libre comercio y a limitar la inmigración. Los eventuales cambios en las condiciones sociales, políticas, regulatorias y económicas en los Estados Unidos o en las leyes y políticas que rigen el comercio internacional podrían generar incertidumbre en los mercados internacionales y pueden tener un efecto negativo en mercados económicos emergentes, incluyendo la economía argentina, lo que podría afectar el negocio de Global, su situación financiera y los resultados de sus operaciones.</w:t>
      </w:r>
    </w:p>
    <w:p w14:paraId="7A3CDC7E" w14:textId="77777777" w:rsidR="0060286B" w:rsidRPr="00E461D0" w:rsidRDefault="0060286B" w:rsidP="00B8528C">
      <w:pPr>
        <w:jc w:val="both"/>
        <w:rPr>
          <w:rFonts w:ascii="Palatino Linotype" w:hAnsi="Palatino Linotype"/>
        </w:rPr>
      </w:pPr>
    </w:p>
    <w:p w14:paraId="0A32E00A" w14:textId="5EBE008F" w:rsidR="0060286B" w:rsidRPr="00E461D0" w:rsidRDefault="0060286B" w:rsidP="00B8528C">
      <w:pPr>
        <w:jc w:val="both"/>
        <w:rPr>
          <w:rFonts w:ascii="Palatino Linotype" w:hAnsi="Palatino Linotype"/>
        </w:rPr>
      </w:pPr>
      <w:r w:rsidRPr="00E461D0">
        <w:rPr>
          <w:rFonts w:ascii="Palatino Linotype" w:hAnsi="Palatino Linotype"/>
        </w:rPr>
        <w:t xml:space="preserve">En marzo de 2018, se inició un conflicto comercial entre Estados Unidos y China luego de un anuncio realizado por el presidente de los Estados Unidos, Donald Trump, consistente en la intención de imponer aranceles de 50.000 millones de Dólares a los productos chinos, argumentando un historial de “prácticas desleales de comercio” y el robo de propiedad intelectual. Estados Unidos ha alcanzado los 250.000 millones de </w:t>
      </w:r>
      <w:r w:rsidR="00CE678E" w:rsidRPr="00E461D0">
        <w:rPr>
          <w:rFonts w:ascii="Palatino Linotype" w:hAnsi="Palatino Linotype"/>
        </w:rPr>
        <w:t>D</w:t>
      </w:r>
      <w:r w:rsidRPr="00E461D0">
        <w:rPr>
          <w:rFonts w:ascii="Palatino Linotype" w:hAnsi="Palatino Linotype"/>
        </w:rPr>
        <w:t xml:space="preserve">ólares en aranceles a productos chinos desde julio del 2018, mientras que China ha tomado represalias imponiendo aranceles por valor de 110.000 millones de </w:t>
      </w:r>
      <w:r w:rsidR="00CE678E" w:rsidRPr="00E461D0">
        <w:rPr>
          <w:rFonts w:ascii="Palatino Linotype" w:hAnsi="Palatino Linotype"/>
        </w:rPr>
        <w:t>D</w:t>
      </w:r>
      <w:r w:rsidRPr="00E461D0">
        <w:rPr>
          <w:rFonts w:ascii="Palatino Linotype" w:hAnsi="Palatino Linotype"/>
        </w:rPr>
        <w:t xml:space="preserve">ólares a productos estadounidenses. Antes de que comenzara la Cumbre del G20, la cual se llevó a cabo en Buenos Aires entre el 30 de noviembre y el 1° de diciembre de 2018, Donald Trump le dijo a los medios estadounidenses que esperaba seguir adelante con los planes para aumentar los aranceles de 200.000 millones de </w:t>
      </w:r>
      <w:r w:rsidR="00CE678E" w:rsidRPr="00E461D0">
        <w:rPr>
          <w:rFonts w:ascii="Palatino Linotype" w:hAnsi="Palatino Linotype"/>
        </w:rPr>
        <w:t>D</w:t>
      </w:r>
      <w:r w:rsidRPr="00E461D0">
        <w:rPr>
          <w:rFonts w:ascii="Palatino Linotype" w:hAnsi="Palatino Linotype"/>
        </w:rPr>
        <w:t>ólares a productos chinos del 10% al 25%, a partir de enero del año 2019. Sin perjuicio de ello, tras la reunión de dos horas y media del presidente chino, Xi Jinping, y el estadounidense, Donald Trump, al término de su participación en la Cumbre del G20, ambos acordaron que no se impondrán nuevos aranceles a partir del 1° de enero del 2019 y se comprometieron a continuar con las negociaciones para buscar una salida a la guerra comercial abierta entre las dos potencias.</w:t>
      </w:r>
    </w:p>
    <w:p w14:paraId="4810191D" w14:textId="77777777" w:rsidR="00473ED5" w:rsidRPr="00E461D0" w:rsidRDefault="00473ED5" w:rsidP="00B8528C">
      <w:pPr>
        <w:jc w:val="both"/>
        <w:rPr>
          <w:rFonts w:ascii="Palatino Linotype" w:hAnsi="Palatino Linotype"/>
        </w:rPr>
      </w:pPr>
    </w:p>
    <w:p w14:paraId="2CA0426E" w14:textId="2FA08E29" w:rsidR="005E2601" w:rsidRPr="00E461D0" w:rsidRDefault="00B8528C" w:rsidP="00B8528C">
      <w:pPr>
        <w:jc w:val="both"/>
        <w:rPr>
          <w:rFonts w:ascii="Palatino Linotype" w:hAnsi="Palatino Linotype"/>
        </w:rPr>
      </w:pPr>
      <w:r w:rsidRPr="00E461D0">
        <w:rPr>
          <w:rFonts w:ascii="Palatino Linotype" w:hAnsi="Palatino Linotype"/>
        </w:rPr>
        <w:t xml:space="preserve">Adicionalmente, Brasil, uno de los principales socios comerciales de Argentina, y la principal fuente de exportaciones, está pasando por una enorme presión negativa debido a las incertidumbres derivadas de la crisis política actual, incluido el </w:t>
      </w:r>
      <w:r w:rsidR="00473ED5" w:rsidRPr="00E461D0">
        <w:rPr>
          <w:rFonts w:ascii="Palatino Linotype" w:hAnsi="Palatino Linotype"/>
        </w:rPr>
        <w:t>juicio político (</w:t>
      </w:r>
      <w:r w:rsidR="00473ED5" w:rsidRPr="00E461D0">
        <w:rPr>
          <w:rFonts w:ascii="Palatino Linotype" w:hAnsi="Palatino Linotype"/>
          <w:i/>
        </w:rPr>
        <w:t>impeachment</w:t>
      </w:r>
      <w:r w:rsidR="00473ED5" w:rsidRPr="00E461D0">
        <w:rPr>
          <w:rFonts w:ascii="Palatino Linotype" w:hAnsi="Palatino Linotype"/>
        </w:rPr>
        <w:t xml:space="preserve">) </w:t>
      </w:r>
      <w:r w:rsidRPr="00E461D0">
        <w:rPr>
          <w:rFonts w:ascii="Palatino Linotype" w:hAnsi="Palatino Linotype"/>
        </w:rPr>
        <w:t xml:space="preserve">iniciado contra la </w:t>
      </w:r>
      <w:r w:rsidR="00473ED5" w:rsidRPr="00E461D0">
        <w:rPr>
          <w:rFonts w:ascii="Palatino Linotype" w:hAnsi="Palatino Linotype"/>
        </w:rPr>
        <w:t xml:space="preserve">ex </w:t>
      </w:r>
      <w:r w:rsidRPr="00E461D0">
        <w:rPr>
          <w:rFonts w:ascii="Palatino Linotype" w:hAnsi="Palatino Linotype"/>
        </w:rPr>
        <w:t>president</w:t>
      </w:r>
      <w:r w:rsidR="00473ED5" w:rsidRPr="00E461D0">
        <w:rPr>
          <w:rFonts w:ascii="Palatino Linotype" w:hAnsi="Palatino Linotype"/>
        </w:rPr>
        <w:t>a</w:t>
      </w:r>
      <w:r w:rsidRPr="00E461D0">
        <w:rPr>
          <w:rFonts w:ascii="Palatino Linotype" w:hAnsi="Palatino Linotype"/>
        </w:rPr>
        <w:t xml:space="preserve"> de Brasil, la Sra. Dilma Rousseff. El </w:t>
      </w:r>
      <w:r w:rsidRPr="00E461D0">
        <w:rPr>
          <w:rFonts w:ascii="Palatino Linotype" w:hAnsi="Palatino Linotype"/>
          <w:i/>
        </w:rPr>
        <w:t>impeachment</w:t>
      </w:r>
      <w:r w:rsidRPr="00E461D0">
        <w:rPr>
          <w:rFonts w:ascii="Palatino Linotype" w:hAnsi="Palatino Linotype"/>
        </w:rPr>
        <w:t xml:space="preserve"> resultó en su destitución, lo cual fue resuelto por el Senado de B</w:t>
      </w:r>
      <w:r w:rsidR="00F0094D" w:rsidRPr="00E461D0">
        <w:rPr>
          <w:rFonts w:ascii="Palatino Linotype" w:hAnsi="Palatino Linotype"/>
        </w:rPr>
        <w:t xml:space="preserve">rasil el 21 de agosto de 2016. </w:t>
      </w:r>
      <w:r w:rsidRPr="00E461D0">
        <w:rPr>
          <w:rFonts w:ascii="Palatino Linotype" w:hAnsi="Palatino Linotype"/>
        </w:rPr>
        <w:t>Michael Temer, quien previamente ejerció el cargo de vicepresidente de Brasil, asumió la presidencia hasta la finalización del período presidencial.</w:t>
      </w:r>
      <w:r w:rsidR="00473ED5" w:rsidRPr="00E461D0">
        <w:rPr>
          <w:rFonts w:ascii="Palatino Linotype" w:hAnsi="Palatino Linotype"/>
        </w:rPr>
        <w:t xml:space="preserve"> Luego de las elecciones de fecha </w:t>
      </w:r>
      <w:r w:rsidR="005E2601" w:rsidRPr="00E461D0">
        <w:rPr>
          <w:rFonts w:ascii="Palatino Linotype" w:hAnsi="Palatino Linotype"/>
        </w:rPr>
        <w:t xml:space="preserve">28 de octubre </w:t>
      </w:r>
      <w:r w:rsidR="00473ED5" w:rsidRPr="00E461D0">
        <w:rPr>
          <w:rFonts w:ascii="Palatino Linotype" w:hAnsi="Palatino Linotype"/>
        </w:rPr>
        <w:t xml:space="preserve">de 2018 fue electo el Sr. Jair Bolsonaro como presidente de Brasil, quien asumió el cargo el </w:t>
      </w:r>
      <w:r w:rsidR="005E2601" w:rsidRPr="00E461D0">
        <w:rPr>
          <w:rFonts w:ascii="Palatino Linotype" w:hAnsi="Palatino Linotype"/>
        </w:rPr>
        <w:t xml:space="preserve">1° </w:t>
      </w:r>
      <w:r w:rsidR="00473ED5" w:rsidRPr="00E461D0">
        <w:rPr>
          <w:rFonts w:ascii="Palatino Linotype" w:hAnsi="Palatino Linotype"/>
        </w:rPr>
        <w:t>de enero de 2019.</w:t>
      </w:r>
    </w:p>
    <w:p w14:paraId="1B214816" w14:textId="77777777" w:rsidR="00473ED5" w:rsidRPr="00E461D0" w:rsidRDefault="00473ED5" w:rsidP="00B8528C">
      <w:pPr>
        <w:jc w:val="both"/>
        <w:rPr>
          <w:rFonts w:ascii="Palatino Linotype" w:hAnsi="Palatino Linotype"/>
        </w:rPr>
      </w:pPr>
    </w:p>
    <w:p w14:paraId="66D72A77" w14:textId="77777777" w:rsidR="00B8528C" w:rsidRPr="00E461D0" w:rsidRDefault="00B8528C" w:rsidP="00B8528C">
      <w:pPr>
        <w:jc w:val="both"/>
        <w:rPr>
          <w:rFonts w:ascii="Palatino Linotype" w:hAnsi="Palatino Linotype"/>
        </w:rPr>
      </w:pPr>
      <w:r w:rsidRPr="00E461D0">
        <w:rPr>
          <w:rFonts w:ascii="Palatino Linotype" w:hAnsi="Palatino Linotype"/>
        </w:rPr>
        <w:t>Una nueva crisis global económica y/o financiera, o los efectos de un deterioro en el contexto internacional actual, podrían afectar la economía argentina y, consecuentemente, los resultados y operaciones de Global. A su vez, esta situación podría afectar en forma sustancialmente adversa la capacidad de Global de cumplir con los pagos de sus Obligaciones Negociables Py</w:t>
      </w:r>
      <w:r w:rsidR="00F37F23" w:rsidRPr="00E461D0">
        <w:rPr>
          <w:rFonts w:ascii="Palatino Linotype" w:hAnsi="Palatino Linotype"/>
        </w:rPr>
        <w:t>ME</w:t>
      </w:r>
      <w:r w:rsidRPr="00E461D0">
        <w:rPr>
          <w:rFonts w:ascii="Palatino Linotype" w:hAnsi="Palatino Linotype"/>
        </w:rPr>
        <w:t xml:space="preserve">. </w:t>
      </w:r>
    </w:p>
    <w:p w14:paraId="6784F317" w14:textId="77777777" w:rsidR="00B8528C" w:rsidRPr="00CE678E" w:rsidRDefault="00B8528C" w:rsidP="00B8528C">
      <w:pPr>
        <w:jc w:val="both"/>
        <w:rPr>
          <w:rFonts w:ascii="Palatino Linotype" w:hAnsi="Palatino Linotype"/>
          <w:color w:val="auto"/>
        </w:rPr>
      </w:pPr>
    </w:p>
    <w:p w14:paraId="726EADB7" w14:textId="07C9884D" w:rsidR="00B8528C" w:rsidRPr="00CE678E" w:rsidRDefault="00B8528C" w:rsidP="00B8528C">
      <w:pPr>
        <w:jc w:val="both"/>
        <w:rPr>
          <w:rFonts w:ascii="Palatino Linotype" w:hAnsi="Palatino Linotype"/>
          <w:b/>
          <w:i/>
          <w:color w:val="auto"/>
        </w:rPr>
      </w:pPr>
      <w:r w:rsidRPr="00CE678E">
        <w:rPr>
          <w:rFonts w:ascii="Palatino Linotype" w:hAnsi="Palatino Linotype"/>
          <w:b/>
          <w:i/>
          <w:color w:val="auto"/>
        </w:rPr>
        <w:t xml:space="preserve">En caso que se contraigan obligaciones denominadas en moneda extranjera o vinculada a la misma, una eventual devaluación pronunciada del </w:t>
      </w:r>
      <w:r w:rsidR="00CE678E">
        <w:rPr>
          <w:rFonts w:ascii="Palatino Linotype" w:hAnsi="Palatino Linotype"/>
          <w:b/>
          <w:i/>
          <w:color w:val="auto"/>
        </w:rPr>
        <w:t>P</w:t>
      </w:r>
      <w:r w:rsidRPr="00CE678E">
        <w:rPr>
          <w:rFonts w:ascii="Palatino Linotype" w:hAnsi="Palatino Linotype"/>
          <w:b/>
          <w:i/>
          <w:color w:val="auto"/>
        </w:rPr>
        <w:t>eso podría dificultar o eventualmente llegar a impedir honrar tales obligaciones a Global.</w:t>
      </w:r>
    </w:p>
    <w:p w14:paraId="1B0B490F" w14:textId="471EFBF9" w:rsidR="00473ED5" w:rsidRPr="00CE678E" w:rsidRDefault="00473ED5" w:rsidP="00B8528C">
      <w:pPr>
        <w:jc w:val="both"/>
        <w:rPr>
          <w:rFonts w:ascii="Palatino Linotype" w:hAnsi="Palatino Linotype"/>
          <w:color w:val="auto"/>
        </w:rPr>
      </w:pPr>
    </w:p>
    <w:p w14:paraId="1AFE766E" w14:textId="0CA3FCB3" w:rsidR="00B8528C" w:rsidRPr="00CE678E" w:rsidRDefault="00B8528C" w:rsidP="0094256F">
      <w:pPr>
        <w:jc w:val="both"/>
        <w:rPr>
          <w:rFonts w:ascii="Palatino Linotype" w:hAnsi="Palatino Linotype"/>
          <w:color w:val="auto"/>
        </w:rPr>
      </w:pPr>
      <w:r w:rsidRPr="00CE678E">
        <w:rPr>
          <w:rFonts w:ascii="Palatino Linotype" w:hAnsi="Palatino Linotype"/>
          <w:color w:val="auto"/>
        </w:rPr>
        <w:t xml:space="preserve">Si el </w:t>
      </w:r>
      <w:r w:rsidR="00473ED5" w:rsidRPr="00CE678E">
        <w:rPr>
          <w:rFonts w:ascii="Palatino Linotype" w:hAnsi="Palatino Linotype"/>
          <w:color w:val="auto"/>
        </w:rPr>
        <w:t>P</w:t>
      </w:r>
      <w:r w:rsidRPr="00CE678E">
        <w:rPr>
          <w:rFonts w:ascii="Palatino Linotype" w:hAnsi="Palatino Linotype"/>
          <w:color w:val="auto"/>
        </w:rPr>
        <w:t>e</w:t>
      </w:r>
      <w:r w:rsidR="00473ED5" w:rsidRPr="00CE678E">
        <w:rPr>
          <w:rFonts w:ascii="Palatino Linotype" w:hAnsi="Palatino Linotype"/>
          <w:color w:val="auto"/>
        </w:rPr>
        <w:t>so perdiera su valor frente al D</w:t>
      </w:r>
      <w:r w:rsidRPr="00CE678E">
        <w:rPr>
          <w:rFonts w:ascii="Palatino Linotype" w:hAnsi="Palatino Linotype"/>
          <w:color w:val="auto"/>
        </w:rPr>
        <w:t xml:space="preserve">ólar en forma significativa podría producirse un impacto negativo sobre la capacidad de las empresas argentinas para honrar sus deudas denominadas en o vinculadas a la moneda extranjera, generar una inflación muy alta, reducir los salarios reales en forma significativa, y tener un impacto negativo sobre empresas orientadas al mercado interno, tales como las empresas de servicios públicos y la industria financiera. Tal eventual devaluación podría también afectar adversamente la capacidad del </w:t>
      </w:r>
      <w:r w:rsidR="0012089C" w:rsidRPr="00CE678E">
        <w:rPr>
          <w:rFonts w:ascii="Palatino Linotype" w:hAnsi="Palatino Linotype"/>
          <w:color w:val="auto"/>
        </w:rPr>
        <w:t>Gobierno</w:t>
      </w:r>
      <w:r w:rsidRPr="00CE678E">
        <w:rPr>
          <w:rFonts w:ascii="Palatino Linotype" w:hAnsi="Palatino Linotype"/>
          <w:color w:val="auto"/>
        </w:rPr>
        <w:t xml:space="preserve"> para honrar su deuda externa, con consecuencias adversas para los negocios de Global.</w:t>
      </w:r>
    </w:p>
    <w:p w14:paraId="2F12135B" w14:textId="77777777" w:rsidR="00B8528C" w:rsidRPr="00E461D0" w:rsidRDefault="00B8528C" w:rsidP="00B8528C">
      <w:pPr>
        <w:jc w:val="both"/>
        <w:rPr>
          <w:rFonts w:ascii="Palatino Linotype" w:hAnsi="Palatino Linotype"/>
        </w:rPr>
      </w:pPr>
    </w:p>
    <w:p w14:paraId="15FDFDFC" w14:textId="1D3737F4" w:rsidR="00282755" w:rsidRPr="00E461D0" w:rsidRDefault="00282755" w:rsidP="00282755">
      <w:pPr>
        <w:jc w:val="both"/>
        <w:rPr>
          <w:rFonts w:ascii="Palatino Linotype" w:hAnsi="Palatino Linotype"/>
          <w:b/>
          <w:i/>
        </w:rPr>
      </w:pPr>
      <w:r w:rsidRPr="00E461D0">
        <w:rPr>
          <w:rFonts w:ascii="Palatino Linotype" w:hAnsi="Palatino Linotype"/>
          <w:b/>
          <w:i/>
        </w:rPr>
        <w:t xml:space="preserve">La profundización y nuevas regulaciones en el mercado cambiario podrían afectar en forma negativa la capacidad y el modo en que la Compañía repague sus obligaciones en </w:t>
      </w:r>
      <w:r w:rsidR="00E461D0" w:rsidRPr="00E461D0">
        <w:rPr>
          <w:rFonts w:ascii="Palatino Linotype" w:hAnsi="Palatino Linotype"/>
          <w:b/>
          <w:i/>
        </w:rPr>
        <w:t>moneda extranjera o vinculada</w:t>
      </w:r>
      <w:r w:rsidRPr="00E461D0">
        <w:rPr>
          <w:rFonts w:ascii="Palatino Linotype" w:hAnsi="Palatino Linotype"/>
          <w:b/>
          <w:i/>
        </w:rPr>
        <w:t xml:space="preserve"> a ésta.</w:t>
      </w:r>
    </w:p>
    <w:p w14:paraId="0964ADA6" w14:textId="77777777" w:rsidR="00282755" w:rsidRPr="00E461D0" w:rsidRDefault="00282755" w:rsidP="00282755">
      <w:pPr>
        <w:jc w:val="both"/>
        <w:rPr>
          <w:rFonts w:ascii="Palatino Linotype" w:hAnsi="Palatino Linotype"/>
        </w:rPr>
      </w:pPr>
    </w:p>
    <w:p w14:paraId="4C0574ED" w14:textId="77777777" w:rsidR="00282755" w:rsidRPr="00E461D0" w:rsidRDefault="00282755" w:rsidP="00282755">
      <w:pPr>
        <w:jc w:val="both"/>
        <w:rPr>
          <w:rFonts w:ascii="Palatino Linotype" w:hAnsi="Palatino Linotype"/>
        </w:rPr>
      </w:pPr>
      <w:r w:rsidRPr="00E461D0">
        <w:rPr>
          <w:rFonts w:ascii="Palatino Linotype" w:hAnsi="Palatino Linotype"/>
        </w:rPr>
        <w:t xml:space="preserve">Durante la administración actual, el Gobierno suprimió paulatinamente las restricciones cambiarias, a fin de brindar mayor flexibilidad y un acceso más fácil al Mercado Libre de Cambios (el “MLC”). </w:t>
      </w:r>
    </w:p>
    <w:p w14:paraId="1418DBE8" w14:textId="77777777" w:rsidR="00282755" w:rsidRPr="00E461D0" w:rsidRDefault="00282755" w:rsidP="00282755">
      <w:pPr>
        <w:jc w:val="both"/>
        <w:rPr>
          <w:rFonts w:ascii="Palatino Linotype" w:hAnsi="Palatino Linotype"/>
        </w:rPr>
      </w:pPr>
    </w:p>
    <w:p w14:paraId="5D37772C" w14:textId="238F5832" w:rsidR="00473ED5" w:rsidRPr="00E461D0" w:rsidRDefault="00282755" w:rsidP="00282755">
      <w:pPr>
        <w:jc w:val="both"/>
        <w:rPr>
          <w:rFonts w:ascii="Palatino Linotype" w:hAnsi="Palatino Linotype"/>
        </w:rPr>
      </w:pPr>
      <w:r w:rsidRPr="00E461D0">
        <w:rPr>
          <w:rFonts w:ascii="Palatino Linotype" w:hAnsi="Palatino Linotype"/>
        </w:rPr>
        <w:t>No obstante, el Gobierno con fecha 1° de septiembre de 2019 a través de la publicación del Decreto de Necesidad y Urgencia N° 609 (“DNU”) publicado en el Boletín Oficial estableció en principio hasta el 31 de diciembre de 2019, el contravalor de la exportación de bienes y servicios deberá ingresarse al país en divisas y/o negociarse en el mercado de cambios en las condiciones y plazos que establezca el Banco Central. Asimismo, el referido DNU establece que el Banco Central establecerá los supuestos en los que el acceso al mercado de cambios para la compra de moneda extranjera y metales preciosos amonedados y las transferencias al exterior requerirán autorización previa, con base en pautas objetivas en función de las condiciones vigentes en el mercado cambiario y distinguiendo la situación de las personas humanas de la de las personas jurídicas. De igual modo se faculta al BCRA para establecer reglamentaciones que eviten prácticas y operaciones tendientes a eludir, a través de títulos públicos u otros instrumentos, lo dispuesto en esta medida. No puede asegurarse que el régimen cambiario vigente detallado en l</w:t>
      </w:r>
      <w:r w:rsidR="00E461D0" w:rsidRPr="00E461D0">
        <w:rPr>
          <w:rFonts w:ascii="Palatino Linotype" w:hAnsi="Palatino Linotype"/>
        </w:rPr>
        <w:t>a sección IX “</w:t>
      </w:r>
      <w:r w:rsidR="00E461D0" w:rsidRPr="00E461D0">
        <w:rPr>
          <w:rFonts w:ascii="Palatino Linotype" w:hAnsi="Palatino Linotype"/>
          <w:i/>
        </w:rPr>
        <w:t>Controles de Cambio</w:t>
      </w:r>
      <w:r w:rsidR="00E461D0" w:rsidRPr="00E461D0">
        <w:rPr>
          <w:rFonts w:ascii="Palatino Linotype" w:hAnsi="Palatino Linotype"/>
        </w:rPr>
        <w:t>”</w:t>
      </w:r>
      <w:r w:rsidRPr="00E461D0">
        <w:rPr>
          <w:rFonts w:ascii="Palatino Linotype" w:hAnsi="Palatino Linotype"/>
        </w:rPr>
        <w:t xml:space="preserve"> no será modificado y/o se incorporen nuevas restricciones cambiarias. Cualquier restricción cambiaria, podría afectar en forma adversa la capacidad de Global para acceder a los mercados de capitales internacionales y, en caso que se emitan Obligaciones Negociables en moneda extranjera o vinculadas a ésta, podrían menoscabar la capacidad de la Compañía de efectuar los pagos de capital y/o intereses de sus obligaciones denominadas en moneda extranjera o transferir al exterior (total o parcialmente) fondos para realizar pagos de las Obligaciones Negociables (lo cual podría afectar la condición financiera y los resultados de las operaciones del Emisor). Por lo tanto, los inversores no residentes o residentes argentinos con activos en el exterior que inviertan en las Obligaciones Negociables </w:t>
      </w:r>
      <w:r w:rsidR="00E461D0" w:rsidRPr="00E461D0">
        <w:rPr>
          <w:rFonts w:ascii="Palatino Linotype" w:hAnsi="Palatino Linotype"/>
        </w:rPr>
        <w:t xml:space="preserve">PYME </w:t>
      </w:r>
      <w:r w:rsidRPr="00E461D0">
        <w:rPr>
          <w:rFonts w:ascii="Palatino Linotype" w:hAnsi="Palatino Linotype"/>
        </w:rPr>
        <w:t>deberán tener particularmente en cuenta las normas (y sus modificaciones) que regulan el acceso al mercado de cambios.</w:t>
      </w:r>
    </w:p>
    <w:p w14:paraId="71249542" w14:textId="2C18E626" w:rsidR="00B8528C" w:rsidRPr="00E461D0" w:rsidRDefault="00B8528C" w:rsidP="00B8528C">
      <w:pPr>
        <w:jc w:val="both"/>
        <w:rPr>
          <w:rFonts w:ascii="Palatino Linotype" w:hAnsi="Palatino Linotype"/>
        </w:rPr>
      </w:pPr>
    </w:p>
    <w:p w14:paraId="237EEC9B" w14:textId="77777777" w:rsidR="00B8528C" w:rsidRPr="00E461D0" w:rsidRDefault="00B8528C" w:rsidP="00B8528C">
      <w:pPr>
        <w:jc w:val="both"/>
        <w:rPr>
          <w:rFonts w:ascii="Palatino Linotype" w:hAnsi="Palatino Linotype"/>
          <w:b/>
          <w:i/>
        </w:rPr>
      </w:pPr>
      <w:r w:rsidRPr="00E461D0">
        <w:rPr>
          <w:rFonts w:ascii="Palatino Linotype" w:hAnsi="Palatino Linotype"/>
          <w:b/>
          <w:i/>
        </w:rPr>
        <w:t xml:space="preserve">Riesgo estructural del sistema financiero argentino. </w:t>
      </w:r>
    </w:p>
    <w:p w14:paraId="5747B1E0" w14:textId="77777777" w:rsidR="0012089C" w:rsidRPr="00CE678E" w:rsidRDefault="0012089C" w:rsidP="00B8528C">
      <w:pPr>
        <w:jc w:val="both"/>
        <w:rPr>
          <w:rFonts w:ascii="Palatino Linotype" w:hAnsi="Palatino Linotype"/>
          <w:color w:val="FF0000"/>
        </w:rPr>
      </w:pPr>
    </w:p>
    <w:p w14:paraId="747FC7B9" w14:textId="77777777" w:rsidR="00B8528C" w:rsidRPr="00E461D0" w:rsidRDefault="00B8528C" w:rsidP="00B8528C">
      <w:pPr>
        <w:jc w:val="both"/>
        <w:rPr>
          <w:rFonts w:ascii="Palatino Linotype" w:hAnsi="Palatino Linotype"/>
        </w:rPr>
      </w:pPr>
      <w:r w:rsidRPr="00E461D0">
        <w:rPr>
          <w:rFonts w:ascii="Palatino Linotype" w:hAnsi="Palatino Linotype"/>
        </w:rPr>
        <w:t>En su historia reciente, la Argentina ha enfrentado crisis sistémicas en el sector financiero, con importantes efectos en la economía. Asimismo, crisis experimentadas por los mercados financieros de otros países han repercutido en el sector financiero argentino. Una nueva crisis sistémica podría afectar negativamente en forma significativa las expectativas de recuperación de la Argentina y la capacidad de la Compañía de obtener préstamos (incluyendo el establecimiento de líneas de crédito), requiriendo en tal caso contar con fondos generados internamente para sostener sus operaciones, incluyendo financiamiento de inversiones en bienes de capital. En tal supuesto, la situación patrimonial, financiera, los resultados, operaciones y los negocios de la Compañía podrían verse afectados de manera sustancial y adversa.</w:t>
      </w:r>
    </w:p>
    <w:p w14:paraId="651DECE1" w14:textId="77777777" w:rsidR="00DA0DDE" w:rsidRPr="00E461D0" w:rsidRDefault="00DA0DDE" w:rsidP="00B8528C">
      <w:pPr>
        <w:jc w:val="both"/>
        <w:rPr>
          <w:rFonts w:ascii="Palatino Linotype" w:hAnsi="Palatino Linotype"/>
        </w:rPr>
      </w:pPr>
    </w:p>
    <w:p w14:paraId="48156A80" w14:textId="77777777" w:rsidR="00B8528C" w:rsidRPr="00E461D0" w:rsidRDefault="00B8528C" w:rsidP="00B8528C">
      <w:pPr>
        <w:pStyle w:val="Prrafodelista"/>
        <w:numPr>
          <w:ilvl w:val="0"/>
          <w:numId w:val="2"/>
        </w:numPr>
        <w:jc w:val="both"/>
        <w:rPr>
          <w:rFonts w:ascii="Palatino Linotype" w:hAnsi="Palatino Linotype"/>
          <w:b/>
        </w:rPr>
      </w:pPr>
      <w:r w:rsidRPr="00E461D0">
        <w:rPr>
          <w:rFonts w:ascii="Palatino Linotype" w:hAnsi="Palatino Linotype"/>
          <w:b/>
        </w:rPr>
        <w:t>Riesgos relacionados con los negocios de la Sociedad</w:t>
      </w:r>
    </w:p>
    <w:p w14:paraId="78A38684" w14:textId="77777777" w:rsidR="00B8528C" w:rsidRPr="00E461D0" w:rsidRDefault="00B8528C" w:rsidP="00B8528C">
      <w:pPr>
        <w:jc w:val="both"/>
        <w:rPr>
          <w:rFonts w:ascii="Palatino Linotype" w:hAnsi="Palatino Linotype"/>
        </w:rPr>
      </w:pPr>
    </w:p>
    <w:p w14:paraId="346C63E0" w14:textId="77777777" w:rsidR="00B8528C" w:rsidRPr="00E461D0" w:rsidRDefault="00B8528C" w:rsidP="00B8528C">
      <w:pPr>
        <w:jc w:val="both"/>
        <w:rPr>
          <w:rFonts w:ascii="Palatino Linotype" w:hAnsi="Palatino Linotype"/>
          <w:b/>
        </w:rPr>
      </w:pPr>
      <w:r w:rsidRPr="00E461D0">
        <w:rPr>
          <w:rFonts w:ascii="Palatino Linotype" w:hAnsi="Palatino Linotype"/>
          <w:b/>
        </w:rPr>
        <w:t>El límite a la responsabilidad de los accionistas del Emisor.</w:t>
      </w:r>
    </w:p>
    <w:p w14:paraId="3D404DD6" w14:textId="77777777" w:rsidR="0012089C" w:rsidRPr="00E461D0" w:rsidRDefault="0012089C" w:rsidP="00B8528C">
      <w:pPr>
        <w:jc w:val="both"/>
        <w:rPr>
          <w:rFonts w:ascii="Palatino Linotype" w:hAnsi="Palatino Linotype"/>
        </w:rPr>
      </w:pPr>
    </w:p>
    <w:p w14:paraId="66F6CCD4" w14:textId="66B38FA3" w:rsidR="00B8528C" w:rsidRPr="00E461D0" w:rsidRDefault="00B8528C" w:rsidP="00B8528C">
      <w:pPr>
        <w:jc w:val="both"/>
        <w:rPr>
          <w:rFonts w:ascii="Palatino Linotype" w:hAnsi="Palatino Linotype"/>
        </w:rPr>
      </w:pPr>
      <w:r w:rsidRPr="00E461D0">
        <w:rPr>
          <w:rFonts w:ascii="Palatino Linotype" w:hAnsi="Palatino Linotype"/>
        </w:rPr>
        <w:t>Global es una sociedad anónima constituida en la</w:t>
      </w:r>
      <w:r w:rsidR="00F0094D" w:rsidRPr="00E461D0">
        <w:rPr>
          <w:rFonts w:ascii="Palatino Linotype" w:hAnsi="Palatino Linotype"/>
        </w:rPr>
        <w:t xml:space="preserve"> Argentina de acuerdo a la Ley </w:t>
      </w:r>
      <w:r w:rsidRPr="00E461D0">
        <w:rPr>
          <w:rFonts w:ascii="Palatino Linotype" w:hAnsi="Palatino Linotype"/>
        </w:rPr>
        <w:t>General de Sociedades”), conforme a la cual los accionistas limitan su responsabilidad a la integración de las acciones suscriptas.</w:t>
      </w:r>
    </w:p>
    <w:p w14:paraId="251CC2CD" w14:textId="77777777" w:rsidR="0012089C" w:rsidRPr="00E461D0" w:rsidRDefault="0012089C" w:rsidP="00B8528C">
      <w:pPr>
        <w:jc w:val="both"/>
        <w:rPr>
          <w:rFonts w:ascii="Palatino Linotype" w:hAnsi="Palatino Linotype"/>
        </w:rPr>
      </w:pPr>
    </w:p>
    <w:p w14:paraId="5B69E785" w14:textId="77777777" w:rsidR="00B8528C" w:rsidRPr="00E461D0" w:rsidRDefault="00B8528C" w:rsidP="00B8528C">
      <w:pPr>
        <w:jc w:val="both"/>
        <w:rPr>
          <w:rFonts w:ascii="Palatino Linotype" w:hAnsi="Palatino Linotype"/>
        </w:rPr>
      </w:pPr>
      <w:r w:rsidRPr="00E461D0">
        <w:rPr>
          <w:rFonts w:ascii="Palatino Linotype" w:hAnsi="Palatino Linotype"/>
        </w:rPr>
        <w:t>En virtud de lo dispuesto por la Ley General de Sociedades, la responsabilidad de los accionistas de una sociedad anónima (como Global) se limita a la integración de las acciones suscriptas. En tal sentido, ninguno de los accionistas de Global (ya sea extranjero o nacional) responde, en exceso de la citada integración accionaria, por las obligaciones emergentes de las operaciones concertadas por Global, incluyendo, sin limitación, las obligaciones emergentes de las Obligaciones Negociables Py</w:t>
      </w:r>
      <w:r w:rsidR="00F37F23" w:rsidRPr="00E461D0">
        <w:rPr>
          <w:rFonts w:ascii="Palatino Linotype" w:hAnsi="Palatino Linotype"/>
        </w:rPr>
        <w:t>ME</w:t>
      </w:r>
      <w:r w:rsidRPr="00E461D0">
        <w:rPr>
          <w:rFonts w:ascii="Palatino Linotype" w:hAnsi="Palatino Linotype"/>
        </w:rPr>
        <w:t>, las que no cuentan con respaldo alguno de sus accionistas.</w:t>
      </w:r>
    </w:p>
    <w:p w14:paraId="08E3CA3D" w14:textId="77777777" w:rsidR="00B8528C" w:rsidRPr="00E461D0" w:rsidRDefault="00B8528C" w:rsidP="00B8528C">
      <w:pPr>
        <w:jc w:val="both"/>
        <w:rPr>
          <w:rFonts w:ascii="Palatino Linotype" w:hAnsi="Palatino Linotype"/>
        </w:rPr>
      </w:pPr>
    </w:p>
    <w:p w14:paraId="25D22F5F" w14:textId="77777777" w:rsidR="00B8528C" w:rsidRPr="00E461D0" w:rsidRDefault="00B8528C" w:rsidP="00B8528C">
      <w:pPr>
        <w:jc w:val="both"/>
        <w:rPr>
          <w:rFonts w:ascii="Palatino Linotype" w:hAnsi="Palatino Linotype"/>
          <w:b/>
          <w:i/>
        </w:rPr>
      </w:pPr>
      <w:r w:rsidRPr="00E461D0">
        <w:rPr>
          <w:rFonts w:ascii="Palatino Linotype" w:hAnsi="Palatino Linotype"/>
          <w:b/>
          <w:i/>
        </w:rPr>
        <w:t>Falta de financiamiento para Global. El crecimiento futuro de Global puede requerir capital adicional que puede no estar disponible o, de estarlo, existe la posibilidad de que sea en condiciones inaceptables.</w:t>
      </w:r>
    </w:p>
    <w:p w14:paraId="0B70259C" w14:textId="77777777" w:rsidR="0012089C" w:rsidRPr="00E461D0" w:rsidRDefault="0012089C" w:rsidP="00B8528C">
      <w:pPr>
        <w:jc w:val="both"/>
        <w:rPr>
          <w:rFonts w:ascii="Palatino Linotype" w:hAnsi="Palatino Linotype"/>
        </w:rPr>
      </w:pPr>
    </w:p>
    <w:p w14:paraId="685F79D5" w14:textId="77777777" w:rsidR="00B8528C" w:rsidRPr="00E461D0" w:rsidRDefault="00B8528C" w:rsidP="00B8528C">
      <w:pPr>
        <w:jc w:val="both"/>
        <w:rPr>
          <w:rFonts w:ascii="Palatino Linotype" w:hAnsi="Palatino Linotype"/>
        </w:rPr>
      </w:pPr>
      <w:r w:rsidRPr="00E461D0">
        <w:rPr>
          <w:rFonts w:ascii="Palatino Linotype" w:hAnsi="Palatino Linotype"/>
        </w:rPr>
        <w:t>Las empresas argentinas cuentan con pocas oportunidades para acceder al mercado financiero y de capitales en condiciones favorables. Las perspectivas para todas las sociedades argentinas, incluida Global, para acceder a los mercados financieros y de capitales nacionales e internacionales en el futuro son inciertas. Si Global no pudiera tener acceso al mercado financiero en condiciones favorables para financiar sus operaciones, podrá verse obligada a reducir sus negocios.</w:t>
      </w:r>
    </w:p>
    <w:p w14:paraId="31D1C802" w14:textId="77777777" w:rsidR="00DA0DDE" w:rsidRPr="00E461D0" w:rsidRDefault="00DA0DDE" w:rsidP="00B8528C">
      <w:pPr>
        <w:jc w:val="both"/>
        <w:rPr>
          <w:rFonts w:ascii="Palatino Linotype" w:hAnsi="Palatino Linotype"/>
        </w:rPr>
      </w:pPr>
    </w:p>
    <w:p w14:paraId="57F2B038" w14:textId="77777777" w:rsidR="00B8528C" w:rsidRPr="00E461D0" w:rsidRDefault="00B8528C" w:rsidP="00B8528C">
      <w:pPr>
        <w:jc w:val="both"/>
        <w:rPr>
          <w:rFonts w:ascii="Palatino Linotype" w:hAnsi="Palatino Linotype"/>
        </w:rPr>
      </w:pPr>
      <w:r w:rsidRPr="00E461D0">
        <w:rPr>
          <w:rFonts w:ascii="Palatino Linotype" w:hAnsi="Palatino Linotype"/>
        </w:rPr>
        <w:t>La situación patrimonial, económica, financiera y/o de otro tipo, los resultados, las operaciones y/o los negocios de Global, y/o la capacidad de Global de cumplir con sus obligaciones en general, y/o con sus obligaciones bajo las Obligaciones Negociables Py</w:t>
      </w:r>
      <w:r w:rsidR="00F37F23" w:rsidRPr="00E461D0">
        <w:rPr>
          <w:rFonts w:ascii="Palatino Linotype" w:hAnsi="Palatino Linotype"/>
        </w:rPr>
        <w:t>ME</w:t>
      </w:r>
      <w:r w:rsidRPr="00E461D0">
        <w:rPr>
          <w:rFonts w:ascii="Palatino Linotype" w:hAnsi="Palatino Linotype"/>
        </w:rPr>
        <w:t xml:space="preserve"> en particular, podrían ser afectadas de manera significativamente adversa como consecuencia de la falta de financiamiento para Global.</w:t>
      </w:r>
    </w:p>
    <w:p w14:paraId="145F36BA" w14:textId="77777777" w:rsidR="00DA0DDE" w:rsidRPr="00E461D0" w:rsidRDefault="00DA0DDE" w:rsidP="00B8528C">
      <w:pPr>
        <w:jc w:val="both"/>
        <w:rPr>
          <w:rFonts w:ascii="Palatino Linotype" w:hAnsi="Palatino Linotype"/>
        </w:rPr>
      </w:pPr>
    </w:p>
    <w:p w14:paraId="23C34401" w14:textId="77777777" w:rsidR="00B8528C" w:rsidRPr="00E461D0" w:rsidRDefault="00B8528C" w:rsidP="00B8528C">
      <w:pPr>
        <w:jc w:val="both"/>
        <w:rPr>
          <w:rFonts w:ascii="Palatino Linotype" w:hAnsi="Palatino Linotype"/>
        </w:rPr>
      </w:pPr>
      <w:r w:rsidRPr="00E461D0">
        <w:rPr>
          <w:rFonts w:ascii="Palatino Linotype" w:hAnsi="Palatino Linotype"/>
        </w:rPr>
        <w:t xml:space="preserve">Las operaciones de Global requieren montos significativos de capital de trabajo. Asimismo, expandirse en nuevas áreas podrá requerir altas sumas de inversión. Es probable que la compañía tenga que procurar capital adicional, ya sea mediante nuevas emisiones de acciones o, en menor medida, de títulos de deuda o préstamos bancarios, para el futuro crecimiento y desarrollo del negocio. No se podrá garantizar la disponibilidad de capital adicional, o de existir la disponibilidad, no se podrá garantizar que será en términos convenientes. La imposibilidad de acceder a capital adicional en términos convenientes puede restringir el futuro crecimiento y desarrollo de los negocios de Global, </w:t>
      </w:r>
    </w:p>
    <w:p w14:paraId="1514AA51" w14:textId="77777777" w:rsidR="00B8528C" w:rsidRPr="00E461D0" w:rsidRDefault="00B8528C" w:rsidP="00B8528C">
      <w:pPr>
        <w:jc w:val="both"/>
        <w:rPr>
          <w:rFonts w:ascii="Palatino Linotype" w:hAnsi="Palatino Linotype"/>
        </w:rPr>
      </w:pPr>
    </w:p>
    <w:p w14:paraId="54D691A2" w14:textId="77777777" w:rsidR="00B8528C" w:rsidRPr="00E461D0" w:rsidRDefault="00B8528C" w:rsidP="00B8528C">
      <w:pPr>
        <w:jc w:val="both"/>
        <w:rPr>
          <w:rFonts w:ascii="Palatino Linotype" w:hAnsi="Palatino Linotype"/>
          <w:b/>
          <w:i/>
        </w:rPr>
      </w:pPr>
      <w:r w:rsidRPr="00E461D0">
        <w:rPr>
          <w:rFonts w:ascii="Palatino Linotype" w:hAnsi="Palatino Linotype"/>
          <w:b/>
          <w:i/>
        </w:rPr>
        <w:t>La pérdida del personal clave podrá afectar los negocios y los resultados de las operaciones.</w:t>
      </w:r>
    </w:p>
    <w:p w14:paraId="469DD422" w14:textId="77777777" w:rsidR="00DA0DDE" w:rsidRPr="00E461D0" w:rsidRDefault="00DA0DDE" w:rsidP="00B8528C">
      <w:pPr>
        <w:jc w:val="both"/>
        <w:rPr>
          <w:rFonts w:ascii="Palatino Linotype" w:hAnsi="Palatino Linotype"/>
        </w:rPr>
      </w:pPr>
    </w:p>
    <w:p w14:paraId="2FE005DA" w14:textId="77777777" w:rsidR="00B8528C" w:rsidRPr="00E461D0" w:rsidRDefault="00B8528C" w:rsidP="00B8528C">
      <w:pPr>
        <w:jc w:val="both"/>
        <w:rPr>
          <w:rFonts w:ascii="Palatino Linotype" w:hAnsi="Palatino Linotype"/>
        </w:rPr>
      </w:pPr>
      <w:r w:rsidRPr="00E461D0">
        <w:rPr>
          <w:rFonts w:ascii="Palatino Linotype" w:hAnsi="Palatino Linotype"/>
        </w:rPr>
        <w:t>Las actividades de la Compañía dependen del continuo esfuerzo, conocimientos y experiencia de sus funcionarios ejecutivos, alta gerencia y principales empleados. La pérdida del personal clave podría tener un efecto adverso significativo sobre las operaciones. La competencia por personal de dirección y empleados calificados es intensa. Se considera que el éxito futuro depende de la capacidad de Global de atraer y mantener personal gerencial altamente capacitado y experimentado; ampliar, capacitar y administrar la base de empleados; y desarrollar, atraer y mantener empleados clave.</w:t>
      </w:r>
    </w:p>
    <w:p w14:paraId="404D4C72" w14:textId="77777777" w:rsidR="00B8528C" w:rsidRPr="00E461D0" w:rsidRDefault="00B8528C" w:rsidP="00B8528C">
      <w:pPr>
        <w:jc w:val="both"/>
        <w:rPr>
          <w:rFonts w:ascii="Palatino Linotype" w:hAnsi="Palatino Linotype"/>
        </w:rPr>
      </w:pPr>
    </w:p>
    <w:p w14:paraId="707A797E" w14:textId="77777777" w:rsidR="00775D2D" w:rsidRPr="00E461D0" w:rsidRDefault="00775D2D" w:rsidP="003C15F8">
      <w:pPr>
        <w:pStyle w:val="Prrafodelista"/>
        <w:numPr>
          <w:ilvl w:val="0"/>
          <w:numId w:val="2"/>
        </w:numPr>
        <w:jc w:val="both"/>
        <w:rPr>
          <w:rFonts w:ascii="Palatino Linotype" w:hAnsi="Palatino Linotype"/>
        </w:rPr>
      </w:pPr>
      <w:r w:rsidRPr="00E461D0">
        <w:rPr>
          <w:rFonts w:ascii="Palatino Linotype" w:hAnsi="Palatino Linotype"/>
          <w:b/>
        </w:rPr>
        <w:t xml:space="preserve">Factores de riesgo relacionados con las actividades de la Compañía </w:t>
      </w:r>
    </w:p>
    <w:p w14:paraId="2593CCF0" w14:textId="77777777" w:rsidR="00775D2D" w:rsidRPr="00E461D0" w:rsidRDefault="00775D2D" w:rsidP="00775D2D">
      <w:pPr>
        <w:jc w:val="both"/>
        <w:rPr>
          <w:rFonts w:ascii="Palatino Linotype" w:hAnsi="Palatino Linotype"/>
        </w:rPr>
      </w:pPr>
    </w:p>
    <w:p w14:paraId="3229D7E6" w14:textId="77777777" w:rsidR="00775D2D" w:rsidRPr="00E461D0" w:rsidRDefault="00775D2D" w:rsidP="00775D2D">
      <w:pPr>
        <w:jc w:val="both"/>
        <w:rPr>
          <w:rFonts w:ascii="Palatino Linotype" w:hAnsi="Palatino Linotype"/>
          <w:b/>
          <w:i/>
        </w:rPr>
      </w:pPr>
      <w:r w:rsidRPr="00E461D0">
        <w:rPr>
          <w:rFonts w:ascii="Palatino Linotype" w:hAnsi="Palatino Linotype"/>
          <w:b/>
          <w:i/>
        </w:rPr>
        <w:t>Se podría no llevar a cabo la estrategia de negocios con éxito.</w:t>
      </w:r>
    </w:p>
    <w:p w14:paraId="0A4C5BB0" w14:textId="77777777" w:rsidR="00775D2D" w:rsidRPr="00E461D0" w:rsidRDefault="00775D2D" w:rsidP="00775D2D">
      <w:pPr>
        <w:jc w:val="both"/>
        <w:rPr>
          <w:rFonts w:ascii="Palatino Linotype" w:hAnsi="Palatino Linotype"/>
        </w:rPr>
      </w:pPr>
    </w:p>
    <w:p w14:paraId="2E662D34" w14:textId="77777777" w:rsidR="00775D2D" w:rsidRPr="00E461D0" w:rsidRDefault="00775D2D" w:rsidP="00775D2D">
      <w:pPr>
        <w:jc w:val="both"/>
        <w:rPr>
          <w:rFonts w:ascii="Palatino Linotype" w:hAnsi="Palatino Linotype"/>
        </w:rPr>
      </w:pPr>
      <w:r w:rsidRPr="00E461D0">
        <w:rPr>
          <w:rFonts w:ascii="Palatino Linotype" w:hAnsi="Palatino Linotype"/>
        </w:rPr>
        <w:t xml:space="preserve">La capacidad de la Emisora de aumentar ingresos y mejorar resultados y márgenes depende en gran medida en que pueda llevar adelante exitosamente su estrategia de negocios. Esta estrategia contempla varios objetivos, tales como mejorar sus márgenes aumentando la eficiencia de sus operaciones, fortaleciendo su liderazgo en el mercado y aumentando su presencia, utilizando el capital en forma eficiente. </w:t>
      </w:r>
    </w:p>
    <w:p w14:paraId="20E0FB8F" w14:textId="77777777" w:rsidR="00775D2D" w:rsidRPr="00E461D0" w:rsidRDefault="00775D2D" w:rsidP="00775D2D">
      <w:pPr>
        <w:jc w:val="both"/>
        <w:rPr>
          <w:rFonts w:ascii="Palatino Linotype" w:hAnsi="Palatino Linotype"/>
        </w:rPr>
      </w:pPr>
    </w:p>
    <w:p w14:paraId="721F645A" w14:textId="77777777" w:rsidR="00775D2D" w:rsidRPr="00E461D0" w:rsidRDefault="00775D2D" w:rsidP="00775D2D">
      <w:pPr>
        <w:jc w:val="both"/>
        <w:rPr>
          <w:rFonts w:ascii="Palatino Linotype" w:hAnsi="Palatino Linotype"/>
          <w:b/>
          <w:i/>
        </w:rPr>
      </w:pPr>
      <w:r w:rsidRPr="00E461D0">
        <w:rPr>
          <w:rFonts w:ascii="Palatino Linotype" w:hAnsi="Palatino Linotype"/>
          <w:b/>
          <w:i/>
        </w:rPr>
        <w:t>La Emisora depende de su management senior y otro personal clave para su desempeño actual y futuro.</w:t>
      </w:r>
    </w:p>
    <w:p w14:paraId="3959D4DF" w14:textId="77777777" w:rsidR="00775D2D" w:rsidRPr="00E461D0" w:rsidRDefault="00775D2D" w:rsidP="00775D2D">
      <w:pPr>
        <w:jc w:val="both"/>
        <w:rPr>
          <w:rFonts w:ascii="Palatino Linotype" w:hAnsi="Palatino Linotype"/>
        </w:rPr>
      </w:pPr>
    </w:p>
    <w:p w14:paraId="4648325F" w14:textId="77777777" w:rsidR="00775D2D" w:rsidRPr="00E461D0" w:rsidRDefault="00775D2D" w:rsidP="00775D2D">
      <w:pPr>
        <w:jc w:val="both"/>
        <w:rPr>
          <w:rFonts w:ascii="Palatino Linotype" w:hAnsi="Palatino Linotype"/>
        </w:rPr>
      </w:pPr>
      <w:r w:rsidRPr="00E461D0">
        <w:rPr>
          <w:rFonts w:ascii="Palatino Linotype" w:hAnsi="Palatino Linotype"/>
        </w:rPr>
        <w:t xml:space="preserve">El desempeño actual y futuro de la Emisora depende en un grado significativo de su equipo calificado de management senior y de su habilidad de atraer y retener management calificado. Sus futuras operaciones podrían verse afectadas si cualquiera de sus ejecutivos senior u otro personal clave dejara de trabajar con la Emisora. La competencia en cuanto al management senior es intensa, y no es posible garantizar que sean capaces de retener a su personal o atraer personal calificado adicional. </w:t>
      </w:r>
    </w:p>
    <w:p w14:paraId="5AC14BAA" w14:textId="77777777" w:rsidR="00775D2D" w:rsidRPr="00E461D0" w:rsidRDefault="00775D2D" w:rsidP="00775D2D">
      <w:pPr>
        <w:jc w:val="both"/>
        <w:rPr>
          <w:rFonts w:ascii="Palatino Linotype" w:hAnsi="Palatino Linotype"/>
        </w:rPr>
      </w:pPr>
    </w:p>
    <w:p w14:paraId="44809AD7" w14:textId="77777777" w:rsidR="00775D2D" w:rsidRPr="00E461D0" w:rsidRDefault="00775D2D" w:rsidP="00775D2D">
      <w:pPr>
        <w:jc w:val="both"/>
        <w:rPr>
          <w:rFonts w:ascii="Palatino Linotype" w:hAnsi="Palatino Linotype"/>
          <w:b/>
          <w:i/>
        </w:rPr>
      </w:pPr>
      <w:r w:rsidRPr="00E461D0">
        <w:rPr>
          <w:rFonts w:ascii="Palatino Linotype" w:hAnsi="Palatino Linotype"/>
          <w:b/>
          <w:i/>
        </w:rPr>
        <w:t>Opera en un entorno altamente regulado y sus operaciones se encuentran sujetas a las regulaciones y medidas adoptadas por diversas dependencias regulatorias.</w:t>
      </w:r>
    </w:p>
    <w:p w14:paraId="14C0FB08" w14:textId="77777777" w:rsidR="00775D2D" w:rsidRPr="00E461D0" w:rsidRDefault="00775D2D" w:rsidP="00775D2D">
      <w:pPr>
        <w:jc w:val="both"/>
        <w:rPr>
          <w:rFonts w:ascii="Palatino Linotype" w:hAnsi="Palatino Linotype"/>
        </w:rPr>
      </w:pPr>
    </w:p>
    <w:p w14:paraId="4A6B1BFA" w14:textId="77777777" w:rsidR="00775D2D" w:rsidRPr="00E461D0" w:rsidRDefault="00775D2D" w:rsidP="00775D2D">
      <w:pPr>
        <w:jc w:val="both"/>
        <w:rPr>
          <w:rFonts w:ascii="Palatino Linotype" w:hAnsi="Palatino Linotype"/>
        </w:rPr>
      </w:pPr>
      <w:r w:rsidRPr="00E461D0">
        <w:rPr>
          <w:rFonts w:ascii="Palatino Linotype" w:hAnsi="Palatino Linotype"/>
        </w:rPr>
        <w:t xml:space="preserve">Las entidades y agentes intermediarios registrados ante la </w:t>
      </w:r>
      <w:r w:rsidR="00D61D64" w:rsidRPr="00E461D0">
        <w:rPr>
          <w:rFonts w:ascii="Palatino Linotype" w:hAnsi="Palatino Linotype"/>
        </w:rPr>
        <w:t>CNV</w:t>
      </w:r>
      <w:r w:rsidRPr="00E461D0">
        <w:rPr>
          <w:rFonts w:ascii="Palatino Linotype" w:hAnsi="Palatino Linotype"/>
        </w:rPr>
        <w:t xml:space="preserve"> se encuentran sujetas a una importante cantidad de regulaciones, tanto de dicha comisión, como de otras autoridades regulatorias. La </w:t>
      </w:r>
      <w:r w:rsidR="00D61D64" w:rsidRPr="00E461D0">
        <w:rPr>
          <w:rFonts w:ascii="Palatino Linotype" w:hAnsi="Palatino Linotype"/>
        </w:rPr>
        <w:t>CNV</w:t>
      </w:r>
      <w:r w:rsidRPr="00E461D0">
        <w:rPr>
          <w:rFonts w:ascii="Palatino Linotype" w:hAnsi="Palatino Linotype"/>
        </w:rPr>
        <w:t xml:space="preserve"> podría sancionar a la Compañía ante cualquier caso de incumplimiento de las reglamentaciones aplicables. La Unidad de Información Financiera (“</w:t>
      </w:r>
      <w:r w:rsidRPr="00E461D0">
        <w:rPr>
          <w:rFonts w:ascii="Palatino Linotype" w:hAnsi="Palatino Linotype"/>
          <w:u w:val="single"/>
        </w:rPr>
        <w:t>UIF</w:t>
      </w:r>
      <w:r w:rsidRPr="00E461D0">
        <w:rPr>
          <w:rFonts w:ascii="Palatino Linotype" w:hAnsi="Palatino Linotype"/>
        </w:rPr>
        <w:t xml:space="preserve">”) reglamenta las materias relativas a la lucha contra el lavado de dinero y tiene facultades para supervisar el modo en que las entidades y agentes intermediarios registrados ante la </w:t>
      </w:r>
      <w:r w:rsidR="00D61D64" w:rsidRPr="00E461D0">
        <w:rPr>
          <w:rFonts w:ascii="Palatino Linotype" w:hAnsi="Palatino Linotype"/>
        </w:rPr>
        <w:t>CNV</w:t>
      </w:r>
      <w:r w:rsidRPr="00E461D0">
        <w:rPr>
          <w:rFonts w:ascii="Palatino Linotype" w:hAnsi="Palatino Linotype"/>
        </w:rPr>
        <w:t xml:space="preserve"> cumplen con dicha reglamentación y para, eventualmente, imponer sanciones. Desde su creación, este último organismo ha impuesto diversas sanciones pecuniarias. Las sanciones fueron impuestas por la omisión de reportar operaciones sospechosas y, en algunos casos, por infringir los deberes de debida diligencia. En todos los casos, la UIF impuso a los Oficiales de Cumplimiento, una sanción pecuniaria cuyo monto es idéntico al aplicado a la institución. </w:t>
      </w:r>
    </w:p>
    <w:p w14:paraId="0A1D16E5" w14:textId="77777777" w:rsidR="00775D2D" w:rsidRPr="00E461D0" w:rsidRDefault="00775D2D" w:rsidP="00775D2D">
      <w:pPr>
        <w:jc w:val="both"/>
        <w:rPr>
          <w:rFonts w:ascii="Palatino Linotype" w:hAnsi="Palatino Linotype"/>
        </w:rPr>
      </w:pPr>
    </w:p>
    <w:p w14:paraId="19041733" w14:textId="77777777" w:rsidR="00775D2D" w:rsidRPr="00E461D0" w:rsidRDefault="00775D2D" w:rsidP="00775D2D">
      <w:pPr>
        <w:jc w:val="both"/>
        <w:rPr>
          <w:rFonts w:ascii="Palatino Linotype" w:hAnsi="Palatino Linotype"/>
          <w:b/>
          <w:i/>
        </w:rPr>
      </w:pPr>
      <w:r w:rsidRPr="00E461D0">
        <w:rPr>
          <w:rFonts w:ascii="Palatino Linotype" w:hAnsi="Palatino Linotype"/>
          <w:b/>
          <w:i/>
        </w:rPr>
        <w:t xml:space="preserve">No es posible asegurar que ninguna de tales dependencias regulatorias imponga sanciones contra la </w:t>
      </w:r>
      <w:r w:rsidR="00D61D64" w:rsidRPr="00E461D0">
        <w:rPr>
          <w:rFonts w:ascii="Palatino Linotype" w:hAnsi="Palatino Linotype"/>
          <w:b/>
          <w:i/>
        </w:rPr>
        <w:t>Compañía</w:t>
      </w:r>
      <w:r w:rsidRPr="00E461D0">
        <w:rPr>
          <w:rFonts w:ascii="Palatino Linotype" w:hAnsi="Palatino Linotype"/>
          <w:b/>
          <w:i/>
        </w:rPr>
        <w:t>, sus directores</w:t>
      </w:r>
      <w:r w:rsidR="00D61D64" w:rsidRPr="00E461D0">
        <w:rPr>
          <w:rFonts w:ascii="Palatino Linotype" w:hAnsi="Palatino Linotype"/>
          <w:b/>
          <w:i/>
        </w:rPr>
        <w:t>,</w:t>
      </w:r>
      <w:r w:rsidRPr="00E461D0">
        <w:rPr>
          <w:rFonts w:ascii="Palatino Linotype" w:hAnsi="Palatino Linotype"/>
          <w:b/>
          <w:i/>
        </w:rPr>
        <w:t xml:space="preserve"> oficiales o funcionarios.</w:t>
      </w:r>
    </w:p>
    <w:p w14:paraId="4CFAC85B" w14:textId="77777777" w:rsidR="00775D2D" w:rsidRPr="00E461D0" w:rsidRDefault="00775D2D" w:rsidP="00775D2D">
      <w:pPr>
        <w:jc w:val="both"/>
        <w:rPr>
          <w:rFonts w:ascii="Palatino Linotype" w:hAnsi="Palatino Linotype"/>
        </w:rPr>
      </w:pPr>
    </w:p>
    <w:p w14:paraId="4BE53A2D" w14:textId="77777777" w:rsidR="00DA0DDE" w:rsidRPr="00E461D0" w:rsidRDefault="00775D2D" w:rsidP="00775D2D">
      <w:pPr>
        <w:jc w:val="both"/>
        <w:rPr>
          <w:rFonts w:ascii="Palatino Linotype" w:hAnsi="Palatino Linotype"/>
          <w:b/>
          <w:i/>
        </w:rPr>
      </w:pPr>
      <w:r w:rsidRPr="00E461D0">
        <w:rPr>
          <w:rFonts w:ascii="Palatino Linotype" w:hAnsi="Palatino Linotype"/>
        </w:rPr>
        <w:t>Además de las regulaciones específicas de su industria, la Emisora está sujeta a una gran variedad de regulaciones nacionales, provinciales y municipales y a la supervisión generalmente aplicable a empresas que operan en la Argentina, incluidas leyes y regulaciones relativas a cuestiones laborales, previsionales, de salud, de defensa del consumidor, medioambiente, competencia y controles de precios. Global no puede asegurar que la legislación y regulaciones vigentes actualmente o las que se dicten en el futuro no demanden gastos importantes o que de otro modo tengan un efecto adverso sobre sus operaciones.</w:t>
      </w:r>
      <w:r w:rsidRPr="00E461D0">
        <w:rPr>
          <w:rFonts w:ascii="Palatino Linotype" w:hAnsi="Palatino Linotype"/>
          <w:b/>
          <w:i/>
        </w:rPr>
        <w:t xml:space="preserve"> </w:t>
      </w:r>
    </w:p>
    <w:p w14:paraId="33F5B880" w14:textId="77777777" w:rsidR="00DA0DDE" w:rsidRPr="00E461D0" w:rsidRDefault="00DA0DDE" w:rsidP="00B8528C">
      <w:pPr>
        <w:jc w:val="both"/>
        <w:rPr>
          <w:rFonts w:ascii="Palatino Linotype" w:hAnsi="Palatino Linotype"/>
          <w:b/>
          <w:i/>
        </w:rPr>
      </w:pPr>
    </w:p>
    <w:p w14:paraId="74B3CC68" w14:textId="77777777" w:rsidR="00B8528C" w:rsidRPr="00E461D0" w:rsidRDefault="00B8528C" w:rsidP="00B8528C">
      <w:pPr>
        <w:jc w:val="both"/>
        <w:rPr>
          <w:rFonts w:ascii="Palatino Linotype" w:hAnsi="Palatino Linotype"/>
          <w:b/>
          <w:i/>
        </w:rPr>
      </w:pPr>
      <w:r w:rsidRPr="00E461D0">
        <w:rPr>
          <w:rFonts w:ascii="Palatino Linotype" w:hAnsi="Palatino Linotype"/>
          <w:b/>
          <w:i/>
        </w:rPr>
        <w:t>La existencia de conflictos laborales podría afectar la actividad de Global.</w:t>
      </w:r>
    </w:p>
    <w:p w14:paraId="30B59DAE" w14:textId="77777777" w:rsidR="00DA0DDE" w:rsidRPr="00E461D0" w:rsidRDefault="00DA0DDE" w:rsidP="00B8528C">
      <w:pPr>
        <w:jc w:val="both"/>
        <w:rPr>
          <w:rFonts w:ascii="Palatino Linotype" w:hAnsi="Palatino Linotype"/>
        </w:rPr>
      </w:pPr>
    </w:p>
    <w:p w14:paraId="426EE544" w14:textId="77777777" w:rsidR="00B8528C" w:rsidRPr="00E461D0" w:rsidRDefault="00B8528C" w:rsidP="00B8528C">
      <w:pPr>
        <w:jc w:val="both"/>
        <w:rPr>
          <w:rFonts w:ascii="Palatino Linotype" w:hAnsi="Palatino Linotype"/>
        </w:rPr>
      </w:pPr>
      <w:r w:rsidRPr="00E461D0">
        <w:rPr>
          <w:rFonts w:ascii="Palatino Linotype" w:hAnsi="Palatino Linotype"/>
        </w:rPr>
        <w:t>Global se encuentra sujeta a normativas municipales, provinciales y nacionales aplicables generalmente a empresas que operan en la Argentina, incluidas leyes y regulaciones laborales, de previsión social, salud pública y protección al consumidor. No puede asegurarse que las leyes y reglamentaciones actuales o futuras en estas materias no exigirán que la Sociedad incurra en gastos significativos ni afectarán de manera adversa el resultado de sus operaciones.</w:t>
      </w:r>
    </w:p>
    <w:p w14:paraId="335E3F5D" w14:textId="77777777" w:rsidR="00B8528C" w:rsidRPr="00E461D0" w:rsidRDefault="00B8528C" w:rsidP="00B8528C">
      <w:pPr>
        <w:jc w:val="both"/>
        <w:rPr>
          <w:rFonts w:ascii="Palatino Linotype" w:hAnsi="Palatino Linotype"/>
        </w:rPr>
      </w:pPr>
    </w:p>
    <w:p w14:paraId="41B1AE93" w14:textId="77777777" w:rsidR="00B8528C" w:rsidRPr="00E461D0" w:rsidRDefault="00B8528C" w:rsidP="00B8528C">
      <w:pPr>
        <w:pStyle w:val="Prrafodelista"/>
        <w:numPr>
          <w:ilvl w:val="0"/>
          <w:numId w:val="2"/>
        </w:numPr>
        <w:jc w:val="both"/>
        <w:rPr>
          <w:rFonts w:ascii="Palatino Linotype" w:hAnsi="Palatino Linotype"/>
          <w:b/>
        </w:rPr>
      </w:pPr>
      <w:r w:rsidRPr="00E461D0">
        <w:rPr>
          <w:rFonts w:ascii="Palatino Linotype" w:hAnsi="Palatino Linotype"/>
          <w:b/>
        </w:rPr>
        <w:t>Riesgos relacionados con las Obligaciones Negociables Py</w:t>
      </w:r>
      <w:r w:rsidR="00487404" w:rsidRPr="00E461D0">
        <w:rPr>
          <w:rFonts w:ascii="Palatino Linotype" w:hAnsi="Palatino Linotype"/>
          <w:b/>
        </w:rPr>
        <w:t>ME</w:t>
      </w:r>
    </w:p>
    <w:p w14:paraId="5883046F" w14:textId="77777777" w:rsidR="00B8528C" w:rsidRPr="00E461D0" w:rsidRDefault="00B8528C" w:rsidP="00B8528C">
      <w:pPr>
        <w:jc w:val="both"/>
        <w:rPr>
          <w:rFonts w:ascii="Palatino Linotype" w:hAnsi="Palatino Linotype"/>
        </w:rPr>
      </w:pPr>
    </w:p>
    <w:p w14:paraId="354DF7A8" w14:textId="77777777" w:rsidR="00B8528C" w:rsidRPr="00E461D0" w:rsidRDefault="00B8528C" w:rsidP="00B8528C">
      <w:pPr>
        <w:jc w:val="both"/>
        <w:rPr>
          <w:rFonts w:ascii="Palatino Linotype" w:hAnsi="Palatino Linotype"/>
          <w:b/>
          <w:i/>
        </w:rPr>
      </w:pPr>
      <w:r w:rsidRPr="00E461D0">
        <w:rPr>
          <w:rFonts w:ascii="Palatino Linotype" w:hAnsi="Palatino Linotype"/>
          <w:b/>
          <w:i/>
        </w:rPr>
        <w:t>Podría no desarrollarse un mercado de negociación activo para las Obligaciones Negociables Py</w:t>
      </w:r>
      <w:r w:rsidR="00487404" w:rsidRPr="00E461D0">
        <w:rPr>
          <w:rFonts w:ascii="Palatino Linotype" w:hAnsi="Palatino Linotype"/>
          <w:b/>
          <w:i/>
        </w:rPr>
        <w:t>ME</w:t>
      </w:r>
      <w:r w:rsidRPr="00E461D0">
        <w:rPr>
          <w:rFonts w:ascii="Palatino Linotype" w:hAnsi="Palatino Linotype"/>
          <w:b/>
          <w:i/>
        </w:rPr>
        <w:t>.</w:t>
      </w:r>
    </w:p>
    <w:p w14:paraId="0B22C000" w14:textId="77777777" w:rsidR="00DA0DDE" w:rsidRPr="00E461D0" w:rsidRDefault="00DA0DDE" w:rsidP="00B8528C">
      <w:pPr>
        <w:jc w:val="both"/>
        <w:rPr>
          <w:rFonts w:ascii="Palatino Linotype" w:hAnsi="Palatino Linotype"/>
        </w:rPr>
      </w:pPr>
    </w:p>
    <w:p w14:paraId="4F2C7CEB" w14:textId="77777777" w:rsidR="00B8528C" w:rsidRPr="00E461D0" w:rsidRDefault="00B8528C" w:rsidP="00B8528C">
      <w:pPr>
        <w:jc w:val="both"/>
        <w:rPr>
          <w:rFonts w:ascii="Palatino Linotype" w:hAnsi="Palatino Linotype"/>
        </w:rPr>
      </w:pPr>
      <w:r w:rsidRPr="00E461D0">
        <w:rPr>
          <w:rFonts w:ascii="Palatino Linotype" w:hAnsi="Palatino Linotype"/>
        </w:rPr>
        <w:t>Las Obligaciones Negociables Py</w:t>
      </w:r>
      <w:r w:rsidR="00487404" w:rsidRPr="00E461D0">
        <w:rPr>
          <w:rFonts w:ascii="Palatino Linotype" w:hAnsi="Palatino Linotype"/>
        </w:rPr>
        <w:t>ME</w:t>
      </w:r>
      <w:r w:rsidRPr="00E461D0">
        <w:rPr>
          <w:rFonts w:ascii="Palatino Linotype" w:hAnsi="Palatino Linotype"/>
        </w:rPr>
        <w:t xml:space="preserve"> bajo este programa son valores nuevos para los que no existe un mercado de negociación activo. La Sociedad podrá presentar una solicitud de listado de las Obligaciones Negociables Py</w:t>
      </w:r>
      <w:r w:rsidR="00487404" w:rsidRPr="00E461D0">
        <w:rPr>
          <w:rFonts w:ascii="Palatino Linotype" w:hAnsi="Palatino Linotype"/>
        </w:rPr>
        <w:t>ME</w:t>
      </w:r>
      <w:r w:rsidRPr="00E461D0">
        <w:rPr>
          <w:rFonts w:ascii="Palatino Linotype" w:hAnsi="Palatino Linotype"/>
        </w:rPr>
        <w:t xml:space="preserve"> de una Clase en el BYMA, y en cualquier otro mercado autorizado del país o del exterior; pero la Sociedad no puede garantizar que estas solicitudes, de ser efectuadas, resulten aprobadas. </w:t>
      </w:r>
    </w:p>
    <w:p w14:paraId="78C110B2" w14:textId="77777777" w:rsidR="00DA0DDE" w:rsidRPr="00E461D0" w:rsidRDefault="00DA0DDE" w:rsidP="00B8528C">
      <w:pPr>
        <w:jc w:val="both"/>
        <w:rPr>
          <w:rFonts w:ascii="Palatino Linotype" w:hAnsi="Palatino Linotype"/>
        </w:rPr>
      </w:pPr>
    </w:p>
    <w:p w14:paraId="21AA67E3" w14:textId="77777777" w:rsidR="00B8528C" w:rsidRPr="00E461D0" w:rsidRDefault="00B8528C" w:rsidP="00B8528C">
      <w:pPr>
        <w:jc w:val="both"/>
        <w:rPr>
          <w:rFonts w:ascii="Palatino Linotype" w:hAnsi="Palatino Linotype"/>
        </w:rPr>
      </w:pPr>
      <w:r w:rsidRPr="00E461D0">
        <w:rPr>
          <w:rFonts w:ascii="Palatino Linotype" w:hAnsi="Palatino Linotype"/>
        </w:rPr>
        <w:t>Si las Obligaciones Negociables Py</w:t>
      </w:r>
      <w:r w:rsidR="00487404" w:rsidRPr="00E461D0">
        <w:rPr>
          <w:rFonts w:ascii="Palatino Linotype" w:hAnsi="Palatino Linotype"/>
        </w:rPr>
        <w:t>ME</w:t>
      </w:r>
      <w:r w:rsidRPr="00E461D0">
        <w:rPr>
          <w:rFonts w:ascii="Palatino Linotype" w:hAnsi="Palatino Linotype"/>
        </w:rPr>
        <w:t xml:space="preserve"> se negocian con posterioridad a su emisión inicial, podrán negociarse con descuento respecto de su precio de oferta inicial, dependiendo de las tasas de interés vigentes, el mercado de valores similares, las condiciones económicas generales y el desempeño financiero de la Sociedad.</w:t>
      </w:r>
    </w:p>
    <w:p w14:paraId="2160469C" w14:textId="77777777" w:rsidR="00DA0DDE" w:rsidRPr="00E461D0" w:rsidRDefault="00DA0DDE" w:rsidP="00B8528C">
      <w:pPr>
        <w:jc w:val="both"/>
        <w:rPr>
          <w:rFonts w:ascii="Palatino Linotype" w:hAnsi="Palatino Linotype"/>
        </w:rPr>
      </w:pPr>
    </w:p>
    <w:p w14:paraId="05818BAB" w14:textId="77777777" w:rsidR="00B8528C" w:rsidRPr="00E461D0" w:rsidRDefault="00B8528C" w:rsidP="00B8528C">
      <w:pPr>
        <w:jc w:val="both"/>
        <w:rPr>
          <w:rFonts w:ascii="Palatino Linotype" w:hAnsi="Palatino Linotype"/>
        </w:rPr>
      </w:pPr>
      <w:r w:rsidRPr="00E461D0">
        <w:rPr>
          <w:rFonts w:ascii="Palatino Linotype" w:hAnsi="Palatino Linotype"/>
        </w:rPr>
        <w:t>No puede garantizarse que se desarrollará un mercado de negociación activo para las Obligaciones Negociables Py</w:t>
      </w:r>
      <w:r w:rsidR="00487404" w:rsidRPr="00E461D0">
        <w:rPr>
          <w:rFonts w:ascii="Palatino Linotype" w:hAnsi="Palatino Linotype"/>
        </w:rPr>
        <w:t>ME</w:t>
      </w:r>
      <w:r w:rsidRPr="00E461D0">
        <w:rPr>
          <w:rFonts w:ascii="Palatino Linotype" w:hAnsi="Palatino Linotype"/>
        </w:rPr>
        <w:t xml:space="preserve"> de cualquier Clase, o que, en caso de desarrollarse, éste se mantendrá. Si no se desarrolla o no se mantiene un mercado de negociación activo para las Obligaciones Negociables Py</w:t>
      </w:r>
      <w:r w:rsidR="00487404" w:rsidRPr="00E461D0">
        <w:rPr>
          <w:rFonts w:ascii="Palatino Linotype" w:hAnsi="Palatino Linotype"/>
        </w:rPr>
        <w:t>ME</w:t>
      </w:r>
      <w:r w:rsidRPr="00E461D0">
        <w:rPr>
          <w:rFonts w:ascii="Palatino Linotype" w:hAnsi="Palatino Linotype"/>
        </w:rPr>
        <w:t>, el precio de mercado y la liquidez de las Obligaciones Negociables Py</w:t>
      </w:r>
      <w:r w:rsidR="00487404" w:rsidRPr="00E461D0">
        <w:rPr>
          <w:rFonts w:ascii="Palatino Linotype" w:hAnsi="Palatino Linotype"/>
        </w:rPr>
        <w:t>ME</w:t>
      </w:r>
      <w:r w:rsidRPr="00E461D0">
        <w:rPr>
          <w:rFonts w:ascii="Palatino Linotype" w:hAnsi="Palatino Linotype"/>
        </w:rPr>
        <w:t xml:space="preserve"> podrían verse afectados.</w:t>
      </w:r>
    </w:p>
    <w:p w14:paraId="55D7CD0D" w14:textId="77777777" w:rsidR="00B8528C" w:rsidRPr="00E461D0" w:rsidRDefault="00B8528C" w:rsidP="00B8528C">
      <w:pPr>
        <w:jc w:val="both"/>
        <w:rPr>
          <w:rFonts w:ascii="Palatino Linotype" w:hAnsi="Palatino Linotype"/>
        </w:rPr>
      </w:pPr>
    </w:p>
    <w:p w14:paraId="52E252D3" w14:textId="77777777" w:rsidR="00B8528C" w:rsidRPr="00E461D0" w:rsidRDefault="00B8528C" w:rsidP="00B8528C">
      <w:pPr>
        <w:jc w:val="both"/>
        <w:rPr>
          <w:rFonts w:ascii="Palatino Linotype" w:hAnsi="Palatino Linotype"/>
          <w:b/>
          <w:i/>
        </w:rPr>
      </w:pPr>
      <w:r w:rsidRPr="00E461D0">
        <w:rPr>
          <w:rFonts w:ascii="Palatino Linotype" w:hAnsi="Palatino Linotype"/>
          <w:b/>
          <w:i/>
        </w:rPr>
        <w:t>Las Obligaciones Negociables Py</w:t>
      </w:r>
      <w:r w:rsidR="00487404" w:rsidRPr="00E461D0">
        <w:rPr>
          <w:rFonts w:ascii="Palatino Linotype" w:hAnsi="Palatino Linotype"/>
          <w:b/>
          <w:i/>
        </w:rPr>
        <w:t xml:space="preserve">ME </w:t>
      </w:r>
      <w:r w:rsidRPr="00E461D0">
        <w:rPr>
          <w:rFonts w:ascii="Palatino Linotype" w:hAnsi="Palatino Linotype"/>
          <w:b/>
          <w:i/>
        </w:rPr>
        <w:t>estarán subordinadas efectivamente al pago a los acreedores garantizados.</w:t>
      </w:r>
    </w:p>
    <w:p w14:paraId="4F904018" w14:textId="77777777" w:rsidR="00DA0DDE" w:rsidRPr="00E461D0" w:rsidRDefault="00DA0DDE" w:rsidP="00B8528C">
      <w:pPr>
        <w:jc w:val="both"/>
        <w:rPr>
          <w:rFonts w:ascii="Palatino Linotype" w:hAnsi="Palatino Linotype"/>
        </w:rPr>
      </w:pPr>
    </w:p>
    <w:p w14:paraId="6BF7B195" w14:textId="77777777" w:rsidR="00B8528C" w:rsidRPr="00E461D0" w:rsidRDefault="00B8528C" w:rsidP="00B8528C">
      <w:pPr>
        <w:jc w:val="both"/>
        <w:rPr>
          <w:rFonts w:ascii="Palatino Linotype" w:hAnsi="Palatino Linotype"/>
        </w:rPr>
      </w:pPr>
      <w:r w:rsidRPr="00E461D0">
        <w:rPr>
          <w:rFonts w:ascii="Palatino Linotype" w:hAnsi="Palatino Linotype"/>
        </w:rPr>
        <w:t xml:space="preserve">Salvo que el respectivo </w:t>
      </w:r>
      <w:r w:rsidR="00B3792D" w:rsidRPr="00E461D0">
        <w:rPr>
          <w:rFonts w:ascii="Palatino Linotype" w:hAnsi="Palatino Linotype"/>
        </w:rPr>
        <w:t>Suplemento de Prospecto</w:t>
      </w:r>
      <w:r w:rsidRPr="00E461D0">
        <w:rPr>
          <w:rFonts w:ascii="Palatino Linotype" w:hAnsi="Palatino Linotype"/>
        </w:rPr>
        <w:t xml:space="preserve"> especifique lo contrario, las Obligaciones Negociables Py</w:t>
      </w:r>
      <w:r w:rsidR="00487404" w:rsidRPr="00E461D0">
        <w:rPr>
          <w:rFonts w:ascii="Palatino Linotype" w:hAnsi="Palatino Linotype"/>
        </w:rPr>
        <w:t>ME</w:t>
      </w:r>
      <w:r w:rsidRPr="00E461D0">
        <w:rPr>
          <w:rFonts w:ascii="Palatino Linotype" w:hAnsi="Palatino Linotype"/>
        </w:rPr>
        <w:t xml:space="preserve"> tendrán igual prioridad de pago que toda la demás deuda no garantizada y no subordinada de la Sociedad, existente y futura, salvo las obligaciones que gozan de preferencia por ley o de puro derecho, incluidos, entre otros, los </w:t>
      </w:r>
      <w:r w:rsidR="00DA0DDE" w:rsidRPr="00E461D0">
        <w:rPr>
          <w:rFonts w:ascii="Palatino Linotype" w:hAnsi="Palatino Linotype"/>
        </w:rPr>
        <w:t>reclamos fiscales y laborales.</w:t>
      </w:r>
    </w:p>
    <w:p w14:paraId="18648B4E" w14:textId="77777777" w:rsidR="00DA0DDE" w:rsidRPr="00E461D0" w:rsidRDefault="00DA0DDE" w:rsidP="00B8528C">
      <w:pPr>
        <w:jc w:val="both"/>
        <w:rPr>
          <w:rFonts w:ascii="Palatino Linotype" w:hAnsi="Palatino Linotype"/>
        </w:rPr>
      </w:pPr>
    </w:p>
    <w:p w14:paraId="6440F1A5" w14:textId="77777777" w:rsidR="00B8528C" w:rsidRPr="00E461D0" w:rsidRDefault="00B8528C" w:rsidP="00B8528C">
      <w:pPr>
        <w:jc w:val="both"/>
        <w:rPr>
          <w:rFonts w:ascii="Palatino Linotype" w:hAnsi="Palatino Linotype"/>
        </w:rPr>
      </w:pPr>
      <w:r w:rsidRPr="00E461D0">
        <w:rPr>
          <w:rFonts w:ascii="Palatino Linotype" w:hAnsi="Palatino Linotype"/>
        </w:rPr>
        <w:t xml:space="preserve">Si así se especificara en el respectivo </w:t>
      </w:r>
      <w:r w:rsidR="00B3792D" w:rsidRPr="00E461D0">
        <w:rPr>
          <w:rFonts w:ascii="Palatino Linotype" w:hAnsi="Palatino Linotype"/>
        </w:rPr>
        <w:t>Suplemento de Prospecto</w:t>
      </w:r>
      <w:r w:rsidRPr="00E461D0">
        <w:rPr>
          <w:rFonts w:ascii="Palatino Linotype" w:hAnsi="Palatino Linotype"/>
        </w:rPr>
        <w:t>, la Sociedad también podrá emitir Obligaciones Negociables Py</w:t>
      </w:r>
      <w:r w:rsidR="00487404" w:rsidRPr="00E461D0">
        <w:rPr>
          <w:rFonts w:ascii="Palatino Linotype" w:hAnsi="Palatino Linotype"/>
        </w:rPr>
        <w:t>ME</w:t>
      </w:r>
      <w:r w:rsidRPr="00E461D0">
        <w:rPr>
          <w:rFonts w:ascii="Palatino Linotype" w:hAnsi="Palatino Linotype"/>
        </w:rPr>
        <w:t xml:space="preserve"> subordinadas. En ese caso, además de la prioridad otorgada a ciertas obligaciones según se explicara en el párrafo precedente, las Obligaciones Negociables subordinadas también estarán sujetas en todo momento al pago de cierta deuda no garantizada y no subordinada de la Sociedad, según se detalle en el </w:t>
      </w:r>
      <w:r w:rsidR="00B3792D" w:rsidRPr="00E461D0">
        <w:rPr>
          <w:rFonts w:ascii="Palatino Linotype" w:hAnsi="Palatino Linotype"/>
        </w:rPr>
        <w:t>Suplemento de Prospecto</w:t>
      </w:r>
      <w:r w:rsidRPr="00E461D0">
        <w:rPr>
          <w:rFonts w:ascii="Palatino Linotype" w:hAnsi="Palatino Linotype"/>
        </w:rPr>
        <w:t xml:space="preserve"> aplicable.</w:t>
      </w:r>
    </w:p>
    <w:p w14:paraId="2A833DA1" w14:textId="77777777" w:rsidR="00B8528C" w:rsidRPr="00E461D0" w:rsidRDefault="00B8528C" w:rsidP="00B8528C">
      <w:pPr>
        <w:jc w:val="both"/>
        <w:rPr>
          <w:rFonts w:ascii="Palatino Linotype" w:hAnsi="Palatino Linotype"/>
        </w:rPr>
      </w:pPr>
    </w:p>
    <w:p w14:paraId="07E0188B" w14:textId="77777777" w:rsidR="00B8528C" w:rsidRPr="00E461D0" w:rsidRDefault="00B8528C" w:rsidP="00B8528C">
      <w:pPr>
        <w:jc w:val="both"/>
        <w:rPr>
          <w:rFonts w:ascii="Palatino Linotype" w:hAnsi="Palatino Linotype"/>
          <w:b/>
          <w:i/>
        </w:rPr>
      </w:pPr>
      <w:r w:rsidRPr="00E461D0">
        <w:rPr>
          <w:rFonts w:ascii="Palatino Linotype" w:hAnsi="Palatino Linotype"/>
          <w:b/>
          <w:i/>
        </w:rPr>
        <w:t>La Sociedad podrá rescatar las Obligaciones Negociables Py</w:t>
      </w:r>
      <w:r w:rsidR="00487404" w:rsidRPr="00E461D0">
        <w:rPr>
          <w:rFonts w:ascii="Palatino Linotype" w:hAnsi="Palatino Linotype"/>
          <w:b/>
          <w:i/>
        </w:rPr>
        <w:t xml:space="preserve">ME </w:t>
      </w:r>
      <w:r w:rsidRPr="00E461D0">
        <w:rPr>
          <w:rFonts w:ascii="Palatino Linotype" w:hAnsi="Palatino Linotype"/>
          <w:b/>
          <w:i/>
        </w:rPr>
        <w:t>antes de su vencim</w:t>
      </w:r>
      <w:r w:rsidR="00DA0DDE" w:rsidRPr="00E461D0">
        <w:rPr>
          <w:rFonts w:ascii="Palatino Linotype" w:hAnsi="Palatino Linotype"/>
          <w:b/>
          <w:i/>
        </w:rPr>
        <w:t>iento.</w:t>
      </w:r>
    </w:p>
    <w:p w14:paraId="3B1A31D0" w14:textId="77777777" w:rsidR="00DA0DDE" w:rsidRPr="00E461D0" w:rsidRDefault="00DA0DDE" w:rsidP="00B8528C">
      <w:pPr>
        <w:jc w:val="both"/>
        <w:rPr>
          <w:rFonts w:ascii="Palatino Linotype" w:hAnsi="Palatino Linotype"/>
        </w:rPr>
      </w:pPr>
    </w:p>
    <w:p w14:paraId="76F5BD92" w14:textId="77777777" w:rsidR="00B8528C" w:rsidRPr="00E461D0" w:rsidRDefault="00B8528C" w:rsidP="00B8528C">
      <w:pPr>
        <w:jc w:val="both"/>
        <w:rPr>
          <w:rFonts w:ascii="Palatino Linotype" w:hAnsi="Palatino Linotype"/>
        </w:rPr>
      </w:pPr>
      <w:r w:rsidRPr="00E461D0">
        <w:rPr>
          <w:rFonts w:ascii="Palatino Linotype" w:hAnsi="Palatino Linotype"/>
        </w:rPr>
        <w:t>Las Obligaciones Negociables Py</w:t>
      </w:r>
      <w:r w:rsidR="00487404" w:rsidRPr="00E461D0">
        <w:rPr>
          <w:rFonts w:ascii="Palatino Linotype" w:hAnsi="Palatino Linotype"/>
        </w:rPr>
        <w:t>ME</w:t>
      </w:r>
      <w:r w:rsidRPr="00E461D0">
        <w:rPr>
          <w:rFonts w:ascii="Palatino Linotype" w:hAnsi="Palatino Linotype"/>
        </w:rPr>
        <w:t xml:space="preserve"> son rescatables a opción de la Sociedad en caso de producirse ciertos cambios en los impuestos argentinos, y si así se indica en el </w:t>
      </w:r>
      <w:r w:rsidR="00B3792D" w:rsidRPr="00E461D0">
        <w:rPr>
          <w:rFonts w:ascii="Palatino Linotype" w:hAnsi="Palatino Linotype"/>
        </w:rPr>
        <w:t>Suplemento de Prospecto</w:t>
      </w:r>
      <w:r w:rsidRPr="00E461D0">
        <w:rPr>
          <w:rFonts w:ascii="Palatino Linotype" w:hAnsi="Palatino Linotype"/>
        </w:rPr>
        <w:t xml:space="preserve"> respectivo, las Obligaciones Negociables Py</w:t>
      </w:r>
      <w:r w:rsidR="00487404" w:rsidRPr="00E461D0">
        <w:rPr>
          <w:rFonts w:ascii="Palatino Linotype" w:hAnsi="Palatino Linotype"/>
        </w:rPr>
        <w:t>ME</w:t>
      </w:r>
      <w:r w:rsidRPr="00E461D0">
        <w:rPr>
          <w:rFonts w:ascii="Palatino Linotype" w:hAnsi="Palatino Linotype"/>
        </w:rPr>
        <w:t xml:space="preserve"> también podrán ser rescatables a opción de la Sociedad por cualquier otra razón. La Sociedad podrá optar por rescatar estas Obligaciones Negociables Py</w:t>
      </w:r>
      <w:r w:rsidR="00487404" w:rsidRPr="00E461D0">
        <w:rPr>
          <w:rFonts w:ascii="Palatino Linotype" w:hAnsi="Palatino Linotype"/>
        </w:rPr>
        <w:t>ME</w:t>
      </w:r>
      <w:r w:rsidRPr="00E461D0">
        <w:rPr>
          <w:rFonts w:ascii="Palatino Linotype" w:hAnsi="Palatino Linotype"/>
        </w:rPr>
        <w:t xml:space="preserve"> en momentos en que las tasas de interés vigentes puedan ser relativamente bajas. En consecuencia, un inversor podría no ser capaz de reinvertir el producido del rescate en un título comparable a una tasa de interés efectiva tan alta como la aplicable a las Obligaciones Negociables Py</w:t>
      </w:r>
      <w:r w:rsidR="00487404" w:rsidRPr="00E461D0">
        <w:rPr>
          <w:rFonts w:ascii="Palatino Linotype" w:hAnsi="Palatino Linotype"/>
        </w:rPr>
        <w:t>ME</w:t>
      </w:r>
      <w:r w:rsidRPr="00E461D0">
        <w:rPr>
          <w:rFonts w:ascii="Palatino Linotype" w:hAnsi="Palatino Linotype"/>
        </w:rPr>
        <w:t>.</w:t>
      </w:r>
    </w:p>
    <w:p w14:paraId="4C766F0B" w14:textId="77777777" w:rsidR="00B8528C" w:rsidRPr="00E461D0" w:rsidRDefault="00B8528C" w:rsidP="00B8528C">
      <w:pPr>
        <w:jc w:val="both"/>
        <w:rPr>
          <w:rFonts w:ascii="Palatino Linotype" w:hAnsi="Palatino Linotype"/>
        </w:rPr>
      </w:pPr>
    </w:p>
    <w:p w14:paraId="768ECD23" w14:textId="77777777" w:rsidR="00B8528C" w:rsidRPr="00E461D0" w:rsidRDefault="00B8528C" w:rsidP="00B8528C">
      <w:pPr>
        <w:jc w:val="both"/>
        <w:rPr>
          <w:rFonts w:ascii="Palatino Linotype" w:hAnsi="Palatino Linotype"/>
          <w:b/>
          <w:i/>
        </w:rPr>
      </w:pPr>
      <w:r w:rsidRPr="00E461D0">
        <w:rPr>
          <w:rFonts w:ascii="Palatino Linotype" w:hAnsi="Palatino Linotype"/>
          <w:b/>
          <w:i/>
        </w:rPr>
        <w:t>En caso de concurso preventivo o acuerdo preventivo extrajudicial el poder de negociación de los tenedores de las Obligaciones Negociables Py</w:t>
      </w:r>
      <w:r w:rsidR="00487404" w:rsidRPr="00E461D0">
        <w:rPr>
          <w:rFonts w:ascii="Palatino Linotype" w:hAnsi="Palatino Linotype"/>
          <w:b/>
          <w:i/>
        </w:rPr>
        <w:t>ME</w:t>
      </w:r>
      <w:r w:rsidRPr="00E461D0">
        <w:rPr>
          <w:rFonts w:ascii="Palatino Linotype" w:hAnsi="Palatino Linotype"/>
          <w:b/>
          <w:i/>
        </w:rPr>
        <w:t xml:space="preserve"> en relación al de los restantes acreedores financieros y come</w:t>
      </w:r>
      <w:r w:rsidR="00DA0DDE" w:rsidRPr="00E461D0">
        <w:rPr>
          <w:rFonts w:ascii="Palatino Linotype" w:hAnsi="Palatino Linotype"/>
          <w:b/>
          <w:i/>
        </w:rPr>
        <w:t>rciales puede verse disminuido.</w:t>
      </w:r>
    </w:p>
    <w:p w14:paraId="5F60B73E" w14:textId="77777777" w:rsidR="00DA0DDE" w:rsidRPr="00E461D0" w:rsidRDefault="00DA0DDE" w:rsidP="00B8528C">
      <w:pPr>
        <w:jc w:val="both"/>
        <w:rPr>
          <w:rFonts w:ascii="Palatino Linotype" w:hAnsi="Palatino Linotype"/>
        </w:rPr>
      </w:pPr>
    </w:p>
    <w:p w14:paraId="1C62A55C" w14:textId="77777777" w:rsidR="00B8528C" w:rsidRPr="00E461D0" w:rsidRDefault="00B8528C" w:rsidP="00B8528C">
      <w:pPr>
        <w:jc w:val="both"/>
        <w:rPr>
          <w:rFonts w:ascii="Palatino Linotype" w:hAnsi="Palatino Linotype"/>
        </w:rPr>
      </w:pPr>
      <w:r w:rsidRPr="00E461D0">
        <w:rPr>
          <w:rFonts w:ascii="Palatino Linotype" w:hAnsi="Palatino Linotype"/>
        </w:rPr>
        <w:t>En caso de que la Sociedad se encontrara sujeta a procesos judiciales de concurso preventivo, acuerdo preventivos extrajudiciales y/o similares, las normas vigentes que regulan las Obligaciones Negociables Py</w:t>
      </w:r>
      <w:r w:rsidR="00487404" w:rsidRPr="00E461D0">
        <w:rPr>
          <w:rFonts w:ascii="Palatino Linotype" w:hAnsi="Palatino Linotype"/>
        </w:rPr>
        <w:t>ME</w:t>
      </w:r>
      <w:r w:rsidRPr="00E461D0">
        <w:rPr>
          <w:rFonts w:ascii="Palatino Linotype" w:hAnsi="Palatino Linotype"/>
        </w:rPr>
        <w:t xml:space="preserve"> (incluyendo, sin limitación las disposiciones de la Ley de Obligaciones Negociables) y los términos y condiciones de las Obligaciones Negociables Py</w:t>
      </w:r>
      <w:r w:rsidR="00487404" w:rsidRPr="00E461D0">
        <w:rPr>
          <w:rFonts w:ascii="Palatino Linotype" w:hAnsi="Palatino Linotype"/>
        </w:rPr>
        <w:t>ME</w:t>
      </w:r>
      <w:r w:rsidRPr="00E461D0">
        <w:rPr>
          <w:rFonts w:ascii="Palatino Linotype" w:hAnsi="Palatino Linotype"/>
        </w:rPr>
        <w:t xml:space="preserve"> emitidas bajo cualquier Serie y/o Clase, estarán sujetos a las disposiciones previstas por la Ley de Concursos </w:t>
      </w:r>
      <w:r w:rsidR="005E2601" w:rsidRPr="00E461D0">
        <w:rPr>
          <w:rFonts w:ascii="Palatino Linotype" w:hAnsi="Palatino Linotype"/>
        </w:rPr>
        <w:t xml:space="preserve">N° 24.522 </w:t>
      </w:r>
      <w:r w:rsidRPr="00E461D0">
        <w:rPr>
          <w:rFonts w:ascii="Palatino Linotype" w:hAnsi="Palatino Linotype"/>
        </w:rPr>
        <w:t>y demás normas aplicables a procesos de reestructuración empresariales, y consecuentemente, algunas disposiciones de las Obligaciones Negociables Py</w:t>
      </w:r>
      <w:r w:rsidR="00487404" w:rsidRPr="00E461D0">
        <w:rPr>
          <w:rFonts w:ascii="Palatino Linotype" w:hAnsi="Palatino Linotype"/>
        </w:rPr>
        <w:t>ME</w:t>
      </w:r>
      <w:r w:rsidRPr="00E461D0">
        <w:rPr>
          <w:rFonts w:ascii="Palatino Linotype" w:hAnsi="Palatino Linotype"/>
        </w:rPr>
        <w:t xml:space="preserve"> no se aplicarán. </w:t>
      </w:r>
    </w:p>
    <w:p w14:paraId="0F6E7A1D" w14:textId="77777777" w:rsidR="00DA0DDE" w:rsidRPr="00E461D0" w:rsidRDefault="00DA0DDE" w:rsidP="00B8528C">
      <w:pPr>
        <w:jc w:val="both"/>
        <w:rPr>
          <w:rFonts w:ascii="Palatino Linotype" w:hAnsi="Palatino Linotype"/>
        </w:rPr>
      </w:pPr>
    </w:p>
    <w:p w14:paraId="1C4F6D26" w14:textId="77777777" w:rsidR="00B8528C" w:rsidRPr="00E461D0" w:rsidRDefault="00B8528C" w:rsidP="00B8528C">
      <w:pPr>
        <w:jc w:val="both"/>
        <w:rPr>
          <w:rFonts w:ascii="Palatino Linotype" w:hAnsi="Palatino Linotype"/>
        </w:rPr>
      </w:pPr>
      <w:r w:rsidRPr="00E461D0">
        <w:rPr>
          <w:rFonts w:ascii="Palatino Linotype" w:hAnsi="Palatino Linotype"/>
        </w:rPr>
        <w:t>La normativa de la Ley de Concursos establece un procedimiento de votación diferencial al de los restantes acreedores quirografarios a los efectos del cómputo de las mayorías requeridas por la Ley de Concursos, la cual es igual a la mayoría absoluta de acreedores que representen 2/3 partes del capital quirografario. Conforme este sistema diferencial, el poder de negociación de los titulares de las Obligaciones Negociables Py</w:t>
      </w:r>
      <w:r w:rsidR="00487404" w:rsidRPr="00E461D0">
        <w:rPr>
          <w:rFonts w:ascii="Palatino Linotype" w:hAnsi="Palatino Linotype"/>
        </w:rPr>
        <w:t>ME</w:t>
      </w:r>
      <w:r w:rsidRPr="00E461D0">
        <w:rPr>
          <w:rFonts w:ascii="Palatino Linotype" w:hAnsi="Palatino Linotype"/>
        </w:rPr>
        <w:t xml:space="preserve"> puede ser significativamente menor que el de los demás acreedores financieros de la Sociedad. </w:t>
      </w:r>
    </w:p>
    <w:p w14:paraId="2E1B10A4" w14:textId="77777777" w:rsidR="00DA0DDE" w:rsidRPr="00E461D0" w:rsidRDefault="00DA0DDE" w:rsidP="00B8528C">
      <w:pPr>
        <w:jc w:val="both"/>
        <w:rPr>
          <w:rFonts w:ascii="Palatino Linotype" w:hAnsi="Palatino Linotype"/>
        </w:rPr>
      </w:pPr>
    </w:p>
    <w:p w14:paraId="5F5A2224" w14:textId="77777777" w:rsidR="00B8528C" w:rsidRPr="00E461D0" w:rsidRDefault="00B8528C" w:rsidP="00B8528C">
      <w:pPr>
        <w:jc w:val="both"/>
        <w:rPr>
          <w:rFonts w:ascii="Palatino Linotype" w:hAnsi="Palatino Linotype"/>
        </w:rPr>
      </w:pPr>
      <w:r w:rsidRPr="00E461D0">
        <w:rPr>
          <w:rFonts w:ascii="Palatino Linotype" w:hAnsi="Palatino Linotype"/>
        </w:rPr>
        <w:t xml:space="preserve">En particular, la Ley de Concursos (según texto del art. 16 de la Ley 25.589) establece que en el caso de valores negociables emitidos en </w:t>
      </w:r>
      <w:r w:rsidR="00DA0DDE" w:rsidRPr="00E461D0">
        <w:rPr>
          <w:rFonts w:ascii="Palatino Linotype" w:hAnsi="Palatino Linotype"/>
        </w:rPr>
        <w:t>s</w:t>
      </w:r>
      <w:r w:rsidRPr="00E461D0">
        <w:rPr>
          <w:rFonts w:ascii="Palatino Linotype" w:hAnsi="Palatino Linotype"/>
        </w:rPr>
        <w:t xml:space="preserve">erie, tal como las Obligaciones Negociables, los titulares de las mismas que representen créditos contra el concursado participarán de la obtención de conformidades para la aprobación de una propuesta concordataria y/o de un acuerdo de reestructuración de dichos créditos conforme un sistema que difiere de la forma del cómputo de las mayorías para los demás acreedores quirografarios. Dicho procedimiento establece que: 1) se reunirán en asamblea convocada por el fiduciario o por el juez en su caso; 2) en ella los participantes expresarán su conformidad o rechazo de la propuesta de acuerdo preventivo que les corresponda, y manifestarán a qué alternativa adhieren para el caso que la propuesta fuere aprobada; 3) la conformidad se computará por el capital que representen todos los que hayan dado su aceptación a la propuesta, y como si fuera otorgada por una sola persona; las negativas también serán computadas como una sola persona; 4) la conformidad será exteriorizada por el fiduciario o por quien haya designado la asamblea, sirviendo el acta de la asamblea como instrumento suficiente a todos los efectos; 5) podrá prescindirse de la asamblea cuando el contrato de fideicomiso (en caso de ser aplicable) o las normas aplicables a él prevean otro método de obtención de aceptaciones de los titulares de créditos que el juez estime suficiente; 6) en los casos en que sea el fiduciario quien haya resultado verificado o declarado admisible como titular de los créditos, de conformidad a lo previsto en el artículo 32 bis de la Ley de Concursos, podrá desdoblar su voto; se computará como aceptación por el capital de los tenedores que hayan expresado su conformidad con la propuesta de acuerdo al método previsto en el fideicomiso o en la ley que le resulte aplicable; y como rechazo por el resto. Se computará en la mayoría de personas como una aceptación y una negativa; 7) en el caso de legitimados o representantes colectivos verificados o declarados admisibles en los términos del artículo 32 bis de la Ley de Concursos, en el régimen de voto se aplicará el inciso 6 anterior; 8) en todos los casos el juez podrá disponer las medidas pertinentes para asegurar la participación de los acreedores y la regularidad de la obtención de las conformidades o rechazos. </w:t>
      </w:r>
    </w:p>
    <w:p w14:paraId="1FDCB29F" w14:textId="77777777" w:rsidR="00DA0DDE" w:rsidRPr="00E461D0" w:rsidRDefault="00DA0DDE" w:rsidP="00B8528C">
      <w:pPr>
        <w:jc w:val="both"/>
        <w:rPr>
          <w:rFonts w:ascii="Palatino Linotype" w:hAnsi="Palatino Linotype"/>
        </w:rPr>
      </w:pPr>
    </w:p>
    <w:p w14:paraId="70BD34AE" w14:textId="77777777" w:rsidR="00B8528C" w:rsidRPr="00E461D0" w:rsidRDefault="00B8528C" w:rsidP="00B8528C">
      <w:pPr>
        <w:jc w:val="both"/>
        <w:rPr>
          <w:rFonts w:ascii="Palatino Linotype" w:hAnsi="Palatino Linotype"/>
        </w:rPr>
      </w:pPr>
      <w:r w:rsidRPr="00E461D0">
        <w:rPr>
          <w:rFonts w:ascii="Palatino Linotype" w:hAnsi="Palatino Linotype"/>
        </w:rPr>
        <w:t>En adición a ello, ciertos precedentes jurisprudenciales han sostenido que aquellos titulares de las Obligaciones Negociables Py</w:t>
      </w:r>
      <w:r w:rsidR="00487404" w:rsidRPr="00E461D0">
        <w:rPr>
          <w:rFonts w:ascii="Palatino Linotype" w:hAnsi="Palatino Linotype"/>
        </w:rPr>
        <w:t>ME</w:t>
      </w:r>
      <w:r w:rsidRPr="00E461D0">
        <w:rPr>
          <w:rFonts w:ascii="Palatino Linotype" w:hAnsi="Palatino Linotype"/>
        </w:rPr>
        <w:t xml:space="preserve"> que no asistan a la asamblea para expresar su voto o se abstengan de votar, no serán computados a los efectos de los cálculos que corresponden realizar para calcular dichas mayorías. </w:t>
      </w:r>
    </w:p>
    <w:p w14:paraId="259AFCE3" w14:textId="77777777" w:rsidR="00DA0DDE" w:rsidRPr="00E461D0" w:rsidRDefault="00DA0DDE" w:rsidP="00B8528C">
      <w:pPr>
        <w:jc w:val="both"/>
        <w:rPr>
          <w:rFonts w:ascii="Palatino Linotype" w:hAnsi="Palatino Linotype"/>
        </w:rPr>
      </w:pPr>
    </w:p>
    <w:p w14:paraId="45E445BD" w14:textId="77777777" w:rsidR="00B8528C" w:rsidRPr="00E461D0" w:rsidRDefault="00B8528C" w:rsidP="00B8528C">
      <w:pPr>
        <w:jc w:val="both"/>
        <w:rPr>
          <w:rFonts w:ascii="Palatino Linotype" w:hAnsi="Palatino Linotype"/>
        </w:rPr>
      </w:pPr>
      <w:r w:rsidRPr="00E461D0">
        <w:rPr>
          <w:rFonts w:ascii="Palatino Linotype" w:hAnsi="Palatino Linotype"/>
        </w:rPr>
        <w:t>La consecuencia del régimen de obtención de mayorías antes descripto y de los precedentes judiciales mencionados hace que en caso que la Sociedad entre en un proceso concursal o de reestructuración de sus pasivos, el poder de negociación de los tenedores de las Obligaciones Negociables Py</w:t>
      </w:r>
      <w:r w:rsidR="00487404" w:rsidRPr="00E461D0">
        <w:rPr>
          <w:rFonts w:ascii="Palatino Linotype" w:hAnsi="Palatino Linotype"/>
        </w:rPr>
        <w:t>ME</w:t>
      </w:r>
      <w:r w:rsidRPr="00E461D0">
        <w:rPr>
          <w:rFonts w:ascii="Palatino Linotype" w:hAnsi="Palatino Linotype"/>
        </w:rPr>
        <w:t xml:space="preserve"> en relación al de los restantes acreedores financieros y comerciales podría verse disminuido.</w:t>
      </w:r>
    </w:p>
    <w:p w14:paraId="34B9EE4F" w14:textId="77777777" w:rsidR="00641325" w:rsidRPr="00E461D0" w:rsidRDefault="00C22F9B" w:rsidP="00C22F9B">
      <w:pPr>
        <w:pStyle w:val="Ttulo1"/>
      </w:pPr>
      <w:bookmarkStart w:id="7" w:name="_Toc535599648"/>
      <w:bookmarkStart w:id="8" w:name="_Toc23325148"/>
      <w:r w:rsidRPr="00E461D0">
        <w:t xml:space="preserve">IV. </w:t>
      </w:r>
      <w:r w:rsidR="003476CC" w:rsidRPr="00E461D0">
        <w:t>DESTINO DE LOS FONDOS DE LA EMISIÓN</w:t>
      </w:r>
      <w:bookmarkEnd w:id="7"/>
      <w:bookmarkEnd w:id="8"/>
    </w:p>
    <w:p w14:paraId="5BF81CDF" w14:textId="77777777" w:rsidR="00C12059" w:rsidRPr="00E461D0" w:rsidRDefault="00C12059" w:rsidP="00641325">
      <w:pPr>
        <w:widowControl/>
        <w:autoSpaceDE/>
        <w:autoSpaceDN/>
        <w:adjustRightInd/>
        <w:spacing w:after="160" w:line="259" w:lineRule="auto"/>
        <w:jc w:val="both"/>
        <w:rPr>
          <w:rFonts w:ascii="Palatino Linotype" w:hAnsi="Palatino Linotype"/>
        </w:rPr>
      </w:pPr>
    </w:p>
    <w:p w14:paraId="58787E7D" w14:textId="77777777" w:rsidR="003476CC" w:rsidRPr="00E461D0" w:rsidRDefault="003476CC" w:rsidP="00641325">
      <w:pPr>
        <w:widowControl/>
        <w:autoSpaceDE/>
        <w:autoSpaceDN/>
        <w:adjustRightInd/>
        <w:spacing w:after="160" w:line="259" w:lineRule="auto"/>
        <w:jc w:val="both"/>
        <w:rPr>
          <w:rFonts w:ascii="Palatino Linotype" w:hAnsi="Palatino Linotype"/>
        </w:rPr>
      </w:pPr>
      <w:r w:rsidRPr="00E461D0">
        <w:rPr>
          <w:rFonts w:ascii="Palatino Linotype" w:hAnsi="Palatino Linotype"/>
        </w:rPr>
        <w:t xml:space="preserve">En los Suplementos de </w:t>
      </w:r>
      <w:r w:rsidR="00B3792D" w:rsidRPr="00E461D0">
        <w:rPr>
          <w:rFonts w:ascii="Palatino Linotype" w:hAnsi="Palatino Linotype"/>
        </w:rPr>
        <w:t xml:space="preserve">Prospecto </w:t>
      </w:r>
      <w:r w:rsidRPr="00E461D0">
        <w:rPr>
          <w:rFonts w:ascii="Palatino Linotype" w:hAnsi="Palatino Linotype"/>
        </w:rPr>
        <w:t>correspondientes se especificará el destino que Global dará a los fondos netos que reciba en virtud de la colocación de las Obligaciones Negociables Py</w:t>
      </w:r>
      <w:r w:rsidR="00487404" w:rsidRPr="00E461D0">
        <w:rPr>
          <w:rFonts w:ascii="Palatino Linotype" w:hAnsi="Palatino Linotype"/>
        </w:rPr>
        <w:t>ME</w:t>
      </w:r>
      <w:r w:rsidRPr="00E461D0">
        <w:rPr>
          <w:rFonts w:ascii="Palatino Linotype" w:hAnsi="Palatino Linotype"/>
        </w:rPr>
        <w:t>, el cual será uno o más de los siguientes destinos previstos en el artículo 36 de la Ley de Obligaciones Negociables: (i) inversiones en activos físicos o bienes de capital situados en el país y/o adquisición de fondos de comercio situados en el país, (ii) integración de capital de trabajo en el país</w:t>
      </w:r>
      <w:r w:rsidR="00C12059" w:rsidRPr="00E461D0">
        <w:rPr>
          <w:rFonts w:ascii="Palatino Linotype" w:hAnsi="Palatino Linotype"/>
        </w:rPr>
        <w:t xml:space="preserve"> o</w:t>
      </w:r>
      <w:r w:rsidRPr="00E461D0">
        <w:rPr>
          <w:rFonts w:ascii="Palatino Linotype" w:hAnsi="Palatino Linotype"/>
        </w:rPr>
        <w:t xml:space="preserve"> refinanciación de pasivos, y/o (</w:t>
      </w:r>
      <w:r w:rsidR="00C12059" w:rsidRPr="00E461D0">
        <w:rPr>
          <w:rFonts w:ascii="Palatino Linotype" w:hAnsi="Palatino Linotype"/>
        </w:rPr>
        <w:t>iii</w:t>
      </w:r>
      <w:r w:rsidRPr="00E461D0">
        <w:rPr>
          <w:rFonts w:ascii="Palatino Linotype" w:hAnsi="Palatino Linotype"/>
        </w:rPr>
        <w:t>) integración de aportes de capital en sociedades controladas o vinculadas a la sociedad Compañía, a la adquisición de participaciones sociales y/o financiamiento del giro comercial de su negocio, cuyo producido se aplique exclusivamente a los destinos antes especificados.</w:t>
      </w:r>
    </w:p>
    <w:p w14:paraId="21995555" w14:textId="77777777" w:rsidR="00641325" w:rsidRPr="00E461D0" w:rsidRDefault="00641325" w:rsidP="00641325">
      <w:pPr>
        <w:widowControl/>
        <w:autoSpaceDE/>
        <w:autoSpaceDN/>
        <w:adjustRightInd/>
        <w:spacing w:after="160" w:line="259" w:lineRule="auto"/>
        <w:jc w:val="both"/>
        <w:rPr>
          <w:rFonts w:ascii="Palatino Linotype" w:hAnsi="Palatino Linotype"/>
        </w:rPr>
      </w:pPr>
      <w:r w:rsidRPr="00E461D0">
        <w:rPr>
          <w:rFonts w:ascii="Palatino Linotype" w:hAnsi="Palatino Linotype"/>
        </w:rPr>
        <w:br w:type="page"/>
      </w:r>
    </w:p>
    <w:p w14:paraId="126B6224" w14:textId="77777777" w:rsidR="00FE7D09" w:rsidRPr="00E461D0" w:rsidRDefault="00FE7D09" w:rsidP="003C15F8">
      <w:pPr>
        <w:pStyle w:val="Ttulo1"/>
      </w:pPr>
      <w:bookmarkStart w:id="9" w:name="_Toc535599649"/>
      <w:bookmarkStart w:id="10" w:name="_Toc23325149"/>
      <w:r w:rsidRPr="00E461D0">
        <w:t>V. TERMINOS Y CONDICIONES GENERALES DE LAS OBLIGACIONES NEGOCIABLES</w:t>
      </w:r>
      <w:r w:rsidR="00C22F9B" w:rsidRPr="00E461D0">
        <w:t xml:space="preserve"> PYME</w:t>
      </w:r>
      <w:bookmarkEnd w:id="9"/>
      <w:bookmarkEnd w:id="10"/>
    </w:p>
    <w:p w14:paraId="3CA0C4C3" w14:textId="77777777" w:rsidR="00C22F9B" w:rsidRPr="00E461D0" w:rsidRDefault="00C22F9B" w:rsidP="003C15F8"/>
    <w:p w14:paraId="7EA943D4" w14:textId="77777777" w:rsidR="00FE7D09" w:rsidRPr="00E461D0" w:rsidRDefault="00FE7D09" w:rsidP="00FE7D09">
      <w:pPr>
        <w:jc w:val="both"/>
        <w:rPr>
          <w:rFonts w:ascii="Palatino Linotype" w:hAnsi="Palatino Linotype"/>
          <w:i/>
          <w:sz w:val="18"/>
        </w:rPr>
      </w:pPr>
      <w:r w:rsidRPr="00E461D0">
        <w:rPr>
          <w:rFonts w:ascii="Palatino Linotype" w:hAnsi="Palatino Linotype"/>
          <w:i/>
          <w:sz w:val="18"/>
        </w:rPr>
        <w:t xml:space="preserve">Los términos y condiciones generales que se describen a continuación son complementados con los términos y condiciones descriptos en la sección “De la Oferta y la Negociación - Detalles de la oferta y la negociación” del presente Prospecto. Se recomienda leer este Prospecto en su totalidad. Se recomienda asimismo examinar el </w:t>
      </w:r>
      <w:r w:rsidR="00B3792D" w:rsidRPr="00E461D0">
        <w:rPr>
          <w:rFonts w:ascii="Palatino Linotype" w:hAnsi="Palatino Linotype"/>
          <w:i/>
          <w:sz w:val="18"/>
        </w:rPr>
        <w:t>Suplemento de Prospecto</w:t>
      </w:r>
      <w:r w:rsidRPr="00E461D0">
        <w:rPr>
          <w:rFonts w:ascii="Palatino Linotype" w:hAnsi="Palatino Linotype"/>
          <w:i/>
          <w:sz w:val="18"/>
        </w:rPr>
        <w:t xml:space="preserve"> correspondiente a cada Clase y/o Serie de las Obligaciones Negociables PyME para obtener mayor información sobre la Clase y/o Serie en las que los inversores estén interesados en invertir. Los términos y condiciones del respectivo </w:t>
      </w:r>
      <w:r w:rsidR="00B3792D" w:rsidRPr="00E461D0">
        <w:rPr>
          <w:rFonts w:ascii="Palatino Linotype" w:hAnsi="Palatino Linotype"/>
          <w:i/>
          <w:sz w:val="18"/>
        </w:rPr>
        <w:t>Suplemento de Prospecto</w:t>
      </w:r>
      <w:r w:rsidRPr="00E461D0">
        <w:rPr>
          <w:rFonts w:ascii="Palatino Linotype" w:hAnsi="Palatino Linotype"/>
          <w:i/>
          <w:sz w:val="18"/>
        </w:rPr>
        <w:t xml:space="preserve"> para una Clase y/o Serie de las Obligaciones Negociables PyME podrán complementar o ampliar la descripción de las Obligaciones Negociables Py</w:t>
      </w:r>
      <w:r w:rsidR="00487404" w:rsidRPr="00E461D0">
        <w:rPr>
          <w:rFonts w:ascii="Palatino Linotype" w:hAnsi="Palatino Linotype"/>
          <w:i/>
          <w:sz w:val="18"/>
        </w:rPr>
        <w:t>ME</w:t>
      </w:r>
      <w:r w:rsidRPr="00E461D0">
        <w:rPr>
          <w:rFonts w:ascii="Palatino Linotype" w:hAnsi="Palatino Linotype"/>
          <w:i/>
          <w:sz w:val="18"/>
        </w:rPr>
        <w:t xml:space="preserve"> contenidas en el presente Prospecto.</w:t>
      </w:r>
    </w:p>
    <w:p w14:paraId="3E9C17CC" w14:textId="77777777" w:rsidR="00FE7D09" w:rsidRPr="00E461D0" w:rsidRDefault="00FE7D09" w:rsidP="00FE7D09">
      <w:pPr>
        <w:jc w:val="both"/>
        <w:rPr>
          <w:rFonts w:ascii="Palatino Linotype" w:hAnsi="Palatino Linotype"/>
          <w:sz w:val="18"/>
        </w:rPr>
      </w:pPr>
    </w:p>
    <w:tbl>
      <w:tblPr>
        <w:tblW w:w="5000" w:type="pct"/>
        <w:tblCellMar>
          <w:left w:w="70" w:type="dxa"/>
          <w:right w:w="70" w:type="dxa"/>
        </w:tblCellMar>
        <w:tblLook w:val="0000" w:firstRow="0" w:lastRow="0" w:firstColumn="0" w:lastColumn="0" w:noHBand="0" w:noVBand="0"/>
      </w:tblPr>
      <w:tblGrid>
        <w:gridCol w:w="2485"/>
        <w:gridCol w:w="6493"/>
      </w:tblGrid>
      <w:tr w:rsidR="00FE7D09" w:rsidRPr="00E461D0" w14:paraId="24D70CBC" w14:textId="77777777" w:rsidTr="003C15F8">
        <w:tc>
          <w:tcPr>
            <w:tcW w:w="1384" w:type="pct"/>
            <w:tcBorders>
              <w:top w:val="nil"/>
              <w:left w:val="nil"/>
              <w:bottom w:val="nil"/>
              <w:right w:val="nil"/>
            </w:tcBorders>
          </w:tcPr>
          <w:p w14:paraId="0549C9A6" w14:textId="77777777" w:rsidR="00FE7D09" w:rsidRPr="00E461D0" w:rsidRDefault="00FE7D09" w:rsidP="00FE7D09">
            <w:pPr>
              <w:widowControl/>
              <w:ind w:right="189"/>
              <w:rPr>
                <w:rFonts w:ascii="Palatino Linotype" w:hAnsi="Palatino Linotype"/>
                <w:b/>
              </w:rPr>
            </w:pPr>
            <w:r w:rsidRPr="00E461D0">
              <w:rPr>
                <w:rFonts w:ascii="Palatino Linotype" w:hAnsi="Palatino Linotype"/>
                <w:b/>
              </w:rPr>
              <w:t>Emisor</w:t>
            </w:r>
          </w:p>
        </w:tc>
        <w:tc>
          <w:tcPr>
            <w:tcW w:w="3616" w:type="pct"/>
            <w:tcBorders>
              <w:top w:val="nil"/>
              <w:left w:val="nil"/>
              <w:bottom w:val="nil"/>
              <w:right w:val="nil"/>
            </w:tcBorders>
          </w:tcPr>
          <w:p w14:paraId="7AC9A54A" w14:textId="77777777" w:rsidR="00FE7D09" w:rsidRPr="00E461D0" w:rsidRDefault="00FE7D09" w:rsidP="003C15F8">
            <w:pPr>
              <w:widowControl/>
              <w:jc w:val="both"/>
              <w:rPr>
                <w:rFonts w:ascii="Palatino Linotype" w:hAnsi="Palatino Linotype"/>
              </w:rPr>
            </w:pPr>
            <w:r w:rsidRPr="00E461D0">
              <w:rPr>
                <w:rFonts w:ascii="Palatino Linotype" w:hAnsi="Palatino Linotype"/>
              </w:rPr>
              <w:t>Global Valores S.A.</w:t>
            </w:r>
          </w:p>
        </w:tc>
      </w:tr>
      <w:tr w:rsidR="00FE7D09" w:rsidRPr="00E461D0" w14:paraId="79956A7D" w14:textId="77777777" w:rsidTr="003C15F8">
        <w:tc>
          <w:tcPr>
            <w:tcW w:w="1384" w:type="pct"/>
            <w:tcBorders>
              <w:top w:val="nil"/>
              <w:left w:val="nil"/>
              <w:bottom w:val="nil"/>
              <w:right w:val="nil"/>
            </w:tcBorders>
          </w:tcPr>
          <w:p w14:paraId="69103DB8"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2F1CA93E" w14:textId="77777777" w:rsidR="00FE7D09" w:rsidRPr="00E461D0" w:rsidRDefault="00FE7D09" w:rsidP="003C15F8">
            <w:pPr>
              <w:widowControl/>
              <w:jc w:val="both"/>
              <w:rPr>
                <w:rFonts w:ascii="Palatino Linotype" w:hAnsi="Palatino Linotype"/>
              </w:rPr>
            </w:pPr>
          </w:p>
        </w:tc>
      </w:tr>
      <w:tr w:rsidR="00FE7D09" w:rsidRPr="00E461D0" w14:paraId="4E453EB1" w14:textId="77777777" w:rsidTr="003C15F8">
        <w:tc>
          <w:tcPr>
            <w:tcW w:w="1384" w:type="pct"/>
            <w:tcBorders>
              <w:top w:val="nil"/>
              <w:left w:val="nil"/>
              <w:bottom w:val="nil"/>
              <w:right w:val="nil"/>
            </w:tcBorders>
          </w:tcPr>
          <w:p w14:paraId="74233BBD" w14:textId="77777777" w:rsidR="00FE7D09" w:rsidRPr="00E461D0" w:rsidRDefault="00FE7D09" w:rsidP="00FE7D09">
            <w:pPr>
              <w:widowControl/>
              <w:spacing w:after="100" w:afterAutospacing="1"/>
              <w:rPr>
                <w:rFonts w:ascii="Palatino Linotype" w:hAnsi="Palatino Linotype"/>
                <w:b/>
              </w:rPr>
            </w:pPr>
            <w:r w:rsidRPr="00E461D0">
              <w:rPr>
                <w:rFonts w:ascii="Palatino Linotype" w:hAnsi="Palatino Linotype"/>
                <w:b/>
              </w:rPr>
              <w:t>Colocadores</w:t>
            </w:r>
          </w:p>
        </w:tc>
        <w:tc>
          <w:tcPr>
            <w:tcW w:w="3616" w:type="pct"/>
            <w:tcBorders>
              <w:top w:val="nil"/>
              <w:left w:val="nil"/>
              <w:bottom w:val="nil"/>
              <w:right w:val="nil"/>
            </w:tcBorders>
          </w:tcPr>
          <w:p w14:paraId="06B7A518" w14:textId="119A54CE" w:rsidR="00FE7D09" w:rsidRPr="00E461D0" w:rsidRDefault="00FE7D09" w:rsidP="003C15F8">
            <w:pPr>
              <w:spacing w:after="100" w:afterAutospacing="1"/>
              <w:jc w:val="both"/>
              <w:rPr>
                <w:rFonts w:ascii="Palatino Linotype" w:hAnsi="Palatino Linotype"/>
              </w:rPr>
            </w:pPr>
            <w:r w:rsidRPr="00E461D0">
              <w:rPr>
                <w:rFonts w:ascii="Palatino Linotype" w:hAnsi="Palatino Linotype"/>
              </w:rPr>
              <w:t>La Sociedad podrá ofrecer las Obligaciones Negociables</w:t>
            </w:r>
            <w:r w:rsidRPr="00E461D0">
              <w:rPr>
                <w:rFonts w:ascii="Palatino Linotype" w:hAnsi="Palatino Linotype"/>
                <w:lang w:eastAsia="es-ES"/>
              </w:rPr>
              <w:t xml:space="preserve"> </w:t>
            </w:r>
            <w:r w:rsidRPr="00E461D0">
              <w:rPr>
                <w:rFonts w:ascii="Palatino Linotype" w:hAnsi="Palatino Linotype"/>
              </w:rPr>
              <w:t>PyME emitidas en el marco del Programa en forma directa o a través de colocadores, sub-colocadores y/o agentes organizadores de tales emisiones que la Sociedad designare oportunamente</w:t>
            </w:r>
            <w:r w:rsidR="00F0094D" w:rsidRPr="00E461D0">
              <w:rPr>
                <w:rFonts w:ascii="Palatino Linotype" w:hAnsi="Palatino Linotype"/>
              </w:rPr>
              <w:t xml:space="preserve">. Los datos correspondientes a </w:t>
            </w:r>
            <w:r w:rsidRPr="00E461D0">
              <w:rPr>
                <w:rFonts w:ascii="Palatino Linotype" w:hAnsi="Palatino Linotype"/>
              </w:rPr>
              <w:t xml:space="preserve">los Colocadores se indicarán en el </w:t>
            </w:r>
            <w:r w:rsidR="00B3792D" w:rsidRPr="00E461D0">
              <w:rPr>
                <w:rFonts w:ascii="Palatino Linotype" w:hAnsi="Palatino Linotype"/>
              </w:rPr>
              <w:t>Suplemento de Prospecto</w:t>
            </w:r>
            <w:r w:rsidRPr="00E461D0">
              <w:rPr>
                <w:rFonts w:ascii="Palatino Linotype" w:hAnsi="Palatino Linotype"/>
              </w:rPr>
              <w:t xml:space="preserve"> de cada Clase y/o Serie. El presente Prospecto no podrá ser utilizado para realizar ventas de Obligaciones Negociables Py</w:t>
            </w:r>
            <w:r w:rsidR="006C2FCA" w:rsidRPr="00E461D0">
              <w:rPr>
                <w:rFonts w:ascii="Palatino Linotype" w:hAnsi="Palatino Linotype"/>
              </w:rPr>
              <w:t>ME</w:t>
            </w:r>
            <w:r w:rsidRPr="00E461D0">
              <w:rPr>
                <w:rFonts w:ascii="Palatino Linotype" w:hAnsi="Palatino Linotype"/>
              </w:rPr>
              <w:t xml:space="preserve"> emitidas en el marco del Programa de no estar acompañado por el respectivo </w:t>
            </w:r>
            <w:r w:rsidR="00B3792D" w:rsidRPr="00E461D0">
              <w:rPr>
                <w:rFonts w:ascii="Palatino Linotype" w:hAnsi="Palatino Linotype"/>
              </w:rPr>
              <w:t>Suplemento de Prospecto</w:t>
            </w:r>
            <w:r w:rsidRPr="00E461D0">
              <w:rPr>
                <w:rFonts w:ascii="Palatino Linotype" w:hAnsi="Palatino Linotype"/>
              </w:rPr>
              <w:t>.</w:t>
            </w:r>
          </w:p>
        </w:tc>
      </w:tr>
      <w:tr w:rsidR="00FE7D09" w:rsidRPr="00E461D0" w14:paraId="7F82C1A1" w14:textId="77777777" w:rsidTr="003C15F8">
        <w:tc>
          <w:tcPr>
            <w:tcW w:w="1384" w:type="pct"/>
            <w:tcBorders>
              <w:top w:val="nil"/>
              <w:left w:val="nil"/>
              <w:bottom w:val="nil"/>
              <w:right w:val="nil"/>
            </w:tcBorders>
          </w:tcPr>
          <w:p w14:paraId="5182F640"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282DC8F2" w14:textId="77777777" w:rsidR="00FE7D09" w:rsidRPr="00E461D0" w:rsidRDefault="00FE7D09" w:rsidP="003C15F8">
            <w:pPr>
              <w:widowControl/>
              <w:jc w:val="both"/>
              <w:rPr>
                <w:rFonts w:ascii="Palatino Linotype" w:hAnsi="Palatino Linotype"/>
              </w:rPr>
            </w:pPr>
          </w:p>
        </w:tc>
      </w:tr>
      <w:tr w:rsidR="00FE7D09" w:rsidRPr="00E461D0" w14:paraId="52EA8516" w14:textId="77777777" w:rsidTr="003C15F8">
        <w:tc>
          <w:tcPr>
            <w:tcW w:w="1384" w:type="pct"/>
            <w:tcBorders>
              <w:top w:val="nil"/>
              <w:left w:val="nil"/>
              <w:bottom w:val="nil"/>
              <w:right w:val="nil"/>
            </w:tcBorders>
          </w:tcPr>
          <w:p w14:paraId="564B35E6" w14:textId="77777777" w:rsidR="00FE7D09" w:rsidRPr="00E461D0" w:rsidRDefault="00FE7D09" w:rsidP="00FE7D09">
            <w:pPr>
              <w:widowControl/>
              <w:rPr>
                <w:rFonts w:ascii="Palatino Linotype" w:hAnsi="Palatino Linotype"/>
                <w:b/>
              </w:rPr>
            </w:pPr>
            <w:r w:rsidRPr="00E461D0">
              <w:rPr>
                <w:rFonts w:ascii="Palatino Linotype" w:hAnsi="Palatino Linotype"/>
                <w:b/>
              </w:rPr>
              <w:t>Monto del Programa</w:t>
            </w:r>
          </w:p>
        </w:tc>
        <w:tc>
          <w:tcPr>
            <w:tcW w:w="3616" w:type="pct"/>
            <w:tcBorders>
              <w:top w:val="nil"/>
              <w:left w:val="nil"/>
              <w:bottom w:val="nil"/>
              <w:right w:val="nil"/>
            </w:tcBorders>
          </w:tcPr>
          <w:p w14:paraId="1E5F8E80" w14:textId="62375A49" w:rsidR="00FE7D09" w:rsidRPr="00E461D0" w:rsidRDefault="00FE7D09" w:rsidP="0091601E">
            <w:pPr>
              <w:widowControl/>
              <w:jc w:val="both"/>
              <w:rPr>
                <w:rFonts w:ascii="Palatino Linotype" w:hAnsi="Palatino Linotype"/>
              </w:rPr>
            </w:pPr>
            <w:r w:rsidRPr="00E461D0">
              <w:rPr>
                <w:rFonts w:ascii="Palatino Linotype" w:hAnsi="Palatino Linotype"/>
              </w:rPr>
              <w:t xml:space="preserve">Obligaciones </w:t>
            </w:r>
            <w:r w:rsidR="006C2FCA" w:rsidRPr="00E461D0">
              <w:rPr>
                <w:rFonts w:ascii="Palatino Linotype" w:hAnsi="Palatino Linotype"/>
              </w:rPr>
              <w:t>N</w:t>
            </w:r>
            <w:r w:rsidRPr="00E461D0">
              <w:rPr>
                <w:rFonts w:ascii="Palatino Linotype" w:hAnsi="Palatino Linotype"/>
              </w:rPr>
              <w:t>egociables</w:t>
            </w:r>
            <w:r w:rsidRPr="00E461D0">
              <w:rPr>
                <w:rFonts w:ascii="Palatino Linotype" w:hAnsi="Palatino Linotype"/>
                <w:lang w:eastAsia="es-ES"/>
              </w:rPr>
              <w:t xml:space="preserve"> Py</w:t>
            </w:r>
            <w:r w:rsidR="006C2FCA" w:rsidRPr="00E461D0">
              <w:rPr>
                <w:rFonts w:ascii="Palatino Linotype" w:hAnsi="Palatino Linotype"/>
                <w:lang w:eastAsia="es-ES"/>
              </w:rPr>
              <w:t>ME</w:t>
            </w:r>
            <w:r w:rsidRPr="00E461D0">
              <w:rPr>
                <w:rFonts w:ascii="Palatino Linotype" w:hAnsi="Palatino Linotype"/>
              </w:rPr>
              <w:t xml:space="preserve"> por un valor nominal total máximo de $</w:t>
            </w:r>
            <w:r w:rsidR="0091601E" w:rsidRPr="00E461D0">
              <w:rPr>
                <w:rFonts w:ascii="Palatino Linotype" w:hAnsi="Palatino Linotype"/>
                <w:lang w:eastAsia="es-ES"/>
              </w:rPr>
              <w:t>2</w:t>
            </w:r>
            <w:r w:rsidRPr="00E461D0">
              <w:rPr>
                <w:rFonts w:ascii="Palatino Linotype" w:hAnsi="Palatino Linotype"/>
                <w:lang w:eastAsia="es-ES"/>
              </w:rPr>
              <w:t>00</w:t>
            </w:r>
            <w:r w:rsidRPr="00E461D0">
              <w:rPr>
                <w:rFonts w:ascii="Palatino Linotype" w:hAnsi="Palatino Linotype"/>
              </w:rPr>
              <w:t>.000.000</w:t>
            </w:r>
            <w:r w:rsidR="000D59C6" w:rsidRPr="00E461D0">
              <w:rPr>
                <w:rFonts w:ascii="Palatino Linotype" w:hAnsi="Palatino Linotype"/>
              </w:rPr>
              <w:t xml:space="preserve"> (Pesos </w:t>
            </w:r>
            <w:r w:rsidR="0091601E" w:rsidRPr="00E461D0">
              <w:rPr>
                <w:rFonts w:ascii="Palatino Linotype" w:hAnsi="Palatino Linotype"/>
                <w:lang w:eastAsia="es-ES"/>
              </w:rPr>
              <w:t>doscientos</w:t>
            </w:r>
            <w:r w:rsidR="000D59C6" w:rsidRPr="00E461D0">
              <w:rPr>
                <w:rFonts w:ascii="Palatino Linotype" w:hAnsi="Palatino Linotype"/>
              </w:rPr>
              <w:t xml:space="preserve"> millones)</w:t>
            </w:r>
            <w:r w:rsidRPr="00E461D0">
              <w:rPr>
                <w:rFonts w:ascii="Palatino Linotype" w:hAnsi="Palatino Linotype"/>
              </w:rPr>
              <w:t xml:space="preserve"> (o su equivalente en otras monedas) en cualquier momento en circulación.</w:t>
            </w:r>
          </w:p>
        </w:tc>
      </w:tr>
      <w:tr w:rsidR="00FE7D09" w:rsidRPr="00E461D0" w14:paraId="7EB5B6F7" w14:textId="77777777" w:rsidTr="003C15F8">
        <w:tc>
          <w:tcPr>
            <w:tcW w:w="1384" w:type="pct"/>
            <w:tcBorders>
              <w:top w:val="nil"/>
              <w:left w:val="nil"/>
              <w:bottom w:val="nil"/>
              <w:right w:val="nil"/>
            </w:tcBorders>
          </w:tcPr>
          <w:p w14:paraId="0A008CDD"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5228B507" w14:textId="77777777" w:rsidR="00FE7D09" w:rsidRPr="00E461D0" w:rsidRDefault="00FE7D09" w:rsidP="003C15F8">
            <w:pPr>
              <w:widowControl/>
              <w:jc w:val="both"/>
              <w:rPr>
                <w:rFonts w:ascii="Palatino Linotype" w:hAnsi="Palatino Linotype"/>
              </w:rPr>
            </w:pPr>
          </w:p>
        </w:tc>
      </w:tr>
      <w:tr w:rsidR="00FE7D09" w:rsidRPr="00E461D0" w14:paraId="764AFA6E" w14:textId="77777777" w:rsidTr="003C15F8">
        <w:tc>
          <w:tcPr>
            <w:tcW w:w="1384" w:type="pct"/>
            <w:tcBorders>
              <w:top w:val="nil"/>
              <w:left w:val="nil"/>
              <w:bottom w:val="nil"/>
              <w:right w:val="nil"/>
            </w:tcBorders>
          </w:tcPr>
          <w:p w14:paraId="1C391160" w14:textId="77777777" w:rsidR="00FE7D09" w:rsidRPr="00E461D0" w:rsidRDefault="00FE7D09" w:rsidP="00FE7D09">
            <w:pPr>
              <w:widowControl/>
              <w:rPr>
                <w:rFonts w:ascii="Palatino Linotype" w:hAnsi="Palatino Linotype"/>
                <w:b/>
              </w:rPr>
            </w:pPr>
            <w:r w:rsidRPr="00E461D0">
              <w:rPr>
                <w:rFonts w:ascii="Palatino Linotype" w:hAnsi="Palatino Linotype"/>
                <w:b/>
              </w:rPr>
              <w:t>Duración del Programa</w:t>
            </w:r>
          </w:p>
        </w:tc>
        <w:tc>
          <w:tcPr>
            <w:tcW w:w="3616" w:type="pct"/>
            <w:tcBorders>
              <w:top w:val="nil"/>
              <w:left w:val="nil"/>
              <w:bottom w:val="nil"/>
              <w:right w:val="nil"/>
            </w:tcBorders>
          </w:tcPr>
          <w:p w14:paraId="545C5C3A" w14:textId="77777777" w:rsidR="00FE7D09" w:rsidRPr="00E461D0" w:rsidRDefault="00FE7D09" w:rsidP="003C15F8">
            <w:pPr>
              <w:jc w:val="both"/>
              <w:rPr>
                <w:rFonts w:ascii="Palatino Linotype" w:hAnsi="Palatino Linotype"/>
              </w:rPr>
            </w:pPr>
            <w:r w:rsidRPr="00E461D0">
              <w:rPr>
                <w:rFonts w:ascii="Palatino Linotype" w:hAnsi="Palatino Linotype"/>
              </w:rPr>
              <w:t>El Programa tendrá una duración de cinco (5) años contados a partir de la aprobación de la CNV.</w:t>
            </w:r>
          </w:p>
        </w:tc>
      </w:tr>
      <w:tr w:rsidR="00FE7D09" w:rsidRPr="00E461D0" w14:paraId="3F9AAF8D" w14:textId="77777777" w:rsidTr="003C15F8">
        <w:tc>
          <w:tcPr>
            <w:tcW w:w="1384" w:type="pct"/>
            <w:tcBorders>
              <w:top w:val="nil"/>
              <w:left w:val="nil"/>
              <w:bottom w:val="nil"/>
              <w:right w:val="nil"/>
            </w:tcBorders>
          </w:tcPr>
          <w:p w14:paraId="3576343D"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12BEDFC1" w14:textId="77777777" w:rsidR="00FE7D09" w:rsidRPr="00E461D0" w:rsidRDefault="00FE7D09" w:rsidP="003C15F8">
            <w:pPr>
              <w:widowControl/>
              <w:jc w:val="both"/>
              <w:rPr>
                <w:rFonts w:ascii="Palatino Linotype" w:hAnsi="Palatino Linotype"/>
              </w:rPr>
            </w:pPr>
          </w:p>
        </w:tc>
      </w:tr>
      <w:tr w:rsidR="00FE7D09" w:rsidRPr="00E461D0" w14:paraId="343F93A1" w14:textId="77777777" w:rsidTr="003C15F8">
        <w:tc>
          <w:tcPr>
            <w:tcW w:w="1384" w:type="pct"/>
            <w:tcBorders>
              <w:top w:val="nil"/>
              <w:left w:val="nil"/>
              <w:bottom w:val="nil"/>
              <w:right w:val="nil"/>
            </w:tcBorders>
          </w:tcPr>
          <w:p w14:paraId="2C4D9628" w14:textId="77777777" w:rsidR="00FE7D09" w:rsidRPr="00E461D0" w:rsidRDefault="00FE7D09" w:rsidP="00FE7D09">
            <w:pPr>
              <w:widowControl/>
              <w:rPr>
                <w:rFonts w:ascii="Palatino Linotype" w:hAnsi="Palatino Linotype"/>
                <w:b/>
              </w:rPr>
            </w:pPr>
            <w:r w:rsidRPr="00E461D0">
              <w:rPr>
                <w:rFonts w:ascii="Palatino Linotype" w:hAnsi="Palatino Linotype"/>
                <w:b/>
              </w:rPr>
              <w:t>Distribución</w:t>
            </w:r>
          </w:p>
        </w:tc>
        <w:tc>
          <w:tcPr>
            <w:tcW w:w="3616" w:type="pct"/>
            <w:tcBorders>
              <w:top w:val="nil"/>
              <w:left w:val="nil"/>
              <w:bottom w:val="nil"/>
              <w:right w:val="nil"/>
            </w:tcBorders>
          </w:tcPr>
          <w:p w14:paraId="37863F85" w14:textId="77777777" w:rsidR="00FE7D09" w:rsidRPr="00E461D0" w:rsidRDefault="00FE7D09" w:rsidP="003C15F8">
            <w:pPr>
              <w:widowControl/>
              <w:jc w:val="both"/>
              <w:rPr>
                <w:rFonts w:ascii="Palatino Linotype" w:hAnsi="Palatino Linotype"/>
              </w:rPr>
            </w:pPr>
            <w:r w:rsidRPr="00E461D0">
              <w:rPr>
                <w:rFonts w:ascii="Palatino Linotype" w:hAnsi="Palatino Linotype"/>
              </w:rPr>
              <w:t>Las Obligaciones Negociables</w:t>
            </w:r>
            <w:r w:rsidRPr="00E461D0">
              <w:rPr>
                <w:rFonts w:ascii="Palatino Linotype" w:hAnsi="Palatino Linotype"/>
                <w:lang w:eastAsia="es-ES"/>
              </w:rPr>
              <w:t xml:space="preserve"> Py</w:t>
            </w:r>
            <w:r w:rsidR="00487404" w:rsidRPr="00E461D0">
              <w:rPr>
                <w:rFonts w:ascii="Palatino Linotype" w:hAnsi="Palatino Linotype"/>
                <w:lang w:eastAsia="es-ES"/>
              </w:rPr>
              <w:t>ME</w:t>
            </w:r>
            <w:r w:rsidRPr="00E461D0">
              <w:rPr>
                <w:rFonts w:ascii="Palatino Linotype" w:hAnsi="Palatino Linotype"/>
              </w:rPr>
              <w:t xml:space="preserve"> podrán ofrecerse en Argentina o en cualquier otra jurisdicción de conformidad con lo señalado en el presente Prospecto, según se determine en el </w:t>
            </w:r>
            <w:r w:rsidR="00B3792D" w:rsidRPr="00E461D0">
              <w:rPr>
                <w:rFonts w:ascii="Palatino Linotype" w:hAnsi="Palatino Linotype"/>
              </w:rPr>
              <w:t>Suplemento de Prospecto</w:t>
            </w:r>
            <w:r w:rsidRPr="00E461D0">
              <w:rPr>
                <w:rFonts w:ascii="Palatino Linotype" w:hAnsi="Palatino Linotype"/>
              </w:rPr>
              <w:t xml:space="preserve"> correspondiente.</w:t>
            </w:r>
          </w:p>
        </w:tc>
      </w:tr>
      <w:tr w:rsidR="00FE7D09" w:rsidRPr="00E461D0" w14:paraId="7F8073B6" w14:textId="77777777" w:rsidTr="003C15F8">
        <w:tc>
          <w:tcPr>
            <w:tcW w:w="1384" w:type="pct"/>
            <w:tcBorders>
              <w:top w:val="nil"/>
              <w:left w:val="nil"/>
              <w:bottom w:val="nil"/>
              <w:right w:val="nil"/>
            </w:tcBorders>
          </w:tcPr>
          <w:p w14:paraId="060F57D1"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15A8959D" w14:textId="77777777" w:rsidR="00FE7D09" w:rsidRPr="00E461D0" w:rsidRDefault="00FE7D09" w:rsidP="003C15F8">
            <w:pPr>
              <w:widowControl/>
              <w:jc w:val="both"/>
              <w:rPr>
                <w:rFonts w:ascii="Palatino Linotype" w:hAnsi="Palatino Linotype"/>
              </w:rPr>
            </w:pPr>
          </w:p>
        </w:tc>
      </w:tr>
      <w:tr w:rsidR="00FE7D09" w:rsidRPr="00E461D0" w14:paraId="55726E99" w14:textId="77777777" w:rsidTr="003C15F8">
        <w:tc>
          <w:tcPr>
            <w:tcW w:w="1384" w:type="pct"/>
            <w:tcBorders>
              <w:top w:val="nil"/>
              <w:left w:val="nil"/>
              <w:bottom w:val="nil"/>
              <w:right w:val="nil"/>
            </w:tcBorders>
          </w:tcPr>
          <w:p w14:paraId="7DE3F87C" w14:textId="77777777" w:rsidR="00FE7D09" w:rsidRPr="00E461D0" w:rsidRDefault="00FE7D09" w:rsidP="00FE7D09">
            <w:pPr>
              <w:widowControl/>
              <w:rPr>
                <w:rFonts w:ascii="Palatino Linotype" w:hAnsi="Palatino Linotype"/>
                <w:b/>
              </w:rPr>
            </w:pPr>
            <w:r w:rsidRPr="00E461D0">
              <w:rPr>
                <w:rFonts w:ascii="Palatino Linotype" w:hAnsi="Palatino Linotype"/>
                <w:b/>
              </w:rPr>
              <w:t>Emisión en Clases y/o Series</w:t>
            </w:r>
          </w:p>
        </w:tc>
        <w:tc>
          <w:tcPr>
            <w:tcW w:w="3616" w:type="pct"/>
            <w:tcBorders>
              <w:top w:val="nil"/>
              <w:left w:val="nil"/>
              <w:bottom w:val="nil"/>
              <w:right w:val="nil"/>
            </w:tcBorders>
          </w:tcPr>
          <w:p w14:paraId="2DC0B87D" w14:textId="77777777" w:rsidR="00FE7D09" w:rsidRPr="00E461D0" w:rsidRDefault="00FE7D09" w:rsidP="003C15F8">
            <w:pPr>
              <w:widowControl/>
              <w:jc w:val="both"/>
              <w:rPr>
                <w:rFonts w:ascii="Palatino Linotype" w:hAnsi="Palatino Linotype"/>
              </w:rPr>
            </w:pPr>
            <w:r w:rsidRPr="00E461D0">
              <w:rPr>
                <w:rFonts w:ascii="Palatino Linotype" w:hAnsi="Palatino Linotype"/>
              </w:rPr>
              <w:t>Las Obligaciones Negociables</w:t>
            </w:r>
            <w:r w:rsidRPr="00E461D0">
              <w:rPr>
                <w:rFonts w:ascii="Palatino Linotype" w:hAnsi="Palatino Linotype"/>
                <w:lang w:eastAsia="es-ES"/>
              </w:rPr>
              <w:t xml:space="preserve"> Py</w:t>
            </w:r>
            <w:r w:rsidR="006C2FCA" w:rsidRPr="00E461D0">
              <w:rPr>
                <w:rFonts w:ascii="Palatino Linotype" w:hAnsi="Palatino Linotype"/>
                <w:lang w:eastAsia="es-ES"/>
              </w:rPr>
              <w:t>ME</w:t>
            </w:r>
            <w:r w:rsidRPr="00E461D0">
              <w:rPr>
                <w:rFonts w:ascii="Palatino Linotype" w:hAnsi="Palatino Linotype"/>
              </w:rPr>
              <w:t xml:space="preserve"> podrán ser emitidas en una o más Clases y/o Series. Las Obligaciones Negociables </w:t>
            </w:r>
            <w:r w:rsidRPr="00E461D0">
              <w:rPr>
                <w:rFonts w:ascii="Palatino Linotype" w:hAnsi="Palatino Linotype"/>
                <w:lang w:eastAsia="es-ES"/>
              </w:rPr>
              <w:t>Py</w:t>
            </w:r>
            <w:r w:rsidR="00487404" w:rsidRPr="00E461D0">
              <w:rPr>
                <w:rFonts w:ascii="Palatino Linotype" w:hAnsi="Palatino Linotype"/>
                <w:lang w:eastAsia="es-ES"/>
              </w:rPr>
              <w:t>ME</w:t>
            </w:r>
            <w:r w:rsidRPr="00E461D0">
              <w:rPr>
                <w:rFonts w:ascii="Palatino Linotype" w:hAnsi="Palatino Linotype"/>
                <w:lang w:eastAsia="es-ES"/>
              </w:rPr>
              <w:t xml:space="preserve"> </w:t>
            </w:r>
            <w:r w:rsidRPr="00E461D0">
              <w:rPr>
                <w:rFonts w:ascii="Palatino Linotype" w:hAnsi="Palatino Linotype"/>
              </w:rPr>
              <w:t xml:space="preserve">emitidas en diferentes Clases podrán otorgar derechos diferentes, según se especifique en el respectivo </w:t>
            </w:r>
            <w:r w:rsidR="00B3792D" w:rsidRPr="00E461D0">
              <w:rPr>
                <w:rFonts w:ascii="Palatino Linotype" w:hAnsi="Palatino Linotype"/>
              </w:rPr>
              <w:t>Suplemento de Prospecto</w:t>
            </w:r>
            <w:r w:rsidRPr="00E461D0">
              <w:rPr>
                <w:rFonts w:ascii="Palatino Linotype" w:hAnsi="Palatino Linotype"/>
              </w:rPr>
              <w:t xml:space="preserve">. Asimismo, dentro de cada Clase la </w:t>
            </w:r>
            <w:r w:rsidR="006C2FCA" w:rsidRPr="00E461D0">
              <w:rPr>
                <w:rFonts w:ascii="Palatino Linotype" w:hAnsi="Palatino Linotype"/>
              </w:rPr>
              <w:t>Compañía</w:t>
            </w:r>
            <w:r w:rsidRPr="00E461D0">
              <w:rPr>
                <w:rFonts w:ascii="Palatino Linotype" w:hAnsi="Palatino Linotype"/>
              </w:rPr>
              <w:t xml:space="preserve"> podrá emitir Series de Obligaciones Negociables</w:t>
            </w:r>
            <w:r w:rsidRPr="00E461D0">
              <w:rPr>
                <w:rFonts w:ascii="Palatino Linotype" w:hAnsi="Palatino Linotype"/>
                <w:lang w:eastAsia="es-ES"/>
              </w:rPr>
              <w:t xml:space="preserve"> Py</w:t>
            </w:r>
            <w:r w:rsidR="006C2FCA" w:rsidRPr="00E461D0">
              <w:rPr>
                <w:rFonts w:ascii="Palatino Linotype" w:hAnsi="Palatino Linotype"/>
                <w:lang w:eastAsia="es-ES"/>
              </w:rPr>
              <w:t>ME</w:t>
            </w:r>
            <w:r w:rsidRPr="00E461D0">
              <w:rPr>
                <w:rFonts w:ascii="Palatino Linotype" w:hAnsi="Palatino Linotype"/>
              </w:rPr>
              <w:t>, sujeto a términos idénticos a los de las demás Series de dicha Clase, salvo la fecha de emisión, el precio de emisión, las leyendas de circulación restringida y la fecha de pago de intereses inicial, condiciones que podrán variar.</w:t>
            </w:r>
          </w:p>
        </w:tc>
      </w:tr>
      <w:tr w:rsidR="00FE7D09" w:rsidRPr="00E461D0" w14:paraId="2DE10180" w14:textId="77777777" w:rsidTr="003C15F8">
        <w:tc>
          <w:tcPr>
            <w:tcW w:w="1384" w:type="pct"/>
            <w:tcBorders>
              <w:top w:val="nil"/>
              <w:left w:val="nil"/>
              <w:bottom w:val="nil"/>
              <w:right w:val="nil"/>
            </w:tcBorders>
          </w:tcPr>
          <w:p w14:paraId="2209BF99"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6B080627" w14:textId="77777777" w:rsidR="00FE7D09" w:rsidRPr="00E461D0" w:rsidRDefault="00FE7D09" w:rsidP="003C15F8">
            <w:pPr>
              <w:widowControl/>
              <w:jc w:val="both"/>
              <w:rPr>
                <w:rFonts w:ascii="Palatino Linotype" w:hAnsi="Palatino Linotype"/>
              </w:rPr>
            </w:pPr>
          </w:p>
        </w:tc>
      </w:tr>
      <w:tr w:rsidR="00FE7D09" w:rsidRPr="00E461D0" w14:paraId="43060A0F" w14:textId="77777777" w:rsidTr="003C15F8">
        <w:tc>
          <w:tcPr>
            <w:tcW w:w="1384" w:type="pct"/>
            <w:tcBorders>
              <w:top w:val="nil"/>
              <w:left w:val="nil"/>
              <w:bottom w:val="nil"/>
              <w:right w:val="nil"/>
            </w:tcBorders>
          </w:tcPr>
          <w:p w14:paraId="2C0364BE" w14:textId="77777777" w:rsidR="00FE7D09" w:rsidRPr="00E461D0" w:rsidRDefault="00FE7D09" w:rsidP="00FE7D09">
            <w:pPr>
              <w:widowControl/>
              <w:rPr>
                <w:rFonts w:ascii="Palatino Linotype" w:hAnsi="Palatino Linotype"/>
                <w:b/>
              </w:rPr>
            </w:pPr>
            <w:r w:rsidRPr="00E461D0">
              <w:rPr>
                <w:rFonts w:ascii="Palatino Linotype" w:hAnsi="Palatino Linotype"/>
                <w:b/>
              </w:rPr>
              <w:t xml:space="preserve">Rango </w:t>
            </w:r>
          </w:p>
        </w:tc>
        <w:tc>
          <w:tcPr>
            <w:tcW w:w="3616" w:type="pct"/>
            <w:tcBorders>
              <w:top w:val="nil"/>
              <w:left w:val="nil"/>
              <w:bottom w:val="nil"/>
              <w:right w:val="nil"/>
            </w:tcBorders>
          </w:tcPr>
          <w:p w14:paraId="193C8D51" w14:textId="77777777" w:rsidR="00FE7D09" w:rsidRPr="00E461D0" w:rsidRDefault="00FE7D09" w:rsidP="003C15F8">
            <w:pPr>
              <w:widowControl/>
              <w:jc w:val="both"/>
              <w:rPr>
                <w:rFonts w:ascii="Palatino Linotype" w:hAnsi="Palatino Linotype"/>
              </w:rPr>
            </w:pPr>
            <w:r w:rsidRPr="00E461D0">
              <w:rPr>
                <w:rFonts w:ascii="Palatino Linotype" w:hAnsi="Palatino Linotype"/>
              </w:rPr>
              <w:t>Las Obligaciones Negociables</w:t>
            </w:r>
            <w:r w:rsidRPr="00E461D0">
              <w:rPr>
                <w:rFonts w:ascii="Palatino Linotype" w:hAnsi="Palatino Linotype"/>
                <w:lang w:eastAsia="es-ES"/>
              </w:rPr>
              <w:t xml:space="preserve"> Py</w:t>
            </w:r>
            <w:r w:rsidR="006C2FCA" w:rsidRPr="00E461D0">
              <w:rPr>
                <w:rFonts w:ascii="Palatino Linotype" w:hAnsi="Palatino Linotype"/>
                <w:lang w:eastAsia="es-ES"/>
              </w:rPr>
              <w:t>ME</w:t>
            </w:r>
            <w:r w:rsidRPr="00E461D0">
              <w:rPr>
                <w:rFonts w:ascii="Palatino Linotype" w:hAnsi="Palatino Linotype"/>
              </w:rPr>
              <w:t xml:space="preserve"> podrán ser subordinadas o no, emitirse con garantía común o con garantía especial o flotante, o estar avaladas, afianzadas o garantizadas por cualquier medio (incluyendo, sin limitación, avales, fianzas o garantías, cesiones de créditos en garantía, prendas y fideicomisos de garantía, otorgadas de acuerdo a la normativa aplicable). Las Obligaciones Negociables </w:t>
            </w:r>
            <w:r w:rsidRPr="00E461D0">
              <w:rPr>
                <w:rFonts w:ascii="Palatino Linotype" w:hAnsi="Palatino Linotype"/>
                <w:lang w:eastAsia="es-ES"/>
              </w:rPr>
              <w:t>Py</w:t>
            </w:r>
            <w:r w:rsidR="006C2FCA" w:rsidRPr="00E461D0">
              <w:rPr>
                <w:rFonts w:ascii="Palatino Linotype" w:hAnsi="Palatino Linotype"/>
                <w:lang w:eastAsia="es-ES"/>
              </w:rPr>
              <w:t>ME</w:t>
            </w:r>
            <w:r w:rsidRPr="00E461D0">
              <w:rPr>
                <w:rFonts w:ascii="Palatino Linotype" w:hAnsi="Palatino Linotype"/>
                <w:lang w:eastAsia="es-ES"/>
              </w:rPr>
              <w:t xml:space="preserve"> </w:t>
            </w:r>
            <w:r w:rsidRPr="00E461D0">
              <w:rPr>
                <w:rFonts w:ascii="Palatino Linotype" w:hAnsi="Palatino Linotype"/>
              </w:rPr>
              <w:t xml:space="preserve">serán obligaciones directas, incondicionales y con garantía común de la Sociedad y, salvo en el caso de Obligaciones Negociables subordinadas y/o de Obligaciones Negociables garantizadas, serán tratadas en todo momento en igualdad de condiciones entre sí y con todas las demás obligaciones comunes presentes y futuras de la </w:t>
            </w:r>
            <w:r w:rsidR="006C2FCA" w:rsidRPr="00E461D0">
              <w:rPr>
                <w:rFonts w:ascii="Palatino Linotype" w:hAnsi="Palatino Linotype"/>
              </w:rPr>
              <w:t xml:space="preserve">Compañía </w:t>
            </w:r>
            <w:r w:rsidRPr="00E461D0">
              <w:rPr>
                <w:rFonts w:ascii="Palatino Linotype" w:hAnsi="Palatino Linotype"/>
              </w:rPr>
              <w:t xml:space="preserve">que no se encuentren garantizadas ni subordinadas, ni que cuenten con privilegios y/o preferencias por disposiciones legales. En caso de emitirse Obligaciones Negociables subordinadas, el </w:t>
            </w:r>
            <w:r w:rsidR="00B3792D" w:rsidRPr="00E461D0">
              <w:rPr>
                <w:rFonts w:ascii="Palatino Linotype" w:hAnsi="Palatino Linotype"/>
              </w:rPr>
              <w:t>Suplemento de Prospecto</w:t>
            </w:r>
            <w:r w:rsidRPr="00E461D0">
              <w:rPr>
                <w:rFonts w:ascii="Palatino Linotype" w:hAnsi="Palatino Linotype"/>
              </w:rPr>
              <w:t xml:space="preserve"> aplicable a las mismas especificará si estarán subordinadas a todos los demás pasivos de la Sociedad o a los pasivos que especialmente se determinen. </w:t>
            </w:r>
          </w:p>
        </w:tc>
      </w:tr>
      <w:tr w:rsidR="00FE7D09" w:rsidRPr="00E461D0" w14:paraId="4FDC934C" w14:textId="77777777" w:rsidTr="003C15F8">
        <w:tc>
          <w:tcPr>
            <w:tcW w:w="1384" w:type="pct"/>
            <w:tcBorders>
              <w:top w:val="nil"/>
              <w:left w:val="nil"/>
              <w:bottom w:val="nil"/>
              <w:right w:val="nil"/>
            </w:tcBorders>
          </w:tcPr>
          <w:p w14:paraId="59BCACAD"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363950C6" w14:textId="77777777" w:rsidR="00FE7D09" w:rsidRPr="00E461D0" w:rsidRDefault="00FE7D09" w:rsidP="003C15F8">
            <w:pPr>
              <w:widowControl/>
              <w:jc w:val="both"/>
              <w:rPr>
                <w:rFonts w:ascii="Palatino Linotype" w:hAnsi="Palatino Linotype"/>
              </w:rPr>
            </w:pPr>
          </w:p>
        </w:tc>
      </w:tr>
      <w:tr w:rsidR="00FE7D09" w:rsidRPr="00E461D0" w14:paraId="4C11145A" w14:textId="77777777" w:rsidTr="003C15F8">
        <w:tc>
          <w:tcPr>
            <w:tcW w:w="1384" w:type="pct"/>
            <w:tcBorders>
              <w:top w:val="nil"/>
              <w:left w:val="nil"/>
              <w:bottom w:val="nil"/>
              <w:right w:val="nil"/>
            </w:tcBorders>
          </w:tcPr>
          <w:p w14:paraId="5C0B9C81" w14:textId="77777777" w:rsidR="00FE7D09" w:rsidRPr="00E461D0" w:rsidRDefault="00FE7D09" w:rsidP="00FE7D09">
            <w:pPr>
              <w:widowControl/>
              <w:rPr>
                <w:rFonts w:ascii="Palatino Linotype" w:hAnsi="Palatino Linotype"/>
                <w:b/>
              </w:rPr>
            </w:pPr>
            <w:r w:rsidRPr="00E461D0">
              <w:rPr>
                <w:rFonts w:ascii="Palatino Linotype" w:hAnsi="Palatino Linotype"/>
                <w:b/>
              </w:rPr>
              <w:t>Acción Ejecutiva</w:t>
            </w:r>
          </w:p>
        </w:tc>
        <w:tc>
          <w:tcPr>
            <w:tcW w:w="3616" w:type="pct"/>
            <w:tcBorders>
              <w:top w:val="nil"/>
              <w:left w:val="nil"/>
              <w:bottom w:val="nil"/>
              <w:right w:val="nil"/>
            </w:tcBorders>
          </w:tcPr>
          <w:p w14:paraId="447FEF28" w14:textId="77777777" w:rsidR="00FE7D09" w:rsidRPr="00E461D0" w:rsidRDefault="00FE7D09" w:rsidP="003C15F8">
            <w:pPr>
              <w:spacing w:after="240"/>
              <w:jc w:val="both"/>
              <w:rPr>
                <w:rFonts w:ascii="Palatino Linotype" w:hAnsi="Palatino Linotype"/>
              </w:rPr>
            </w:pPr>
            <w:r w:rsidRPr="00E461D0">
              <w:rPr>
                <w:rFonts w:ascii="Palatino Linotype" w:hAnsi="Palatino Linotype"/>
              </w:rPr>
              <w:t>Las Obligaciones Negociables</w:t>
            </w:r>
            <w:r w:rsidRPr="00E461D0">
              <w:rPr>
                <w:rFonts w:ascii="Palatino Linotype" w:hAnsi="Palatino Linotype"/>
                <w:lang w:eastAsia="es-ES"/>
              </w:rPr>
              <w:t xml:space="preserve"> </w:t>
            </w:r>
            <w:r w:rsidRPr="00E461D0">
              <w:rPr>
                <w:rFonts w:ascii="Palatino Linotype" w:hAnsi="Palatino Linotype"/>
              </w:rPr>
              <w:t>Py</w:t>
            </w:r>
            <w:r w:rsidR="00487404" w:rsidRPr="00E461D0">
              <w:rPr>
                <w:rFonts w:ascii="Palatino Linotype" w:hAnsi="Palatino Linotype"/>
              </w:rPr>
              <w:t>ME</w:t>
            </w:r>
            <w:r w:rsidRPr="00E461D0">
              <w:rPr>
                <w:rFonts w:ascii="Palatino Linotype" w:hAnsi="Palatino Linotype"/>
              </w:rPr>
              <w:t xml:space="preserve"> serán emitidas en el marco de la Ley de Obligaciones Negociables y constituirán “obligaciones negociables” conforme con las disposiciones de la misma y gozarán de los derechos allí establecidos. En particular, conforme con el </w:t>
            </w:r>
            <w:r w:rsidR="006C2FCA" w:rsidRPr="00E461D0">
              <w:rPr>
                <w:rFonts w:ascii="Palatino Linotype" w:hAnsi="Palatino Linotype"/>
              </w:rPr>
              <w:t>a</w:t>
            </w:r>
            <w:r w:rsidRPr="00E461D0">
              <w:rPr>
                <w:rFonts w:ascii="Palatino Linotype" w:hAnsi="Palatino Linotype"/>
              </w:rPr>
              <w:t xml:space="preserve">rtículo 29 de dicha ley, en el supuesto de incumplimiento por parte de la </w:t>
            </w:r>
            <w:r w:rsidR="006C2FCA" w:rsidRPr="00E461D0">
              <w:rPr>
                <w:rFonts w:ascii="Palatino Linotype" w:hAnsi="Palatino Linotype"/>
              </w:rPr>
              <w:t>Compañía</w:t>
            </w:r>
            <w:r w:rsidRPr="00E461D0">
              <w:rPr>
                <w:rFonts w:ascii="Palatino Linotype" w:hAnsi="Palatino Linotype"/>
              </w:rPr>
              <w:t xml:space="preserve"> en el pago de cualquier monto adeudado en virtud de las Obligaciones Negociables</w:t>
            </w:r>
            <w:r w:rsidR="006C2FCA" w:rsidRPr="00E461D0">
              <w:rPr>
                <w:rFonts w:ascii="Palatino Linotype" w:hAnsi="Palatino Linotype"/>
              </w:rPr>
              <w:t xml:space="preserve"> PyME</w:t>
            </w:r>
            <w:r w:rsidRPr="00E461D0">
              <w:rPr>
                <w:rFonts w:ascii="Palatino Linotype" w:hAnsi="Palatino Linotype"/>
              </w:rPr>
              <w:t>, los tenedores de las mismas podrán iniciar acciones ejecutivas ante los tribunales competentes de la</w:t>
            </w:r>
            <w:r w:rsidR="006C2FCA" w:rsidRPr="00E461D0">
              <w:rPr>
                <w:rFonts w:ascii="Palatino Linotype" w:hAnsi="Palatino Linotype"/>
              </w:rPr>
              <w:t xml:space="preserve"> </w:t>
            </w:r>
            <w:r w:rsidRPr="00E461D0">
              <w:rPr>
                <w:rFonts w:ascii="Palatino Linotype" w:hAnsi="Palatino Linotype"/>
              </w:rPr>
              <w:t xml:space="preserve">Argentina para reclamar el pago de los montos adeudados por la </w:t>
            </w:r>
            <w:r w:rsidR="006C2FCA" w:rsidRPr="00E461D0">
              <w:rPr>
                <w:rFonts w:ascii="Palatino Linotype" w:hAnsi="Palatino Linotype"/>
              </w:rPr>
              <w:t>Compañía</w:t>
            </w:r>
            <w:r w:rsidRPr="00E461D0">
              <w:rPr>
                <w:rFonts w:ascii="Palatino Linotype" w:hAnsi="Palatino Linotype"/>
              </w:rPr>
              <w:t>.</w:t>
            </w:r>
          </w:p>
          <w:p w14:paraId="7B06B9C1" w14:textId="77777777" w:rsidR="00FE7D09" w:rsidRPr="00E461D0" w:rsidRDefault="00FE7D09" w:rsidP="00B3792D">
            <w:pPr>
              <w:pStyle w:val="bti"/>
              <w:tabs>
                <w:tab w:val="left" w:pos="360"/>
              </w:tabs>
              <w:spacing w:after="0"/>
              <w:ind w:firstLine="0"/>
              <w:rPr>
                <w:rFonts w:ascii="Palatino Linotype" w:hAnsi="Palatino Linotype"/>
                <w:lang w:val="es-AR"/>
              </w:rPr>
            </w:pPr>
            <w:r w:rsidRPr="00E461D0">
              <w:rPr>
                <w:rFonts w:ascii="Palatino Linotype" w:hAnsi="Palatino Linotype"/>
                <w:lang w:val="es-AR"/>
              </w:rPr>
              <w:t>Sea que las Obligaciones Negociables</w:t>
            </w:r>
            <w:r w:rsidRPr="00E461D0">
              <w:rPr>
                <w:rFonts w:ascii="Palatino Linotype" w:hAnsi="Palatino Linotype"/>
                <w:color w:val="auto"/>
                <w:szCs w:val="20"/>
                <w:lang w:val="es-AR" w:eastAsia="es-ES"/>
              </w:rPr>
              <w:t xml:space="preserve"> </w:t>
            </w:r>
            <w:r w:rsidRPr="00E461D0">
              <w:rPr>
                <w:rFonts w:ascii="Palatino Linotype" w:hAnsi="Palatino Linotype"/>
                <w:szCs w:val="20"/>
                <w:lang w:val="es-AR"/>
              </w:rPr>
              <w:t>Py</w:t>
            </w:r>
            <w:r w:rsidR="006C2FCA" w:rsidRPr="00E461D0">
              <w:rPr>
                <w:rFonts w:ascii="Palatino Linotype" w:hAnsi="Palatino Linotype"/>
                <w:szCs w:val="20"/>
                <w:lang w:val="es-AR"/>
              </w:rPr>
              <w:t>ME</w:t>
            </w:r>
            <w:r w:rsidRPr="00E461D0">
              <w:rPr>
                <w:rFonts w:ascii="Palatino Linotype" w:hAnsi="Palatino Linotype"/>
                <w:lang w:val="es-AR"/>
              </w:rPr>
              <w:t xml:space="preserve"> fueren emitidas en forma escritural o se encuentren representadas en certificados globales, según el caso, el agente de registro o depositario podrá expedir comprobantes o certificados de tenencia a favor de los titulares registrales en cuestión a solicitud de éstos y éstos podrán iniciar con tales comprobantes o certificados las acciones ejecutivas mencionadas.</w:t>
            </w:r>
          </w:p>
        </w:tc>
      </w:tr>
      <w:tr w:rsidR="00FE7D09" w:rsidRPr="00E461D0" w14:paraId="1847CAE3" w14:textId="77777777" w:rsidTr="003C15F8">
        <w:tc>
          <w:tcPr>
            <w:tcW w:w="1384" w:type="pct"/>
            <w:tcBorders>
              <w:top w:val="nil"/>
              <w:left w:val="nil"/>
              <w:bottom w:val="nil"/>
              <w:right w:val="nil"/>
            </w:tcBorders>
          </w:tcPr>
          <w:p w14:paraId="4646A89F"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1FBFB321" w14:textId="77777777" w:rsidR="00FE7D09" w:rsidRPr="00E461D0" w:rsidRDefault="00FE7D09" w:rsidP="003C15F8">
            <w:pPr>
              <w:widowControl/>
              <w:jc w:val="both"/>
              <w:rPr>
                <w:rFonts w:ascii="Palatino Linotype" w:hAnsi="Palatino Linotype"/>
              </w:rPr>
            </w:pPr>
          </w:p>
        </w:tc>
      </w:tr>
      <w:tr w:rsidR="00FE7D09" w:rsidRPr="00E461D0" w14:paraId="436CC43F" w14:textId="77777777" w:rsidTr="003C15F8">
        <w:tc>
          <w:tcPr>
            <w:tcW w:w="1384" w:type="pct"/>
            <w:tcBorders>
              <w:top w:val="nil"/>
              <w:left w:val="nil"/>
              <w:bottom w:val="nil"/>
              <w:right w:val="nil"/>
            </w:tcBorders>
          </w:tcPr>
          <w:p w14:paraId="153F2E66" w14:textId="77777777" w:rsidR="00FE7D09" w:rsidRPr="00E461D0" w:rsidRDefault="00FE7D09" w:rsidP="00FE7D09">
            <w:pPr>
              <w:widowControl/>
              <w:rPr>
                <w:rFonts w:ascii="Palatino Linotype" w:hAnsi="Palatino Linotype"/>
                <w:b/>
              </w:rPr>
            </w:pPr>
            <w:r w:rsidRPr="00E461D0">
              <w:rPr>
                <w:rFonts w:ascii="Palatino Linotype" w:hAnsi="Palatino Linotype"/>
                <w:b/>
              </w:rPr>
              <w:t>Precio de Emisión</w:t>
            </w:r>
          </w:p>
        </w:tc>
        <w:tc>
          <w:tcPr>
            <w:tcW w:w="3616" w:type="pct"/>
            <w:tcBorders>
              <w:top w:val="nil"/>
              <w:left w:val="nil"/>
              <w:bottom w:val="nil"/>
              <w:right w:val="nil"/>
            </w:tcBorders>
          </w:tcPr>
          <w:p w14:paraId="33E3C0EB" w14:textId="77777777" w:rsidR="00FE7D09" w:rsidRPr="00E461D0" w:rsidRDefault="00FE7D09" w:rsidP="003C15F8">
            <w:pPr>
              <w:widowControl/>
              <w:jc w:val="both"/>
              <w:rPr>
                <w:rFonts w:ascii="Palatino Linotype" w:hAnsi="Palatino Linotype"/>
              </w:rPr>
            </w:pPr>
            <w:r w:rsidRPr="00E461D0">
              <w:rPr>
                <w:rFonts w:ascii="Palatino Linotype" w:hAnsi="Palatino Linotype"/>
              </w:rPr>
              <w:t>La Sociedad podrá emitir las Obligaciones Negociables</w:t>
            </w:r>
            <w:r w:rsidRPr="00E461D0">
              <w:rPr>
                <w:rFonts w:ascii="Palatino Linotype" w:hAnsi="Palatino Linotype"/>
                <w:lang w:eastAsia="es-ES"/>
              </w:rPr>
              <w:t xml:space="preserve"> Pyme</w:t>
            </w:r>
            <w:r w:rsidRPr="00E461D0">
              <w:rPr>
                <w:rFonts w:ascii="Palatino Linotype" w:hAnsi="Palatino Linotype"/>
              </w:rPr>
              <w:t xml:space="preserve"> a su valor nominal o con descuento o prima respecto de su valor nominal, según detalle el </w:t>
            </w:r>
            <w:r w:rsidR="00B3792D" w:rsidRPr="00E461D0">
              <w:rPr>
                <w:rFonts w:ascii="Palatino Linotype" w:hAnsi="Palatino Linotype"/>
              </w:rPr>
              <w:t>Suplemento de Prospecto</w:t>
            </w:r>
            <w:r w:rsidRPr="00E461D0">
              <w:rPr>
                <w:rFonts w:ascii="Palatino Linotype" w:hAnsi="Palatino Linotype"/>
              </w:rPr>
              <w:t xml:space="preserve"> aplicable. El precio de emisión de las Obligaciones Negociables</w:t>
            </w:r>
            <w:r w:rsidRPr="00E461D0">
              <w:rPr>
                <w:rFonts w:ascii="Palatino Linotype" w:hAnsi="Palatino Linotype"/>
                <w:lang w:eastAsia="es-ES"/>
              </w:rPr>
              <w:t xml:space="preserve"> Py</w:t>
            </w:r>
            <w:r w:rsidR="006C2FCA" w:rsidRPr="00E461D0">
              <w:rPr>
                <w:rFonts w:ascii="Palatino Linotype" w:hAnsi="Palatino Linotype"/>
                <w:lang w:eastAsia="es-ES"/>
              </w:rPr>
              <w:t>ME</w:t>
            </w:r>
            <w:r w:rsidRPr="00E461D0">
              <w:rPr>
                <w:rFonts w:ascii="Palatino Linotype" w:hAnsi="Palatino Linotype"/>
              </w:rPr>
              <w:t xml:space="preserve"> será convenido entre la </w:t>
            </w:r>
            <w:r w:rsidR="006C2FCA" w:rsidRPr="00E461D0">
              <w:rPr>
                <w:rFonts w:ascii="Palatino Linotype" w:hAnsi="Palatino Linotype"/>
              </w:rPr>
              <w:t>Compañía y el/</w:t>
            </w:r>
            <w:r w:rsidRPr="00E461D0">
              <w:rPr>
                <w:rFonts w:ascii="Palatino Linotype" w:hAnsi="Palatino Linotype"/>
              </w:rPr>
              <w:t>los colocador</w:t>
            </w:r>
            <w:r w:rsidR="006C2FCA" w:rsidRPr="00E461D0">
              <w:rPr>
                <w:rFonts w:ascii="Palatino Linotype" w:hAnsi="Palatino Linotype"/>
              </w:rPr>
              <w:t>/</w:t>
            </w:r>
            <w:r w:rsidRPr="00E461D0">
              <w:rPr>
                <w:rFonts w:ascii="Palatino Linotype" w:hAnsi="Palatino Linotype"/>
              </w:rPr>
              <w:t xml:space="preserve">es respectivos en el momento de la emisión, según se indique en el </w:t>
            </w:r>
            <w:r w:rsidR="00B3792D" w:rsidRPr="00E461D0">
              <w:rPr>
                <w:rFonts w:ascii="Palatino Linotype" w:hAnsi="Palatino Linotype"/>
              </w:rPr>
              <w:t>Suplemento de Prospecto</w:t>
            </w:r>
            <w:r w:rsidRPr="00E461D0">
              <w:rPr>
                <w:rFonts w:ascii="Palatino Linotype" w:hAnsi="Palatino Linotype"/>
              </w:rPr>
              <w:t xml:space="preserve"> aplicable.</w:t>
            </w:r>
          </w:p>
        </w:tc>
      </w:tr>
      <w:tr w:rsidR="00FE7D09" w:rsidRPr="00E461D0" w14:paraId="67AF4E93" w14:textId="77777777" w:rsidTr="003C15F8">
        <w:tc>
          <w:tcPr>
            <w:tcW w:w="1384" w:type="pct"/>
            <w:tcBorders>
              <w:top w:val="nil"/>
              <w:left w:val="nil"/>
              <w:bottom w:val="nil"/>
              <w:right w:val="nil"/>
            </w:tcBorders>
          </w:tcPr>
          <w:p w14:paraId="3EB18CAA"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3C6E1F30" w14:textId="77777777" w:rsidR="00FE7D09" w:rsidRPr="00E461D0" w:rsidRDefault="00FE7D09" w:rsidP="003C15F8">
            <w:pPr>
              <w:widowControl/>
              <w:jc w:val="both"/>
              <w:rPr>
                <w:rFonts w:ascii="Palatino Linotype" w:hAnsi="Palatino Linotype"/>
              </w:rPr>
            </w:pPr>
          </w:p>
        </w:tc>
      </w:tr>
      <w:tr w:rsidR="00FE7D09" w:rsidRPr="00E461D0" w14:paraId="37777BCC" w14:textId="77777777" w:rsidTr="003C15F8">
        <w:tc>
          <w:tcPr>
            <w:tcW w:w="1384" w:type="pct"/>
            <w:tcBorders>
              <w:top w:val="nil"/>
              <w:left w:val="nil"/>
              <w:bottom w:val="nil"/>
              <w:right w:val="nil"/>
            </w:tcBorders>
          </w:tcPr>
          <w:p w14:paraId="4B664AF2" w14:textId="77777777" w:rsidR="00FE7D09" w:rsidRPr="00E461D0" w:rsidRDefault="00FE7D09" w:rsidP="00FE7D09">
            <w:pPr>
              <w:widowControl/>
              <w:rPr>
                <w:rFonts w:ascii="Palatino Linotype" w:hAnsi="Palatino Linotype"/>
                <w:b/>
              </w:rPr>
            </w:pPr>
            <w:r w:rsidRPr="00E461D0">
              <w:rPr>
                <w:rFonts w:ascii="Palatino Linotype" w:hAnsi="Palatino Linotype"/>
                <w:b/>
              </w:rPr>
              <w:t>Monedas</w:t>
            </w:r>
          </w:p>
        </w:tc>
        <w:tc>
          <w:tcPr>
            <w:tcW w:w="3616" w:type="pct"/>
            <w:tcBorders>
              <w:top w:val="nil"/>
              <w:left w:val="nil"/>
              <w:bottom w:val="nil"/>
              <w:right w:val="nil"/>
            </w:tcBorders>
          </w:tcPr>
          <w:p w14:paraId="2E56152F" w14:textId="77777777" w:rsidR="00FE7D09" w:rsidRPr="00E461D0" w:rsidRDefault="00FE7D09" w:rsidP="003C15F8">
            <w:pPr>
              <w:widowControl/>
              <w:jc w:val="both"/>
              <w:rPr>
                <w:rFonts w:ascii="Palatino Linotype" w:hAnsi="Palatino Linotype"/>
              </w:rPr>
            </w:pPr>
            <w:r w:rsidRPr="00E461D0">
              <w:rPr>
                <w:rFonts w:ascii="Palatino Linotype" w:hAnsi="Palatino Linotype"/>
              </w:rPr>
              <w:t xml:space="preserve">La </w:t>
            </w:r>
            <w:r w:rsidR="006C2FCA" w:rsidRPr="00E461D0">
              <w:rPr>
                <w:rFonts w:ascii="Palatino Linotype" w:hAnsi="Palatino Linotype"/>
              </w:rPr>
              <w:t>Compañía</w:t>
            </w:r>
            <w:r w:rsidRPr="00E461D0">
              <w:rPr>
                <w:rFonts w:ascii="Palatino Linotype" w:hAnsi="Palatino Linotype"/>
              </w:rPr>
              <w:t xml:space="preserve"> podrá emitir las Obligaciones Negociables</w:t>
            </w:r>
            <w:r w:rsidRPr="00E461D0">
              <w:rPr>
                <w:rFonts w:ascii="Palatino Linotype" w:hAnsi="Palatino Linotype"/>
                <w:lang w:eastAsia="es-ES"/>
              </w:rPr>
              <w:t xml:space="preserve"> Py</w:t>
            </w:r>
            <w:r w:rsidR="006C2FCA" w:rsidRPr="00E461D0">
              <w:rPr>
                <w:rFonts w:ascii="Palatino Linotype" w:hAnsi="Palatino Linotype"/>
                <w:lang w:eastAsia="es-ES"/>
              </w:rPr>
              <w:t>ME</w:t>
            </w:r>
            <w:r w:rsidRPr="00E461D0">
              <w:rPr>
                <w:rFonts w:ascii="Palatino Linotype" w:hAnsi="Palatino Linotype"/>
              </w:rPr>
              <w:t xml:space="preserve"> en cualquier moneda según especifique el </w:t>
            </w:r>
            <w:r w:rsidR="00B3792D" w:rsidRPr="00E461D0">
              <w:rPr>
                <w:rFonts w:ascii="Palatino Linotype" w:hAnsi="Palatino Linotype"/>
              </w:rPr>
              <w:t>Suplemento de Prospecto</w:t>
            </w:r>
            <w:r w:rsidRPr="00E461D0">
              <w:rPr>
                <w:rFonts w:ascii="Palatino Linotype" w:hAnsi="Palatino Linotype"/>
              </w:rPr>
              <w:t xml:space="preserve"> aplicable, dentro del monto máximo en circulación del Programa. También podrá emitir Obligaciones Negociables Py</w:t>
            </w:r>
            <w:r w:rsidR="006C2FCA" w:rsidRPr="00E461D0">
              <w:rPr>
                <w:rFonts w:ascii="Palatino Linotype" w:hAnsi="Palatino Linotype"/>
              </w:rPr>
              <w:t>ME</w:t>
            </w:r>
            <w:r w:rsidRPr="00E461D0">
              <w:rPr>
                <w:rFonts w:ascii="Palatino Linotype" w:hAnsi="Palatino Linotype"/>
              </w:rPr>
              <w:t xml:space="preserve"> con su capital e intereses pagaderos en una o más monedas distintas de la moneda en que se denominan, con el alcance </w:t>
            </w:r>
            <w:r w:rsidR="00DB40C1" w:rsidRPr="00E461D0">
              <w:rPr>
                <w:rFonts w:ascii="Palatino Linotype" w:hAnsi="Palatino Linotype"/>
              </w:rPr>
              <w:t>permitido por la ley aplicable.</w:t>
            </w:r>
          </w:p>
        </w:tc>
      </w:tr>
      <w:tr w:rsidR="00FE7D09" w:rsidRPr="00E461D0" w14:paraId="66C15DF2" w14:textId="77777777" w:rsidTr="003C15F8">
        <w:tc>
          <w:tcPr>
            <w:tcW w:w="1384" w:type="pct"/>
            <w:tcBorders>
              <w:top w:val="nil"/>
              <w:left w:val="nil"/>
              <w:bottom w:val="nil"/>
              <w:right w:val="nil"/>
            </w:tcBorders>
          </w:tcPr>
          <w:p w14:paraId="7DD52523"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74FE9C5C" w14:textId="77777777" w:rsidR="00FE7D09" w:rsidRPr="00E461D0" w:rsidRDefault="00FE7D09" w:rsidP="003C15F8">
            <w:pPr>
              <w:widowControl/>
              <w:jc w:val="both"/>
              <w:rPr>
                <w:rFonts w:ascii="Palatino Linotype" w:hAnsi="Palatino Linotype"/>
              </w:rPr>
            </w:pPr>
          </w:p>
        </w:tc>
      </w:tr>
      <w:tr w:rsidR="00FE7D09" w:rsidRPr="00E461D0" w14:paraId="4ACCF18B" w14:textId="77777777" w:rsidTr="003C15F8">
        <w:tc>
          <w:tcPr>
            <w:tcW w:w="1384" w:type="pct"/>
            <w:tcBorders>
              <w:top w:val="nil"/>
              <w:left w:val="nil"/>
              <w:bottom w:val="nil"/>
              <w:right w:val="nil"/>
            </w:tcBorders>
          </w:tcPr>
          <w:p w14:paraId="233DF5BE" w14:textId="77777777" w:rsidR="00FE7D09" w:rsidRPr="00E461D0" w:rsidRDefault="00FE7D09" w:rsidP="00FE7D09">
            <w:pPr>
              <w:widowControl/>
              <w:rPr>
                <w:rFonts w:ascii="Palatino Linotype" w:hAnsi="Palatino Linotype"/>
                <w:b/>
              </w:rPr>
            </w:pPr>
            <w:r w:rsidRPr="00E461D0">
              <w:rPr>
                <w:rFonts w:ascii="Palatino Linotype" w:hAnsi="Palatino Linotype"/>
                <w:b/>
              </w:rPr>
              <w:t>Vencimientos</w:t>
            </w:r>
          </w:p>
        </w:tc>
        <w:tc>
          <w:tcPr>
            <w:tcW w:w="3616" w:type="pct"/>
            <w:tcBorders>
              <w:top w:val="nil"/>
              <w:left w:val="nil"/>
              <w:bottom w:val="nil"/>
              <w:right w:val="nil"/>
            </w:tcBorders>
          </w:tcPr>
          <w:p w14:paraId="1B0931EC" w14:textId="68B42E96" w:rsidR="00FE7D09" w:rsidRPr="00E461D0" w:rsidRDefault="00FE7D09" w:rsidP="003C15F8">
            <w:pPr>
              <w:widowControl/>
              <w:jc w:val="both"/>
              <w:rPr>
                <w:rFonts w:ascii="Palatino Linotype" w:hAnsi="Palatino Linotype"/>
              </w:rPr>
            </w:pPr>
            <w:r w:rsidRPr="00E461D0">
              <w:rPr>
                <w:rFonts w:ascii="Palatino Linotype" w:hAnsi="Palatino Linotype"/>
              </w:rPr>
              <w:t>Las Obligaciones Negociables</w:t>
            </w:r>
            <w:r w:rsidRPr="00E461D0">
              <w:rPr>
                <w:rFonts w:ascii="Palatino Linotype" w:hAnsi="Palatino Linotype"/>
                <w:lang w:eastAsia="es-ES"/>
              </w:rPr>
              <w:t xml:space="preserve"> Py</w:t>
            </w:r>
            <w:r w:rsidR="006C2FCA" w:rsidRPr="00E461D0">
              <w:rPr>
                <w:rFonts w:ascii="Palatino Linotype" w:hAnsi="Palatino Linotype"/>
                <w:lang w:eastAsia="es-ES"/>
              </w:rPr>
              <w:t>ME</w:t>
            </w:r>
            <w:r w:rsidRPr="00E461D0">
              <w:rPr>
                <w:rFonts w:ascii="Palatino Linotype" w:hAnsi="Palatino Linotype"/>
              </w:rPr>
              <w:t xml:space="preserve"> tend</w:t>
            </w:r>
            <w:r w:rsidR="00F0094D" w:rsidRPr="00E461D0">
              <w:rPr>
                <w:rFonts w:ascii="Palatino Linotype" w:hAnsi="Palatino Linotype"/>
              </w:rPr>
              <w:t xml:space="preserve">rán los plazos de vencimiento, </w:t>
            </w:r>
            <w:r w:rsidRPr="00E461D0">
              <w:rPr>
                <w:rFonts w:ascii="Palatino Linotype" w:hAnsi="Palatino Linotype"/>
              </w:rPr>
              <w:t xml:space="preserve">y las formas de amortización que se fijaren en el correspondiente </w:t>
            </w:r>
            <w:r w:rsidR="00B3792D" w:rsidRPr="00E461D0">
              <w:rPr>
                <w:rFonts w:ascii="Palatino Linotype" w:hAnsi="Palatino Linotype"/>
              </w:rPr>
              <w:t>Suplemento de Prospecto</w:t>
            </w:r>
            <w:r w:rsidRPr="00E461D0">
              <w:rPr>
                <w:rFonts w:ascii="Palatino Linotype" w:hAnsi="Palatino Linotype"/>
              </w:rPr>
              <w:t xml:space="preserve">, respetando los plazos mínimos y máximos que resultaren aplicables de acuerdo con las normas vigentes y pudiendo ser emitidas a corto, mediano y/o largo plazo. </w:t>
            </w:r>
          </w:p>
        </w:tc>
      </w:tr>
      <w:tr w:rsidR="00FE7D09" w:rsidRPr="00E461D0" w14:paraId="5B3296F8" w14:textId="77777777" w:rsidTr="003C15F8">
        <w:tc>
          <w:tcPr>
            <w:tcW w:w="1384" w:type="pct"/>
            <w:tcBorders>
              <w:top w:val="nil"/>
              <w:left w:val="nil"/>
              <w:bottom w:val="nil"/>
              <w:right w:val="nil"/>
            </w:tcBorders>
          </w:tcPr>
          <w:p w14:paraId="335B2DED"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4BFD9B10" w14:textId="77777777" w:rsidR="00FE7D09" w:rsidRPr="00E461D0" w:rsidRDefault="00FE7D09" w:rsidP="00B3792D">
            <w:pPr>
              <w:pStyle w:val="bti"/>
              <w:tabs>
                <w:tab w:val="left" w:pos="360"/>
              </w:tabs>
              <w:spacing w:after="0"/>
              <w:ind w:firstLine="0"/>
              <w:rPr>
                <w:rFonts w:ascii="Palatino Linotype" w:hAnsi="Palatino Linotype"/>
                <w:color w:val="auto"/>
                <w:lang w:val="es-AR"/>
              </w:rPr>
            </w:pPr>
          </w:p>
        </w:tc>
      </w:tr>
      <w:tr w:rsidR="00FE7D09" w:rsidRPr="00E461D0" w14:paraId="7358435E" w14:textId="77777777" w:rsidTr="003C15F8">
        <w:tc>
          <w:tcPr>
            <w:tcW w:w="1384" w:type="pct"/>
            <w:tcBorders>
              <w:top w:val="nil"/>
              <w:left w:val="nil"/>
              <w:bottom w:val="nil"/>
              <w:right w:val="nil"/>
            </w:tcBorders>
          </w:tcPr>
          <w:p w14:paraId="3ED67FFC" w14:textId="77777777" w:rsidR="00FE7D09" w:rsidRPr="00E461D0" w:rsidRDefault="006C2FCA" w:rsidP="00FE7D09">
            <w:pPr>
              <w:widowControl/>
              <w:rPr>
                <w:rFonts w:ascii="Palatino Linotype" w:hAnsi="Palatino Linotype"/>
                <w:b/>
                <w:bCs/>
                <w:lang w:eastAsia="es-ES"/>
              </w:rPr>
            </w:pPr>
            <w:r w:rsidRPr="00E461D0">
              <w:rPr>
                <w:rFonts w:ascii="Palatino Linotype" w:hAnsi="Palatino Linotype"/>
                <w:b/>
                <w:bCs/>
                <w:lang w:eastAsia="es-ES"/>
              </w:rPr>
              <w:t>Amortización</w:t>
            </w:r>
          </w:p>
        </w:tc>
        <w:tc>
          <w:tcPr>
            <w:tcW w:w="3616" w:type="pct"/>
            <w:tcBorders>
              <w:top w:val="nil"/>
              <w:left w:val="nil"/>
              <w:bottom w:val="nil"/>
              <w:right w:val="nil"/>
            </w:tcBorders>
          </w:tcPr>
          <w:p w14:paraId="45F8C2DC" w14:textId="77777777" w:rsidR="00FE7D09" w:rsidRPr="00E461D0" w:rsidRDefault="00FE7D09" w:rsidP="00B3792D">
            <w:pPr>
              <w:pStyle w:val="bti"/>
              <w:tabs>
                <w:tab w:val="left" w:pos="360"/>
              </w:tabs>
              <w:spacing w:after="0"/>
              <w:ind w:firstLine="0"/>
              <w:rPr>
                <w:rFonts w:ascii="Palatino Linotype" w:hAnsi="Palatino Linotype"/>
                <w:lang w:val="es-AR"/>
              </w:rPr>
            </w:pPr>
            <w:r w:rsidRPr="00E461D0">
              <w:rPr>
                <w:rFonts w:ascii="Palatino Linotype" w:hAnsi="Palatino Linotype"/>
                <w:color w:val="auto"/>
                <w:lang w:val="es-AR"/>
              </w:rPr>
              <w:t xml:space="preserve">El plazo y la forma de amortización dentro del Programa se detallarán en el </w:t>
            </w:r>
            <w:r w:rsidR="00B3792D" w:rsidRPr="00E461D0">
              <w:rPr>
                <w:rFonts w:ascii="Palatino Linotype" w:hAnsi="Palatino Linotype"/>
                <w:color w:val="auto"/>
                <w:lang w:val="es-AR"/>
              </w:rPr>
              <w:t>Suplemento de Prospecto</w:t>
            </w:r>
            <w:r w:rsidRPr="00E461D0">
              <w:rPr>
                <w:rFonts w:ascii="Palatino Linotype" w:hAnsi="Palatino Linotype"/>
                <w:color w:val="auto"/>
                <w:lang w:val="es-AR"/>
              </w:rPr>
              <w:t xml:space="preserve"> correspondiente. En tal sentido, podrán emitirse con plazos de amortización que no sean inferiores al mínimo ni superiores al máximo que autorizaren las normas aplicables a cada emisión que se disponga, con capital pagadero en una o más monedas.</w:t>
            </w:r>
          </w:p>
        </w:tc>
      </w:tr>
      <w:tr w:rsidR="00FE7D09" w:rsidRPr="00E461D0" w14:paraId="3672B771" w14:textId="77777777" w:rsidTr="003C15F8">
        <w:tc>
          <w:tcPr>
            <w:tcW w:w="1384" w:type="pct"/>
            <w:tcBorders>
              <w:top w:val="nil"/>
              <w:left w:val="nil"/>
              <w:bottom w:val="nil"/>
              <w:right w:val="nil"/>
            </w:tcBorders>
          </w:tcPr>
          <w:p w14:paraId="1C1D5800"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2CC5AC60" w14:textId="77777777" w:rsidR="00FE7D09" w:rsidRPr="00E461D0" w:rsidRDefault="00FE7D09" w:rsidP="00B3792D">
            <w:pPr>
              <w:pStyle w:val="bti"/>
              <w:tabs>
                <w:tab w:val="left" w:pos="360"/>
              </w:tabs>
              <w:spacing w:after="0"/>
              <w:ind w:firstLine="0"/>
              <w:rPr>
                <w:rFonts w:ascii="Palatino Linotype" w:hAnsi="Palatino Linotype"/>
                <w:color w:val="auto"/>
                <w:lang w:val="es-AR"/>
              </w:rPr>
            </w:pPr>
          </w:p>
        </w:tc>
      </w:tr>
      <w:tr w:rsidR="00FE7D09" w:rsidRPr="00E461D0" w14:paraId="217D7BBB" w14:textId="77777777" w:rsidTr="003C15F8">
        <w:tc>
          <w:tcPr>
            <w:tcW w:w="1384" w:type="pct"/>
            <w:tcBorders>
              <w:top w:val="nil"/>
              <w:left w:val="nil"/>
              <w:bottom w:val="nil"/>
              <w:right w:val="nil"/>
            </w:tcBorders>
          </w:tcPr>
          <w:p w14:paraId="69F43859" w14:textId="77777777" w:rsidR="00FE7D09" w:rsidRPr="00E461D0" w:rsidRDefault="00FE7D09" w:rsidP="00FE7D09">
            <w:pPr>
              <w:widowControl/>
              <w:rPr>
                <w:rFonts w:ascii="Palatino Linotype" w:hAnsi="Palatino Linotype"/>
                <w:b/>
              </w:rPr>
            </w:pPr>
            <w:r w:rsidRPr="00E461D0">
              <w:rPr>
                <w:rFonts w:ascii="Palatino Linotype" w:hAnsi="Palatino Linotype"/>
                <w:b/>
              </w:rPr>
              <w:t>Tasa de Interés</w:t>
            </w:r>
          </w:p>
        </w:tc>
        <w:tc>
          <w:tcPr>
            <w:tcW w:w="3616" w:type="pct"/>
            <w:tcBorders>
              <w:top w:val="nil"/>
              <w:left w:val="nil"/>
              <w:bottom w:val="nil"/>
              <w:right w:val="nil"/>
            </w:tcBorders>
          </w:tcPr>
          <w:p w14:paraId="5922A76A" w14:textId="77777777" w:rsidR="00FE7D09" w:rsidRPr="00E461D0" w:rsidRDefault="00FE7D09" w:rsidP="003C15F8">
            <w:pPr>
              <w:widowControl/>
              <w:jc w:val="both"/>
              <w:rPr>
                <w:rFonts w:ascii="Palatino Linotype" w:hAnsi="Palatino Linotype"/>
              </w:rPr>
            </w:pPr>
            <w:r w:rsidRPr="00E461D0">
              <w:rPr>
                <w:rFonts w:ascii="Palatino Linotype" w:hAnsi="Palatino Linotype"/>
              </w:rPr>
              <w:t xml:space="preserve">Las Obligaciones Negociables </w:t>
            </w:r>
            <w:r w:rsidRPr="00E461D0">
              <w:rPr>
                <w:rFonts w:ascii="Palatino Linotype" w:hAnsi="Palatino Linotype"/>
                <w:lang w:eastAsia="es-ES"/>
              </w:rPr>
              <w:t>Py</w:t>
            </w:r>
            <w:r w:rsidR="006C2FCA" w:rsidRPr="00E461D0">
              <w:rPr>
                <w:rFonts w:ascii="Palatino Linotype" w:hAnsi="Palatino Linotype"/>
                <w:lang w:eastAsia="es-ES"/>
              </w:rPr>
              <w:t>ME</w:t>
            </w:r>
            <w:r w:rsidRPr="00E461D0">
              <w:rPr>
                <w:rFonts w:ascii="Palatino Linotype" w:hAnsi="Palatino Linotype"/>
                <w:lang w:eastAsia="es-ES"/>
              </w:rPr>
              <w:t xml:space="preserve"> </w:t>
            </w:r>
            <w:r w:rsidRPr="00E461D0">
              <w:rPr>
                <w:rFonts w:ascii="Palatino Linotype" w:hAnsi="Palatino Linotype"/>
              </w:rPr>
              <w:t xml:space="preserve">podrán o no devengar intereses a la tasa de interés o fórmulas para tasas de interés que se establezcan en el </w:t>
            </w:r>
            <w:r w:rsidR="00B3792D" w:rsidRPr="00E461D0">
              <w:rPr>
                <w:rFonts w:ascii="Palatino Linotype" w:hAnsi="Palatino Linotype"/>
              </w:rPr>
              <w:t>Suplemento de Prospecto</w:t>
            </w:r>
            <w:r w:rsidRPr="00E461D0">
              <w:rPr>
                <w:rFonts w:ascii="Palatino Linotype" w:hAnsi="Palatino Linotype"/>
              </w:rPr>
              <w:t xml:space="preserve"> </w:t>
            </w:r>
            <w:r w:rsidR="006C2FCA" w:rsidRPr="00E461D0">
              <w:rPr>
                <w:rFonts w:ascii="Palatino Linotype" w:hAnsi="Palatino Linotype"/>
              </w:rPr>
              <w:t>de la Clase y/o Serie correspondiente</w:t>
            </w:r>
            <w:r w:rsidRPr="00E461D0">
              <w:rPr>
                <w:rFonts w:ascii="Palatino Linotype" w:hAnsi="Palatino Linotype"/>
              </w:rPr>
              <w:t xml:space="preserve">. Según se especifique en el </w:t>
            </w:r>
            <w:r w:rsidR="00B3792D" w:rsidRPr="00E461D0">
              <w:rPr>
                <w:rFonts w:ascii="Palatino Linotype" w:hAnsi="Palatino Linotype"/>
              </w:rPr>
              <w:t>Suplemento de Prospecto</w:t>
            </w:r>
            <w:r w:rsidRPr="00E461D0">
              <w:rPr>
                <w:rFonts w:ascii="Palatino Linotype" w:hAnsi="Palatino Linotype"/>
              </w:rPr>
              <w:t xml:space="preserve"> aplicable, cada Obligación Negociable</w:t>
            </w:r>
            <w:r w:rsidR="006C2FCA" w:rsidRPr="00E461D0">
              <w:rPr>
                <w:rFonts w:ascii="Palatino Linotype" w:hAnsi="Palatino Linotype"/>
              </w:rPr>
              <w:t xml:space="preserve"> PyME</w:t>
            </w:r>
            <w:r w:rsidRPr="00E461D0">
              <w:rPr>
                <w:rFonts w:ascii="Palatino Linotype" w:hAnsi="Palatino Linotype"/>
              </w:rPr>
              <w:t xml:space="preserve"> podrá devengar intereses a una tasa fija, a una tasa determinada por referencia a tasa de interés base u otra fórmula para tasas de interés variable o podrán no devengar intereses.</w:t>
            </w:r>
          </w:p>
        </w:tc>
      </w:tr>
      <w:tr w:rsidR="00FE7D09" w:rsidRPr="00E461D0" w14:paraId="51CDFF7D" w14:textId="77777777" w:rsidTr="003C15F8">
        <w:tc>
          <w:tcPr>
            <w:tcW w:w="1384" w:type="pct"/>
            <w:tcBorders>
              <w:top w:val="nil"/>
              <w:left w:val="nil"/>
              <w:bottom w:val="nil"/>
              <w:right w:val="nil"/>
            </w:tcBorders>
          </w:tcPr>
          <w:p w14:paraId="66006FD3"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39CEE904" w14:textId="77777777" w:rsidR="00FE7D09" w:rsidRPr="00E461D0" w:rsidRDefault="00FE7D09" w:rsidP="003C15F8">
            <w:pPr>
              <w:widowControl/>
              <w:jc w:val="both"/>
              <w:rPr>
                <w:rFonts w:ascii="Palatino Linotype" w:hAnsi="Palatino Linotype"/>
              </w:rPr>
            </w:pPr>
          </w:p>
        </w:tc>
      </w:tr>
      <w:tr w:rsidR="00FE7D09" w:rsidRPr="00E461D0" w14:paraId="7A45D9CA" w14:textId="77777777" w:rsidTr="003C15F8">
        <w:tc>
          <w:tcPr>
            <w:tcW w:w="1384" w:type="pct"/>
            <w:tcBorders>
              <w:top w:val="nil"/>
              <w:left w:val="nil"/>
              <w:bottom w:val="nil"/>
              <w:right w:val="nil"/>
            </w:tcBorders>
          </w:tcPr>
          <w:p w14:paraId="66CF51B9" w14:textId="77777777" w:rsidR="00FE7D09" w:rsidRPr="00E461D0" w:rsidRDefault="00FE7D09" w:rsidP="00FE7D09">
            <w:pPr>
              <w:widowControl/>
              <w:spacing w:after="240"/>
              <w:rPr>
                <w:rFonts w:ascii="Palatino Linotype" w:hAnsi="Palatino Linotype"/>
                <w:b/>
                <w:spacing w:val="-3"/>
              </w:rPr>
            </w:pPr>
            <w:r w:rsidRPr="00E461D0">
              <w:rPr>
                <w:rFonts w:ascii="Palatino Linotype" w:hAnsi="Palatino Linotype"/>
                <w:b/>
                <w:spacing w:val="-3"/>
              </w:rPr>
              <w:t>Pago de Capital e Intereses</w:t>
            </w:r>
          </w:p>
          <w:p w14:paraId="3A7F14F4"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385399F3" w14:textId="77777777" w:rsidR="00FE7D09" w:rsidRPr="00E461D0" w:rsidRDefault="00FE7D09" w:rsidP="003C15F8">
            <w:pPr>
              <w:widowControl/>
              <w:jc w:val="both"/>
              <w:rPr>
                <w:rFonts w:ascii="Palatino Linotype" w:hAnsi="Palatino Linotype"/>
              </w:rPr>
            </w:pPr>
            <w:r w:rsidRPr="00E461D0">
              <w:rPr>
                <w:rFonts w:ascii="Palatino Linotype" w:hAnsi="Palatino Linotype"/>
              </w:rPr>
              <w:t>Si cualquier pago respecto de las Obligaciones Negociables</w:t>
            </w:r>
            <w:r w:rsidRPr="00E461D0">
              <w:rPr>
                <w:rFonts w:ascii="Palatino Linotype" w:hAnsi="Palatino Linotype"/>
                <w:lang w:eastAsia="es-ES"/>
              </w:rPr>
              <w:t xml:space="preserve"> </w:t>
            </w:r>
            <w:r w:rsidRPr="00E461D0">
              <w:rPr>
                <w:rFonts w:ascii="Palatino Linotype" w:hAnsi="Palatino Linotype"/>
              </w:rPr>
              <w:t>Py</w:t>
            </w:r>
            <w:r w:rsidR="006C2FCA" w:rsidRPr="00E461D0">
              <w:rPr>
                <w:rFonts w:ascii="Palatino Linotype" w:hAnsi="Palatino Linotype"/>
              </w:rPr>
              <w:t>ME</w:t>
            </w:r>
            <w:r w:rsidRPr="00E461D0">
              <w:rPr>
                <w:rFonts w:ascii="Palatino Linotype" w:hAnsi="Palatino Linotype"/>
              </w:rPr>
              <w:t xml:space="preserve"> venciere en un día que, en cualquier lugar de pago, no es un Día Hábil (según se define</w:t>
            </w:r>
            <w:r w:rsidR="006C2FCA" w:rsidRPr="00E461D0">
              <w:rPr>
                <w:rFonts w:ascii="Palatino Linotype" w:hAnsi="Palatino Linotype"/>
              </w:rPr>
              <w:t xml:space="preserve"> este término</w:t>
            </w:r>
            <w:r w:rsidRPr="00E461D0">
              <w:rPr>
                <w:rFonts w:ascii="Palatino Linotype" w:hAnsi="Palatino Linotype"/>
              </w:rPr>
              <w:t xml:space="preserve"> </w:t>
            </w:r>
            <w:r w:rsidR="006C2FCA" w:rsidRPr="00E461D0">
              <w:rPr>
                <w:rFonts w:ascii="Palatino Linotype" w:hAnsi="Palatino Linotype"/>
              </w:rPr>
              <w:t>más adelante</w:t>
            </w:r>
            <w:r w:rsidRPr="00E461D0">
              <w:rPr>
                <w:rFonts w:ascii="Palatino Linotype" w:hAnsi="Palatino Linotype"/>
              </w:rPr>
              <w:t>), entonces, no será necesario realizar dicho pago en esa fecha, sino que podrá realizarse en el siguiente Día Hábil, con el mismo efecto que si hubiera sido realizado en la fecha establecida para dicho pago, y no se devengarán intereses sobre dicho pago por el período transcurrido desde y después de dicha fecha.</w:t>
            </w:r>
          </w:p>
        </w:tc>
      </w:tr>
      <w:tr w:rsidR="006C2FCA" w:rsidRPr="00E461D0" w14:paraId="44959AE2" w14:textId="77777777" w:rsidTr="003C15F8">
        <w:trPr>
          <w:trHeight w:val="137"/>
        </w:trPr>
        <w:tc>
          <w:tcPr>
            <w:tcW w:w="1384" w:type="pct"/>
            <w:tcBorders>
              <w:top w:val="nil"/>
              <w:left w:val="nil"/>
              <w:bottom w:val="nil"/>
              <w:right w:val="nil"/>
            </w:tcBorders>
          </w:tcPr>
          <w:p w14:paraId="64C10468" w14:textId="77777777" w:rsidR="006C2FCA" w:rsidRPr="00E461D0" w:rsidRDefault="006C2FCA" w:rsidP="00FE7D09">
            <w:pPr>
              <w:widowControl/>
              <w:spacing w:after="240"/>
              <w:rPr>
                <w:rFonts w:ascii="Palatino Linotype" w:hAnsi="Palatino Linotype"/>
                <w:b/>
                <w:spacing w:val="-3"/>
              </w:rPr>
            </w:pPr>
          </w:p>
        </w:tc>
        <w:tc>
          <w:tcPr>
            <w:tcW w:w="3616" w:type="pct"/>
            <w:tcBorders>
              <w:top w:val="nil"/>
              <w:left w:val="nil"/>
              <w:bottom w:val="nil"/>
              <w:right w:val="nil"/>
            </w:tcBorders>
          </w:tcPr>
          <w:p w14:paraId="5BD2E485" w14:textId="77777777" w:rsidR="006C2FCA" w:rsidRPr="00E461D0" w:rsidRDefault="006C2FCA" w:rsidP="006C2FCA">
            <w:pPr>
              <w:widowControl/>
              <w:jc w:val="both"/>
              <w:rPr>
                <w:rFonts w:ascii="Palatino Linotype" w:hAnsi="Palatino Linotype"/>
              </w:rPr>
            </w:pPr>
          </w:p>
        </w:tc>
      </w:tr>
      <w:tr w:rsidR="006C2FCA" w:rsidRPr="00E461D0" w14:paraId="6BFF34EF" w14:textId="77777777" w:rsidTr="006C2FCA">
        <w:tc>
          <w:tcPr>
            <w:tcW w:w="1384" w:type="pct"/>
            <w:tcBorders>
              <w:top w:val="nil"/>
              <w:left w:val="nil"/>
              <w:bottom w:val="nil"/>
              <w:right w:val="nil"/>
            </w:tcBorders>
          </w:tcPr>
          <w:p w14:paraId="3A639E67" w14:textId="77777777" w:rsidR="006C2FCA" w:rsidRPr="00E461D0" w:rsidRDefault="006C2FCA" w:rsidP="00FE7D09">
            <w:pPr>
              <w:widowControl/>
              <w:spacing w:after="240"/>
              <w:rPr>
                <w:rFonts w:ascii="Palatino Linotype" w:hAnsi="Palatino Linotype"/>
                <w:b/>
                <w:spacing w:val="-3"/>
              </w:rPr>
            </w:pPr>
            <w:r w:rsidRPr="00E461D0">
              <w:rPr>
                <w:rFonts w:ascii="Palatino Linotype" w:hAnsi="Palatino Linotype"/>
                <w:b/>
                <w:spacing w:val="-3"/>
              </w:rPr>
              <w:t>Base de Cálculo</w:t>
            </w:r>
          </w:p>
        </w:tc>
        <w:tc>
          <w:tcPr>
            <w:tcW w:w="3616" w:type="pct"/>
            <w:tcBorders>
              <w:top w:val="nil"/>
              <w:left w:val="nil"/>
              <w:bottom w:val="nil"/>
              <w:right w:val="nil"/>
            </w:tcBorders>
          </w:tcPr>
          <w:p w14:paraId="1AC0A824" w14:textId="636C22D5" w:rsidR="006C2FCA" w:rsidRPr="00E461D0" w:rsidRDefault="006C2FCA" w:rsidP="006C2FCA">
            <w:pPr>
              <w:widowControl/>
              <w:jc w:val="both"/>
              <w:rPr>
                <w:rFonts w:ascii="Palatino Linotype" w:hAnsi="Palatino Linotype"/>
              </w:rPr>
            </w:pPr>
            <w:r w:rsidRPr="00E461D0">
              <w:rPr>
                <w:rFonts w:ascii="Palatino Linotype" w:hAnsi="Palatino Linotype"/>
              </w:rPr>
              <w:t>Los intereses sobre las Obligaciones Negociables</w:t>
            </w:r>
            <w:r w:rsidRPr="00E461D0">
              <w:rPr>
                <w:rFonts w:ascii="Palatino Linotype" w:hAnsi="Palatino Linotype"/>
                <w:lang w:eastAsia="es-ES"/>
              </w:rPr>
              <w:t xml:space="preserve"> </w:t>
            </w:r>
            <w:r w:rsidRPr="00E461D0">
              <w:rPr>
                <w:rFonts w:ascii="Palatino Linotype" w:hAnsi="Palatino Linotype"/>
              </w:rPr>
              <w:t xml:space="preserve">PyME se calcularán en base a un año de 365 días, de doce meses de 30 días, salvo que el </w:t>
            </w:r>
            <w:r w:rsidR="00B3792D" w:rsidRPr="00E461D0">
              <w:rPr>
                <w:rFonts w:ascii="Palatino Linotype" w:hAnsi="Palatino Linotype"/>
              </w:rPr>
              <w:t>Suplemento de Prospecto</w:t>
            </w:r>
            <w:r w:rsidR="00F0094D" w:rsidRPr="00E461D0">
              <w:rPr>
                <w:rFonts w:ascii="Palatino Linotype" w:hAnsi="Palatino Linotype"/>
              </w:rPr>
              <w:t xml:space="preserve"> de cada Clase y/o Serie </w:t>
            </w:r>
            <w:r w:rsidRPr="00E461D0">
              <w:rPr>
                <w:rFonts w:ascii="Palatino Linotype" w:hAnsi="Palatino Linotype"/>
              </w:rPr>
              <w:t>estableciera lo contrario.</w:t>
            </w:r>
          </w:p>
        </w:tc>
      </w:tr>
      <w:tr w:rsidR="00FE7D09" w:rsidRPr="00E461D0" w14:paraId="41BCC545" w14:textId="77777777" w:rsidTr="003C15F8">
        <w:tc>
          <w:tcPr>
            <w:tcW w:w="1384" w:type="pct"/>
            <w:tcBorders>
              <w:top w:val="nil"/>
              <w:left w:val="nil"/>
              <w:bottom w:val="nil"/>
              <w:right w:val="nil"/>
            </w:tcBorders>
          </w:tcPr>
          <w:p w14:paraId="389E9615"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36F074C7" w14:textId="77777777" w:rsidR="00FE7D09" w:rsidRPr="00E461D0" w:rsidRDefault="00FE7D09" w:rsidP="003C15F8">
            <w:pPr>
              <w:widowControl/>
              <w:jc w:val="both"/>
              <w:rPr>
                <w:rFonts w:ascii="Palatino Linotype" w:hAnsi="Palatino Linotype"/>
              </w:rPr>
            </w:pPr>
          </w:p>
        </w:tc>
      </w:tr>
      <w:tr w:rsidR="00FE7D09" w:rsidRPr="00E461D0" w14:paraId="67446EDD" w14:textId="77777777" w:rsidTr="003C15F8">
        <w:tc>
          <w:tcPr>
            <w:tcW w:w="1384" w:type="pct"/>
            <w:tcBorders>
              <w:top w:val="nil"/>
              <w:left w:val="nil"/>
              <w:bottom w:val="nil"/>
              <w:right w:val="nil"/>
            </w:tcBorders>
          </w:tcPr>
          <w:p w14:paraId="01E8ACC8" w14:textId="77777777" w:rsidR="00FE7D09" w:rsidRPr="00E461D0" w:rsidRDefault="00FE7D09" w:rsidP="00FE7D09">
            <w:pPr>
              <w:widowControl/>
              <w:rPr>
                <w:rFonts w:ascii="Palatino Linotype" w:hAnsi="Palatino Linotype"/>
                <w:b/>
              </w:rPr>
            </w:pPr>
            <w:r w:rsidRPr="00E461D0">
              <w:rPr>
                <w:rFonts w:ascii="Palatino Linotype" w:hAnsi="Palatino Linotype"/>
                <w:b/>
              </w:rPr>
              <w:t>Rescate a Opción de la Sociedad</w:t>
            </w:r>
          </w:p>
        </w:tc>
        <w:tc>
          <w:tcPr>
            <w:tcW w:w="3616" w:type="pct"/>
            <w:tcBorders>
              <w:top w:val="nil"/>
              <w:left w:val="nil"/>
              <w:bottom w:val="nil"/>
              <w:right w:val="nil"/>
            </w:tcBorders>
          </w:tcPr>
          <w:p w14:paraId="5639176C" w14:textId="77777777" w:rsidR="00FE7D09" w:rsidRPr="00E461D0" w:rsidRDefault="00FE7D09" w:rsidP="003C15F8">
            <w:pPr>
              <w:widowControl/>
              <w:jc w:val="both"/>
              <w:rPr>
                <w:rFonts w:ascii="Palatino Linotype" w:hAnsi="Palatino Linotype"/>
              </w:rPr>
            </w:pPr>
            <w:r w:rsidRPr="00E461D0">
              <w:rPr>
                <w:rFonts w:ascii="Palatino Linotype" w:hAnsi="Palatino Linotype"/>
              </w:rPr>
              <w:t xml:space="preserve">El </w:t>
            </w:r>
            <w:r w:rsidR="00B3792D" w:rsidRPr="00E461D0">
              <w:rPr>
                <w:rFonts w:ascii="Palatino Linotype" w:hAnsi="Palatino Linotype"/>
              </w:rPr>
              <w:t>Suplemento de Prospecto</w:t>
            </w:r>
            <w:r w:rsidRPr="00E461D0">
              <w:rPr>
                <w:rFonts w:ascii="Palatino Linotype" w:hAnsi="Palatino Linotype"/>
              </w:rPr>
              <w:t xml:space="preserve"> de cada Clase y/o Serie respectivo podrá disponer que las Obligaciones Negociables</w:t>
            </w:r>
            <w:r w:rsidRPr="00E461D0">
              <w:rPr>
                <w:rFonts w:ascii="Palatino Linotype" w:hAnsi="Palatino Linotype"/>
                <w:lang w:eastAsia="es-ES"/>
              </w:rPr>
              <w:t xml:space="preserve"> Py</w:t>
            </w:r>
            <w:r w:rsidR="00782329" w:rsidRPr="00E461D0">
              <w:rPr>
                <w:rFonts w:ascii="Palatino Linotype" w:hAnsi="Palatino Linotype"/>
                <w:lang w:eastAsia="es-ES"/>
              </w:rPr>
              <w:t>ME</w:t>
            </w:r>
            <w:r w:rsidRPr="00E461D0">
              <w:rPr>
                <w:rFonts w:ascii="Palatino Linotype" w:hAnsi="Palatino Linotype"/>
              </w:rPr>
              <w:t xml:space="preserve"> de una Clase y/o Serie sean rescatadas a opción de la </w:t>
            </w:r>
            <w:r w:rsidR="00782329" w:rsidRPr="00E461D0">
              <w:rPr>
                <w:rFonts w:ascii="Palatino Linotype" w:hAnsi="Palatino Linotype"/>
              </w:rPr>
              <w:t>Compañía</w:t>
            </w:r>
            <w:r w:rsidRPr="00E461D0">
              <w:rPr>
                <w:rFonts w:ascii="Palatino Linotype" w:hAnsi="Palatino Linotype"/>
              </w:rPr>
              <w:t xml:space="preserve"> en forma total o parcial al precio o a los precios especificados en el </w:t>
            </w:r>
            <w:r w:rsidR="00B3792D" w:rsidRPr="00E461D0">
              <w:rPr>
                <w:rFonts w:ascii="Palatino Linotype" w:hAnsi="Palatino Linotype"/>
              </w:rPr>
              <w:t>Suplemento de Prospecto</w:t>
            </w:r>
            <w:r w:rsidRPr="00E461D0">
              <w:rPr>
                <w:rFonts w:ascii="Palatino Linotype" w:hAnsi="Palatino Linotype"/>
              </w:rPr>
              <w:t xml:space="preserve"> aplicable. En todos los casos de rescate, se garantizará el trato igualitario entre los inversores</w:t>
            </w:r>
            <w:r w:rsidRPr="00E461D0">
              <w:rPr>
                <w:rFonts w:ascii="Palatino Linotype" w:hAnsi="Palatino Linotype"/>
                <w:lang w:eastAsia="es-ES"/>
              </w:rPr>
              <w:t xml:space="preserve"> y las Obligaciones Negociables Py</w:t>
            </w:r>
            <w:r w:rsidR="00782329" w:rsidRPr="00E461D0">
              <w:rPr>
                <w:rFonts w:ascii="Palatino Linotype" w:hAnsi="Palatino Linotype"/>
                <w:lang w:eastAsia="es-ES"/>
              </w:rPr>
              <w:t>ME</w:t>
            </w:r>
            <w:r w:rsidRPr="00E461D0">
              <w:rPr>
                <w:rFonts w:ascii="Palatino Linotype" w:hAnsi="Palatino Linotype"/>
                <w:lang w:eastAsia="es-ES"/>
              </w:rPr>
              <w:t xml:space="preserve"> serán canceladas de inmediato y no podrán ser nuevamente emitidas o revendidas.</w:t>
            </w:r>
            <w:r w:rsidRPr="00E461D0">
              <w:rPr>
                <w:rFonts w:ascii="Palatino Linotype" w:hAnsi="Palatino Linotype"/>
              </w:rPr>
              <w:t xml:space="preserve"> El rescate parcial será realizado a </w:t>
            </w:r>
            <w:r w:rsidRPr="00E461D0">
              <w:rPr>
                <w:rFonts w:ascii="Palatino Linotype" w:hAnsi="Palatino Linotype"/>
                <w:i/>
              </w:rPr>
              <w:t xml:space="preserve">pro rata </w:t>
            </w:r>
            <w:r w:rsidRPr="00E461D0">
              <w:rPr>
                <w:rFonts w:ascii="Palatino Linotype" w:hAnsi="Palatino Linotype"/>
              </w:rPr>
              <w:t>entre los tenedores.</w:t>
            </w:r>
          </w:p>
        </w:tc>
      </w:tr>
      <w:tr w:rsidR="00FE7D09" w:rsidRPr="00E461D0" w14:paraId="41B9219A" w14:textId="77777777" w:rsidTr="003C15F8">
        <w:tc>
          <w:tcPr>
            <w:tcW w:w="1384" w:type="pct"/>
            <w:tcBorders>
              <w:top w:val="nil"/>
              <w:left w:val="nil"/>
              <w:bottom w:val="nil"/>
              <w:right w:val="nil"/>
            </w:tcBorders>
          </w:tcPr>
          <w:p w14:paraId="475E02F4"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7CA42F57" w14:textId="77777777" w:rsidR="00FE7D09" w:rsidRPr="00E461D0" w:rsidRDefault="00FE7D09" w:rsidP="003C15F8">
            <w:pPr>
              <w:widowControl/>
              <w:jc w:val="both"/>
              <w:rPr>
                <w:rFonts w:ascii="Palatino Linotype" w:hAnsi="Palatino Linotype"/>
              </w:rPr>
            </w:pPr>
          </w:p>
        </w:tc>
      </w:tr>
      <w:tr w:rsidR="00FE7D09" w:rsidRPr="00E461D0" w14:paraId="7143FAA8" w14:textId="77777777" w:rsidTr="003C15F8">
        <w:tc>
          <w:tcPr>
            <w:tcW w:w="1384" w:type="pct"/>
            <w:tcBorders>
              <w:top w:val="nil"/>
              <w:left w:val="nil"/>
              <w:bottom w:val="nil"/>
              <w:right w:val="nil"/>
            </w:tcBorders>
          </w:tcPr>
          <w:p w14:paraId="764AFAAB" w14:textId="77777777" w:rsidR="00FE7D09" w:rsidRPr="00E461D0" w:rsidRDefault="00FE7D09" w:rsidP="00FE7D09">
            <w:pPr>
              <w:widowControl/>
              <w:rPr>
                <w:rFonts w:ascii="Palatino Linotype" w:hAnsi="Palatino Linotype"/>
                <w:b/>
              </w:rPr>
            </w:pPr>
            <w:r w:rsidRPr="00E461D0">
              <w:rPr>
                <w:rFonts w:ascii="Palatino Linotype" w:hAnsi="Palatino Linotype"/>
                <w:b/>
              </w:rPr>
              <w:t>Rescate por Cuestiones Impositivas</w:t>
            </w:r>
          </w:p>
        </w:tc>
        <w:tc>
          <w:tcPr>
            <w:tcW w:w="3616" w:type="pct"/>
            <w:tcBorders>
              <w:top w:val="nil"/>
              <w:left w:val="nil"/>
              <w:bottom w:val="nil"/>
              <w:right w:val="nil"/>
            </w:tcBorders>
          </w:tcPr>
          <w:p w14:paraId="357F5746" w14:textId="46812643" w:rsidR="00FE7D09" w:rsidRPr="00E461D0" w:rsidRDefault="00FE7D09" w:rsidP="003C15F8">
            <w:pPr>
              <w:widowControl/>
              <w:jc w:val="both"/>
              <w:rPr>
                <w:rFonts w:ascii="Palatino Linotype" w:hAnsi="Palatino Linotype"/>
              </w:rPr>
            </w:pPr>
            <w:r w:rsidRPr="00E461D0">
              <w:rPr>
                <w:rFonts w:ascii="Palatino Linotype" w:hAnsi="Palatino Linotype"/>
              </w:rPr>
              <w:t>Las Obligaciones Negociables</w:t>
            </w:r>
            <w:r w:rsidRPr="00E461D0">
              <w:rPr>
                <w:rFonts w:ascii="Palatino Linotype" w:hAnsi="Palatino Linotype"/>
                <w:lang w:eastAsia="es-ES"/>
              </w:rPr>
              <w:t xml:space="preserve"> Py</w:t>
            </w:r>
            <w:r w:rsidR="00782329" w:rsidRPr="00E461D0">
              <w:rPr>
                <w:rFonts w:ascii="Palatino Linotype" w:hAnsi="Palatino Linotype"/>
                <w:lang w:eastAsia="es-ES"/>
              </w:rPr>
              <w:t>ME</w:t>
            </w:r>
            <w:r w:rsidRPr="00E461D0">
              <w:rPr>
                <w:rFonts w:ascii="Palatino Linotype" w:hAnsi="Palatino Linotype"/>
              </w:rPr>
              <w:t xml:space="preserve"> podrán ser rescatadas en su totalidad, no en forma parcial, a un precio igual al 100% del valor nominal más intereses devengados e impagos en caso de ocurrir ciertos acontecimientos fiscales en Argentina. En todo momento se otorgará y garantizará un trato igualitario entre la totalidad de los tenedores. </w:t>
            </w:r>
          </w:p>
        </w:tc>
      </w:tr>
      <w:tr w:rsidR="00FE7D09" w:rsidRPr="00E461D0" w14:paraId="7E0EB565" w14:textId="77777777" w:rsidTr="003C15F8">
        <w:tc>
          <w:tcPr>
            <w:tcW w:w="1384" w:type="pct"/>
            <w:tcBorders>
              <w:top w:val="nil"/>
              <w:left w:val="nil"/>
              <w:bottom w:val="nil"/>
              <w:right w:val="nil"/>
            </w:tcBorders>
          </w:tcPr>
          <w:p w14:paraId="57F40441"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475409F4" w14:textId="77777777" w:rsidR="00FE7D09" w:rsidRPr="00E461D0" w:rsidRDefault="00FE7D09" w:rsidP="003C15F8">
            <w:pPr>
              <w:widowControl/>
              <w:jc w:val="both"/>
              <w:rPr>
                <w:rFonts w:ascii="Palatino Linotype" w:hAnsi="Palatino Linotype"/>
              </w:rPr>
            </w:pPr>
          </w:p>
        </w:tc>
      </w:tr>
      <w:tr w:rsidR="00FE7D09" w:rsidRPr="00E461D0" w14:paraId="21B4EF29" w14:textId="77777777" w:rsidTr="003C15F8">
        <w:tc>
          <w:tcPr>
            <w:tcW w:w="1384" w:type="pct"/>
            <w:tcBorders>
              <w:top w:val="nil"/>
              <w:left w:val="nil"/>
              <w:bottom w:val="nil"/>
              <w:right w:val="nil"/>
            </w:tcBorders>
          </w:tcPr>
          <w:p w14:paraId="1551E924" w14:textId="77777777" w:rsidR="00FE7D09" w:rsidRPr="00E461D0" w:rsidRDefault="00FE7D09" w:rsidP="00FE7D09">
            <w:pPr>
              <w:widowControl/>
              <w:rPr>
                <w:rFonts w:ascii="Palatino Linotype" w:hAnsi="Palatino Linotype"/>
                <w:b/>
                <w:bCs/>
                <w:lang w:eastAsia="es-ES"/>
              </w:rPr>
            </w:pPr>
            <w:r w:rsidRPr="00E461D0">
              <w:rPr>
                <w:rFonts w:ascii="Palatino Linotype" w:hAnsi="Palatino Linotype"/>
                <w:b/>
                <w:bCs/>
                <w:lang w:eastAsia="es-ES"/>
              </w:rPr>
              <w:t>Procedimiento para el pago al momento del Rescate</w:t>
            </w:r>
          </w:p>
          <w:p w14:paraId="0269D0E4"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307F60E5" w14:textId="77777777" w:rsidR="00FE7D09" w:rsidRPr="00E461D0" w:rsidRDefault="00FE7D09" w:rsidP="003C15F8">
            <w:pPr>
              <w:widowControl/>
              <w:jc w:val="both"/>
              <w:rPr>
                <w:rFonts w:ascii="Palatino Linotype" w:hAnsi="Palatino Linotype"/>
                <w:lang w:eastAsia="es-ES"/>
              </w:rPr>
            </w:pPr>
            <w:r w:rsidRPr="00E461D0">
              <w:rPr>
                <w:rFonts w:ascii="Palatino Linotype" w:hAnsi="Palatino Linotype"/>
              </w:rPr>
              <w:t>En cualquier caso de rescate, s</w:t>
            </w:r>
            <w:r w:rsidRPr="00E461D0">
              <w:rPr>
                <w:rFonts w:ascii="Palatino Linotype" w:hAnsi="Palatino Linotype"/>
                <w:lang w:eastAsia="es-ES"/>
              </w:rPr>
              <w:t xml:space="preserve">i se hubiera enviado notificación de rescate en la forma establecida en el presente y en el </w:t>
            </w:r>
            <w:r w:rsidR="00B3792D" w:rsidRPr="00E461D0">
              <w:rPr>
                <w:rFonts w:ascii="Palatino Linotype" w:hAnsi="Palatino Linotype"/>
                <w:lang w:eastAsia="es-ES"/>
              </w:rPr>
              <w:t>Suplemento de Prospecto</w:t>
            </w:r>
            <w:r w:rsidRPr="00E461D0">
              <w:rPr>
                <w:rFonts w:ascii="Palatino Linotype" w:hAnsi="Palatino Linotype"/>
                <w:lang w:eastAsia="es-ES"/>
              </w:rPr>
              <w:t xml:space="preserve"> pertinente, las Obligaciones Negociables Py</w:t>
            </w:r>
            <w:r w:rsidR="00782329" w:rsidRPr="00E461D0">
              <w:rPr>
                <w:rFonts w:ascii="Palatino Linotype" w:hAnsi="Palatino Linotype"/>
                <w:lang w:eastAsia="es-ES"/>
              </w:rPr>
              <w:t>ME</w:t>
            </w:r>
            <w:r w:rsidRPr="00E461D0">
              <w:rPr>
                <w:rFonts w:ascii="Palatino Linotype" w:hAnsi="Palatino Linotype"/>
                <w:lang w:eastAsia="es-ES"/>
              </w:rPr>
              <w:t xml:space="preserve"> de una Clase y/o Serie que debieran ser rescatadas, vencerán y serán pagaderas en la fecha de rescate especificada en dicha notificación, y contra presentación y entrega de las Obligaciones Negociables Py</w:t>
            </w:r>
            <w:r w:rsidR="00782329" w:rsidRPr="00E461D0">
              <w:rPr>
                <w:rFonts w:ascii="Palatino Linotype" w:hAnsi="Palatino Linotype"/>
                <w:lang w:eastAsia="es-ES"/>
              </w:rPr>
              <w:t>ME</w:t>
            </w:r>
            <w:r w:rsidRPr="00E461D0">
              <w:rPr>
                <w:rFonts w:ascii="Palatino Linotype" w:hAnsi="Palatino Linotype"/>
                <w:lang w:eastAsia="es-ES"/>
              </w:rPr>
              <w:t xml:space="preserve"> en el lugar o lugares especificados en dicha notificación, serán pagadas y rescatadas por la </w:t>
            </w:r>
            <w:r w:rsidR="00782329" w:rsidRPr="00E461D0">
              <w:rPr>
                <w:rFonts w:ascii="Palatino Linotype" w:hAnsi="Palatino Linotype"/>
                <w:lang w:eastAsia="es-ES"/>
              </w:rPr>
              <w:t>Compañía</w:t>
            </w:r>
            <w:r w:rsidRPr="00E461D0">
              <w:rPr>
                <w:rFonts w:ascii="Palatino Linotype" w:hAnsi="Palatino Linotype"/>
                <w:lang w:eastAsia="es-ES"/>
              </w:rPr>
              <w:t xml:space="preserve"> en los lugares, en la forma y moneda allí especificada, y al precio de rescate allí establecido, junto con los intereses devengados y Montos Adicionales (según </w:t>
            </w:r>
            <w:r w:rsidR="00782329" w:rsidRPr="00E461D0">
              <w:rPr>
                <w:rFonts w:ascii="Palatino Linotype" w:hAnsi="Palatino Linotype"/>
                <w:lang w:eastAsia="es-ES"/>
              </w:rPr>
              <w:t>este término se define más adelante</w:t>
            </w:r>
            <w:r w:rsidRPr="00E461D0">
              <w:rPr>
                <w:rFonts w:ascii="Palatino Linotype" w:hAnsi="Palatino Linotype"/>
                <w:lang w:eastAsia="es-ES"/>
              </w:rPr>
              <w:t xml:space="preserve">), si los hubiera, a la fecha de rescate. </w:t>
            </w:r>
          </w:p>
        </w:tc>
      </w:tr>
      <w:tr w:rsidR="00FE7D09" w:rsidRPr="00E461D0" w14:paraId="5A7923C2" w14:textId="77777777" w:rsidTr="003C15F8">
        <w:tc>
          <w:tcPr>
            <w:tcW w:w="1384" w:type="pct"/>
            <w:tcBorders>
              <w:top w:val="nil"/>
              <w:left w:val="nil"/>
              <w:bottom w:val="nil"/>
              <w:right w:val="nil"/>
            </w:tcBorders>
          </w:tcPr>
          <w:p w14:paraId="3547CAB1"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1E37B721" w14:textId="77777777" w:rsidR="00FE7D09" w:rsidRPr="00E461D0" w:rsidRDefault="00FE7D09" w:rsidP="003C15F8">
            <w:pPr>
              <w:widowControl/>
              <w:jc w:val="both"/>
              <w:rPr>
                <w:rFonts w:ascii="Palatino Linotype" w:hAnsi="Palatino Linotype"/>
              </w:rPr>
            </w:pPr>
          </w:p>
        </w:tc>
      </w:tr>
      <w:tr w:rsidR="00FE7D09" w:rsidRPr="00E461D0" w14:paraId="231A9EEC" w14:textId="77777777" w:rsidTr="003C15F8">
        <w:tc>
          <w:tcPr>
            <w:tcW w:w="1384" w:type="pct"/>
            <w:tcBorders>
              <w:top w:val="nil"/>
              <w:left w:val="nil"/>
              <w:bottom w:val="nil"/>
              <w:right w:val="nil"/>
            </w:tcBorders>
          </w:tcPr>
          <w:p w14:paraId="745DC136" w14:textId="77777777" w:rsidR="00FE7D09" w:rsidRPr="00E461D0" w:rsidRDefault="00FE7D09" w:rsidP="00FE7D09">
            <w:pPr>
              <w:widowControl/>
              <w:rPr>
                <w:rFonts w:ascii="Palatino Linotype" w:hAnsi="Palatino Linotype"/>
                <w:b/>
              </w:rPr>
            </w:pPr>
            <w:r w:rsidRPr="00E461D0">
              <w:rPr>
                <w:rFonts w:ascii="Palatino Linotype" w:hAnsi="Palatino Linotype"/>
                <w:b/>
              </w:rPr>
              <w:t>Montos Adicionales</w:t>
            </w:r>
          </w:p>
        </w:tc>
        <w:tc>
          <w:tcPr>
            <w:tcW w:w="3616" w:type="pct"/>
            <w:tcBorders>
              <w:top w:val="nil"/>
              <w:left w:val="nil"/>
              <w:bottom w:val="nil"/>
              <w:right w:val="nil"/>
            </w:tcBorders>
          </w:tcPr>
          <w:p w14:paraId="4BCA187F" w14:textId="77777777" w:rsidR="00FE7D09" w:rsidRPr="00E461D0" w:rsidRDefault="00FE7D09" w:rsidP="003C15F8">
            <w:pPr>
              <w:widowControl/>
              <w:jc w:val="both"/>
              <w:rPr>
                <w:rFonts w:ascii="Palatino Linotype" w:hAnsi="Palatino Linotype"/>
              </w:rPr>
            </w:pPr>
            <w:r w:rsidRPr="00E461D0">
              <w:rPr>
                <w:rFonts w:ascii="Palatino Linotype" w:hAnsi="Palatino Linotype"/>
              </w:rPr>
              <w:t>Los pagos respecto de las Obligaciones Negociables</w:t>
            </w:r>
            <w:r w:rsidRPr="00E461D0">
              <w:rPr>
                <w:rFonts w:ascii="Palatino Linotype" w:hAnsi="Palatino Linotype"/>
                <w:lang w:eastAsia="es-ES"/>
              </w:rPr>
              <w:t xml:space="preserve"> </w:t>
            </w:r>
            <w:r w:rsidRPr="00E461D0">
              <w:rPr>
                <w:rFonts w:ascii="Palatino Linotype" w:hAnsi="Palatino Linotype"/>
              </w:rPr>
              <w:t>Py</w:t>
            </w:r>
            <w:r w:rsidR="00782329" w:rsidRPr="00E461D0">
              <w:rPr>
                <w:rFonts w:ascii="Palatino Linotype" w:hAnsi="Palatino Linotype"/>
              </w:rPr>
              <w:t>ME</w:t>
            </w:r>
            <w:r w:rsidRPr="00E461D0">
              <w:rPr>
                <w:rFonts w:ascii="Palatino Linotype" w:hAnsi="Palatino Linotype"/>
              </w:rPr>
              <w:t xml:space="preserve"> se realizarán sin retención o deducción de impuestos u otras cargas públicas fijadas por Argentina, o cualquier subdivisión política o autoridad fiscal de tal jurisdicción. En caso de que la ley exigiera practicar tales retenciones o deducciones, sujeto a ciertas excepciones, se pagarán los montos adicionales necesarios para que los tenedores reciban el mismo monto que habrían recibido respecto de pagos sobre las Obligaciones Negociables</w:t>
            </w:r>
            <w:r w:rsidR="00782329" w:rsidRPr="00E461D0">
              <w:rPr>
                <w:rFonts w:ascii="Palatino Linotype" w:hAnsi="Palatino Linotype"/>
              </w:rPr>
              <w:t xml:space="preserve"> PyME</w:t>
            </w:r>
            <w:r w:rsidRPr="00E461D0">
              <w:rPr>
                <w:rFonts w:ascii="Palatino Linotype" w:hAnsi="Palatino Linotype"/>
              </w:rPr>
              <w:t xml:space="preserve"> de no haberse practicado tales retenciones o deducciones. Véase</w:t>
            </w:r>
            <w:r w:rsidR="00DB40C1" w:rsidRPr="00E461D0">
              <w:rPr>
                <w:rFonts w:ascii="Palatino Linotype" w:hAnsi="Palatino Linotype"/>
              </w:rPr>
              <w:t xml:space="preserve"> la Sección VII</w:t>
            </w:r>
            <w:r w:rsidRPr="00E461D0">
              <w:rPr>
                <w:rFonts w:ascii="Palatino Linotype" w:hAnsi="Palatino Linotype"/>
              </w:rPr>
              <w:t xml:space="preserve"> “</w:t>
            </w:r>
            <w:r w:rsidRPr="00E461D0">
              <w:rPr>
                <w:rFonts w:ascii="Palatino Linotype" w:hAnsi="Palatino Linotype"/>
                <w:i/>
              </w:rPr>
              <w:t xml:space="preserve">De la Oferta y la Negociación </w:t>
            </w:r>
            <w:r w:rsidR="00DB40C1" w:rsidRPr="00E461D0">
              <w:rPr>
                <w:rFonts w:ascii="Palatino Linotype" w:hAnsi="Palatino Linotype"/>
                <w:i/>
              </w:rPr>
              <w:t xml:space="preserve">- </w:t>
            </w:r>
            <w:r w:rsidRPr="00E461D0">
              <w:rPr>
                <w:rFonts w:ascii="Palatino Linotype" w:hAnsi="Palatino Linotype"/>
                <w:i/>
              </w:rPr>
              <w:t xml:space="preserve">Detalles de la oferta y la negociación </w:t>
            </w:r>
            <w:r w:rsidR="00DB40C1" w:rsidRPr="00E461D0">
              <w:rPr>
                <w:rFonts w:ascii="Palatino Linotype" w:hAnsi="Palatino Linotype"/>
                <w:i/>
              </w:rPr>
              <w:t>-</w:t>
            </w:r>
            <w:r w:rsidRPr="00E461D0">
              <w:rPr>
                <w:rFonts w:ascii="Palatino Linotype" w:hAnsi="Palatino Linotype"/>
                <w:i/>
              </w:rPr>
              <w:t xml:space="preserve"> Montos Adicionales</w:t>
            </w:r>
            <w:r w:rsidRPr="00E461D0">
              <w:rPr>
                <w:rFonts w:ascii="Palatino Linotype" w:hAnsi="Palatino Linotype"/>
              </w:rPr>
              <w:t>”.</w:t>
            </w:r>
          </w:p>
        </w:tc>
      </w:tr>
      <w:tr w:rsidR="00FE7D09" w:rsidRPr="00E461D0" w14:paraId="48B83ADE" w14:textId="77777777" w:rsidTr="003C15F8">
        <w:tc>
          <w:tcPr>
            <w:tcW w:w="1384" w:type="pct"/>
            <w:tcBorders>
              <w:top w:val="nil"/>
              <w:left w:val="nil"/>
              <w:bottom w:val="nil"/>
              <w:right w:val="nil"/>
            </w:tcBorders>
          </w:tcPr>
          <w:p w14:paraId="4F4F94F5"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3B1250F3" w14:textId="77777777" w:rsidR="00FE7D09" w:rsidRPr="00E461D0" w:rsidRDefault="00FE7D09" w:rsidP="003C15F8">
            <w:pPr>
              <w:widowControl/>
              <w:jc w:val="both"/>
              <w:rPr>
                <w:rFonts w:ascii="Palatino Linotype" w:hAnsi="Palatino Linotype"/>
              </w:rPr>
            </w:pPr>
          </w:p>
        </w:tc>
      </w:tr>
      <w:tr w:rsidR="00FE7D09" w:rsidRPr="00E461D0" w14:paraId="51AD89D6" w14:textId="77777777" w:rsidTr="003C15F8">
        <w:tc>
          <w:tcPr>
            <w:tcW w:w="1384" w:type="pct"/>
            <w:tcBorders>
              <w:top w:val="nil"/>
              <w:left w:val="nil"/>
              <w:bottom w:val="nil"/>
              <w:right w:val="nil"/>
            </w:tcBorders>
          </w:tcPr>
          <w:p w14:paraId="5EB72027" w14:textId="77777777" w:rsidR="00FE7D09" w:rsidRPr="00E461D0" w:rsidRDefault="00FE7D09" w:rsidP="00FE7D09">
            <w:pPr>
              <w:widowControl/>
              <w:rPr>
                <w:rFonts w:ascii="Palatino Linotype" w:hAnsi="Palatino Linotype"/>
                <w:b/>
              </w:rPr>
            </w:pPr>
            <w:r w:rsidRPr="00E461D0">
              <w:rPr>
                <w:rFonts w:ascii="Palatino Linotype" w:hAnsi="Palatino Linotype"/>
                <w:b/>
              </w:rPr>
              <w:t>Unidad Mínima de Negociación</w:t>
            </w:r>
          </w:p>
          <w:p w14:paraId="32595947"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28C2BBDB" w14:textId="77777777" w:rsidR="00FE7D09" w:rsidRPr="00E461D0" w:rsidRDefault="00FE7D09" w:rsidP="003C15F8">
            <w:pPr>
              <w:widowControl/>
              <w:jc w:val="both"/>
              <w:rPr>
                <w:rFonts w:ascii="Palatino Linotype" w:hAnsi="Palatino Linotype"/>
              </w:rPr>
            </w:pPr>
            <w:r w:rsidRPr="00E461D0">
              <w:rPr>
                <w:rFonts w:ascii="Palatino Linotype" w:hAnsi="Palatino Linotype"/>
              </w:rPr>
              <w:t>Las unidades mínimas de negociación de las Obligaciones Negociables Py</w:t>
            </w:r>
            <w:r w:rsidR="00782329" w:rsidRPr="00E461D0">
              <w:rPr>
                <w:rFonts w:ascii="Palatino Linotype" w:hAnsi="Palatino Linotype"/>
              </w:rPr>
              <w:t>ME</w:t>
            </w:r>
            <w:r w:rsidRPr="00E461D0">
              <w:rPr>
                <w:rFonts w:ascii="Palatino Linotype" w:hAnsi="Palatino Linotype"/>
              </w:rPr>
              <w:t xml:space="preserve">, serán determinadas oportunamente en cada </w:t>
            </w:r>
            <w:r w:rsidR="00B3792D" w:rsidRPr="00E461D0">
              <w:rPr>
                <w:rFonts w:ascii="Palatino Linotype" w:hAnsi="Palatino Linotype"/>
              </w:rPr>
              <w:t>Suplemento de Prospecto</w:t>
            </w:r>
            <w:r w:rsidRPr="00E461D0">
              <w:rPr>
                <w:rFonts w:ascii="Palatino Linotype" w:hAnsi="Palatino Linotype"/>
              </w:rPr>
              <w:t xml:space="preserve"> respetando las normas aplicables vigentes.</w:t>
            </w:r>
          </w:p>
        </w:tc>
      </w:tr>
      <w:tr w:rsidR="00DB40C1" w:rsidRPr="00E461D0" w14:paraId="4061B2C8" w14:textId="77777777" w:rsidTr="006C2FCA">
        <w:tc>
          <w:tcPr>
            <w:tcW w:w="1384" w:type="pct"/>
            <w:tcBorders>
              <w:top w:val="nil"/>
              <w:left w:val="nil"/>
              <w:bottom w:val="nil"/>
              <w:right w:val="nil"/>
            </w:tcBorders>
          </w:tcPr>
          <w:p w14:paraId="098DC950" w14:textId="77777777" w:rsidR="00DB40C1" w:rsidRPr="00E461D0" w:rsidRDefault="00DB40C1" w:rsidP="00FE7D09">
            <w:pPr>
              <w:widowControl/>
              <w:rPr>
                <w:rFonts w:ascii="Palatino Linotype" w:hAnsi="Palatino Linotype"/>
                <w:b/>
              </w:rPr>
            </w:pPr>
          </w:p>
        </w:tc>
        <w:tc>
          <w:tcPr>
            <w:tcW w:w="3616" w:type="pct"/>
            <w:tcBorders>
              <w:top w:val="nil"/>
              <w:left w:val="nil"/>
              <w:bottom w:val="nil"/>
              <w:right w:val="nil"/>
            </w:tcBorders>
          </w:tcPr>
          <w:p w14:paraId="1F70AB20" w14:textId="77777777" w:rsidR="00DB40C1" w:rsidRPr="00E461D0" w:rsidRDefault="00DB40C1" w:rsidP="00DB40C1">
            <w:pPr>
              <w:widowControl/>
              <w:jc w:val="both"/>
              <w:rPr>
                <w:rFonts w:ascii="Palatino Linotype" w:hAnsi="Palatino Linotype"/>
              </w:rPr>
            </w:pPr>
          </w:p>
        </w:tc>
      </w:tr>
      <w:tr w:rsidR="00FE7D09" w:rsidRPr="00E461D0" w14:paraId="714E1A25" w14:textId="77777777" w:rsidTr="003C15F8">
        <w:tc>
          <w:tcPr>
            <w:tcW w:w="1384" w:type="pct"/>
            <w:tcBorders>
              <w:top w:val="nil"/>
              <w:left w:val="nil"/>
              <w:bottom w:val="nil"/>
              <w:right w:val="nil"/>
            </w:tcBorders>
          </w:tcPr>
          <w:p w14:paraId="7F14796B" w14:textId="77777777" w:rsidR="00FE7D09" w:rsidRPr="00E461D0" w:rsidRDefault="00FE7D09" w:rsidP="00FE7D09">
            <w:pPr>
              <w:widowControl/>
              <w:rPr>
                <w:rFonts w:ascii="Palatino Linotype" w:hAnsi="Palatino Linotype"/>
                <w:b/>
              </w:rPr>
            </w:pPr>
            <w:r w:rsidRPr="00E461D0">
              <w:rPr>
                <w:rFonts w:ascii="Palatino Linotype" w:hAnsi="Palatino Linotype"/>
                <w:b/>
              </w:rPr>
              <w:t>Denominación mínima</w:t>
            </w:r>
          </w:p>
        </w:tc>
        <w:tc>
          <w:tcPr>
            <w:tcW w:w="3616" w:type="pct"/>
            <w:tcBorders>
              <w:top w:val="nil"/>
              <w:left w:val="nil"/>
              <w:bottom w:val="nil"/>
              <w:right w:val="nil"/>
            </w:tcBorders>
          </w:tcPr>
          <w:p w14:paraId="4F830B1C" w14:textId="77777777" w:rsidR="00FE7D09" w:rsidRPr="00E461D0" w:rsidRDefault="00FE7D09" w:rsidP="003C15F8">
            <w:pPr>
              <w:widowControl/>
              <w:jc w:val="both"/>
              <w:rPr>
                <w:rFonts w:ascii="Palatino Linotype" w:hAnsi="Palatino Linotype"/>
              </w:rPr>
            </w:pPr>
            <w:r w:rsidRPr="00E461D0">
              <w:rPr>
                <w:rFonts w:ascii="Palatino Linotype" w:hAnsi="Palatino Linotype"/>
              </w:rPr>
              <w:t>Las denominaciones mínimas de las Obligaciones Negociables Py</w:t>
            </w:r>
            <w:r w:rsidR="00782329" w:rsidRPr="00E461D0">
              <w:rPr>
                <w:rFonts w:ascii="Palatino Linotype" w:hAnsi="Palatino Linotype"/>
              </w:rPr>
              <w:t>ME</w:t>
            </w:r>
            <w:r w:rsidRPr="00E461D0">
              <w:rPr>
                <w:rFonts w:ascii="Palatino Linotype" w:hAnsi="Palatino Linotype"/>
              </w:rPr>
              <w:t xml:space="preserve">, serán determinadas oportunamente en cada </w:t>
            </w:r>
            <w:r w:rsidR="00B3792D" w:rsidRPr="00E461D0">
              <w:rPr>
                <w:rFonts w:ascii="Palatino Linotype" w:hAnsi="Palatino Linotype"/>
              </w:rPr>
              <w:t>Suplemento de Prospecto</w:t>
            </w:r>
            <w:r w:rsidRPr="00E461D0">
              <w:rPr>
                <w:rFonts w:ascii="Palatino Linotype" w:hAnsi="Palatino Linotype"/>
              </w:rPr>
              <w:t>, respetando las normas aplicables vigentes.</w:t>
            </w:r>
          </w:p>
        </w:tc>
      </w:tr>
      <w:tr w:rsidR="00FE7D09" w:rsidRPr="00E461D0" w14:paraId="56FE139E" w14:textId="77777777" w:rsidTr="003C15F8">
        <w:tc>
          <w:tcPr>
            <w:tcW w:w="1384" w:type="pct"/>
            <w:tcBorders>
              <w:top w:val="nil"/>
              <w:left w:val="nil"/>
              <w:bottom w:val="nil"/>
              <w:right w:val="nil"/>
            </w:tcBorders>
          </w:tcPr>
          <w:p w14:paraId="5C4DE9A3"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3408F725" w14:textId="77777777" w:rsidR="00FE7D09" w:rsidRPr="00E461D0" w:rsidRDefault="00FE7D09" w:rsidP="003C15F8">
            <w:pPr>
              <w:widowControl/>
              <w:jc w:val="both"/>
              <w:rPr>
                <w:rFonts w:ascii="Palatino Linotype" w:hAnsi="Palatino Linotype"/>
              </w:rPr>
            </w:pPr>
          </w:p>
        </w:tc>
      </w:tr>
      <w:tr w:rsidR="00FE7D09" w:rsidRPr="00E461D0" w14:paraId="60532ABD" w14:textId="77777777" w:rsidTr="003C15F8">
        <w:tc>
          <w:tcPr>
            <w:tcW w:w="1384" w:type="pct"/>
            <w:tcBorders>
              <w:top w:val="nil"/>
              <w:left w:val="nil"/>
              <w:bottom w:val="nil"/>
              <w:right w:val="nil"/>
            </w:tcBorders>
          </w:tcPr>
          <w:p w14:paraId="6C4371AF" w14:textId="77777777" w:rsidR="00FE7D09" w:rsidRPr="00E461D0" w:rsidRDefault="00FE7D09" w:rsidP="00FE7D09">
            <w:pPr>
              <w:widowControl/>
              <w:rPr>
                <w:rFonts w:ascii="Palatino Linotype" w:hAnsi="Palatino Linotype"/>
                <w:b/>
              </w:rPr>
            </w:pPr>
            <w:r w:rsidRPr="00E461D0">
              <w:rPr>
                <w:rFonts w:ascii="Palatino Linotype" w:hAnsi="Palatino Linotype"/>
                <w:b/>
              </w:rPr>
              <w:t>Forma</w:t>
            </w:r>
          </w:p>
        </w:tc>
        <w:tc>
          <w:tcPr>
            <w:tcW w:w="3616" w:type="pct"/>
            <w:tcBorders>
              <w:top w:val="nil"/>
              <w:left w:val="nil"/>
              <w:bottom w:val="nil"/>
              <w:right w:val="nil"/>
            </w:tcBorders>
          </w:tcPr>
          <w:p w14:paraId="726D25E1" w14:textId="77777777" w:rsidR="00FE7D09" w:rsidRPr="00E461D0" w:rsidRDefault="00FE7D09" w:rsidP="003C15F8">
            <w:pPr>
              <w:widowControl/>
              <w:jc w:val="both"/>
              <w:rPr>
                <w:rFonts w:ascii="Palatino Linotype" w:hAnsi="Palatino Linotype"/>
              </w:rPr>
            </w:pPr>
            <w:r w:rsidRPr="00E461D0">
              <w:rPr>
                <w:rFonts w:ascii="Palatino Linotype" w:hAnsi="Palatino Linotype"/>
              </w:rPr>
              <w:t>Las Obligaciones Negociables Py</w:t>
            </w:r>
            <w:r w:rsidR="00782329" w:rsidRPr="00E461D0">
              <w:rPr>
                <w:rFonts w:ascii="Palatino Linotype" w:hAnsi="Palatino Linotype"/>
              </w:rPr>
              <w:t>ME</w:t>
            </w:r>
            <w:r w:rsidRPr="00E461D0">
              <w:rPr>
                <w:rFonts w:ascii="Palatino Linotype" w:hAnsi="Palatino Linotype"/>
              </w:rPr>
              <w:t xml:space="preserve"> podrán ser emitidas en forma escritural o en forma de títulos nominativos sin cupones de interés, representados por títulos globales o definitivos, según se determine en cada </w:t>
            </w:r>
            <w:r w:rsidR="00B3792D" w:rsidRPr="00E461D0">
              <w:rPr>
                <w:rFonts w:ascii="Palatino Linotype" w:hAnsi="Palatino Linotype"/>
              </w:rPr>
              <w:t>Suplemento de Prospecto</w:t>
            </w:r>
            <w:r w:rsidRPr="00E461D0">
              <w:rPr>
                <w:rFonts w:ascii="Palatino Linotype" w:hAnsi="Palatino Linotype"/>
              </w:rPr>
              <w:t>.</w:t>
            </w:r>
          </w:p>
        </w:tc>
      </w:tr>
      <w:tr w:rsidR="00FE7D09" w:rsidRPr="00E461D0" w14:paraId="77DA3F36" w14:textId="77777777" w:rsidTr="003C15F8">
        <w:tc>
          <w:tcPr>
            <w:tcW w:w="1384" w:type="pct"/>
            <w:tcBorders>
              <w:top w:val="nil"/>
              <w:left w:val="nil"/>
              <w:bottom w:val="nil"/>
              <w:right w:val="nil"/>
            </w:tcBorders>
          </w:tcPr>
          <w:p w14:paraId="719B7431"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73C56C57" w14:textId="77777777" w:rsidR="00FE7D09" w:rsidRPr="00E461D0" w:rsidRDefault="00FE7D09" w:rsidP="003C15F8">
            <w:pPr>
              <w:widowControl/>
              <w:jc w:val="both"/>
              <w:rPr>
                <w:rFonts w:ascii="Palatino Linotype" w:hAnsi="Palatino Linotype"/>
              </w:rPr>
            </w:pPr>
          </w:p>
        </w:tc>
      </w:tr>
      <w:tr w:rsidR="00FE7D09" w:rsidRPr="00E461D0" w14:paraId="7F464750" w14:textId="77777777" w:rsidTr="003C15F8">
        <w:tc>
          <w:tcPr>
            <w:tcW w:w="1384" w:type="pct"/>
            <w:tcBorders>
              <w:top w:val="nil"/>
              <w:left w:val="nil"/>
              <w:bottom w:val="nil"/>
              <w:right w:val="nil"/>
            </w:tcBorders>
          </w:tcPr>
          <w:p w14:paraId="0AB7F355" w14:textId="77777777" w:rsidR="00FE7D09" w:rsidRPr="00E461D0" w:rsidRDefault="00FE7D09" w:rsidP="00FE7D09">
            <w:pPr>
              <w:widowControl/>
              <w:rPr>
                <w:rFonts w:ascii="Palatino Linotype" w:hAnsi="Palatino Linotype"/>
                <w:b/>
              </w:rPr>
            </w:pPr>
            <w:r w:rsidRPr="00E461D0">
              <w:rPr>
                <w:rFonts w:ascii="Palatino Linotype" w:hAnsi="Palatino Linotype"/>
                <w:b/>
              </w:rPr>
              <w:t>Registro y Depósito Colectivo</w:t>
            </w:r>
          </w:p>
          <w:p w14:paraId="4DFEA8F8"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3DA50890" w14:textId="77777777" w:rsidR="00FE7D09" w:rsidRPr="00E461D0" w:rsidRDefault="00FE7D09" w:rsidP="003C15F8">
            <w:pPr>
              <w:widowControl/>
              <w:jc w:val="both"/>
              <w:rPr>
                <w:rFonts w:ascii="Palatino Linotype" w:hAnsi="Palatino Linotype"/>
              </w:rPr>
            </w:pPr>
            <w:r w:rsidRPr="00E461D0">
              <w:rPr>
                <w:rFonts w:ascii="Palatino Linotype" w:hAnsi="Palatino Linotype"/>
              </w:rPr>
              <w:t xml:space="preserve">En el caso de Obligaciones Negociables </w:t>
            </w:r>
            <w:r w:rsidR="00782329" w:rsidRPr="00E461D0">
              <w:rPr>
                <w:rFonts w:ascii="Palatino Linotype" w:hAnsi="Palatino Linotype"/>
              </w:rPr>
              <w:t xml:space="preserve">PyME </w:t>
            </w:r>
            <w:r w:rsidRPr="00E461D0">
              <w:rPr>
                <w:rFonts w:ascii="Palatino Linotype" w:hAnsi="Palatino Linotype"/>
              </w:rPr>
              <w:t>escriturales o de Obligaciones Negociables</w:t>
            </w:r>
            <w:r w:rsidR="00782329" w:rsidRPr="00E461D0">
              <w:rPr>
                <w:rFonts w:ascii="Palatino Linotype" w:hAnsi="Palatino Linotype"/>
              </w:rPr>
              <w:t xml:space="preserve"> PyME</w:t>
            </w:r>
            <w:r w:rsidRPr="00E461D0">
              <w:rPr>
                <w:rFonts w:ascii="Palatino Linotype" w:hAnsi="Palatino Linotype"/>
              </w:rPr>
              <w:t xml:space="preserve"> nominativas, el agente de registro podrá ser Caja de Valores S.A. u otra entidad autorizada que se designe en el </w:t>
            </w:r>
            <w:r w:rsidR="00B3792D" w:rsidRPr="00E461D0">
              <w:rPr>
                <w:rFonts w:ascii="Palatino Linotype" w:hAnsi="Palatino Linotype"/>
              </w:rPr>
              <w:t>Suplemento de Prospecto</w:t>
            </w:r>
            <w:r w:rsidRPr="00E461D0">
              <w:rPr>
                <w:rFonts w:ascii="Palatino Linotype" w:hAnsi="Palatino Linotype"/>
              </w:rPr>
              <w:t xml:space="preserve"> correspondiente, de acuerdo a la normativa aplicable. Podrá disponerse el depósito colectivo en Caja de Valores S.A. de las Obligaciones Negociables</w:t>
            </w:r>
            <w:r w:rsidR="00782329" w:rsidRPr="00E461D0">
              <w:rPr>
                <w:rFonts w:ascii="Palatino Linotype" w:hAnsi="Palatino Linotype"/>
              </w:rPr>
              <w:t xml:space="preserve"> PyME</w:t>
            </w:r>
            <w:r w:rsidRPr="00E461D0">
              <w:rPr>
                <w:rFonts w:ascii="Palatino Linotype" w:hAnsi="Palatino Linotype"/>
              </w:rPr>
              <w:t xml:space="preserve"> representadas en títulos cartulares definitivos o en certificados o títulos globales o en otra entidad que se especifique en el </w:t>
            </w:r>
            <w:r w:rsidR="00B3792D" w:rsidRPr="00E461D0">
              <w:rPr>
                <w:rFonts w:ascii="Palatino Linotype" w:hAnsi="Palatino Linotype"/>
              </w:rPr>
              <w:t>Suplemento de Prospecto</w:t>
            </w:r>
            <w:r w:rsidRPr="00E461D0">
              <w:rPr>
                <w:rFonts w:ascii="Palatino Linotype" w:hAnsi="Palatino Linotype"/>
              </w:rPr>
              <w:t xml:space="preserve"> correspondiente y que sea un depositario autorizado por las normas vigentes de la jurisdicción que corresponda. </w:t>
            </w:r>
          </w:p>
        </w:tc>
      </w:tr>
      <w:tr w:rsidR="00FE7D09" w:rsidRPr="00E461D0" w14:paraId="0EFA5A38" w14:textId="77777777" w:rsidTr="003C15F8">
        <w:tc>
          <w:tcPr>
            <w:tcW w:w="1384" w:type="pct"/>
            <w:tcBorders>
              <w:top w:val="nil"/>
              <w:left w:val="nil"/>
              <w:bottom w:val="nil"/>
              <w:right w:val="nil"/>
            </w:tcBorders>
          </w:tcPr>
          <w:p w14:paraId="462AC172" w14:textId="77777777" w:rsidR="00FE7D09" w:rsidRPr="00E461D0" w:rsidRDefault="00FE7D09" w:rsidP="00FE7D09">
            <w:pPr>
              <w:widowControl/>
              <w:rPr>
                <w:rFonts w:ascii="Palatino Linotype" w:hAnsi="Palatino Linotype"/>
                <w:b/>
              </w:rPr>
            </w:pPr>
            <w:r w:rsidRPr="00E461D0">
              <w:rPr>
                <w:rFonts w:ascii="Palatino Linotype" w:hAnsi="Palatino Linotype"/>
                <w:b/>
              </w:rPr>
              <w:t>Compromisos</w:t>
            </w:r>
          </w:p>
        </w:tc>
        <w:tc>
          <w:tcPr>
            <w:tcW w:w="3616" w:type="pct"/>
            <w:tcBorders>
              <w:top w:val="nil"/>
              <w:left w:val="nil"/>
              <w:bottom w:val="nil"/>
              <w:right w:val="nil"/>
            </w:tcBorders>
          </w:tcPr>
          <w:p w14:paraId="714C1624" w14:textId="77777777" w:rsidR="00FE7D09" w:rsidRPr="00E461D0" w:rsidRDefault="00FE7D09" w:rsidP="003C15F8">
            <w:pPr>
              <w:widowControl/>
              <w:jc w:val="both"/>
              <w:rPr>
                <w:rFonts w:ascii="Palatino Linotype" w:hAnsi="Palatino Linotype"/>
              </w:rPr>
            </w:pPr>
            <w:r w:rsidRPr="00E461D0">
              <w:rPr>
                <w:rFonts w:ascii="Palatino Linotype" w:hAnsi="Palatino Linotype"/>
              </w:rPr>
              <w:t>Véase</w:t>
            </w:r>
            <w:r w:rsidR="00DB40C1" w:rsidRPr="00E461D0">
              <w:rPr>
                <w:rFonts w:ascii="Palatino Linotype" w:hAnsi="Palatino Linotype"/>
              </w:rPr>
              <w:t xml:space="preserve"> la Sección VII</w:t>
            </w:r>
            <w:r w:rsidRPr="00E461D0">
              <w:rPr>
                <w:rFonts w:ascii="Palatino Linotype" w:hAnsi="Palatino Linotype"/>
              </w:rPr>
              <w:t xml:space="preserve"> “</w:t>
            </w:r>
            <w:r w:rsidRPr="00E461D0">
              <w:rPr>
                <w:rFonts w:ascii="Palatino Linotype" w:hAnsi="Palatino Linotype"/>
                <w:i/>
              </w:rPr>
              <w:t xml:space="preserve">De la Oferta y la Negociación </w:t>
            </w:r>
            <w:r w:rsidR="00DB40C1" w:rsidRPr="00E461D0">
              <w:rPr>
                <w:rFonts w:ascii="Palatino Linotype" w:hAnsi="Palatino Linotype"/>
                <w:i/>
              </w:rPr>
              <w:t>-</w:t>
            </w:r>
            <w:r w:rsidRPr="00E461D0">
              <w:rPr>
                <w:rFonts w:ascii="Palatino Linotype" w:hAnsi="Palatino Linotype"/>
                <w:i/>
              </w:rPr>
              <w:t xml:space="preserve"> Detalles de la oferta y la negociación - Compromisos</w:t>
            </w:r>
            <w:r w:rsidRPr="00E461D0">
              <w:rPr>
                <w:rFonts w:ascii="Palatino Linotype" w:hAnsi="Palatino Linotype"/>
              </w:rPr>
              <w:t>” del presente.</w:t>
            </w:r>
          </w:p>
        </w:tc>
      </w:tr>
      <w:tr w:rsidR="00FE7D09" w:rsidRPr="00E461D0" w14:paraId="40745741" w14:textId="77777777" w:rsidTr="003C15F8">
        <w:tc>
          <w:tcPr>
            <w:tcW w:w="1384" w:type="pct"/>
            <w:tcBorders>
              <w:top w:val="nil"/>
              <w:left w:val="nil"/>
              <w:bottom w:val="nil"/>
              <w:right w:val="nil"/>
            </w:tcBorders>
          </w:tcPr>
          <w:p w14:paraId="3563C2A1"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4F2E5B60" w14:textId="77777777" w:rsidR="00FE7D09" w:rsidRPr="00E461D0" w:rsidRDefault="00FE7D09" w:rsidP="003C15F8">
            <w:pPr>
              <w:widowControl/>
              <w:jc w:val="both"/>
              <w:rPr>
                <w:rFonts w:ascii="Palatino Linotype" w:hAnsi="Palatino Linotype"/>
              </w:rPr>
            </w:pPr>
          </w:p>
        </w:tc>
      </w:tr>
      <w:tr w:rsidR="00FE7D09" w:rsidRPr="00E461D0" w14:paraId="6B56ED66" w14:textId="77777777" w:rsidTr="003C15F8">
        <w:tc>
          <w:tcPr>
            <w:tcW w:w="1384" w:type="pct"/>
            <w:tcBorders>
              <w:top w:val="nil"/>
              <w:left w:val="nil"/>
              <w:bottom w:val="nil"/>
              <w:right w:val="nil"/>
            </w:tcBorders>
          </w:tcPr>
          <w:p w14:paraId="4A44293C" w14:textId="77777777" w:rsidR="00FE7D09" w:rsidRPr="00E461D0" w:rsidRDefault="00FE7D09" w:rsidP="00FE7D09">
            <w:pPr>
              <w:widowControl/>
              <w:rPr>
                <w:rFonts w:ascii="Palatino Linotype" w:hAnsi="Palatino Linotype"/>
                <w:b/>
              </w:rPr>
            </w:pPr>
            <w:r w:rsidRPr="00E461D0">
              <w:rPr>
                <w:rFonts w:ascii="Palatino Linotype" w:hAnsi="Palatino Linotype"/>
                <w:b/>
              </w:rPr>
              <w:t>Eventos de Incumplimiento</w:t>
            </w:r>
          </w:p>
        </w:tc>
        <w:tc>
          <w:tcPr>
            <w:tcW w:w="3616" w:type="pct"/>
            <w:tcBorders>
              <w:top w:val="nil"/>
              <w:left w:val="nil"/>
              <w:bottom w:val="nil"/>
              <w:right w:val="nil"/>
            </w:tcBorders>
          </w:tcPr>
          <w:p w14:paraId="33EECDB8" w14:textId="77777777" w:rsidR="00FE7D09" w:rsidRPr="00E461D0" w:rsidRDefault="00FE7D09" w:rsidP="003C15F8">
            <w:pPr>
              <w:widowControl/>
              <w:jc w:val="both"/>
              <w:rPr>
                <w:rFonts w:ascii="Palatino Linotype" w:hAnsi="Palatino Linotype"/>
              </w:rPr>
            </w:pPr>
            <w:r w:rsidRPr="00E461D0">
              <w:rPr>
                <w:rFonts w:ascii="Palatino Linotype" w:hAnsi="Palatino Linotype"/>
              </w:rPr>
              <w:t>Véase</w:t>
            </w:r>
            <w:r w:rsidR="00DB40C1" w:rsidRPr="00E461D0">
              <w:rPr>
                <w:rFonts w:ascii="Palatino Linotype" w:hAnsi="Palatino Linotype"/>
              </w:rPr>
              <w:t xml:space="preserve"> la Sección VII</w:t>
            </w:r>
            <w:r w:rsidRPr="00E461D0">
              <w:rPr>
                <w:rFonts w:ascii="Palatino Linotype" w:hAnsi="Palatino Linotype"/>
              </w:rPr>
              <w:t xml:space="preserve"> “</w:t>
            </w:r>
            <w:r w:rsidRPr="00E461D0">
              <w:rPr>
                <w:rFonts w:ascii="Palatino Linotype" w:hAnsi="Palatino Linotype"/>
                <w:i/>
              </w:rPr>
              <w:t xml:space="preserve">De la Oferta y la Negociación </w:t>
            </w:r>
            <w:r w:rsidR="00DB40C1" w:rsidRPr="00E461D0">
              <w:rPr>
                <w:rFonts w:ascii="Palatino Linotype" w:hAnsi="Palatino Linotype"/>
                <w:i/>
              </w:rPr>
              <w:t>-</w:t>
            </w:r>
            <w:r w:rsidRPr="00E461D0">
              <w:rPr>
                <w:rFonts w:ascii="Palatino Linotype" w:hAnsi="Palatino Linotype"/>
                <w:i/>
              </w:rPr>
              <w:t xml:space="preserve"> Detalles de la oferta y la negociación – Eventos de Incumplimiento</w:t>
            </w:r>
            <w:r w:rsidRPr="00E461D0">
              <w:rPr>
                <w:rFonts w:ascii="Palatino Linotype" w:hAnsi="Palatino Linotype"/>
              </w:rPr>
              <w:t>” del presente.</w:t>
            </w:r>
          </w:p>
        </w:tc>
      </w:tr>
      <w:tr w:rsidR="00FE7D09" w:rsidRPr="00E461D0" w14:paraId="294494C7" w14:textId="77777777" w:rsidTr="003C15F8">
        <w:tc>
          <w:tcPr>
            <w:tcW w:w="1384" w:type="pct"/>
            <w:tcBorders>
              <w:top w:val="nil"/>
              <w:left w:val="nil"/>
              <w:bottom w:val="nil"/>
              <w:right w:val="nil"/>
            </w:tcBorders>
          </w:tcPr>
          <w:p w14:paraId="00DE4EEE"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6B86B116" w14:textId="77777777" w:rsidR="00FE7D09" w:rsidRPr="00E461D0" w:rsidRDefault="00FE7D09" w:rsidP="003C15F8">
            <w:pPr>
              <w:widowControl/>
              <w:jc w:val="both"/>
              <w:rPr>
                <w:rFonts w:ascii="Palatino Linotype" w:hAnsi="Palatino Linotype"/>
              </w:rPr>
            </w:pPr>
          </w:p>
        </w:tc>
      </w:tr>
      <w:tr w:rsidR="00FE7D09" w:rsidRPr="00E461D0" w14:paraId="6C2E80C6" w14:textId="77777777" w:rsidTr="003C15F8">
        <w:tc>
          <w:tcPr>
            <w:tcW w:w="1384" w:type="pct"/>
            <w:tcBorders>
              <w:top w:val="nil"/>
              <w:left w:val="nil"/>
              <w:bottom w:val="nil"/>
              <w:right w:val="nil"/>
            </w:tcBorders>
          </w:tcPr>
          <w:p w14:paraId="470C5801" w14:textId="77777777" w:rsidR="00FE7D09" w:rsidRPr="00E461D0" w:rsidRDefault="00782329" w:rsidP="00FE7D09">
            <w:pPr>
              <w:widowControl/>
              <w:rPr>
                <w:rFonts w:ascii="Palatino Linotype" w:hAnsi="Palatino Linotype"/>
                <w:b/>
              </w:rPr>
            </w:pPr>
            <w:r w:rsidRPr="00E461D0">
              <w:rPr>
                <w:rFonts w:ascii="Palatino Linotype" w:hAnsi="Palatino Linotype"/>
                <w:b/>
              </w:rPr>
              <w:t xml:space="preserve">Listado y </w:t>
            </w:r>
            <w:r w:rsidR="00FE7D09" w:rsidRPr="00E461D0">
              <w:rPr>
                <w:rFonts w:ascii="Palatino Linotype" w:hAnsi="Palatino Linotype"/>
                <w:b/>
              </w:rPr>
              <w:t>Negociación</w:t>
            </w:r>
          </w:p>
        </w:tc>
        <w:tc>
          <w:tcPr>
            <w:tcW w:w="3616" w:type="pct"/>
            <w:tcBorders>
              <w:top w:val="nil"/>
              <w:left w:val="nil"/>
              <w:bottom w:val="nil"/>
              <w:right w:val="nil"/>
            </w:tcBorders>
          </w:tcPr>
          <w:p w14:paraId="3F9903AB" w14:textId="63A5ACDB" w:rsidR="00FE7D09" w:rsidRPr="00E461D0" w:rsidRDefault="00FE7D09" w:rsidP="003C15F8">
            <w:pPr>
              <w:widowControl/>
              <w:jc w:val="both"/>
              <w:rPr>
                <w:rFonts w:ascii="Palatino Linotype" w:hAnsi="Palatino Linotype"/>
              </w:rPr>
            </w:pPr>
            <w:r w:rsidRPr="00E461D0">
              <w:rPr>
                <w:rFonts w:ascii="Palatino Linotype" w:hAnsi="Palatino Linotype"/>
              </w:rPr>
              <w:t>La Sociedad podrá presentar una solicitud para el listado y/o negociación de las Obligaciones Negociables</w:t>
            </w:r>
            <w:r w:rsidRPr="00E461D0">
              <w:rPr>
                <w:rFonts w:ascii="Palatino Linotype" w:hAnsi="Palatino Linotype"/>
                <w:lang w:eastAsia="es-ES"/>
              </w:rPr>
              <w:t xml:space="preserve"> Py</w:t>
            </w:r>
            <w:r w:rsidR="00782329" w:rsidRPr="00E461D0">
              <w:rPr>
                <w:rFonts w:ascii="Palatino Linotype" w:hAnsi="Palatino Linotype"/>
                <w:lang w:eastAsia="es-ES"/>
              </w:rPr>
              <w:t>ME</w:t>
            </w:r>
            <w:r w:rsidRPr="00E461D0">
              <w:rPr>
                <w:rFonts w:ascii="Palatino Linotype" w:hAnsi="Palatino Linotype"/>
              </w:rPr>
              <w:t xml:space="preserve"> en </w:t>
            </w:r>
            <w:r w:rsidRPr="00E461D0">
              <w:rPr>
                <w:rFonts w:ascii="Palatino Linotype" w:hAnsi="Palatino Linotype"/>
                <w:bCs/>
                <w:lang w:eastAsia="es-ES"/>
              </w:rPr>
              <w:t xml:space="preserve">el BYMA, el MAE y/o en cualquier otro mercado autorizado que acuerden la </w:t>
            </w:r>
            <w:r w:rsidR="00782329" w:rsidRPr="00E461D0">
              <w:rPr>
                <w:rFonts w:ascii="Palatino Linotype" w:hAnsi="Palatino Linotype"/>
                <w:bCs/>
                <w:lang w:eastAsia="es-ES"/>
              </w:rPr>
              <w:t>Compañía</w:t>
            </w:r>
            <w:r w:rsidRPr="00E461D0">
              <w:rPr>
                <w:rFonts w:ascii="Palatino Linotype" w:hAnsi="Palatino Linotype"/>
                <w:bCs/>
                <w:lang w:eastAsia="es-ES"/>
              </w:rPr>
              <w:t xml:space="preserve"> y el organizador y/o colocador que se determine en el </w:t>
            </w:r>
            <w:r w:rsidR="00B3792D" w:rsidRPr="00E461D0">
              <w:rPr>
                <w:rFonts w:ascii="Palatino Linotype" w:hAnsi="Palatino Linotype"/>
                <w:bCs/>
                <w:lang w:eastAsia="es-ES"/>
              </w:rPr>
              <w:t>Suplemento de Prospecto</w:t>
            </w:r>
            <w:r w:rsidRPr="00E461D0">
              <w:rPr>
                <w:rFonts w:ascii="Palatino Linotype" w:hAnsi="Palatino Linotype"/>
                <w:bCs/>
                <w:lang w:eastAsia="es-ES"/>
              </w:rPr>
              <w:t xml:space="preserve"> aplicable</w:t>
            </w:r>
            <w:r w:rsidRPr="00E461D0">
              <w:rPr>
                <w:rFonts w:ascii="Palatino Linotype" w:hAnsi="Palatino Linotype"/>
              </w:rPr>
              <w:t xml:space="preserve">. El </w:t>
            </w:r>
            <w:r w:rsidR="00B3792D" w:rsidRPr="00E461D0">
              <w:rPr>
                <w:rFonts w:ascii="Palatino Linotype" w:hAnsi="Palatino Linotype"/>
              </w:rPr>
              <w:t>Suplemento de Prospecto</w:t>
            </w:r>
            <w:r w:rsidRPr="00E461D0">
              <w:rPr>
                <w:rFonts w:ascii="Palatino Linotype" w:hAnsi="Palatino Linotype"/>
              </w:rPr>
              <w:t xml:space="preserve"> aplicable a una Clase</w:t>
            </w:r>
            <w:r w:rsidR="00F0094D" w:rsidRPr="00E461D0">
              <w:rPr>
                <w:rFonts w:ascii="Palatino Linotype" w:hAnsi="Palatino Linotype"/>
              </w:rPr>
              <w:t xml:space="preserve"> y/o Serie especificará en qué </w:t>
            </w:r>
            <w:r w:rsidRPr="00E461D0">
              <w:rPr>
                <w:rFonts w:ascii="Palatino Linotype" w:hAnsi="Palatino Linotype"/>
              </w:rPr>
              <w:t>mercados autorizados se listarán y/o se negociarán las Obligaciones Negociables</w:t>
            </w:r>
            <w:r w:rsidRPr="00E461D0">
              <w:rPr>
                <w:rFonts w:ascii="Palatino Linotype" w:hAnsi="Palatino Linotype"/>
                <w:lang w:eastAsia="es-ES"/>
              </w:rPr>
              <w:t xml:space="preserve"> Py</w:t>
            </w:r>
            <w:r w:rsidR="00782329" w:rsidRPr="00E461D0">
              <w:rPr>
                <w:rFonts w:ascii="Palatino Linotype" w:hAnsi="Palatino Linotype"/>
                <w:lang w:eastAsia="es-ES"/>
              </w:rPr>
              <w:t>ME</w:t>
            </w:r>
            <w:r w:rsidRPr="00E461D0">
              <w:rPr>
                <w:rFonts w:ascii="Palatino Linotype" w:hAnsi="Palatino Linotype"/>
              </w:rPr>
              <w:t xml:space="preserve"> de dicha Clase y/o Serie. </w:t>
            </w:r>
          </w:p>
        </w:tc>
      </w:tr>
      <w:tr w:rsidR="00FE7D09" w:rsidRPr="00E461D0" w14:paraId="0EBA545A" w14:textId="77777777" w:rsidTr="003C15F8">
        <w:tc>
          <w:tcPr>
            <w:tcW w:w="1384" w:type="pct"/>
            <w:tcBorders>
              <w:top w:val="nil"/>
              <w:left w:val="nil"/>
              <w:bottom w:val="nil"/>
              <w:right w:val="nil"/>
            </w:tcBorders>
          </w:tcPr>
          <w:p w14:paraId="4F0F1AF9" w14:textId="77777777" w:rsidR="00FE7D09" w:rsidRPr="00E461D0" w:rsidRDefault="00FE7D09" w:rsidP="00FE7D09">
            <w:pPr>
              <w:widowControl/>
              <w:rPr>
                <w:rFonts w:ascii="Palatino Linotype" w:hAnsi="Palatino Linotype"/>
                <w:b/>
              </w:rPr>
            </w:pPr>
          </w:p>
        </w:tc>
        <w:tc>
          <w:tcPr>
            <w:tcW w:w="3616" w:type="pct"/>
            <w:tcBorders>
              <w:top w:val="nil"/>
              <w:left w:val="nil"/>
              <w:bottom w:val="nil"/>
              <w:right w:val="nil"/>
            </w:tcBorders>
          </w:tcPr>
          <w:p w14:paraId="118AA3CB" w14:textId="77777777" w:rsidR="00FE7D09" w:rsidRPr="00E461D0" w:rsidRDefault="00FE7D09" w:rsidP="003C15F8">
            <w:pPr>
              <w:widowControl/>
              <w:jc w:val="both"/>
              <w:rPr>
                <w:rFonts w:ascii="Palatino Linotype" w:hAnsi="Palatino Linotype"/>
              </w:rPr>
            </w:pPr>
          </w:p>
        </w:tc>
      </w:tr>
      <w:tr w:rsidR="00782329" w:rsidRPr="00E461D0" w14:paraId="35109A02" w14:textId="77777777" w:rsidTr="006C2FCA">
        <w:tc>
          <w:tcPr>
            <w:tcW w:w="1384" w:type="pct"/>
            <w:tcBorders>
              <w:top w:val="nil"/>
              <w:left w:val="nil"/>
              <w:bottom w:val="nil"/>
              <w:right w:val="nil"/>
            </w:tcBorders>
          </w:tcPr>
          <w:p w14:paraId="1D42BD9D" w14:textId="77777777" w:rsidR="00782329" w:rsidRPr="00E461D0" w:rsidRDefault="00782329" w:rsidP="00782329">
            <w:pPr>
              <w:widowControl/>
              <w:rPr>
                <w:rFonts w:ascii="Palatino Linotype" w:hAnsi="Palatino Linotype"/>
                <w:b/>
              </w:rPr>
            </w:pPr>
            <w:r w:rsidRPr="00E461D0">
              <w:rPr>
                <w:rFonts w:ascii="Palatino Linotype" w:hAnsi="Palatino Linotype"/>
                <w:b/>
              </w:rPr>
              <w:t>Ley Aplicable</w:t>
            </w:r>
          </w:p>
          <w:p w14:paraId="2470FD5D" w14:textId="77777777" w:rsidR="00782329" w:rsidRPr="00E461D0" w:rsidRDefault="00782329" w:rsidP="00FE7D09">
            <w:pPr>
              <w:widowControl/>
              <w:rPr>
                <w:rFonts w:ascii="Palatino Linotype" w:hAnsi="Palatino Linotype"/>
                <w:b/>
              </w:rPr>
            </w:pPr>
          </w:p>
        </w:tc>
        <w:tc>
          <w:tcPr>
            <w:tcW w:w="3616" w:type="pct"/>
            <w:tcBorders>
              <w:top w:val="nil"/>
              <w:left w:val="nil"/>
              <w:bottom w:val="nil"/>
              <w:right w:val="nil"/>
            </w:tcBorders>
          </w:tcPr>
          <w:p w14:paraId="1DB49DA6" w14:textId="77777777" w:rsidR="00782329" w:rsidRPr="00E461D0" w:rsidRDefault="00782329" w:rsidP="00B3792D">
            <w:pPr>
              <w:widowControl/>
              <w:jc w:val="both"/>
              <w:rPr>
                <w:rFonts w:ascii="Palatino Linotype" w:hAnsi="Palatino Linotype"/>
              </w:rPr>
            </w:pPr>
            <w:r w:rsidRPr="00E461D0">
              <w:rPr>
                <w:rFonts w:ascii="Palatino Linotype" w:hAnsi="Palatino Linotype"/>
              </w:rPr>
              <w:t>Véase “</w:t>
            </w:r>
            <w:r w:rsidRPr="00E461D0">
              <w:rPr>
                <w:rFonts w:ascii="Palatino Linotype" w:hAnsi="Palatino Linotype"/>
                <w:i/>
              </w:rPr>
              <w:t>De la Oferta y la Negociación / Detalles de la oferta y la negociación – Ley Aplicable</w:t>
            </w:r>
            <w:r w:rsidRPr="00E461D0">
              <w:rPr>
                <w:rFonts w:ascii="Palatino Linotype" w:hAnsi="Palatino Linotype"/>
              </w:rPr>
              <w:t>” del presente.</w:t>
            </w:r>
          </w:p>
        </w:tc>
      </w:tr>
      <w:tr w:rsidR="00782329" w:rsidRPr="00E461D0" w14:paraId="78CCF400" w14:textId="77777777" w:rsidTr="006C2FCA">
        <w:tc>
          <w:tcPr>
            <w:tcW w:w="1384" w:type="pct"/>
            <w:tcBorders>
              <w:top w:val="nil"/>
              <w:left w:val="nil"/>
              <w:bottom w:val="nil"/>
              <w:right w:val="nil"/>
            </w:tcBorders>
          </w:tcPr>
          <w:p w14:paraId="58F11B1D" w14:textId="77777777" w:rsidR="00782329" w:rsidRPr="00E461D0" w:rsidRDefault="00782329" w:rsidP="00FE7D09">
            <w:pPr>
              <w:widowControl/>
              <w:rPr>
                <w:rFonts w:ascii="Palatino Linotype" w:hAnsi="Palatino Linotype"/>
                <w:b/>
              </w:rPr>
            </w:pPr>
          </w:p>
        </w:tc>
        <w:tc>
          <w:tcPr>
            <w:tcW w:w="3616" w:type="pct"/>
            <w:tcBorders>
              <w:top w:val="nil"/>
              <w:left w:val="nil"/>
              <w:bottom w:val="nil"/>
              <w:right w:val="nil"/>
            </w:tcBorders>
          </w:tcPr>
          <w:p w14:paraId="34A9FFF4" w14:textId="77777777" w:rsidR="00782329" w:rsidRPr="00E461D0" w:rsidRDefault="00782329" w:rsidP="006C2FCA">
            <w:pPr>
              <w:widowControl/>
              <w:jc w:val="both"/>
              <w:rPr>
                <w:rFonts w:ascii="Palatino Linotype" w:hAnsi="Palatino Linotype"/>
              </w:rPr>
            </w:pPr>
          </w:p>
        </w:tc>
      </w:tr>
      <w:tr w:rsidR="00FE7D09" w:rsidRPr="00E461D0" w14:paraId="63C2D1CD" w14:textId="77777777" w:rsidTr="003C15F8">
        <w:tc>
          <w:tcPr>
            <w:tcW w:w="1384" w:type="pct"/>
            <w:tcBorders>
              <w:top w:val="nil"/>
              <w:left w:val="nil"/>
              <w:bottom w:val="nil"/>
              <w:right w:val="nil"/>
            </w:tcBorders>
          </w:tcPr>
          <w:p w14:paraId="69B9A553" w14:textId="77777777" w:rsidR="00FE7D09" w:rsidRPr="00E461D0" w:rsidRDefault="00FE7D09" w:rsidP="00FE7D09">
            <w:pPr>
              <w:widowControl/>
              <w:rPr>
                <w:rFonts w:ascii="Palatino Linotype" w:hAnsi="Palatino Linotype"/>
                <w:b/>
              </w:rPr>
            </w:pPr>
            <w:r w:rsidRPr="00E461D0">
              <w:rPr>
                <w:rFonts w:ascii="Palatino Linotype" w:hAnsi="Palatino Linotype"/>
                <w:b/>
              </w:rPr>
              <w:t>Jurisdicción</w:t>
            </w:r>
          </w:p>
        </w:tc>
        <w:tc>
          <w:tcPr>
            <w:tcW w:w="3616" w:type="pct"/>
            <w:tcBorders>
              <w:top w:val="nil"/>
              <w:left w:val="nil"/>
              <w:bottom w:val="nil"/>
              <w:right w:val="nil"/>
            </w:tcBorders>
          </w:tcPr>
          <w:p w14:paraId="12084EC7" w14:textId="77777777" w:rsidR="00FE7D09" w:rsidRPr="00E461D0" w:rsidRDefault="00FE7D09" w:rsidP="003C15F8">
            <w:pPr>
              <w:widowControl/>
              <w:jc w:val="both"/>
              <w:rPr>
                <w:rFonts w:ascii="Palatino Linotype" w:hAnsi="Palatino Linotype"/>
              </w:rPr>
            </w:pPr>
            <w:r w:rsidRPr="00E461D0">
              <w:rPr>
                <w:rFonts w:ascii="Palatino Linotype" w:hAnsi="Palatino Linotype"/>
              </w:rPr>
              <w:t>Las controversias de la Compañía con los inversores serán sometidas a los tribunales de arbitraje de los mercados, entre ellos, el que se cree en el futuro en el BYMA de conformidad con el artículo 46 de la Ley de Mercado de Capitales. El tenedor de Obligaciones Negociables</w:t>
            </w:r>
            <w:r w:rsidRPr="00E461D0">
              <w:rPr>
                <w:rFonts w:ascii="Palatino Linotype" w:hAnsi="Palatino Linotype"/>
                <w:lang w:eastAsia="es-ES"/>
              </w:rPr>
              <w:t xml:space="preserve"> </w:t>
            </w:r>
            <w:r w:rsidRPr="00E461D0">
              <w:rPr>
                <w:rFonts w:ascii="Palatino Linotype" w:hAnsi="Palatino Linotype"/>
                <w:bCs/>
                <w:lang w:eastAsia="es-ES"/>
              </w:rPr>
              <w:t>Py</w:t>
            </w:r>
            <w:r w:rsidR="00782329" w:rsidRPr="00E461D0">
              <w:rPr>
                <w:rFonts w:ascii="Palatino Linotype" w:hAnsi="Palatino Linotype"/>
                <w:bCs/>
                <w:lang w:eastAsia="es-ES"/>
              </w:rPr>
              <w:t>ME</w:t>
            </w:r>
            <w:r w:rsidRPr="00E461D0">
              <w:rPr>
                <w:rFonts w:ascii="Palatino Linotype" w:hAnsi="Palatino Linotype"/>
              </w:rPr>
              <w:t xml:space="preserve"> tendrá la opción de someter ante el tribunal de arbitraje general del mercado o de los tribunales judiciales en lo comercial de la Ciudad Autónoma de Buenos Aires toda controversia que se suscite en relación a las Obligaciones Negociables</w:t>
            </w:r>
            <w:r w:rsidRPr="00E461D0">
              <w:rPr>
                <w:rFonts w:ascii="Palatino Linotype" w:hAnsi="Palatino Linotype"/>
                <w:lang w:eastAsia="es-ES"/>
              </w:rPr>
              <w:t xml:space="preserve"> </w:t>
            </w:r>
            <w:r w:rsidRPr="00E461D0">
              <w:rPr>
                <w:rFonts w:ascii="Palatino Linotype" w:hAnsi="Palatino Linotype"/>
                <w:bCs/>
                <w:lang w:eastAsia="es-ES"/>
              </w:rPr>
              <w:t>Py</w:t>
            </w:r>
            <w:r w:rsidR="00487404" w:rsidRPr="00E461D0">
              <w:rPr>
                <w:rFonts w:ascii="Palatino Linotype" w:hAnsi="Palatino Linotype"/>
                <w:bCs/>
                <w:lang w:eastAsia="es-ES"/>
              </w:rPr>
              <w:t>ME</w:t>
            </w:r>
            <w:r w:rsidRPr="00E461D0">
              <w:rPr>
                <w:rFonts w:ascii="Palatino Linotype" w:hAnsi="Palatino Linotype"/>
              </w:rPr>
              <w:t>. A su vez, en los casos en que las normas vigentes establezcan la acumulación de acciones entabladas con idéntica finalidad ante un solo tribunal, la acumulación se efectuará ante el tribunal de arbitraje general del mercado.</w:t>
            </w:r>
          </w:p>
        </w:tc>
      </w:tr>
      <w:tr w:rsidR="00782329" w:rsidRPr="00E461D0" w14:paraId="2D66C37B" w14:textId="77777777" w:rsidTr="006C2FCA">
        <w:tc>
          <w:tcPr>
            <w:tcW w:w="1384" w:type="pct"/>
            <w:tcBorders>
              <w:top w:val="nil"/>
              <w:left w:val="nil"/>
              <w:bottom w:val="nil"/>
              <w:right w:val="nil"/>
            </w:tcBorders>
          </w:tcPr>
          <w:p w14:paraId="43F79770" w14:textId="77777777" w:rsidR="00782329" w:rsidRPr="00E461D0" w:rsidRDefault="00782329" w:rsidP="00FE7D09">
            <w:pPr>
              <w:widowControl/>
              <w:rPr>
                <w:rFonts w:ascii="Palatino Linotype" w:hAnsi="Palatino Linotype"/>
                <w:b/>
              </w:rPr>
            </w:pPr>
          </w:p>
        </w:tc>
        <w:tc>
          <w:tcPr>
            <w:tcW w:w="3616" w:type="pct"/>
            <w:tcBorders>
              <w:top w:val="nil"/>
              <w:left w:val="nil"/>
              <w:bottom w:val="nil"/>
              <w:right w:val="nil"/>
            </w:tcBorders>
          </w:tcPr>
          <w:p w14:paraId="0C798818" w14:textId="77777777" w:rsidR="00782329" w:rsidRPr="00E461D0" w:rsidRDefault="00782329" w:rsidP="00782329">
            <w:pPr>
              <w:widowControl/>
              <w:jc w:val="both"/>
              <w:rPr>
                <w:rFonts w:ascii="Palatino Linotype" w:hAnsi="Palatino Linotype"/>
              </w:rPr>
            </w:pPr>
          </w:p>
        </w:tc>
      </w:tr>
      <w:tr w:rsidR="00FE7D09" w:rsidRPr="00E461D0" w14:paraId="73FBB9F0" w14:textId="77777777" w:rsidTr="003C15F8">
        <w:tc>
          <w:tcPr>
            <w:tcW w:w="1384" w:type="pct"/>
            <w:tcBorders>
              <w:top w:val="nil"/>
              <w:left w:val="nil"/>
              <w:bottom w:val="nil"/>
              <w:right w:val="nil"/>
            </w:tcBorders>
          </w:tcPr>
          <w:p w14:paraId="5A661974" w14:textId="77777777" w:rsidR="00FE7D09" w:rsidRPr="00E461D0" w:rsidRDefault="00FE7D09" w:rsidP="00FE7D09">
            <w:pPr>
              <w:widowControl/>
              <w:rPr>
                <w:rFonts w:ascii="Palatino Linotype" w:hAnsi="Palatino Linotype"/>
                <w:b/>
              </w:rPr>
            </w:pPr>
            <w:r w:rsidRPr="00E461D0">
              <w:rPr>
                <w:rFonts w:ascii="Palatino Linotype" w:hAnsi="Palatino Linotype"/>
                <w:b/>
              </w:rPr>
              <w:t>Calificaciones</w:t>
            </w:r>
          </w:p>
        </w:tc>
        <w:tc>
          <w:tcPr>
            <w:tcW w:w="3616" w:type="pct"/>
            <w:tcBorders>
              <w:top w:val="nil"/>
              <w:left w:val="nil"/>
              <w:bottom w:val="nil"/>
              <w:right w:val="nil"/>
            </w:tcBorders>
          </w:tcPr>
          <w:p w14:paraId="19EB53D4" w14:textId="4034D500" w:rsidR="00FE7D09" w:rsidRPr="00E461D0" w:rsidRDefault="00FE7D09" w:rsidP="003C15F8">
            <w:pPr>
              <w:widowControl/>
              <w:jc w:val="both"/>
              <w:rPr>
                <w:rFonts w:ascii="Palatino Linotype" w:hAnsi="Palatino Linotype"/>
              </w:rPr>
            </w:pPr>
            <w:r w:rsidRPr="00E461D0">
              <w:rPr>
                <w:rFonts w:ascii="Palatino Linotype" w:hAnsi="Palatino Linotype"/>
                <w:bCs/>
                <w:lang w:eastAsia="es-ES"/>
              </w:rPr>
              <w:t>El Programa no cuenta con calificación de riesgo. Las Obligaciones Negociables</w:t>
            </w:r>
            <w:r w:rsidRPr="00E461D0">
              <w:rPr>
                <w:rFonts w:ascii="Palatino Linotype" w:hAnsi="Palatino Linotype"/>
                <w:lang w:eastAsia="es-ES"/>
              </w:rPr>
              <w:t xml:space="preserve"> </w:t>
            </w:r>
            <w:r w:rsidRPr="00E461D0">
              <w:rPr>
                <w:rFonts w:ascii="Palatino Linotype" w:hAnsi="Palatino Linotype"/>
                <w:bCs/>
                <w:lang w:eastAsia="es-ES"/>
              </w:rPr>
              <w:t>Py</w:t>
            </w:r>
            <w:r w:rsidR="00782329" w:rsidRPr="00E461D0">
              <w:rPr>
                <w:rFonts w:ascii="Palatino Linotype" w:hAnsi="Palatino Linotype"/>
                <w:bCs/>
                <w:lang w:eastAsia="es-ES"/>
              </w:rPr>
              <w:t>ME</w:t>
            </w:r>
            <w:r w:rsidRPr="00E461D0">
              <w:rPr>
                <w:rFonts w:ascii="Palatino Linotype" w:hAnsi="Palatino Linotype"/>
                <w:bCs/>
                <w:lang w:eastAsia="es-ES"/>
              </w:rPr>
              <w:t xml:space="preserve"> que se emitan bajo el mismo podrán contar </w:t>
            </w:r>
            <w:r w:rsidR="00782329" w:rsidRPr="00E461D0">
              <w:rPr>
                <w:rFonts w:ascii="Palatino Linotype" w:hAnsi="Palatino Linotype"/>
                <w:bCs/>
                <w:lang w:eastAsia="es-ES"/>
              </w:rPr>
              <w:t xml:space="preserve">o no </w:t>
            </w:r>
            <w:r w:rsidRPr="00E461D0">
              <w:rPr>
                <w:rFonts w:ascii="Palatino Linotype" w:hAnsi="Palatino Linotype"/>
                <w:bCs/>
                <w:lang w:eastAsia="es-ES"/>
              </w:rPr>
              <w:t>con calificación de riesgo</w:t>
            </w:r>
            <w:r w:rsidR="00782329" w:rsidRPr="00E461D0">
              <w:rPr>
                <w:rFonts w:ascii="Palatino Linotype" w:hAnsi="Palatino Linotype"/>
                <w:bCs/>
                <w:lang w:eastAsia="es-ES"/>
              </w:rPr>
              <w:t xml:space="preserve">, conforme </w:t>
            </w:r>
            <w:r w:rsidR="00E461D0">
              <w:rPr>
                <w:rFonts w:ascii="Palatino Linotype" w:hAnsi="Palatino Linotype"/>
                <w:bCs/>
                <w:lang w:eastAsia="es-ES"/>
              </w:rPr>
              <w:t>s</w:t>
            </w:r>
            <w:r w:rsidRPr="00E461D0">
              <w:rPr>
                <w:rFonts w:ascii="Palatino Linotype" w:hAnsi="Palatino Linotype"/>
                <w:bCs/>
                <w:lang w:eastAsia="es-ES"/>
              </w:rPr>
              <w:t>e especifique en los Suplementos de P</w:t>
            </w:r>
            <w:r w:rsidR="00B3792D" w:rsidRPr="00E461D0">
              <w:rPr>
                <w:rFonts w:ascii="Palatino Linotype" w:hAnsi="Palatino Linotype"/>
                <w:bCs/>
                <w:lang w:eastAsia="es-ES"/>
              </w:rPr>
              <w:t>rospecto</w:t>
            </w:r>
            <w:r w:rsidRPr="00E461D0">
              <w:rPr>
                <w:rFonts w:ascii="Palatino Linotype" w:hAnsi="Palatino Linotype"/>
                <w:bCs/>
                <w:lang w:eastAsia="es-ES"/>
              </w:rPr>
              <w:t xml:space="preserve"> correspondientes. </w:t>
            </w:r>
          </w:p>
        </w:tc>
      </w:tr>
    </w:tbl>
    <w:p w14:paraId="1B1928CC" w14:textId="77777777" w:rsidR="00FE7D09" w:rsidRPr="00E461D0" w:rsidRDefault="00FE7D09" w:rsidP="00FE7D09">
      <w:pPr>
        <w:jc w:val="both"/>
        <w:rPr>
          <w:rFonts w:ascii="Palatino Linotype" w:hAnsi="Palatino Linotype"/>
          <w:sz w:val="18"/>
        </w:rPr>
      </w:pPr>
    </w:p>
    <w:p w14:paraId="2F3ED049" w14:textId="77777777" w:rsidR="00FE7D09" w:rsidRPr="00E461D0" w:rsidRDefault="00FE7D09" w:rsidP="00FE7D09">
      <w:pPr>
        <w:jc w:val="both"/>
        <w:rPr>
          <w:rFonts w:ascii="Palatino Linotype" w:hAnsi="Palatino Linotype"/>
          <w:sz w:val="18"/>
        </w:rPr>
      </w:pPr>
    </w:p>
    <w:p w14:paraId="17C94083" w14:textId="77777777" w:rsidR="00FE7D09" w:rsidRPr="00E461D0" w:rsidRDefault="00FE7D09" w:rsidP="00FE7D09">
      <w:pPr>
        <w:jc w:val="both"/>
        <w:rPr>
          <w:rFonts w:ascii="Palatino Linotype" w:hAnsi="Palatino Linotype"/>
          <w:sz w:val="18"/>
        </w:rPr>
      </w:pPr>
      <w:r w:rsidRPr="00E461D0">
        <w:rPr>
          <w:rFonts w:ascii="Palatino Linotype" w:hAnsi="Palatino Linotype"/>
          <w:sz w:val="18"/>
        </w:rPr>
        <w:t xml:space="preserve"> </w:t>
      </w:r>
    </w:p>
    <w:p w14:paraId="1EBC99B7" w14:textId="77777777" w:rsidR="00FE7D09" w:rsidRPr="00E461D0" w:rsidRDefault="00FE7D09" w:rsidP="00FE7D09">
      <w:pPr>
        <w:jc w:val="both"/>
        <w:rPr>
          <w:rFonts w:ascii="Palatino Linotype" w:hAnsi="Palatino Linotype"/>
        </w:rPr>
        <w:sectPr w:rsidR="00FE7D09" w:rsidRPr="00E461D0">
          <w:pgSz w:w="12240" w:h="15840"/>
          <w:pgMar w:top="1417" w:right="1701" w:bottom="1417" w:left="1701" w:header="708" w:footer="708" w:gutter="0"/>
          <w:cols w:space="708"/>
          <w:docGrid w:linePitch="360"/>
        </w:sectPr>
      </w:pPr>
    </w:p>
    <w:p w14:paraId="4461B6D4" w14:textId="77777777" w:rsidR="00FE7D09" w:rsidRPr="00E461D0" w:rsidRDefault="00C22F9B" w:rsidP="003C15F8">
      <w:pPr>
        <w:pStyle w:val="Ttulo1"/>
      </w:pPr>
      <w:bookmarkStart w:id="11" w:name="_Toc535599650"/>
      <w:bookmarkStart w:id="12" w:name="_Toc23325150"/>
      <w:r w:rsidRPr="00E461D0">
        <w:t xml:space="preserve">VI. </w:t>
      </w:r>
      <w:r w:rsidR="00FE7D09" w:rsidRPr="00E461D0">
        <w:t>INFORMACIÓN CONTABLE</w:t>
      </w:r>
      <w:bookmarkEnd w:id="11"/>
      <w:bookmarkEnd w:id="12"/>
    </w:p>
    <w:p w14:paraId="73AFC971" w14:textId="77777777" w:rsidR="00FE7D09" w:rsidRPr="00E461D0" w:rsidRDefault="00FE7D09" w:rsidP="00FE7D09">
      <w:pPr>
        <w:jc w:val="both"/>
        <w:rPr>
          <w:rFonts w:ascii="Palatino Linotype" w:hAnsi="Palatino Linotype"/>
        </w:rPr>
      </w:pPr>
    </w:p>
    <w:p w14:paraId="39CFD981" w14:textId="65E54990" w:rsidR="00FE7D09" w:rsidRPr="00E461D0" w:rsidRDefault="00FE7D09" w:rsidP="00FE7D09">
      <w:pPr>
        <w:jc w:val="both"/>
        <w:rPr>
          <w:rFonts w:ascii="Palatino Linotype" w:hAnsi="Palatino Linotype"/>
          <w:i/>
          <w:sz w:val="18"/>
        </w:rPr>
      </w:pPr>
      <w:r w:rsidRPr="00E461D0">
        <w:rPr>
          <w:rFonts w:ascii="Palatino Linotype" w:hAnsi="Palatino Linotype"/>
          <w:i/>
          <w:sz w:val="18"/>
        </w:rPr>
        <w:t xml:space="preserve">A </w:t>
      </w:r>
      <w:r w:rsidR="00C45D67" w:rsidRPr="00E461D0">
        <w:rPr>
          <w:rFonts w:ascii="Palatino Linotype" w:hAnsi="Palatino Linotype"/>
          <w:i/>
          <w:sz w:val="18"/>
        </w:rPr>
        <w:t>continuación,</w:t>
      </w:r>
      <w:r w:rsidRPr="00E461D0">
        <w:rPr>
          <w:rFonts w:ascii="Palatino Linotype" w:hAnsi="Palatino Linotype"/>
          <w:i/>
          <w:sz w:val="18"/>
        </w:rPr>
        <w:t xml:space="preserve"> se presenta cierta información contable y financiera resumida de </w:t>
      </w:r>
      <w:r w:rsidR="00782329" w:rsidRPr="00E461D0">
        <w:rPr>
          <w:rFonts w:ascii="Palatino Linotype" w:hAnsi="Palatino Linotype"/>
          <w:i/>
          <w:sz w:val="18"/>
        </w:rPr>
        <w:t>la Compañía</w:t>
      </w:r>
      <w:r w:rsidRPr="00E461D0">
        <w:rPr>
          <w:rFonts w:ascii="Palatino Linotype" w:hAnsi="Palatino Linotype"/>
          <w:i/>
          <w:sz w:val="18"/>
        </w:rPr>
        <w:t xml:space="preserve"> expuesta en forma comparativa por los últimos tres ejercicios anuales. Las comparaciones y variaciones se harán sobre los estados contables auditados presentados en las normas contabl</w:t>
      </w:r>
      <w:r w:rsidR="00782329" w:rsidRPr="00E461D0">
        <w:rPr>
          <w:rFonts w:ascii="Palatino Linotype" w:hAnsi="Palatino Linotype"/>
          <w:i/>
          <w:sz w:val="18"/>
        </w:rPr>
        <w:t>es vigentes de cada momento. A diciembre</w:t>
      </w:r>
      <w:r w:rsidRPr="00E461D0">
        <w:rPr>
          <w:rFonts w:ascii="Palatino Linotype" w:hAnsi="Palatino Linotype"/>
          <w:i/>
          <w:sz w:val="18"/>
        </w:rPr>
        <w:t xml:space="preserve"> de 2016, 2017 y 2018 la información </w:t>
      </w:r>
      <w:r w:rsidR="006B2960" w:rsidRPr="00E461D0">
        <w:rPr>
          <w:rFonts w:ascii="Palatino Linotype" w:hAnsi="Palatino Linotype"/>
          <w:i/>
          <w:sz w:val="18"/>
        </w:rPr>
        <w:t>es</w:t>
      </w:r>
      <w:r w:rsidRPr="00E461D0">
        <w:rPr>
          <w:rFonts w:ascii="Palatino Linotype" w:hAnsi="Palatino Linotype"/>
          <w:i/>
          <w:sz w:val="18"/>
        </w:rPr>
        <w:t xml:space="preserve"> expresada según Normas contables profesionales vigentes en Argentina.</w:t>
      </w:r>
    </w:p>
    <w:p w14:paraId="75D8019A" w14:textId="77777777" w:rsidR="00FE7D09" w:rsidRPr="00E461D0" w:rsidRDefault="00FE7D09" w:rsidP="00FE7D09">
      <w:pPr>
        <w:jc w:val="both"/>
        <w:rPr>
          <w:rFonts w:ascii="Palatino Linotype" w:hAnsi="Palatino Linotype"/>
        </w:rPr>
      </w:pPr>
    </w:p>
    <w:p w14:paraId="7AC265AE" w14:textId="77777777" w:rsidR="00FE7D09" w:rsidRPr="00E461D0" w:rsidRDefault="00FE7D09" w:rsidP="00FE7D09">
      <w:pPr>
        <w:jc w:val="both"/>
        <w:rPr>
          <w:rFonts w:ascii="Palatino Linotype" w:hAnsi="Palatino Linotype"/>
        </w:rPr>
      </w:pPr>
      <w:r w:rsidRPr="00E461D0">
        <w:rPr>
          <w:rFonts w:ascii="Palatino Linotype" w:hAnsi="Palatino Linotype"/>
        </w:rPr>
        <w:t xml:space="preserve">La información contable de referencia se encuentra publicada en la </w:t>
      </w:r>
      <w:r w:rsidR="005E2601" w:rsidRPr="00E461D0">
        <w:rPr>
          <w:rFonts w:ascii="Palatino Linotype" w:hAnsi="Palatino Linotype"/>
        </w:rPr>
        <w:t>A</w:t>
      </w:r>
      <w:r w:rsidRPr="00E461D0">
        <w:rPr>
          <w:rFonts w:ascii="Palatino Linotype" w:hAnsi="Palatino Linotype"/>
        </w:rPr>
        <w:t xml:space="preserve">utopista de la </w:t>
      </w:r>
      <w:r w:rsidR="005E2601" w:rsidRPr="00E461D0">
        <w:rPr>
          <w:rFonts w:ascii="Palatino Linotype" w:hAnsi="Palatino Linotype"/>
        </w:rPr>
        <w:t>I</w:t>
      </w:r>
      <w:r w:rsidRPr="00E461D0">
        <w:rPr>
          <w:rFonts w:ascii="Palatino Linotype" w:hAnsi="Palatino Linotype"/>
        </w:rPr>
        <w:t xml:space="preserve">nformación </w:t>
      </w:r>
      <w:r w:rsidR="005E2601" w:rsidRPr="00E461D0">
        <w:rPr>
          <w:rFonts w:ascii="Palatino Linotype" w:hAnsi="Palatino Linotype"/>
        </w:rPr>
        <w:t>F</w:t>
      </w:r>
      <w:r w:rsidRPr="00E461D0">
        <w:rPr>
          <w:rFonts w:ascii="Palatino Linotype" w:hAnsi="Palatino Linotype"/>
        </w:rPr>
        <w:t xml:space="preserve">inanciera </w:t>
      </w:r>
      <w:r w:rsidR="005E2601" w:rsidRPr="00E461D0">
        <w:rPr>
          <w:rFonts w:ascii="Palatino Linotype" w:hAnsi="Palatino Linotype"/>
        </w:rPr>
        <w:t xml:space="preserve">(“AIF”) </w:t>
      </w:r>
      <w:r w:rsidRPr="00E461D0">
        <w:rPr>
          <w:rFonts w:ascii="Palatino Linotype" w:hAnsi="Palatino Linotype"/>
        </w:rPr>
        <w:t>de la Comisión Nacional de Valores (www.cnv.gov.ar).</w:t>
      </w:r>
    </w:p>
    <w:p w14:paraId="0EC3C46B" w14:textId="77777777" w:rsidR="00FE7D09" w:rsidRPr="00E461D0" w:rsidRDefault="00FE7D09" w:rsidP="00FE7D09">
      <w:pPr>
        <w:jc w:val="both"/>
        <w:rPr>
          <w:rFonts w:ascii="Palatino Linotype" w:hAnsi="Palatino Linotype"/>
        </w:rPr>
      </w:pPr>
    </w:p>
    <w:p w14:paraId="0752E842" w14:textId="423D2677" w:rsidR="00FE7D09" w:rsidRPr="00E461D0" w:rsidRDefault="00FA6FBF" w:rsidP="00FE7D09">
      <w:pPr>
        <w:jc w:val="both"/>
        <w:rPr>
          <w:rFonts w:ascii="Palatino Linotype" w:hAnsi="Palatino Linotype"/>
          <w:color w:val="auto"/>
        </w:rPr>
      </w:pPr>
      <w:r w:rsidRPr="00E461D0">
        <w:rPr>
          <w:rFonts w:ascii="Palatino Linotype" w:hAnsi="Palatino Linotype"/>
          <w:color w:val="auto"/>
        </w:rPr>
        <w:t xml:space="preserve">1) </w:t>
      </w:r>
      <w:r w:rsidR="00FE7D09" w:rsidRPr="00E461D0">
        <w:rPr>
          <w:rFonts w:ascii="Palatino Linotype" w:hAnsi="Palatino Linotype"/>
          <w:color w:val="auto"/>
        </w:rPr>
        <w:t>El ejercicio social de la Sociedad cierra el 3</w:t>
      </w:r>
      <w:r w:rsidR="00782329" w:rsidRPr="00E461D0">
        <w:rPr>
          <w:rFonts w:ascii="Palatino Linotype" w:hAnsi="Palatino Linotype"/>
          <w:color w:val="auto"/>
        </w:rPr>
        <w:t>1</w:t>
      </w:r>
      <w:r w:rsidR="00FE7D09" w:rsidRPr="00E461D0">
        <w:rPr>
          <w:rFonts w:ascii="Palatino Linotype" w:hAnsi="Palatino Linotype"/>
          <w:color w:val="auto"/>
        </w:rPr>
        <w:t xml:space="preserve"> de </w:t>
      </w:r>
      <w:r w:rsidR="00782329" w:rsidRPr="00E461D0">
        <w:rPr>
          <w:rFonts w:ascii="Palatino Linotype" w:hAnsi="Palatino Linotype"/>
          <w:color w:val="auto"/>
        </w:rPr>
        <w:t xml:space="preserve">diciembre </w:t>
      </w:r>
      <w:r w:rsidR="00FE7D09" w:rsidRPr="00E461D0">
        <w:rPr>
          <w:rFonts w:ascii="Palatino Linotype" w:hAnsi="Palatino Linotype"/>
          <w:color w:val="auto"/>
        </w:rPr>
        <w:t xml:space="preserve">de cada año. </w:t>
      </w:r>
    </w:p>
    <w:p w14:paraId="12A4E5F9" w14:textId="77777777" w:rsidR="00FE7D09" w:rsidRPr="00E461D0" w:rsidRDefault="00FE7D09" w:rsidP="00FE7D09">
      <w:pPr>
        <w:jc w:val="both"/>
        <w:rPr>
          <w:rFonts w:ascii="Palatino Linotype" w:hAnsi="Palatino Linotype"/>
          <w:color w:val="auto"/>
        </w:rPr>
      </w:pPr>
    </w:p>
    <w:p w14:paraId="70824590" w14:textId="0CC984B9" w:rsidR="00FA6FBF" w:rsidRPr="00CE678E" w:rsidRDefault="00FA6FBF" w:rsidP="00FA6FBF">
      <w:pPr>
        <w:jc w:val="both"/>
        <w:rPr>
          <w:rFonts w:ascii="Palatino Linotype" w:hAnsi="Palatino Linotype"/>
          <w:color w:val="auto"/>
        </w:rPr>
      </w:pPr>
      <w:r w:rsidRPr="00CE678E">
        <w:rPr>
          <w:rFonts w:ascii="Palatino Linotype" w:hAnsi="Palatino Linotype"/>
          <w:color w:val="auto"/>
        </w:rPr>
        <w:t>2) Síntesis de resultados:</w:t>
      </w:r>
    </w:p>
    <w:p w14:paraId="0A2865E4" w14:textId="77777777" w:rsidR="00F80CFD" w:rsidRPr="00E461D0" w:rsidRDefault="00F80CFD" w:rsidP="00CE678E">
      <w:pPr>
        <w:jc w:val="both"/>
        <w:rPr>
          <w:rFonts w:ascii="Palatino Linotype" w:hAnsi="Palatino Linotype"/>
          <w:color w:val="auto"/>
        </w:rPr>
      </w:pPr>
    </w:p>
    <w:p w14:paraId="5155B388" w14:textId="4834E10E" w:rsidR="004B4D6A" w:rsidRPr="00E461D0" w:rsidRDefault="004B4D6A" w:rsidP="004B4D6A">
      <w:pPr>
        <w:jc w:val="both"/>
        <w:rPr>
          <w:rFonts w:ascii="Palatino Linotype" w:hAnsi="Palatino Linotype"/>
          <w:color w:val="auto"/>
        </w:rPr>
      </w:pPr>
      <w:r w:rsidRPr="00E461D0">
        <w:rPr>
          <w:rFonts w:ascii="Palatino Linotype" w:hAnsi="Palatino Linotype"/>
          <w:b/>
          <w:color w:val="auto"/>
        </w:rPr>
        <w:t xml:space="preserve">Año </w:t>
      </w:r>
      <w:r w:rsidR="001D4A5C" w:rsidRPr="00E461D0">
        <w:rPr>
          <w:rFonts w:ascii="Palatino Linotype" w:hAnsi="Palatino Linotype"/>
          <w:b/>
          <w:color w:val="auto"/>
        </w:rPr>
        <w:t>2019</w:t>
      </w:r>
      <w:r w:rsidR="001D4A5C" w:rsidRPr="00E461D0">
        <w:rPr>
          <w:rFonts w:ascii="Palatino Linotype" w:hAnsi="Palatino Linotype"/>
          <w:color w:val="auto"/>
        </w:rPr>
        <w:t>, período</w:t>
      </w:r>
      <w:r w:rsidRPr="00E461D0">
        <w:rPr>
          <w:rFonts w:ascii="Palatino Linotype" w:hAnsi="Palatino Linotype"/>
          <w:color w:val="auto"/>
        </w:rPr>
        <w:t xml:space="preserve"> cerrado</w:t>
      </w:r>
      <w:r w:rsidR="001D4A5C" w:rsidRPr="00E461D0">
        <w:rPr>
          <w:rFonts w:ascii="Palatino Linotype" w:hAnsi="Palatino Linotype"/>
          <w:color w:val="auto"/>
        </w:rPr>
        <w:t xml:space="preserve"> al 30/06/2019</w:t>
      </w:r>
      <w:r w:rsidRPr="00E461D0">
        <w:rPr>
          <w:rFonts w:ascii="Palatino Linotype" w:hAnsi="Palatino Linotype"/>
          <w:color w:val="auto"/>
        </w:rPr>
        <w:t xml:space="preserve"> según normas contables vigentes que incluye el reconocimiento de forma integral los efectos de la inflación de conformidad con lo establecido por la RT </w:t>
      </w:r>
      <w:r w:rsidR="006E7E4B" w:rsidRPr="00E461D0">
        <w:rPr>
          <w:rFonts w:ascii="Palatino Linotype" w:hAnsi="Palatino Linotype"/>
          <w:color w:val="auto"/>
        </w:rPr>
        <w:t>Nro.</w:t>
      </w:r>
      <w:r w:rsidRPr="00E461D0">
        <w:rPr>
          <w:rFonts w:ascii="Palatino Linotype" w:hAnsi="Palatino Linotype"/>
          <w:color w:val="auto"/>
        </w:rPr>
        <w:t xml:space="preserve"> 6 de la FACPCE:</w:t>
      </w:r>
    </w:p>
    <w:p w14:paraId="1E9C71EF" w14:textId="77777777" w:rsidR="004B4D6A" w:rsidRPr="00E461D0" w:rsidRDefault="004B4D6A" w:rsidP="004B4D6A">
      <w:pPr>
        <w:jc w:val="both"/>
        <w:rPr>
          <w:rFonts w:ascii="Palatino Linotype" w:hAnsi="Palatino Linotype"/>
          <w:color w:val="auto"/>
        </w:rPr>
      </w:pPr>
    </w:p>
    <w:p w14:paraId="1842CA21" w14:textId="77777777" w:rsidR="001D4A5C" w:rsidRPr="00E461D0" w:rsidRDefault="001D4A5C" w:rsidP="001D4A5C">
      <w:pPr>
        <w:jc w:val="both"/>
        <w:rPr>
          <w:rFonts w:ascii="Palatino Linotype" w:hAnsi="Palatino Linotype"/>
          <w:color w:val="auto"/>
        </w:rPr>
      </w:pPr>
      <w:r w:rsidRPr="00E461D0">
        <w:rPr>
          <w:rFonts w:ascii="Palatino Linotype" w:hAnsi="Palatino Linotype"/>
          <w:color w:val="auto"/>
        </w:rPr>
        <w:t>- Ingresos Netos (ventas)                                                            $8.485.543</w:t>
      </w:r>
    </w:p>
    <w:p w14:paraId="555110C1" w14:textId="77777777" w:rsidR="001D4A5C" w:rsidRPr="00E461D0" w:rsidRDefault="001D4A5C" w:rsidP="001D4A5C">
      <w:pPr>
        <w:jc w:val="both"/>
        <w:rPr>
          <w:rFonts w:ascii="Palatino Linotype" w:hAnsi="Palatino Linotype"/>
          <w:color w:val="auto"/>
        </w:rPr>
      </w:pPr>
    </w:p>
    <w:p w14:paraId="21FCA1DE" w14:textId="77777777" w:rsidR="001D4A5C" w:rsidRPr="00E461D0" w:rsidRDefault="001D4A5C" w:rsidP="001D4A5C">
      <w:pPr>
        <w:jc w:val="both"/>
        <w:rPr>
          <w:rFonts w:ascii="Palatino Linotype" w:hAnsi="Palatino Linotype"/>
          <w:color w:val="auto"/>
        </w:rPr>
      </w:pPr>
      <w:r w:rsidRPr="00E461D0">
        <w:rPr>
          <w:rFonts w:ascii="Palatino Linotype" w:hAnsi="Palatino Linotype"/>
          <w:color w:val="auto"/>
        </w:rPr>
        <w:t xml:space="preserve">- Resultado operativo                          </w:t>
      </w:r>
      <w:r w:rsidR="0028080C" w:rsidRPr="00E461D0">
        <w:rPr>
          <w:rFonts w:ascii="Palatino Linotype" w:hAnsi="Palatino Linotype"/>
          <w:color w:val="auto"/>
        </w:rPr>
        <w:t xml:space="preserve">                              </w:t>
      </w:r>
      <w:r w:rsidRPr="00E461D0">
        <w:rPr>
          <w:rFonts w:ascii="Palatino Linotype" w:hAnsi="Palatino Linotype"/>
          <w:color w:val="auto"/>
        </w:rPr>
        <w:t xml:space="preserve">       </w:t>
      </w:r>
      <w:r w:rsidR="0028080C" w:rsidRPr="00E461D0">
        <w:rPr>
          <w:rFonts w:ascii="Palatino Linotype" w:hAnsi="Palatino Linotype"/>
          <w:color w:val="auto"/>
        </w:rPr>
        <w:t>($21.596.413</w:t>
      </w:r>
      <w:r w:rsidRPr="00E461D0">
        <w:rPr>
          <w:rFonts w:ascii="Palatino Linotype" w:hAnsi="Palatino Linotype"/>
          <w:color w:val="auto"/>
        </w:rPr>
        <w:t>)</w:t>
      </w:r>
    </w:p>
    <w:p w14:paraId="73DA8EBF" w14:textId="77777777" w:rsidR="001D4A5C" w:rsidRPr="00E461D0" w:rsidRDefault="001D4A5C" w:rsidP="001D4A5C">
      <w:pPr>
        <w:jc w:val="both"/>
        <w:rPr>
          <w:rFonts w:ascii="Palatino Linotype" w:hAnsi="Palatino Linotype"/>
          <w:color w:val="auto"/>
        </w:rPr>
      </w:pPr>
    </w:p>
    <w:p w14:paraId="22A33212" w14:textId="77777777" w:rsidR="001D4A5C" w:rsidRPr="00E461D0" w:rsidRDefault="001D4A5C" w:rsidP="001D4A5C">
      <w:pPr>
        <w:jc w:val="both"/>
        <w:rPr>
          <w:rFonts w:ascii="Palatino Linotype" w:hAnsi="Palatino Linotype"/>
          <w:color w:val="auto"/>
        </w:rPr>
      </w:pPr>
      <w:r w:rsidRPr="00E461D0">
        <w:rPr>
          <w:rFonts w:ascii="Palatino Linotype" w:hAnsi="Palatino Linotype"/>
          <w:color w:val="auto"/>
        </w:rPr>
        <w:t>- Resultado después de resultados financieros                       $6.778.195</w:t>
      </w:r>
    </w:p>
    <w:p w14:paraId="69C4999A" w14:textId="77777777" w:rsidR="001D4A5C" w:rsidRPr="00E461D0" w:rsidRDefault="001D4A5C" w:rsidP="001D4A5C">
      <w:pPr>
        <w:jc w:val="both"/>
        <w:rPr>
          <w:rFonts w:ascii="Palatino Linotype" w:hAnsi="Palatino Linotype"/>
          <w:color w:val="auto"/>
        </w:rPr>
      </w:pPr>
    </w:p>
    <w:p w14:paraId="3645AA92" w14:textId="77777777" w:rsidR="001D4A5C" w:rsidRPr="00E461D0" w:rsidRDefault="001D4A5C" w:rsidP="001D4A5C">
      <w:pPr>
        <w:jc w:val="both"/>
        <w:rPr>
          <w:rFonts w:ascii="Palatino Linotype" w:hAnsi="Palatino Linotype"/>
          <w:color w:val="auto"/>
        </w:rPr>
      </w:pPr>
      <w:r w:rsidRPr="00E461D0">
        <w:rPr>
          <w:rFonts w:ascii="Palatino Linotype" w:hAnsi="Palatino Linotype"/>
          <w:color w:val="auto"/>
        </w:rPr>
        <w:t>- Resultado neto                                                                            $6.778.195</w:t>
      </w:r>
    </w:p>
    <w:p w14:paraId="29AD8605" w14:textId="43317D00" w:rsidR="00F80CFD" w:rsidRPr="00E461D0" w:rsidRDefault="00F80CFD" w:rsidP="001C064A">
      <w:pPr>
        <w:jc w:val="both"/>
        <w:rPr>
          <w:rFonts w:ascii="Palatino Linotype" w:hAnsi="Palatino Linotype"/>
          <w:color w:val="auto"/>
        </w:rPr>
      </w:pPr>
    </w:p>
    <w:p w14:paraId="42AB2D32" w14:textId="7B6F8D0D" w:rsidR="001D4A5C" w:rsidRPr="00CE678E" w:rsidRDefault="00FA6FBF" w:rsidP="001D4A5C">
      <w:pPr>
        <w:jc w:val="both"/>
        <w:rPr>
          <w:rFonts w:ascii="Palatino Linotype" w:hAnsi="Palatino Linotype"/>
          <w:color w:val="auto"/>
        </w:rPr>
      </w:pPr>
      <w:r w:rsidRPr="00CE678E">
        <w:rPr>
          <w:rFonts w:ascii="Palatino Linotype" w:hAnsi="Palatino Linotype"/>
          <w:color w:val="auto"/>
        </w:rPr>
        <w:t>3) Sí</w:t>
      </w:r>
      <w:r w:rsidR="00B74336" w:rsidRPr="00CE678E">
        <w:rPr>
          <w:rFonts w:ascii="Palatino Linotype" w:hAnsi="Palatino Linotype"/>
          <w:color w:val="auto"/>
        </w:rPr>
        <w:t>ntesis de situación patrimonial</w:t>
      </w:r>
      <w:r w:rsidR="001D4A5C" w:rsidRPr="00E461D0">
        <w:rPr>
          <w:rFonts w:ascii="Palatino Linotype" w:hAnsi="Palatino Linotype"/>
          <w:color w:val="auto"/>
        </w:rPr>
        <w:t>:</w:t>
      </w:r>
    </w:p>
    <w:p w14:paraId="3BF1ACBC" w14:textId="77777777" w:rsidR="001D4A5C" w:rsidRPr="00E461D0" w:rsidRDefault="001D4A5C" w:rsidP="001D4A5C">
      <w:pPr>
        <w:jc w:val="both"/>
        <w:rPr>
          <w:rFonts w:ascii="Palatino Linotype" w:hAnsi="Palatino Linotype"/>
          <w:color w:val="auto"/>
        </w:rPr>
      </w:pPr>
    </w:p>
    <w:p w14:paraId="417C77DF" w14:textId="0183233D" w:rsidR="001D4A5C" w:rsidRPr="00E461D0" w:rsidRDefault="001D4A5C" w:rsidP="001D4A5C">
      <w:pPr>
        <w:jc w:val="both"/>
        <w:rPr>
          <w:rFonts w:ascii="Palatino Linotype" w:hAnsi="Palatino Linotype"/>
          <w:color w:val="auto"/>
        </w:rPr>
      </w:pPr>
      <w:r w:rsidRPr="00E461D0">
        <w:rPr>
          <w:rFonts w:ascii="Palatino Linotype" w:hAnsi="Palatino Linotype"/>
          <w:color w:val="auto"/>
        </w:rPr>
        <w:t xml:space="preserve">- Activos                                                                     </w:t>
      </w:r>
      <w:r w:rsidR="00E61293" w:rsidRPr="00E461D0">
        <w:rPr>
          <w:rFonts w:ascii="Palatino Linotype" w:hAnsi="Palatino Linotype"/>
          <w:color w:val="auto"/>
        </w:rPr>
        <w:t xml:space="preserve">                    $690.767.716</w:t>
      </w:r>
    </w:p>
    <w:p w14:paraId="5F0F7C1A" w14:textId="77777777" w:rsidR="001D4A5C" w:rsidRPr="00E461D0" w:rsidRDefault="001D4A5C" w:rsidP="001D4A5C">
      <w:pPr>
        <w:jc w:val="both"/>
        <w:rPr>
          <w:rFonts w:ascii="Palatino Linotype" w:hAnsi="Palatino Linotype"/>
          <w:color w:val="auto"/>
        </w:rPr>
      </w:pPr>
    </w:p>
    <w:p w14:paraId="7018E655" w14:textId="77777777" w:rsidR="001D4A5C" w:rsidRPr="00E461D0" w:rsidRDefault="001D4A5C" w:rsidP="001D4A5C">
      <w:pPr>
        <w:jc w:val="both"/>
        <w:rPr>
          <w:rFonts w:ascii="Palatino Linotype" w:hAnsi="Palatino Linotype"/>
          <w:color w:val="auto"/>
        </w:rPr>
      </w:pPr>
      <w:r w:rsidRPr="00E461D0">
        <w:rPr>
          <w:rFonts w:ascii="Palatino Linotype" w:hAnsi="Palatino Linotype"/>
          <w:color w:val="auto"/>
        </w:rPr>
        <w:t xml:space="preserve">- Pasivos                                                                      </w:t>
      </w:r>
      <w:r w:rsidR="00E61293" w:rsidRPr="00E461D0">
        <w:rPr>
          <w:rFonts w:ascii="Palatino Linotype" w:hAnsi="Palatino Linotype"/>
          <w:color w:val="auto"/>
        </w:rPr>
        <w:t xml:space="preserve">                    $407.627.717</w:t>
      </w:r>
    </w:p>
    <w:p w14:paraId="06493282" w14:textId="77777777" w:rsidR="001D4A5C" w:rsidRPr="00E461D0" w:rsidRDefault="001D4A5C" w:rsidP="001D4A5C">
      <w:pPr>
        <w:jc w:val="both"/>
        <w:rPr>
          <w:rFonts w:ascii="Palatino Linotype" w:hAnsi="Palatino Linotype"/>
          <w:color w:val="auto"/>
        </w:rPr>
      </w:pPr>
    </w:p>
    <w:p w14:paraId="412360CB" w14:textId="77777777" w:rsidR="001D4A5C" w:rsidRPr="00E461D0" w:rsidRDefault="001D4A5C" w:rsidP="001D4A5C">
      <w:pPr>
        <w:widowControl/>
        <w:autoSpaceDE/>
        <w:autoSpaceDN/>
        <w:adjustRightInd/>
        <w:spacing w:after="160" w:line="259" w:lineRule="auto"/>
        <w:jc w:val="both"/>
        <w:rPr>
          <w:rFonts w:ascii="Palatino Linotype" w:hAnsi="Palatino Linotype"/>
          <w:color w:val="auto"/>
        </w:rPr>
      </w:pPr>
      <w:r w:rsidRPr="00E461D0">
        <w:rPr>
          <w:rFonts w:ascii="Palatino Linotype" w:hAnsi="Palatino Linotype"/>
          <w:color w:val="auto"/>
        </w:rPr>
        <w:t xml:space="preserve">- Patrimonio Neto (discriminado)                                            </w:t>
      </w:r>
      <w:r w:rsidR="00E61293" w:rsidRPr="00E461D0">
        <w:rPr>
          <w:rFonts w:ascii="Palatino Linotype" w:hAnsi="Palatino Linotype"/>
          <w:color w:val="auto"/>
        </w:rPr>
        <w:t xml:space="preserve">   $283.139.999</w:t>
      </w:r>
    </w:p>
    <w:p w14:paraId="05453519" w14:textId="77777777" w:rsidR="001D4A5C" w:rsidRPr="00E461D0" w:rsidRDefault="001D4A5C" w:rsidP="001D4A5C">
      <w:pPr>
        <w:widowControl/>
        <w:autoSpaceDE/>
        <w:autoSpaceDN/>
        <w:adjustRightInd/>
        <w:spacing w:after="160" w:line="259" w:lineRule="auto"/>
        <w:jc w:val="both"/>
        <w:rPr>
          <w:rFonts w:ascii="Palatino Linotype" w:hAnsi="Palatino Linotype"/>
          <w:color w:val="auto"/>
        </w:rPr>
      </w:pPr>
      <w:r w:rsidRPr="00E461D0">
        <w:rPr>
          <w:rFonts w:ascii="Palatino Linotype" w:hAnsi="Palatino Linotype"/>
          <w:color w:val="auto"/>
        </w:rPr>
        <w:t xml:space="preserve">- Capital                                     </w:t>
      </w:r>
      <w:r w:rsidR="00E61293" w:rsidRPr="00E461D0">
        <w:rPr>
          <w:rFonts w:ascii="Palatino Linotype" w:hAnsi="Palatino Linotype"/>
          <w:color w:val="auto"/>
        </w:rPr>
        <w:t xml:space="preserve">                    $130.970.264</w:t>
      </w:r>
    </w:p>
    <w:p w14:paraId="4B12C265" w14:textId="77777777" w:rsidR="001D4A5C" w:rsidRPr="00E461D0" w:rsidRDefault="001D4A5C" w:rsidP="001D4A5C">
      <w:pPr>
        <w:widowControl/>
        <w:autoSpaceDE/>
        <w:autoSpaceDN/>
        <w:adjustRightInd/>
        <w:spacing w:after="160" w:line="259" w:lineRule="auto"/>
        <w:jc w:val="both"/>
        <w:rPr>
          <w:rFonts w:ascii="Palatino Linotype" w:hAnsi="Palatino Linotype"/>
          <w:color w:val="auto"/>
        </w:rPr>
      </w:pPr>
      <w:r w:rsidRPr="00E461D0">
        <w:rPr>
          <w:rFonts w:ascii="Palatino Linotype" w:hAnsi="Palatino Linotype"/>
          <w:color w:val="auto"/>
        </w:rPr>
        <w:t xml:space="preserve">- Reserva Legal                           </w:t>
      </w:r>
      <w:r w:rsidR="00E61293" w:rsidRPr="00E461D0">
        <w:rPr>
          <w:rFonts w:ascii="Palatino Linotype" w:hAnsi="Palatino Linotype"/>
          <w:color w:val="auto"/>
        </w:rPr>
        <w:t xml:space="preserve">                      $4.441.735</w:t>
      </w:r>
    </w:p>
    <w:p w14:paraId="29B86D04" w14:textId="77777777" w:rsidR="001D4A5C" w:rsidRPr="00E461D0" w:rsidRDefault="001D4A5C" w:rsidP="001D4A5C">
      <w:pPr>
        <w:widowControl/>
        <w:autoSpaceDE/>
        <w:autoSpaceDN/>
        <w:adjustRightInd/>
        <w:spacing w:after="160" w:line="259" w:lineRule="auto"/>
        <w:jc w:val="both"/>
        <w:rPr>
          <w:rFonts w:ascii="Palatino Linotype" w:hAnsi="Palatino Linotype"/>
          <w:color w:val="auto"/>
        </w:rPr>
      </w:pPr>
      <w:r w:rsidRPr="00E461D0">
        <w:rPr>
          <w:rFonts w:ascii="Palatino Linotype" w:hAnsi="Palatino Linotype"/>
          <w:color w:val="auto"/>
        </w:rPr>
        <w:t xml:space="preserve">- Otras reservas                           </w:t>
      </w:r>
      <w:r w:rsidR="00E61293" w:rsidRPr="00E461D0">
        <w:rPr>
          <w:rFonts w:ascii="Palatino Linotype" w:hAnsi="Palatino Linotype"/>
          <w:color w:val="auto"/>
        </w:rPr>
        <w:t xml:space="preserve">                      $3.082.146</w:t>
      </w:r>
    </w:p>
    <w:p w14:paraId="233B0181" w14:textId="77777777" w:rsidR="001D4A5C" w:rsidRPr="00E461D0" w:rsidRDefault="001D4A5C" w:rsidP="001D4A5C">
      <w:pPr>
        <w:widowControl/>
        <w:autoSpaceDE/>
        <w:autoSpaceDN/>
        <w:adjustRightInd/>
        <w:spacing w:after="160" w:line="259" w:lineRule="auto"/>
        <w:jc w:val="both"/>
        <w:rPr>
          <w:rFonts w:ascii="Palatino Linotype" w:hAnsi="Palatino Linotype"/>
          <w:color w:val="auto"/>
        </w:rPr>
      </w:pPr>
      <w:r w:rsidRPr="00E461D0">
        <w:rPr>
          <w:rFonts w:ascii="Palatino Linotype" w:hAnsi="Palatino Linotype"/>
          <w:color w:val="auto"/>
        </w:rPr>
        <w:t xml:space="preserve">- Reserva especial                      </w:t>
      </w:r>
      <w:r w:rsidR="00E61293" w:rsidRPr="00E461D0">
        <w:rPr>
          <w:rFonts w:ascii="Palatino Linotype" w:hAnsi="Palatino Linotype"/>
          <w:color w:val="auto"/>
        </w:rPr>
        <w:t xml:space="preserve">                    $137.032.117</w:t>
      </w:r>
    </w:p>
    <w:p w14:paraId="29B57D8B" w14:textId="5B9D8D7B" w:rsidR="001D4A5C" w:rsidRPr="00E461D0" w:rsidRDefault="001D4A5C" w:rsidP="001D4A5C">
      <w:pPr>
        <w:jc w:val="both"/>
        <w:rPr>
          <w:rFonts w:ascii="Palatino Linotype" w:hAnsi="Palatino Linotype"/>
          <w:color w:val="auto"/>
        </w:rPr>
      </w:pPr>
      <w:r w:rsidRPr="00E461D0">
        <w:rPr>
          <w:rFonts w:ascii="Palatino Linotype" w:hAnsi="Palatino Linotype"/>
          <w:color w:val="auto"/>
        </w:rPr>
        <w:t xml:space="preserve">- Resultados no asignados         </w:t>
      </w:r>
      <w:r w:rsidR="00E61293" w:rsidRPr="00E461D0">
        <w:rPr>
          <w:rFonts w:ascii="Palatino Linotype" w:hAnsi="Palatino Linotype"/>
          <w:color w:val="auto"/>
        </w:rPr>
        <w:t xml:space="preserve">                     $7.613.737</w:t>
      </w:r>
    </w:p>
    <w:p w14:paraId="329E0282" w14:textId="77777777" w:rsidR="001D4A5C" w:rsidRPr="00E461D0" w:rsidRDefault="001D4A5C" w:rsidP="001D4A5C">
      <w:pPr>
        <w:jc w:val="both"/>
        <w:rPr>
          <w:rFonts w:ascii="Palatino Linotype" w:hAnsi="Palatino Linotype"/>
          <w:color w:val="auto"/>
        </w:rPr>
      </w:pPr>
    </w:p>
    <w:p w14:paraId="72D2F3DD" w14:textId="77777777" w:rsidR="001D4A5C" w:rsidRPr="00E461D0" w:rsidRDefault="001D4A5C" w:rsidP="001D4A5C">
      <w:pPr>
        <w:jc w:val="both"/>
        <w:rPr>
          <w:rFonts w:ascii="Palatino Linotype" w:hAnsi="Palatino Linotype"/>
          <w:color w:val="auto"/>
        </w:rPr>
      </w:pPr>
    </w:p>
    <w:p w14:paraId="21E25FCC" w14:textId="77777777" w:rsidR="001D4A5C" w:rsidRPr="00E461D0" w:rsidRDefault="001D4A5C" w:rsidP="001D4A5C">
      <w:pPr>
        <w:jc w:val="both"/>
        <w:rPr>
          <w:rFonts w:ascii="Palatino Linotype" w:hAnsi="Palatino Linotype"/>
          <w:color w:val="auto"/>
        </w:rPr>
      </w:pPr>
    </w:p>
    <w:p w14:paraId="0481C7FD" w14:textId="77777777" w:rsidR="001D4A5C" w:rsidRPr="00E461D0" w:rsidRDefault="001D4A5C" w:rsidP="001D4A5C">
      <w:pPr>
        <w:jc w:val="both"/>
        <w:rPr>
          <w:rFonts w:ascii="Palatino Linotype" w:hAnsi="Palatino Linotype"/>
          <w:color w:val="auto"/>
        </w:rPr>
      </w:pPr>
    </w:p>
    <w:p w14:paraId="01E1F534" w14:textId="77777777" w:rsidR="001D4A5C" w:rsidRPr="00E461D0" w:rsidRDefault="001D4A5C" w:rsidP="001D4A5C">
      <w:pPr>
        <w:jc w:val="both"/>
        <w:rPr>
          <w:rFonts w:ascii="Palatino Linotype" w:hAnsi="Palatino Linotype"/>
          <w:color w:val="auto"/>
        </w:rPr>
      </w:pPr>
    </w:p>
    <w:p w14:paraId="54887985" w14:textId="77777777" w:rsidR="00995B08" w:rsidRPr="00E461D0" w:rsidRDefault="00995B08" w:rsidP="00FA6FBF">
      <w:pPr>
        <w:jc w:val="both"/>
        <w:rPr>
          <w:rFonts w:ascii="Palatino Linotype" w:hAnsi="Palatino Linotype"/>
          <w:color w:val="auto"/>
        </w:rPr>
      </w:pPr>
    </w:p>
    <w:p w14:paraId="12AAD4EA" w14:textId="4C2DE783" w:rsidR="00C45D67" w:rsidRPr="00E461D0" w:rsidRDefault="00C45D67" w:rsidP="00FA6FBF">
      <w:pPr>
        <w:jc w:val="both"/>
        <w:rPr>
          <w:rFonts w:ascii="Palatino Linotype" w:hAnsi="Palatino Linotype"/>
          <w:color w:val="auto"/>
        </w:rPr>
      </w:pPr>
      <w:r w:rsidRPr="00E461D0">
        <w:rPr>
          <w:rFonts w:ascii="Palatino Linotype" w:hAnsi="Palatino Linotype"/>
          <w:b/>
          <w:color w:val="auto"/>
        </w:rPr>
        <w:t>Año 2018</w:t>
      </w:r>
      <w:r w:rsidRPr="00E461D0">
        <w:rPr>
          <w:rFonts w:ascii="Palatino Linotype" w:hAnsi="Palatino Linotype"/>
          <w:color w:val="auto"/>
        </w:rPr>
        <w:t xml:space="preserve">, ejercicio cerrado según normas contables vigentes que incluye el reconocimiento de forma integral los efectos de la inflación de conformidad con lo establecido por la RT </w:t>
      </w:r>
      <w:r w:rsidR="00E461D0" w:rsidRPr="00E461D0">
        <w:rPr>
          <w:rFonts w:ascii="Palatino Linotype" w:hAnsi="Palatino Linotype"/>
          <w:color w:val="auto"/>
        </w:rPr>
        <w:t>Nro.</w:t>
      </w:r>
      <w:r w:rsidRPr="00E461D0">
        <w:rPr>
          <w:rFonts w:ascii="Palatino Linotype" w:hAnsi="Palatino Linotype"/>
          <w:color w:val="auto"/>
        </w:rPr>
        <w:t xml:space="preserve"> 6 de la FACPCE</w:t>
      </w:r>
      <w:r w:rsidR="00C3657D" w:rsidRPr="00E461D0">
        <w:rPr>
          <w:rFonts w:ascii="Palatino Linotype" w:hAnsi="Palatino Linotype"/>
          <w:color w:val="auto"/>
        </w:rPr>
        <w:t>:</w:t>
      </w:r>
    </w:p>
    <w:p w14:paraId="3EB6C736" w14:textId="77777777" w:rsidR="00FA6FBF" w:rsidRPr="00CE678E" w:rsidRDefault="00FA6FBF" w:rsidP="00FA6FBF">
      <w:pPr>
        <w:jc w:val="both"/>
        <w:rPr>
          <w:rFonts w:ascii="Palatino Linotype" w:hAnsi="Palatino Linotype"/>
          <w:color w:val="auto"/>
        </w:rPr>
      </w:pPr>
    </w:p>
    <w:p w14:paraId="050530EC" w14:textId="535B7BC5" w:rsidR="00FA6FBF" w:rsidRPr="00E461D0" w:rsidRDefault="00C45D67" w:rsidP="00FA6FBF">
      <w:pPr>
        <w:jc w:val="both"/>
        <w:rPr>
          <w:rFonts w:ascii="Palatino Linotype" w:hAnsi="Palatino Linotype"/>
          <w:color w:val="auto"/>
        </w:rPr>
      </w:pPr>
      <w:r w:rsidRPr="00E461D0">
        <w:rPr>
          <w:rFonts w:ascii="Palatino Linotype" w:hAnsi="Palatino Linotype"/>
          <w:color w:val="auto"/>
        </w:rPr>
        <w:t>- Ingresos Netos (</w:t>
      </w:r>
      <w:r w:rsidR="00904C90" w:rsidRPr="00E461D0">
        <w:rPr>
          <w:rFonts w:ascii="Palatino Linotype" w:hAnsi="Palatino Linotype"/>
          <w:color w:val="auto"/>
        </w:rPr>
        <w:t xml:space="preserve">ventas)  </w:t>
      </w:r>
      <w:r w:rsidRPr="00E461D0">
        <w:rPr>
          <w:rFonts w:ascii="Palatino Linotype" w:hAnsi="Palatino Linotype"/>
          <w:color w:val="auto"/>
        </w:rPr>
        <w:t xml:space="preserve">                                      </w:t>
      </w:r>
      <w:r w:rsidR="00904C90" w:rsidRPr="00E461D0">
        <w:rPr>
          <w:rFonts w:ascii="Palatino Linotype" w:hAnsi="Palatino Linotype"/>
          <w:color w:val="auto"/>
        </w:rPr>
        <w:t xml:space="preserve"> </w:t>
      </w:r>
      <w:r w:rsidRPr="00E461D0">
        <w:rPr>
          <w:rFonts w:ascii="Palatino Linotype" w:hAnsi="Palatino Linotype"/>
          <w:color w:val="auto"/>
        </w:rPr>
        <w:t xml:space="preserve">                   $15.554.300</w:t>
      </w:r>
    </w:p>
    <w:p w14:paraId="33327A18" w14:textId="77777777" w:rsidR="00FA6FBF" w:rsidRPr="00E461D0" w:rsidRDefault="00FA6FBF" w:rsidP="00FA6FBF">
      <w:pPr>
        <w:jc w:val="both"/>
        <w:rPr>
          <w:rFonts w:ascii="Palatino Linotype" w:hAnsi="Palatino Linotype"/>
          <w:color w:val="auto"/>
        </w:rPr>
      </w:pPr>
    </w:p>
    <w:p w14:paraId="3282B293" w14:textId="77777777" w:rsidR="00FA6FBF" w:rsidRPr="00E461D0" w:rsidRDefault="00C45D67" w:rsidP="00FA6FBF">
      <w:pPr>
        <w:jc w:val="both"/>
        <w:rPr>
          <w:rFonts w:ascii="Palatino Linotype" w:hAnsi="Palatino Linotype"/>
          <w:color w:val="auto"/>
        </w:rPr>
      </w:pPr>
      <w:r w:rsidRPr="00E461D0">
        <w:rPr>
          <w:rFonts w:ascii="Palatino Linotype" w:hAnsi="Palatino Linotype"/>
          <w:color w:val="auto"/>
        </w:rPr>
        <w:t xml:space="preserve">- Resultado operativo                                                                 </w:t>
      </w:r>
      <w:r w:rsidR="00F95FA9" w:rsidRPr="00E461D0">
        <w:rPr>
          <w:rFonts w:ascii="Palatino Linotype" w:hAnsi="Palatino Linotype"/>
          <w:color w:val="auto"/>
        </w:rPr>
        <w:t>($26.882.900</w:t>
      </w:r>
      <w:r w:rsidRPr="00E461D0">
        <w:rPr>
          <w:rFonts w:ascii="Palatino Linotype" w:hAnsi="Palatino Linotype"/>
          <w:color w:val="auto"/>
        </w:rPr>
        <w:t>)</w:t>
      </w:r>
    </w:p>
    <w:p w14:paraId="5B0992A8" w14:textId="77777777" w:rsidR="00FA6FBF" w:rsidRPr="00E461D0" w:rsidRDefault="00FA6FBF" w:rsidP="00FA6FBF">
      <w:pPr>
        <w:jc w:val="both"/>
        <w:rPr>
          <w:rFonts w:ascii="Palatino Linotype" w:hAnsi="Palatino Linotype"/>
          <w:color w:val="auto"/>
        </w:rPr>
      </w:pPr>
    </w:p>
    <w:p w14:paraId="194C2E65" w14:textId="77777777" w:rsidR="00FA6FBF" w:rsidRPr="00E461D0" w:rsidRDefault="00FA6FBF" w:rsidP="00FA6FBF">
      <w:pPr>
        <w:jc w:val="both"/>
        <w:rPr>
          <w:rFonts w:ascii="Palatino Linotype" w:hAnsi="Palatino Linotype"/>
          <w:color w:val="auto"/>
        </w:rPr>
      </w:pPr>
      <w:r w:rsidRPr="00E461D0">
        <w:rPr>
          <w:rFonts w:ascii="Palatino Linotype" w:hAnsi="Palatino Linotype"/>
          <w:color w:val="auto"/>
        </w:rPr>
        <w:t>- Resultado después de resultados financieros</w:t>
      </w:r>
      <w:r w:rsidR="00C45D67" w:rsidRPr="00E461D0">
        <w:rPr>
          <w:rFonts w:ascii="Palatino Linotype" w:hAnsi="Palatino Linotype"/>
          <w:color w:val="auto"/>
        </w:rPr>
        <w:t xml:space="preserve">                       $14.886.197</w:t>
      </w:r>
    </w:p>
    <w:p w14:paraId="1A9C99BB" w14:textId="77777777" w:rsidR="00FA6FBF" w:rsidRPr="00E461D0" w:rsidRDefault="00FA6FBF" w:rsidP="00FA6FBF">
      <w:pPr>
        <w:jc w:val="both"/>
        <w:rPr>
          <w:rFonts w:ascii="Palatino Linotype" w:hAnsi="Palatino Linotype"/>
          <w:color w:val="auto"/>
        </w:rPr>
      </w:pPr>
    </w:p>
    <w:p w14:paraId="04C267E4" w14:textId="77777777" w:rsidR="00FA6FBF" w:rsidRPr="00E461D0" w:rsidRDefault="00C45D67" w:rsidP="00FA6FBF">
      <w:pPr>
        <w:jc w:val="both"/>
        <w:rPr>
          <w:rFonts w:ascii="Palatino Linotype" w:hAnsi="Palatino Linotype"/>
          <w:color w:val="auto"/>
        </w:rPr>
      </w:pPr>
      <w:r w:rsidRPr="00E461D0">
        <w:rPr>
          <w:rFonts w:ascii="Palatino Linotype" w:hAnsi="Palatino Linotype"/>
          <w:color w:val="auto"/>
        </w:rPr>
        <w:t>- Resultado neto                                                                            $5.050.279</w:t>
      </w:r>
    </w:p>
    <w:p w14:paraId="311837D9" w14:textId="77777777" w:rsidR="00FA6FBF" w:rsidRPr="00E461D0" w:rsidRDefault="00FA6FBF" w:rsidP="00FA6FBF">
      <w:pPr>
        <w:jc w:val="both"/>
        <w:rPr>
          <w:rFonts w:ascii="Palatino Linotype" w:hAnsi="Palatino Linotype"/>
          <w:color w:val="auto"/>
        </w:rPr>
      </w:pPr>
    </w:p>
    <w:p w14:paraId="09234525" w14:textId="77777777" w:rsidR="00FA6FBF" w:rsidRPr="00E461D0" w:rsidRDefault="00FA6FBF" w:rsidP="00FA6FBF">
      <w:pPr>
        <w:jc w:val="both"/>
        <w:rPr>
          <w:rFonts w:ascii="Palatino Linotype" w:hAnsi="Palatino Linotype"/>
          <w:color w:val="auto"/>
        </w:rPr>
      </w:pPr>
      <w:r w:rsidRPr="00E461D0">
        <w:rPr>
          <w:rFonts w:ascii="Palatino Linotype" w:hAnsi="Palatino Linotype"/>
          <w:color w:val="auto"/>
        </w:rPr>
        <w:t>3) Síntesis de situación patrimonial:</w:t>
      </w:r>
    </w:p>
    <w:p w14:paraId="29205098" w14:textId="77777777" w:rsidR="00FA6FBF" w:rsidRPr="00E461D0" w:rsidRDefault="00FA6FBF" w:rsidP="00FA6FBF">
      <w:pPr>
        <w:jc w:val="both"/>
        <w:rPr>
          <w:rFonts w:ascii="Palatino Linotype" w:hAnsi="Palatino Linotype"/>
          <w:color w:val="auto"/>
        </w:rPr>
      </w:pPr>
    </w:p>
    <w:p w14:paraId="57C09AE1" w14:textId="77777777" w:rsidR="00FA6FBF" w:rsidRPr="00E461D0" w:rsidRDefault="00FA6FBF" w:rsidP="00FA6FBF">
      <w:pPr>
        <w:jc w:val="both"/>
        <w:rPr>
          <w:rFonts w:ascii="Palatino Linotype" w:hAnsi="Palatino Linotype"/>
          <w:color w:val="auto"/>
        </w:rPr>
      </w:pPr>
      <w:r w:rsidRPr="00E461D0">
        <w:rPr>
          <w:rFonts w:ascii="Palatino Linotype" w:hAnsi="Palatino Linotype"/>
          <w:color w:val="auto"/>
        </w:rPr>
        <w:t>- Activos</w:t>
      </w:r>
      <w:r w:rsidR="00C45D67" w:rsidRPr="00E461D0">
        <w:rPr>
          <w:rFonts w:ascii="Palatino Linotype" w:hAnsi="Palatino Linotype"/>
          <w:color w:val="auto"/>
        </w:rPr>
        <w:t xml:space="preserve">                                                                                         $442.870.683</w:t>
      </w:r>
    </w:p>
    <w:p w14:paraId="13028468" w14:textId="77777777" w:rsidR="00FA6FBF" w:rsidRPr="00E461D0" w:rsidRDefault="00FA6FBF" w:rsidP="00FA6FBF">
      <w:pPr>
        <w:jc w:val="both"/>
        <w:rPr>
          <w:rFonts w:ascii="Palatino Linotype" w:hAnsi="Palatino Linotype"/>
          <w:color w:val="auto"/>
        </w:rPr>
      </w:pPr>
    </w:p>
    <w:p w14:paraId="629E3503" w14:textId="77777777" w:rsidR="00FA6FBF" w:rsidRPr="00E461D0" w:rsidRDefault="00C45D67" w:rsidP="00FA6FBF">
      <w:pPr>
        <w:jc w:val="both"/>
        <w:rPr>
          <w:rFonts w:ascii="Palatino Linotype" w:hAnsi="Palatino Linotype"/>
          <w:color w:val="auto"/>
        </w:rPr>
      </w:pPr>
      <w:r w:rsidRPr="00E461D0">
        <w:rPr>
          <w:rFonts w:ascii="Palatino Linotype" w:hAnsi="Palatino Linotype"/>
          <w:color w:val="auto"/>
        </w:rPr>
        <w:t xml:space="preserve">- Pasivos                                                  </w:t>
      </w:r>
      <w:r w:rsidR="00DF0794" w:rsidRPr="00E461D0">
        <w:rPr>
          <w:rFonts w:ascii="Palatino Linotype" w:hAnsi="Palatino Linotype"/>
          <w:color w:val="auto"/>
        </w:rPr>
        <w:t xml:space="preserve">                                </w:t>
      </w:r>
      <w:r w:rsidRPr="00E461D0">
        <w:rPr>
          <w:rFonts w:ascii="Palatino Linotype" w:hAnsi="Palatino Linotype"/>
          <w:color w:val="auto"/>
        </w:rPr>
        <w:t xml:space="preserve">        $217.093.541</w:t>
      </w:r>
    </w:p>
    <w:p w14:paraId="6A64ACDF" w14:textId="77777777" w:rsidR="00FA6FBF" w:rsidRPr="00E461D0" w:rsidRDefault="00FA6FBF" w:rsidP="00FA6FBF">
      <w:pPr>
        <w:jc w:val="both"/>
        <w:rPr>
          <w:rFonts w:ascii="Palatino Linotype" w:hAnsi="Palatino Linotype"/>
          <w:color w:val="auto"/>
        </w:rPr>
      </w:pPr>
    </w:p>
    <w:p w14:paraId="3348DFB9" w14:textId="77777777" w:rsidR="00BE2390" w:rsidRPr="00E461D0" w:rsidRDefault="00FA6FBF" w:rsidP="00641325">
      <w:pPr>
        <w:widowControl/>
        <w:autoSpaceDE/>
        <w:autoSpaceDN/>
        <w:adjustRightInd/>
        <w:spacing w:after="160" w:line="259" w:lineRule="auto"/>
        <w:jc w:val="both"/>
        <w:rPr>
          <w:rFonts w:ascii="Palatino Linotype" w:hAnsi="Palatino Linotype"/>
          <w:color w:val="auto"/>
        </w:rPr>
      </w:pPr>
      <w:r w:rsidRPr="00E461D0">
        <w:rPr>
          <w:rFonts w:ascii="Palatino Linotype" w:hAnsi="Palatino Linotype"/>
          <w:color w:val="auto"/>
        </w:rPr>
        <w:t>- Patrimonio Neto (discriminado)</w:t>
      </w:r>
      <w:r w:rsidR="00C45D67" w:rsidRPr="00E461D0">
        <w:rPr>
          <w:rFonts w:ascii="Palatino Linotype" w:hAnsi="Palatino Linotype"/>
          <w:color w:val="auto"/>
        </w:rPr>
        <w:t xml:space="preserve">                                               $225.777.142</w:t>
      </w:r>
    </w:p>
    <w:p w14:paraId="0DBB8797" w14:textId="77777777" w:rsidR="00C45D67" w:rsidRPr="00E461D0" w:rsidRDefault="00C45D67" w:rsidP="00641325">
      <w:pPr>
        <w:widowControl/>
        <w:autoSpaceDE/>
        <w:autoSpaceDN/>
        <w:adjustRightInd/>
        <w:spacing w:after="160" w:line="259" w:lineRule="auto"/>
        <w:jc w:val="both"/>
        <w:rPr>
          <w:rFonts w:ascii="Palatino Linotype" w:hAnsi="Palatino Linotype"/>
          <w:color w:val="auto"/>
        </w:rPr>
      </w:pPr>
      <w:r w:rsidRPr="00E461D0">
        <w:rPr>
          <w:rFonts w:ascii="Palatino Linotype" w:hAnsi="Palatino Linotype"/>
          <w:color w:val="auto"/>
        </w:rPr>
        <w:t>- Capital</w:t>
      </w:r>
      <w:r w:rsidR="00904C90" w:rsidRPr="00E461D0">
        <w:rPr>
          <w:rFonts w:ascii="Palatino Linotype" w:hAnsi="Palatino Linotype"/>
          <w:color w:val="auto"/>
        </w:rPr>
        <w:t xml:space="preserve">                                                         $106.997.752</w:t>
      </w:r>
    </w:p>
    <w:p w14:paraId="6E4D54FD" w14:textId="77777777" w:rsidR="00C45D67" w:rsidRPr="00E461D0" w:rsidRDefault="00C45D67" w:rsidP="00641325">
      <w:pPr>
        <w:widowControl/>
        <w:autoSpaceDE/>
        <w:autoSpaceDN/>
        <w:adjustRightInd/>
        <w:spacing w:after="160" w:line="259" w:lineRule="auto"/>
        <w:jc w:val="both"/>
        <w:rPr>
          <w:rFonts w:ascii="Palatino Linotype" w:hAnsi="Palatino Linotype"/>
          <w:color w:val="auto"/>
        </w:rPr>
      </w:pPr>
      <w:r w:rsidRPr="00E461D0">
        <w:rPr>
          <w:rFonts w:ascii="Palatino Linotype" w:hAnsi="Palatino Linotype"/>
          <w:color w:val="auto"/>
        </w:rPr>
        <w:t>- Reserva Legal</w:t>
      </w:r>
      <w:r w:rsidR="00904C90" w:rsidRPr="00E461D0">
        <w:rPr>
          <w:rFonts w:ascii="Palatino Linotype" w:hAnsi="Palatino Linotype"/>
          <w:color w:val="auto"/>
        </w:rPr>
        <w:t xml:space="preserve">                                                 $3.628.729</w:t>
      </w:r>
    </w:p>
    <w:p w14:paraId="27C26366" w14:textId="77777777" w:rsidR="00C45D67" w:rsidRPr="00E461D0" w:rsidRDefault="00C45D67" w:rsidP="00641325">
      <w:pPr>
        <w:widowControl/>
        <w:autoSpaceDE/>
        <w:autoSpaceDN/>
        <w:adjustRightInd/>
        <w:spacing w:after="160" w:line="259" w:lineRule="auto"/>
        <w:jc w:val="both"/>
        <w:rPr>
          <w:rFonts w:ascii="Palatino Linotype" w:hAnsi="Palatino Linotype"/>
          <w:color w:val="auto"/>
        </w:rPr>
      </w:pPr>
      <w:r w:rsidRPr="00E461D0">
        <w:rPr>
          <w:rFonts w:ascii="Palatino Linotype" w:hAnsi="Palatino Linotype"/>
          <w:color w:val="auto"/>
        </w:rPr>
        <w:t>- Otras reservas</w:t>
      </w:r>
      <w:r w:rsidR="00904C90" w:rsidRPr="00E461D0">
        <w:rPr>
          <w:rFonts w:ascii="Palatino Linotype" w:hAnsi="Palatino Linotype"/>
          <w:color w:val="auto"/>
        </w:rPr>
        <w:t xml:space="preserve">                                                 $2.517.997</w:t>
      </w:r>
    </w:p>
    <w:p w14:paraId="676C12B3" w14:textId="77777777" w:rsidR="00C45D67" w:rsidRPr="00E461D0" w:rsidRDefault="00C45D67" w:rsidP="00641325">
      <w:pPr>
        <w:widowControl/>
        <w:autoSpaceDE/>
        <w:autoSpaceDN/>
        <w:adjustRightInd/>
        <w:spacing w:after="160" w:line="259" w:lineRule="auto"/>
        <w:jc w:val="both"/>
        <w:rPr>
          <w:rFonts w:ascii="Palatino Linotype" w:hAnsi="Palatino Linotype"/>
          <w:color w:val="auto"/>
        </w:rPr>
      </w:pPr>
      <w:r w:rsidRPr="00E461D0">
        <w:rPr>
          <w:rFonts w:ascii="Palatino Linotype" w:hAnsi="Palatino Linotype"/>
          <w:color w:val="auto"/>
        </w:rPr>
        <w:t>- Reserva especial</w:t>
      </w:r>
      <w:r w:rsidR="00904C90" w:rsidRPr="00E461D0">
        <w:rPr>
          <w:rFonts w:ascii="Palatino Linotype" w:hAnsi="Palatino Linotype"/>
          <w:color w:val="auto"/>
        </w:rPr>
        <w:t xml:space="preserve">                                          $107.582.385</w:t>
      </w:r>
    </w:p>
    <w:p w14:paraId="38164448" w14:textId="3227E738" w:rsidR="00C45D67" w:rsidRPr="00E461D0" w:rsidRDefault="00C45D67" w:rsidP="00641325">
      <w:pPr>
        <w:widowControl/>
        <w:autoSpaceDE/>
        <w:autoSpaceDN/>
        <w:adjustRightInd/>
        <w:spacing w:after="160" w:line="259" w:lineRule="auto"/>
        <w:jc w:val="both"/>
        <w:rPr>
          <w:rFonts w:ascii="Palatino Linotype" w:hAnsi="Palatino Linotype"/>
          <w:color w:val="auto"/>
        </w:rPr>
      </w:pPr>
      <w:r w:rsidRPr="00E461D0">
        <w:rPr>
          <w:rFonts w:ascii="Palatino Linotype" w:hAnsi="Palatino Linotype"/>
          <w:color w:val="auto"/>
        </w:rPr>
        <w:t>- Resultados no asignados</w:t>
      </w:r>
      <w:r w:rsidR="00904C90" w:rsidRPr="00E461D0">
        <w:rPr>
          <w:rFonts w:ascii="Palatino Linotype" w:hAnsi="Palatino Linotype"/>
          <w:color w:val="auto"/>
        </w:rPr>
        <w:t xml:space="preserve">                         </w:t>
      </w:r>
      <w:r w:rsidR="0014604A">
        <w:rPr>
          <w:rFonts w:ascii="Palatino Linotype" w:hAnsi="Palatino Linotype"/>
          <w:color w:val="auto"/>
        </w:rPr>
        <w:t xml:space="preserve">     $.5.050.279</w:t>
      </w:r>
    </w:p>
    <w:p w14:paraId="2B6B1F93" w14:textId="77777777" w:rsidR="00995B08" w:rsidRPr="00E461D0" w:rsidRDefault="00995B08" w:rsidP="00C3657D">
      <w:pPr>
        <w:jc w:val="both"/>
        <w:rPr>
          <w:rFonts w:ascii="Palatino Linotype" w:hAnsi="Palatino Linotype"/>
          <w:b/>
          <w:color w:val="auto"/>
        </w:rPr>
      </w:pPr>
    </w:p>
    <w:p w14:paraId="5FD55C2B" w14:textId="00FB45A3" w:rsidR="004B4D6A" w:rsidRPr="00E461D0" w:rsidRDefault="004B4D6A" w:rsidP="004B4D6A">
      <w:pPr>
        <w:jc w:val="both"/>
        <w:rPr>
          <w:rFonts w:ascii="Palatino Linotype" w:hAnsi="Palatino Linotype"/>
          <w:color w:val="auto"/>
        </w:rPr>
      </w:pPr>
      <w:r w:rsidRPr="00E461D0">
        <w:rPr>
          <w:rFonts w:ascii="Palatino Linotype" w:hAnsi="Palatino Linotype"/>
          <w:b/>
          <w:color w:val="auto"/>
        </w:rPr>
        <w:t>Año 2017</w:t>
      </w:r>
      <w:r w:rsidRPr="00E461D0">
        <w:rPr>
          <w:rFonts w:ascii="Palatino Linotype" w:hAnsi="Palatino Linotype"/>
          <w:color w:val="auto"/>
        </w:rPr>
        <w:t>, ejercicio cerrado según normas contables vigentes donde no estaban contemplados los efectos de la inflación:</w:t>
      </w:r>
    </w:p>
    <w:p w14:paraId="06588B3C" w14:textId="77777777" w:rsidR="004B4D6A" w:rsidRPr="00CE678E" w:rsidRDefault="004B4D6A" w:rsidP="004B4D6A">
      <w:pPr>
        <w:jc w:val="both"/>
        <w:rPr>
          <w:rFonts w:ascii="Palatino Linotype" w:hAnsi="Palatino Linotype"/>
          <w:color w:val="auto"/>
        </w:rPr>
      </w:pPr>
    </w:p>
    <w:p w14:paraId="47A718DA" w14:textId="77A81FC9" w:rsidR="00C3657D" w:rsidRPr="00E461D0" w:rsidRDefault="00C3657D" w:rsidP="00C3657D">
      <w:pPr>
        <w:jc w:val="both"/>
        <w:rPr>
          <w:rFonts w:ascii="Palatino Linotype" w:hAnsi="Palatino Linotype"/>
          <w:color w:val="auto"/>
        </w:rPr>
      </w:pPr>
      <w:r w:rsidRPr="00E461D0">
        <w:rPr>
          <w:rFonts w:ascii="Palatino Linotype" w:hAnsi="Palatino Linotype"/>
          <w:color w:val="auto"/>
        </w:rPr>
        <w:t>- Ingresos Netos (ventas)                                                              $6.706.220</w:t>
      </w:r>
    </w:p>
    <w:p w14:paraId="707143DA" w14:textId="77777777" w:rsidR="00C3657D" w:rsidRPr="00E461D0" w:rsidRDefault="00C3657D" w:rsidP="00C3657D">
      <w:pPr>
        <w:jc w:val="both"/>
        <w:rPr>
          <w:rFonts w:ascii="Palatino Linotype" w:hAnsi="Palatino Linotype"/>
          <w:color w:val="auto"/>
        </w:rPr>
      </w:pPr>
    </w:p>
    <w:p w14:paraId="4444E82C" w14:textId="77777777" w:rsidR="00C3657D" w:rsidRPr="00E461D0" w:rsidRDefault="00C3657D" w:rsidP="00C3657D">
      <w:pPr>
        <w:jc w:val="both"/>
        <w:rPr>
          <w:rFonts w:ascii="Palatino Linotype" w:hAnsi="Palatino Linotype"/>
          <w:color w:val="auto"/>
        </w:rPr>
      </w:pPr>
      <w:r w:rsidRPr="00E461D0">
        <w:rPr>
          <w:rFonts w:ascii="Palatino Linotype" w:hAnsi="Palatino Linotype"/>
          <w:color w:val="auto"/>
        </w:rPr>
        <w:t>- Resultado operativo                                                                 ($</w:t>
      </w:r>
      <w:r w:rsidR="00F95FA9" w:rsidRPr="00E461D0">
        <w:rPr>
          <w:rFonts w:ascii="Palatino Linotype" w:hAnsi="Palatino Linotype"/>
          <w:color w:val="auto"/>
        </w:rPr>
        <w:t>15.402.130</w:t>
      </w:r>
      <w:r w:rsidRPr="00E461D0">
        <w:rPr>
          <w:rFonts w:ascii="Palatino Linotype" w:hAnsi="Palatino Linotype"/>
          <w:color w:val="auto"/>
        </w:rPr>
        <w:t>)</w:t>
      </w:r>
    </w:p>
    <w:p w14:paraId="228BC211" w14:textId="77777777" w:rsidR="00C3657D" w:rsidRPr="00E461D0" w:rsidRDefault="00C3657D" w:rsidP="00C3657D">
      <w:pPr>
        <w:jc w:val="both"/>
        <w:rPr>
          <w:rFonts w:ascii="Palatino Linotype" w:hAnsi="Palatino Linotype"/>
          <w:color w:val="auto"/>
        </w:rPr>
      </w:pPr>
    </w:p>
    <w:p w14:paraId="66A0D719" w14:textId="77777777" w:rsidR="00C3657D" w:rsidRPr="00E461D0" w:rsidRDefault="00C3657D" w:rsidP="00C3657D">
      <w:pPr>
        <w:jc w:val="both"/>
        <w:rPr>
          <w:rFonts w:ascii="Palatino Linotype" w:hAnsi="Palatino Linotype"/>
          <w:color w:val="auto"/>
        </w:rPr>
      </w:pPr>
      <w:r w:rsidRPr="00E461D0">
        <w:rPr>
          <w:rFonts w:ascii="Palatino Linotype" w:hAnsi="Palatino Linotype"/>
          <w:color w:val="auto"/>
        </w:rPr>
        <w:t>- Resultado después de resultados financieros                        $92.206.781</w:t>
      </w:r>
    </w:p>
    <w:p w14:paraId="4368BA84" w14:textId="77777777" w:rsidR="00C3657D" w:rsidRPr="00E461D0" w:rsidRDefault="00C3657D" w:rsidP="00C3657D">
      <w:pPr>
        <w:jc w:val="both"/>
        <w:rPr>
          <w:rFonts w:ascii="Palatino Linotype" w:hAnsi="Palatino Linotype"/>
          <w:color w:val="auto"/>
        </w:rPr>
      </w:pPr>
    </w:p>
    <w:p w14:paraId="23C82B07" w14:textId="77777777" w:rsidR="00C3657D" w:rsidRPr="00E461D0" w:rsidRDefault="00C3657D" w:rsidP="00C3657D">
      <w:pPr>
        <w:jc w:val="both"/>
        <w:rPr>
          <w:rFonts w:ascii="Palatino Linotype" w:hAnsi="Palatino Linotype"/>
          <w:color w:val="auto"/>
        </w:rPr>
      </w:pPr>
      <w:r w:rsidRPr="00E461D0">
        <w:rPr>
          <w:rFonts w:ascii="Palatino Linotype" w:hAnsi="Palatino Linotype"/>
          <w:color w:val="auto"/>
        </w:rPr>
        <w:t>- Resultado neto                                                                            $91.717.624</w:t>
      </w:r>
    </w:p>
    <w:p w14:paraId="5127738C" w14:textId="77777777" w:rsidR="00C3657D" w:rsidRPr="00E461D0" w:rsidRDefault="00C3657D" w:rsidP="00C3657D">
      <w:pPr>
        <w:jc w:val="both"/>
        <w:rPr>
          <w:rFonts w:ascii="Palatino Linotype" w:hAnsi="Palatino Linotype"/>
          <w:color w:val="auto"/>
        </w:rPr>
      </w:pPr>
    </w:p>
    <w:p w14:paraId="7188B10D" w14:textId="77777777" w:rsidR="00C3657D" w:rsidRPr="00E461D0" w:rsidRDefault="00C3657D" w:rsidP="00C3657D">
      <w:pPr>
        <w:jc w:val="both"/>
        <w:rPr>
          <w:rFonts w:ascii="Palatino Linotype" w:hAnsi="Palatino Linotype"/>
          <w:color w:val="auto"/>
        </w:rPr>
      </w:pPr>
      <w:r w:rsidRPr="00E461D0">
        <w:rPr>
          <w:rFonts w:ascii="Palatino Linotype" w:hAnsi="Palatino Linotype"/>
          <w:color w:val="auto"/>
        </w:rPr>
        <w:t>3) Síntesis de situación patrimonial:</w:t>
      </w:r>
    </w:p>
    <w:p w14:paraId="23FD2ED8" w14:textId="77777777" w:rsidR="00C3657D" w:rsidRPr="00E461D0" w:rsidRDefault="00C3657D" w:rsidP="00C3657D">
      <w:pPr>
        <w:jc w:val="both"/>
        <w:rPr>
          <w:rFonts w:ascii="Palatino Linotype" w:hAnsi="Palatino Linotype"/>
          <w:color w:val="auto"/>
        </w:rPr>
      </w:pPr>
    </w:p>
    <w:p w14:paraId="42FAD655" w14:textId="77777777" w:rsidR="00C3657D" w:rsidRPr="00E461D0" w:rsidRDefault="00C3657D" w:rsidP="00C3657D">
      <w:pPr>
        <w:jc w:val="both"/>
        <w:rPr>
          <w:rFonts w:ascii="Palatino Linotype" w:hAnsi="Palatino Linotype"/>
          <w:color w:val="auto"/>
        </w:rPr>
      </w:pPr>
      <w:r w:rsidRPr="00E461D0">
        <w:rPr>
          <w:rFonts w:ascii="Palatino Linotype" w:hAnsi="Palatino Linotype"/>
          <w:color w:val="auto"/>
        </w:rPr>
        <w:t>- Activos                                                                                         $181.910.027</w:t>
      </w:r>
    </w:p>
    <w:p w14:paraId="2BFD47C2" w14:textId="77777777" w:rsidR="00C3657D" w:rsidRPr="00E461D0" w:rsidRDefault="00C3657D" w:rsidP="00C3657D">
      <w:pPr>
        <w:jc w:val="both"/>
        <w:rPr>
          <w:rFonts w:ascii="Palatino Linotype" w:hAnsi="Palatino Linotype"/>
          <w:color w:val="auto"/>
        </w:rPr>
      </w:pPr>
    </w:p>
    <w:p w14:paraId="2EB69EE4" w14:textId="77777777" w:rsidR="00C3657D" w:rsidRPr="00E461D0" w:rsidRDefault="00C3657D" w:rsidP="00C3657D">
      <w:pPr>
        <w:jc w:val="both"/>
        <w:rPr>
          <w:rFonts w:ascii="Palatino Linotype" w:hAnsi="Palatino Linotype"/>
          <w:color w:val="auto"/>
        </w:rPr>
      </w:pPr>
      <w:r w:rsidRPr="00E461D0">
        <w:rPr>
          <w:rFonts w:ascii="Palatino Linotype" w:hAnsi="Palatino Linotype"/>
          <w:color w:val="auto"/>
        </w:rPr>
        <w:t>- Pasivos                                                                                          $24.498.382</w:t>
      </w:r>
    </w:p>
    <w:p w14:paraId="2EFA5A42" w14:textId="77777777" w:rsidR="00C3657D" w:rsidRPr="00E461D0" w:rsidRDefault="00C3657D" w:rsidP="00C3657D">
      <w:pPr>
        <w:jc w:val="both"/>
        <w:rPr>
          <w:rFonts w:ascii="Palatino Linotype" w:hAnsi="Palatino Linotype"/>
          <w:color w:val="auto"/>
        </w:rPr>
      </w:pPr>
    </w:p>
    <w:p w14:paraId="5565701D" w14:textId="77777777" w:rsidR="00C3657D" w:rsidRPr="00E461D0" w:rsidRDefault="00C3657D" w:rsidP="00C3657D">
      <w:pPr>
        <w:widowControl/>
        <w:autoSpaceDE/>
        <w:autoSpaceDN/>
        <w:adjustRightInd/>
        <w:spacing w:after="160" w:line="259" w:lineRule="auto"/>
        <w:jc w:val="both"/>
        <w:rPr>
          <w:rFonts w:ascii="Palatino Linotype" w:hAnsi="Palatino Linotype"/>
          <w:color w:val="auto"/>
        </w:rPr>
      </w:pPr>
      <w:r w:rsidRPr="00E461D0">
        <w:rPr>
          <w:rFonts w:ascii="Palatino Linotype" w:hAnsi="Palatino Linotype"/>
          <w:color w:val="auto"/>
        </w:rPr>
        <w:t>- Patrimonio Neto (discriminado)                                               $157.411.645</w:t>
      </w:r>
    </w:p>
    <w:p w14:paraId="2F8AF615" w14:textId="77777777" w:rsidR="00C3657D" w:rsidRPr="00E461D0" w:rsidRDefault="00C3657D" w:rsidP="00C3657D">
      <w:pPr>
        <w:widowControl/>
        <w:autoSpaceDE/>
        <w:autoSpaceDN/>
        <w:adjustRightInd/>
        <w:spacing w:after="160" w:line="259" w:lineRule="auto"/>
        <w:jc w:val="both"/>
        <w:rPr>
          <w:rFonts w:ascii="Palatino Linotype" w:hAnsi="Palatino Linotype"/>
          <w:color w:val="auto"/>
        </w:rPr>
      </w:pPr>
      <w:r w:rsidRPr="00E461D0">
        <w:rPr>
          <w:rFonts w:ascii="Palatino Linotype" w:hAnsi="Palatino Linotype"/>
          <w:color w:val="auto"/>
        </w:rPr>
        <w:t>- Capital                                                           $18.143.646</w:t>
      </w:r>
    </w:p>
    <w:p w14:paraId="010F4C8A" w14:textId="77777777" w:rsidR="00C3657D" w:rsidRPr="00E461D0" w:rsidRDefault="00C3657D" w:rsidP="00C3657D">
      <w:pPr>
        <w:widowControl/>
        <w:autoSpaceDE/>
        <w:autoSpaceDN/>
        <w:adjustRightInd/>
        <w:spacing w:after="160" w:line="259" w:lineRule="auto"/>
        <w:jc w:val="both"/>
        <w:rPr>
          <w:rFonts w:ascii="Palatino Linotype" w:hAnsi="Palatino Linotype"/>
          <w:color w:val="auto"/>
        </w:rPr>
      </w:pPr>
      <w:r w:rsidRPr="00E461D0">
        <w:rPr>
          <w:rFonts w:ascii="Palatino Linotype" w:hAnsi="Palatino Linotype"/>
          <w:color w:val="auto"/>
        </w:rPr>
        <w:t xml:space="preserve">- Reserva Legal                                            </w:t>
      </w:r>
      <w:r w:rsidR="00F83FC9" w:rsidRPr="00E461D0">
        <w:rPr>
          <w:rFonts w:ascii="Palatino Linotype" w:hAnsi="Palatino Linotype"/>
          <w:color w:val="auto"/>
        </w:rPr>
        <w:t xml:space="preserve">         $435.000</w:t>
      </w:r>
    </w:p>
    <w:p w14:paraId="42F7F37E" w14:textId="77777777" w:rsidR="00C3657D" w:rsidRPr="00E461D0" w:rsidRDefault="00C3657D" w:rsidP="00C3657D">
      <w:pPr>
        <w:widowControl/>
        <w:autoSpaceDE/>
        <w:autoSpaceDN/>
        <w:adjustRightInd/>
        <w:spacing w:after="160" w:line="259" w:lineRule="auto"/>
        <w:jc w:val="both"/>
        <w:rPr>
          <w:rFonts w:ascii="Palatino Linotype" w:hAnsi="Palatino Linotype"/>
          <w:color w:val="auto"/>
        </w:rPr>
      </w:pPr>
      <w:r w:rsidRPr="00E461D0">
        <w:rPr>
          <w:rFonts w:ascii="Palatino Linotype" w:hAnsi="Palatino Linotype"/>
          <w:color w:val="auto"/>
        </w:rPr>
        <w:t xml:space="preserve">- Otras reservas                                            </w:t>
      </w:r>
      <w:r w:rsidR="00F83FC9" w:rsidRPr="00E461D0">
        <w:rPr>
          <w:rFonts w:ascii="Palatino Linotype" w:hAnsi="Palatino Linotype"/>
          <w:color w:val="auto"/>
        </w:rPr>
        <w:t xml:space="preserve">     $2.517.997</w:t>
      </w:r>
    </w:p>
    <w:p w14:paraId="3D450CCE" w14:textId="77777777" w:rsidR="00C3657D" w:rsidRPr="00E461D0" w:rsidRDefault="00C3657D" w:rsidP="00C3657D">
      <w:pPr>
        <w:widowControl/>
        <w:autoSpaceDE/>
        <w:autoSpaceDN/>
        <w:adjustRightInd/>
        <w:spacing w:after="160" w:line="259" w:lineRule="auto"/>
        <w:jc w:val="both"/>
        <w:rPr>
          <w:rFonts w:ascii="Palatino Linotype" w:hAnsi="Palatino Linotype"/>
          <w:color w:val="auto"/>
        </w:rPr>
      </w:pPr>
      <w:r w:rsidRPr="00E461D0">
        <w:rPr>
          <w:rFonts w:ascii="Palatino Linotype" w:hAnsi="Palatino Linotype"/>
          <w:color w:val="auto"/>
        </w:rPr>
        <w:t xml:space="preserve">- Reserva especial                                </w:t>
      </w:r>
      <w:r w:rsidR="00F83FC9" w:rsidRPr="00E461D0">
        <w:rPr>
          <w:rFonts w:ascii="Palatino Linotype" w:hAnsi="Palatino Linotype"/>
          <w:color w:val="auto"/>
        </w:rPr>
        <w:t xml:space="preserve">            $44.597.378</w:t>
      </w:r>
    </w:p>
    <w:p w14:paraId="1D090C96" w14:textId="3FDE1BC5" w:rsidR="00CC0E9F" w:rsidRPr="00E461D0" w:rsidRDefault="00C3657D" w:rsidP="00C3657D">
      <w:pPr>
        <w:widowControl/>
        <w:autoSpaceDE/>
        <w:autoSpaceDN/>
        <w:adjustRightInd/>
        <w:spacing w:after="160" w:line="259" w:lineRule="auto"/>
        <w:jc w:val="both"/>
        <w:rPr>
          <w:rFonts w:ascii="Palatino Linotype" w:hAnsi="Palatino Linotype"/>
          <w:color w:val="auto"/>
        </w:rPr>
      </w:pPr>
      <w:r w:rsidRPr="00E461D0">
        <w:rPr>
          <w:rFonts w:ascii="Palatino Linotype" w:hAnsi="Palatino Linotype"/>
          <w:color w:val="auto"/>
        </w:rPr>
        <w:t xml:space="preserve">- Resultados no asignados                    </w:t>
      </w:r>
      <w:r w:rsidR="00F83FC9" w:rsidRPr="00E461D0">
        <w:rPr>
          <w:rFonts w:ascii="Palatino Linotype" w:hAnsi="Palatino Linotype"/>
          <w:color w:val="auto"/>
        </w:rPr>
        <w:t xml:space="preserve">          $91.717.624</w:t>
      </w:r>
    </w:p>
    <w:p w14:paraId="7F34907C" w14:textId="77777777" w:rsidR="00CC0E9F" w:rsidRPr="00E461D0" w:rsidRDefault="00CC0E9F" w:rsidP="00C3657D">
      <w:pPr>
        <w:widowControl/>
        <w:autoSpaceDE/>
        <w:autoSpaceDN/>
        <w:adjustRightInd/>
        <w:spacing w:after="160" w:line="259" w:lineRule="auto"/>
        <w:jc w:val="both"/>
        <w:rPr>
          <w:rFonts w:ascii="Palatino Linotype" w:hAnsi="Palatino Linotype"/>
          <w:color w:val="auto"/>
        </w:rPr>
      </w:pPr>
    </w:p>
    <w:p w14:paraId="173DCFD1" w14:textId="70CF8E53" w:rsidR="004B4D6A" w:rsidRPr="00E461D0" w:rsidRDefault="004B4D6A" w:rsidP="004B4D6A">
      <w:pPr>
        <w:jc w:val="both"/>
        <w:rPr>
          <w:rFonts w:ascii="Palatino Linotype" w:hAnsi="Palatino Linotype"/>
          <w:color w:val="auto"/>
        </w:rPr>
      </w:pPr>
      <w:r w:rsidRPr="00E461D0">
        <w:rPr>
          <w:rFonts w:ascii="Palatino Linotype" w:hAnsi="Palatino Linotype"/>
          <w:b/>
          <w:color w:val="auto"/>
        </w:rPr>
        <w:t>Año 2016</w:t>
      </w:r>
      <w:r w:rsidRPr="00E461D0">
        <w:rPr>
          <w:rFonts w:ascii="Palatino Linotype" w:hAnsi="Palatino Linotype"/>
          <w:color w:val="auto"/>
        </w:rPr>
        <w:t>, ejercicio cerrado según normas contables vigentes donde no estaban contemplados los efectos de la inflación:</w:t>
      </w:r>
    </w:p>
    <w:p w14:paraId="7FF63935" w14:textId="77777777" w:rsidR="00701D94" w:rsidRPr="00E461D0" w:rsidRDefault="00701D94" w:rsidP="00FA6FBF">
      <w:pPr>
        <w:jc w:val="both"/>
        <w:rPr>
          <w:rFonts w:ascii="Palatino Linotype" w:hAnsi="Palatino Linotype"/>
          <w:color w:val="auto"/>
        </w:rPr>
      </w:pPr>
    </w:p>
    <w:p w14:paraId="1E97D584" w14:textId="77777777" w:rsidR="00CC0E9F" w:rsidRPr="00E461D0" w:rsidRDefault="00CC0E9F" w:rsidP="00CC0E9F">
      <w:pPr>
        <w:jc w:val="both"/>
        <w:rPr>
          <w:rFonts w:ascii="Palatino Linotype" w:hAnsi="Palatino Linotype"/>
          <w:color w:val="auto"/>
        </w:rPr>
      </w:pPr>
      <w:r w:rsidRPr="00E461D0">
        <w:rPr>
          <w:rFonts w:ascii="Palatino Linotype" w:hAnsi="Palatino Linotype"/>
          <w:color w:val="auto"/>
        </w:rPr>
        <w:t>- Ingresos Netos (ventas)                                                              $6.</w:t>
      </w:r>
      <w:r w:rsidR="00995B08" w:rsidRPr="00E461D0">
        <w:rPr>
          <w:rFonts w:ascii="Palatino Linotype" w:hAnsi="Palatino Linotype"/>
          <w:color w:val="auto"/>
        </w:rPr>
        <w:t>319.738</w:t>
      </w:r>
    </w:p>
    <w:p w14:paraId="41E6F528" w14:textId="77777777" w:rsidR="00CC0E9F" w:rsidRPr="00E461D0" w:rsidRDefault="00CC0E9F" w:rsidP="00CC0E9F">
      <w:pPr>
        <w:jc w:val="both"/>
        <w:rPr>
          <w:rFonts w:ascii="Palatino Linotype" w:hAnsi="Palatino Linotype"/>
          <w:color w:val="auto"/>
        </w:rPr>
      </w:pPr>
    </w:p>
    <w:p w14:paraId="5457CEF4" w14:textId="77777777" w:rsidR="00CC0E9F" w:rsidRPr="00E461D0" w:rsidRDefault="00CC0E9F" w:rsidP="00CC0E9F">
      <w:pPr>
        <w:jc w:val="both"/>
        <w:rPr>
          <w:rFonts w:ascii="Palatino Linotype" w:hAnsi="Palatino Linotype"/>
          <w:color w:val="auto"/>
        </w:rPr>
      </w:pPr>
      <w:r w:rsidRPr="00E461D0">
        <w:rPr>
          <w:rFonts w:ascii="Palatino Linotype" w:hAnsi="Palatino Linotype"/>
          <w:color w:val="auto"/>
        </w:rPr>
        <w:t xml:space="preserve">- Resultado operativo                                                            </w:t>
      </w:r>
      <w:r w:rsidR="00995B08" w:rsidRPr="00E461D0">
        <w:rPr>
          <w:rFonts w:ascii="Palatino Linotype" w:hAnsi="Palatino Linotype"/>
          <w:color w:val="auto"/>
        </w:rPr>
        <w:t xml:space="preserve"> </w:t>
      </w:r>
      <w:r w:rsidRPr="00E461D0">
        <w:rPr>
          <w:rFonts w:ascii="Palatino Linotype" w:hAnsi="Palatino Linotype"/>
          <w:color w:val="auto"/>
        </w:rPr>
        <w:t xml:space="preserve">     ($</w:t>
      </w:r>
      <w:r w:rsidR="00F95FA9" w:rsidRPr="00E461D0">
        <w:rPr>
          <w:rFonts w:ascii="Palatino Linotype" w:hAnsi="Palatino Linotype"/>
          <w:color w:val="auto"/>
        </w:rPr>
        <w:t>7.696.214</w:t>
      </w:r>
      <w:r w:rsidRPr="00E461D0">
        <w:rPr>
          <w:rFonts w:ascii="Palatino Linotype" w:hAnsi="Palatino Linotype"/>
          <w:color w:val="auto"/>
        </w:rPr>
        <w:t>)</w:t>
      </w:r>
    </w:p>
    <w:p w14:paraId="47AB5529" w14:textId="77777777" w:rsidR="00CC0E9F" w:rsidRPr="00E461D0" w:rsidRDefault="00CC0E9F" w:rsidP="00CC0E9F">
      <w:pPr>
        <w:jc w:val="both"/>
        <w:rPr>
          <w:rFonts w:ascii="Palatino Linotype" w:hAnsi="Palatino Linotype"/>
          <w:color w:val="auto"/>
        </w:rPr>
      </w:pPr>
    </w:p>
    <w:p w14:paraId="12EEDCAA" w14:textId="77777777" w:rsidR="00CC0E9F" w:rsidRPr="00E461D0" w:rsidRDefault="00CC0E9F" w:rsidP="00CC0E9F">
      <w:pPr>
        <w:jc w:val="both"/>
        <w:rPr>
          <w:rFonts w:ascii="Palatino Linotype" w:hAnsi="Palatino Linotype"/>
          <w:color w:val="auto"/>
        </w:rPr>
      </w:pPr>
      <w:r w:rsidRPr="00E461D0">
        <w:rPr>
          <w:rFonts w:ascii="Palatino Linotype" w:hAnsi="Palatino Linotype"/>
          <w:color w:val="auto"/>
        </w:rPr>
        <w:t>- Resultado después de resultados financieros                        $</w:t>
      </w:r>
      <w:r w:rsidR="00995B08" w:rsidRPr="00E461D0">
        <w:rPr>
          <w:rFonts w:ascii="Palatino Linotype" w:hAnsi="Palatino Linotype"/>
          <w:color w:val="auto"/>
        </w:rPr>
        <w:t>32.662.063</w:t>
      </w:r>
    </w:p>
    <w:p w14:paraId="70942645" w14:textId="77777777" w:rsidR="00CC0E9F" w:rsidRPr="00E461D0" w:rsidRDefault="00CC0E9F" w:rsidP="00CC0E9F">
      <w:pPr>
        <w:jc w:val="both"/>
        <w:rPr>
          <w:rFonts w:ascii="Palatino Linotype" w:hAnsi="Palatino Linotype"/>
          <w:color w:val="auto"/>
        </w:rPr>
      </w:pPr>
    </w:p>
    <w:p w14:paraId="7E8D0DF6" w14:textId="77777777" w:rsidR="00CC0E9F" w:rsidRPr="00E461D0" w:rsidRDefault="00CC0E9F" w:rsidP="00CC0E9F">
      <w:pPr>
        <w:jc w:val="both"/>
        <w:rPr>
          <w:rFonts w:ascii="Palatino Linotype" w:hAnsi="Palatino Linotype"/>
          <w:color w:val="auto"/>
        </w:rPr>
      </w:pPr>
      <w:r w:rsidRPr="00E461D0">
        <w:rPr>
          <w:rFonts w:ascii="Palatino Linotype" w:hAnsi="Palatino Linotype"/>
          <w:color w:val="auto"/>
        </w:rPr>
        <w:t>- Resultado neto                                                                            $</w:t>
      </w:r>
      <w:r w:rsidR="00995B08" w:rsidRPr="00E461D0">
        <w:rPr>
          <w:rFonts w:ascii="Palatino Linotype" w:hAnsi="Palatino Linotype"/>
          <w:color w:val="auto"/>
        </w:rPr>
        <w:t>31.945.103</w:t>
      </w:r>
    </w:p>
    <w:p w14:paraId="045DA1F6" w14:textId="77777777" w:rsidR="00CC0E9F" w:rsidRPr="00E461D0" w:rsidRDefault="00CC0E9F" w:rsidP="00CC0E9F">
      <w:pPr>
        <w:jc w:val="both"/>
        <w:rPr>
          <w:rFonts w:ascii="Palatino Linotype" w:hAnsi="Palatino Linotype"/>
          <w:color w:val="auto"/>
        </w:rPr>
      </w:pPr>
    </w:p>
    <w:p w14:paraId="171B1D22" w14:textId="77777777" w:rsidR="00CC0E9F" w:rsidRPr="00E461D0" w:rsidRDefault="00CC0E9F" w:rsidP="00CC0E9F">
      <w:pPr>
        <w:jc w:val="both"/>
        <w:rPr>
          <w:rFonts w:ascii="Palatino Linotype" w:hAnsi="Palatino Linotype"/>
          <w:color w:val="auto"/>
        </w:rPr>
      </w:pPr>
      <w:r w:rsidRPr="00E461D0">
        <w:rPr>
          <w:rFonts w:ascii="Palatino Linotype" w:hAnsi="Palatino Linotype"/>
          <w:color w:val="auto"/>
        </w:rPr>
        <w:t>3) Síntesis de situación patrimonial:</w:t>
      </w:r>
    </w:p>
    <w:p w14:paraId="06394EC3" w14:textId="77777777" w:rsidR="00CC0E9F" w:rsidRPr="00E461D0" w:rsidRDefault="00CC0E9F" w:rsidP="00CC0E9F">
      <w:pPr>
        <w:jc w:val="both"/>
        <w:rPr>
          <w:rFonts w:ascii="Palatino Linotype" w:hAnsi="Palatino Linotype"/>
          <w:color w:val="auto"/>
        </w:rPr>
      </w:pPr>
    </w:p>
    <w:p w14:paraId="5F8F4529" w14:textId="77777777" w:rsidR="00CC0E9F" w:rsidRPr="00E461D0" w:rsidRDefault="00CC0E9F" w:rsidP="00CC0E9F">
      <w:pPr>
        <w:jc w:val="both"/>
        <w:rPr>
          <w:rFonts w:ascii="Palatino Linotype" w:hAnsi="Palatino Linotype"/>
          <w:color w:val="auto"/>
        </w:rPr>
      </w:pPr>
      <w:r w:rsidRPr="00E461D0">
        <w:rPr>
          <w:rFonts w:ascii="Palatino Linotype" w:hAnsi="Palatino Linotype"/>
          <w:color w:val="auto"/>
        </w:rPr>
        <w:t>- Activos                                                                                         $</w:t>
      </w:r>
      <w:r w:rsidR="00995B08" w:rsidRPr="00E461D0">
        <w:rPr>
          <w:rFonts w:ascii="Palatino Linotype" w:hAnsi="Palatino Linotype"/>
          <w:color w:val="auto"/>
        </w:rPr>
        <w:t>169.815.749</w:t>
      </w:r>
    </w:p>
    <w:p w14:paraId="165D2A30" w14:textId="77777777" w:rsidR="00CC0E9F" w:rsidRPr="00E461D0" w:rsidRDefault="00CC0E9F" w:rsidP="00CC0E9F">
      <w:pPr>
        <w:jc w:val="both"/>
        <w:rPr>
          <w:rFonts w:ascii="Palatino Linotype" w:hAnsi="Palatino Linotype"/>
          <w:color w:val="auto"/>
        </w:rPr>
      </w:pPr>
    </w:p>
    <w:p w14:paraId="0F282352" w14:textId="77777777" w:rsidR="00CC0E9F" w:rsidRPr="00E461D0" w:rsidRDefault="00CC0E9F" w:rsidP="00CC0E9F">
      <w:pPr>
        <w:jc w:val="both"/>
        <w:rPr>
          <w:rFonts w:ascii="Palatino Linotype" w:hAnsi="Palatino Linotype"/>
          <w:color w:val="auto"/>
        </w:rPr>
      </w:pPr>
      <w:r w:rsidRPr="00E461D0">
        <w:rPr>
          <w:rFonts w:ascii="Palatino Linotype" w:hAnsi="Palatino Linotype"/>
          <w:color w:val="auto"/>
        </w:rPr>
        <w:t xml:space="preserve">- Pasivos                                                                                  </w:t>
      </w:r>
      <w:r w:rsidR="00995B08" w:rsidRPr="00E461D0">
        <w:rPr>
          <w:rFonts w:ascii="Palatino Linotype" w:hAnsi="Palatino Linotype"/>
          <w:color w:val="auto"/>
        </w:rPr>
        <w:t xml:space="preserve">    </w:t>
      </w:r>
      <w:r w:rsidRPr="00E461D0">
        <w:rPr>
          <w:rFonts w:ascii="Palatino Linotype" w:hAnsi="Palatino Linotype"/>
          <w:color w:val="auto"/>
        </w:rPr>
        <w:t xml:space="preserve">   $</w:t>
      </w:r>
      <w:r w:rsidR="00995B08" w:rsidRPr="00E461D0">
        <w:rPr>
          <w:rFonts w:ascii="Palatino Linotype" w:hAnsi="Palatino Linotype"/>
          <w:color w:val="auto"/>
        </w:rPr>
        <w:t>104.121.728</w:t>
      </w:r>
    </w:p>
    <w:p w14:paraId="11DFB6E4" w14:textId="77777777" w:rsidR="00CC0E9F" w:rsidRPr="00E461D0" w:rsidRDefault="00CC0E9F" w:rsidP="00CC0E9F">
      <w:pPr>
        <w:jc w:val="both"/>
        <w:rPr>
          <w:rFonts w:ascii="Palatino Linotype" w:hAnsi="Palatino Linotype"/>
          <w:color w:val="auto"/>
        </w:rPr>
      </w:pPr>
    </w:p>
    <w:p w14:paraId="4E7801D9" w14:textId="77777777" w:rsidR="00CC0E9F" w:rsidRPr="00E461D0" w:rsidRDefault="00CC0E9F" w:rsidP="00CC0E9F">
      <w:pPr>
        <w:widowControl/>
        <w:autoSpaceDE/>
        <w:autoSpaceDN/>
        <w:adjustRightInd/>
        <w:spacing w:after="160" w:line="259" w:lineRule="auto"/>
        <w:jc w:val="both"/>
        <w:rPr>
          <w:rFonts w:ascii="Palatino Linotype" w:hAnsi="Palatino Linotype"/>
          <w:color w:val="auto"/>
        </w:rPr>
      </w:pPr>
      <w:r w:rsidRPr="00E461D0">
        <w:rPr>
          <w:rFonts w:ascii="Palatino Linotype" w:hAnsi="Palatino Linotype"/>
          <w:color w:val="auto"/>
        </w:rPr>
        <w:t>- Patrimonio Neto (discriminado)                                               $</w:t>
      </w:r>
      <w:r w:rsidR="00995B08" w:rsidRPr="00E461D0">
        <w:rPr>
          <w:rFonts w:ascii="Palatino Linotype" w:hAnsi="Palatino Linotype"/>
          <w:color w:val="auto"/>
        </w:rPr>
        <w:t>65.694.021</w:t>
      </w:r>
    </w:p>
    <w:p w14:paraId="6CEBC46F" w14:textId="77777777" w:rsidR="00CC0E9F" w:rsidRPr="00E461D0" w:rsidRDefault="00CC0E9F" w:rsidP="00CC0E9F">
      <w:pPr>
        <w:widowControl/>
        <w:autoSpaceDE/>
        <w:autoSpaceDN/>
        <w:adjustRightInd/>
        <w:spacing w:after="160" w:line="259" w:lineRule="auto"/>
        <w:jc w:val="both"/>
        <w:rPr>
          <w:rFonts w:ascii="Palatino Linotype" w:hAnsi="Palatino Linotype"/>
          <w:color w:val="auto"/>
        </w:rPr>
      </w:pPr>
      <w:r w:rsidRPr="00E461D0">
        <w:rPr>
          <w:rFonts w:ascii="Palatino Linotype" w:hAnsi="Palatino Linotype"/>
          <w:color w:val="auto"/>
        </w:rPr>
        <w:t>- Capital                                                           $18.143.646</w:t>
      </w:r>
    </w:p>
    <w:p w14:paraId="2BDBD807" w14:textId="77777777" w:rsidR="00CC0E9F" w:rsidRPr="00E461D0" w:rsidRDefault="00CC0E9F" w:rsidP="00CC0E9F">
      <w:pPr>
        <w:widowControl/>
        <w:autoSpaceDE/>
        <w:autoSpaceDN/>
        <w:adjustRightInd/>
        <w:spacing w:after="160" w:line="259" w:lineRule="auto"/>
        <w:jc w:val="both"/>
        <w:rPr>
          <w:rFonts w:ascii="Palatino Linotype" w:hAnsi="Palatino Linotype"/>
          <w:color w:val="auto"/>
        </w:rPr>
      </w:pPr>
      <w:r w:rsidRPr="00E461D0">
        <w:rPr>
          <w:rFonts w:ascii="Palatino Linotype" w:hAnsi="Palatino Linotype"/>
          <w:color w:val="auto"/>
        </w:rPr>
        <w:t>- Reserva Legal                                                     $435.000</w:t>
      </w:r>
    </w:p>
    <w:p w14:paraId="2BFB4834" w14:textId="77777777" w:rsidR="00CC0E9F" w:rsidRPr="00E461D0" w:rsidRDefault="00CC0E9F" w:rsidP="00CC0E9F">
      <w:pPr>
        <w:widowControl/>
        <w:autoSpaceDE/>
        <w:autoSpaceDN/>
        <w:adjustRightInd/>
        <w:spacing w:after="160" w:line="259" w:lineRule="auto"/>
        <w:jc w:val="both"/>
        <w:rPr>
          <w:rFonts w:ascii="Palatino Linotype" w:hAnsi="Palatino Linotype"/>
          <w:color w:val="auto"/>
        </w:rPr>
      </w:pPr>
      <w:r w:rsidRPr="00E461D0">
        <w:rPr>
          <w:rFonts w:ascii="Palatino Linotype" w:hAnsi="Palatino Linotype"/>
          <w:color w:val="auto"/>
        </w:rPr>
        <w:t>- Otras reservas                                                 $2.517.997</w:t>
      </w:r>
    </w:p>
    <w:p w14:paraId="620DCD8D" w14:textId="77777777" w:rsidR="00CC0E9F" w:rsidRPr="00E461D0" w:rsidRDefault="00CC0E9F" w:rsidP="00CC0E9F">
      <w:pPr>
        <w:widowControl/>
        <w:autoSpaceDE/>
        <w:autoSpaceDN/>
        <w:adjustRightInd/>
        <w:spacing w:after="160" w:line="259" w:lineRule="auto"/>
        <w:jc w:val="both"/>
        <w:rPr>
          <w:rFonts w:ascii="Palatino Linotype" w:hAnsi="Palatino Linotype"/>
          <w:color w:val="auto"/>
        </w:rPr>
      </w:pPr>
      <w:r w:rsidRPr="00E461D0">
        <w:rPr>
          <w:rFonts w:ascii="Palatino Linotype" w:hAnsi="Palatino Linotype"/>
          <w:color w:val="auto"/>
        </w:rPr>
        <w:t xml:space="preserve">- Reserva especial                                        </w:t>
      </w:r>
      <w:r w:rsidR="00995B08" w:rsidRPr="00E461D0">
        <w:rPr>
          <w:rFonts w:ascii="Palatino Linotype" w:hAnsi="Palatino Linotype"/>
          <w:color w:val="auto"/>
        </w:rPr>
        <w:t xml:space="preserve">    $12.652.275</w:t>
      </w:r>
    </w:p>
    <w:p w14:paraId="4211F10B" w14:textId="4C5F7260" w:rsidR="00C97B2A" w:rsidRPr="00E461D0" w:rsidRDefault="00CC0E9F" w:rsidP="00CC0E9F">
      <w:pPr>
        <w:widowControl/>
        <w:autoSpaceDE/>
        <w:autoSpaceDN/>
        <w:adjustRightInd/>
        <w:spacing w:after="160" w:line="259" w:lineRule="auto"/>
        <w:jc w:val="both"/>
        <w:rPr>
          <w:rFonts w:ascii="Palatino Linotype" w:hAnsi="Palatino Linotype"/>
        </w:rPr>
        <w:sectPr w:rsidR="00C97B2A" w:rsidRPr="00E461D0">
          <w:pgSz w:w="12240" w:h="15840"/>
          <w:pgMar w:top="1417" w:right="1701" w:bottom="1417" w:left="1701" w:header="708" w:footer="708" w:gutter="0"/>
          <w:cols w:space="708"/>
          <w:docGrid w:linePitch="360"/>
        </w:sectPr>
      </w:pPr>
      <w:r w:rsidRPr="00E461D0">
        <w:rPr>
          <w:rFonts w:ascii="Palatino Linotype" w:hAnsi="Palatino Linotype"/>
          <w:color w:val="auto"/>
        </w:rPr>
        <w:t>- Resultados no asignados                              $</w:t>
      </w:r>
      <w:r w:rsidR="00995B08" w:rsidRPr="00E461D0">
        <w:rPr>
          <w:rFonts w:ascii="Palatino Linotype" w:hAnsi="Palatino Linotype"/>
          <w:color w:val="auto"/>
        </w:rPr>
        <w:t>31.945.103</w:t>
      </w:r>
      <w:r w:rsidRPr="00E461D0">
        <w:rPr>
          <w:rFonts w:ascii="Palatino Linotype" w:hAnsi="Palatino Linotype"/>
          <w:color w:val="auto"/>
        </w:rPr>
        <w:t xml:space="preserve">  </w:t>
      </w:r>
      <w:r w:rsidR="00C3657D" w:rsidRPr="00E461D0">
        <w:rPr>
          <w:rFonts w:ascii="Palatino Linotype" w:hAnsi="Palatino Linotype"/>
          <w:color w:val="auto"/>
        </w:rPr>
        <w:t xml:space="preserve">         </w:t>
      </w:r>
      <w:r w:rsidR="00C45D67" w:rsidRPr="00E461D0">
        <w:rPr>
          <w:rFonts w:ascii="Palatino Linotype" w:hAnsi="Palatino Linotype"/>
        </w:rPr>
        <w:t xml:space="preserve">   </w:t>
      </w:r>
    </w:p>
    <w:p w14:paraId="50183693" w14:textId="77777777" w:rsidR="00BE2390" w:rsidRPr="00E461D0" w:rsidRDefault="00C22F9B" w:rsidP="003C15F8">
      <w:pPr>
        <w:pStyle w:val="Ttulo1"/>
      </w:pPr>
      <w:bookmarkStart w:id="13" w:name="_Toc535599651"/>
      <w:bookmarkStart w:id="14" w:name="_Toc23325151"/>
      <w:r w:rsidRPr="00E461D0">
        <w:t xml:space="preserve">VII. </w:t>
      </w:r>
      <w:r w:rsidR="00BE2390" w:rsidRPr="00E461D0">
        <w:t>DE LA OFERTA Y LA NEGOCIACIÓN</w:t>
      </w:r>
      <w:bookmarkEnd w:id="13"/>
      <w:bookmarkEnd w:id="14"/>
    </w:p>
    <w:p w14:paraId="4BF28888" w14:textId="77777777" w:rsidR="00BE2390" w:rsidRPr="00E461D0" w:rsidRDefault="00BE2390" w:rsidP="00BE2390">
      <w:pPr>
        <w:widowControl/>
        <w:autoSpaceDE/>
        <w:autoSpaceDN/>
        <w:adjustRightInd/>
        <w:spacing w:after="160" w:line="259" w:lineRule="auto"/>
        <w:jc w:val="both"/>
        <w:rPr>
          <w:rFonts w:ascii="Palatino Linotype" w:hAnsi="Palatino Linotype"/>
        </w:rPr>
      </w:pPr>
    </w:p>
    <w:p w14:paraId="326CAF29" w14:textId="77777777" w:rsidR="00BE2390" w:rsidRPr="00E461D0" w:rsidRDefault="00BE2390" w:rsidP="00BE2390">
      <w:pPr>
        <w:widowControl/>
        <w:autoSpaceDE/>
        <w:autoSpaceDN/>
        <w:adjustRightInd/>
        <w:spacing w:after="160" w:line="259" w:lineRule="auto"/>
        <w:jc w:val="both"/>
        <w:rPr>
          <w:rFonts w:ascii="Palatino Linotype" w:hAnsi="Palatino Linotype"/>
          <w:b/>
        </w:rPr>
      </w:pPr>
      <w:r w:rsidRPr="00E461D0">
        <w:rPr>
          <w:rFonts w:ascii="Palatino Linotype" w:hAnsi="Palatino Linotype"/>
          <w:b/>
        </w:rPr>
        <w:t>1)</w:t>
      </w:r>
      <w:r w:rsidRPr="00E461D0">
        <w:rPr>
          <w:rFonts w:ascii="Palatino Linotype" w:hAnsi="Palatino Linotype"/>
          <w:b/>
        </w:rPr>
        <w:tab/>
        <w:t>Detalles de la oferta y la negociación</w:t>
      </w:r>
    </w:p>
    <w:p w14:paraId="0E888500" w14:textId="77777777"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 xml:space="preserve">A continuación se detallan los términos y condiciones generales de las Obligaciones Negociables PyME que la Sociedad podrá emitir en el marco del presente Programa, los cuales serán complementados y/o modificados por los términos y condiciones específicos de cada clase y/o serie que se detallen en los Suplementos de </w:t>
      </w:r>
      <w:r w:rsidR="00B3792D" w:rsidRPr="00E461D0">
        <w:rPr>
          <w:rFonts w:ascii="Palatino Linotype" w:hAnsi="Palatino Linotype"/>
        </w:rPr>
        <w:t>Prospecto</w:t>
      </w:r>
      <w:r w:rsidRPr="00E461D0">
        <w:rPr>
          <w:rFonts w:ascii="Palatino Linotype" w:hAnsi="Palatino Linotype"/>
        </w:rPr>
        <w:t xml:space="preserve"> correspondientes a las Clases y/o Series en cuestión. </w:t>
      </w:r>
    </w:p>
    <w:p w14:paraId="266300F5" w14:textId="77777777"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 xml:space="preserve">Los Suplementos de </w:t>
      </w:r>
      <w:r w:rsidR="00B3792D" w:rsidRPr="00E461D0">
        <w:rPr>
          <w:rFonts w:ascii="Palatino Linotype" w:hAnsi="Palatino Linotype"/>
        </w:rPr>
        <w:t>Prospecto</w:t>
      </w:r>
      <w:r w:rsidRPr="00E461D0">
        <w:rPr>
          <w:rFonts w:ascii="Palatino Linotype" w:hAnsi="Palatino Linotype"/>
        </w:rPr>
        <w:t xml:space="preserve"> detallarán, respecto de las Clases y/o Series a las cuales correspondan, los términos y condiciones específicos de tales Clases y/o Series que, en la medida que así se especifique en los mismos o en la medida en que sean incompatibles con los términos y condiciones generales descriptos a continuación, complementarán y/o modificarán, solamente respecto de dichas Clases y/o Series, los presentes términos y condiciones generales de las Obligaciones Negociables Py</w:t>
      </w:r>
      <w:r w:rsidR="00487404" w:rsidRPr="00E461D0">
        <w:rPr>
          <w:rFonts w:ascii="Palatino Linotype" w:hAnsi="Palatino Linotype"/>
        </w:rPr>
        <w:t>ME</w:t>
      </w:r>
      <w:r w:rsidRPr="00E461D0">
        <w:rPr>
          <w:rFonts w:ascii="Palatino Linotype" w:hAnsi="Palatino Linotype"/>
        </w:rPr>
        <w:t>.</w:t>
      </w:r>
    </w:p>
    <w:p w14:paraId="3F287412" w14:textId="77777777" w:rsidR="00BE2390" w:rsidRPr="00E461D0" w:rsidRDefault="00BE2390" w:rsidP="00BE2390">
      <w:pPr>
        <w:widowControl/>
        <w:autoSpaceDE/>
        <w:autoSpaceDN/>
        <w:adjustRightInd/>
        <w:spacing w:after="160" w:line="259" w:lineRule="auto"/>
        <w:jc w:val="both"/>
        <w:rPr>
          <w:rFonts w:ascii="Palatino Linotype" w:hAnsi="Palatino Linotype"/>
          <w:b/>
        </w:rPr>
      </w:pPr>
      <w:r w:rsidRPr="00E461D0">
        <w:rPr>
          <w:rFonts w:ascii="Palatino Linotype" w:hAnsi="Palatino Linotype"/>
          <w:b/>
        </w:rPr>
        <w:t>Descripción de las Obligaciones Negociables PyME</w:t>
      </w:r>
    </w:p>
    <w:p w14:paraId="0DF9B1CE" w14:textId="77777777"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 xml:space="preserve">Las Obligaciones Negociables PyME podrán ser emitidas periódicamente en una o más Clases. Dentro de cada Clase, la Compañía podrá emitir Series de las Obligaciones Negociables PyME sujetas a los términos idénticos a los de las demás Series de dicha Clase, salvo la fecha de emisión y liquidación, monto, precio, tasa de interés, leyendas de circulación restringida y fecha de pago de intereses inicial; condiciones que podrán variar. </w:t>
      </w:r>
    </w:p>
    <w:p w14:paraId="3F26E874" w14:textId="5402A7E6"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Las Obligaciones Negociables Py</w:t>
      </w:r>
      <w:r w:rsidR="00487404" w:rsidRPr="00E461D0">
        <w:rPr>
          <w:rFonts w:ascii="Palatino Linotype" w:hAnsi="Palatino Linotype"/>
        </w:rPr>
        <w:t xml:space="preserve">ME </w:t>
      </w:r>
      <w:r w:rsidRPr="00E461D0">
        <w:rPr>
          <w:rFonts w:ascii="Palatino Linotype" w:hAnsi="Palatino Linotype"/>
        </w:rPr>
        <w:t>de todas las Clases en un mismo momento en circulación en este Programa se encuentran limitadas al valor nominal total máximo de hasta $</w:t>
      </w:r>
      <w:r w:rsidR="0091601E" w:rsidRPr="00E461D0">
        <w:rPr>
          <w:rFonts w:ascii="Palatino Linotype" w:hAnsi="Palatino Linotype"/>
        </w:rPr>
        <w:t>2</w:t>
      </w:r>
      <w:r w:rsidRPr="00E461D0">
        <w:rPr>
          <w:rFonts w:ascii="Palatino Linotype" w:hAnsi="Palatino Linotype"/>
        </w:rPr>
        <w:t>00.000.000</w:t>
      </w:r>
      <w:r w:rsidR="000D59C6" w:rsidRPr="00E461D0">
        <w:rPr>
          <w:rFonts w:ascii="Palatino Linotype" w:hAnsi="Palatino Linotype"/>
        </w:rPr>
        <w:t xml:space="preserve"> (Pesos </w:t>
      </w:r>
      <w:r w:rsidR="0091601E" w:rsidRPr="00E461D0">
        <w:rPr>
          <w:rFonts w:ascii="Palatino Linotype" w:hAnsi="Palatino Linotype"/>
        </w:rPr>
        <w:t xml:space="preserve">doscientos </w:t>
      </w:r>
      <w:r w:rsidR="000D59C6" w:rsidRPr="00E461D0">
        <w:rPr>
          <w:rFonts w:ascii="Palatino Linotype" w:hAnsi="Palatino Linotype"/>
        </w:rPr>
        <w:t>millones)</w:t>
      </w:r>
      <w:r w:rsidRPr="00E461D0">
        <w:rPr>
          <w:rFonts w:ascii="Palatino Linotype" w:hAnsi="Palatino Linotype"/>
        </w:rPr>
        <w:t xml:space="preserve"> (o su equivalente en otras monedas). Los términos particulares de cada emisión de Obligaciones Negociables PyME, incluidos, entre otros, la fecha de emisión y liquidación, monto de emisión, precio de emisión, moneda de denominación y pago, fecha de vencimiento, tasa de interés o fórmula para calcular la tasa de interés variable, una tasa de interés base o de referencia, más un margen aplicable, y, de ser aplicable, las disposiciones sobre rescate y ajustes por índices, y plazos y formas de amortización pudiendo ser emitidas a corto, mediano y/o largo plazo, serán establecidos para cada una de tales emisiones en las Obligaciones Negociables Py</w:t>
      </w:r>
      <w:r w:rsidR="00DB40C1" w:rsidRPr="00E461D0">
        <w:rPr>
          <w:rFonts w:ascii="Palatino Linotype" w:hAnsi="Palatino Linotype"/>
        </w:rPr>
        <w:t>ME</w:t>
      </w:r>
      <w:r w:rsidRPr="00E461D0">
        <w:rPr>
          <w:rFonts w:ascii="Palatino Linotype" w:hAnsi="Palatino Linotype"/>
        </w:rPr>
        <w:t xml:space="preserve"> y en el respectivo </w:t>
      </w:r>
      <w:r w:rsidR="00B3792D" w:rsidRPr="00E461D0">
        <w:rPr>
          <w:rFonts w:ascii="Palatino Linotype" w:hAnsi="Palatino Linotype"/>
        </w:rPr>
        <w:t>Suplemento de Prospecto</w:t>
      </w:r>
      <w:r w:rsidRPr="00E461D0">
        <w:rPr>
          <w:rFonts w:ascii="Palatino Linotype" w:hAnsi="Palatino Linotype"/>
        </w:rPr>
        <w:t xml:space="preserve"> de cada Clase y/o Serie. </w:t>
      </w:r>
    </w:p>
    <w:p w14:paraId="52B081F5" w14:textId="07D85F74"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Las Obligaciones Negociables Py</w:t>
      </w:r>
      <w:r w:rsidR="00487404" w:rsidRPr="00E461D0">
        <w:rPr>
          <w:rFonts w:ascii="Palatino Linotype" w:hAnsi="Palatino Linotype"/>
        </w:rPr>
        <w:t>ME</w:t>
      </w:r>
      <w:r w:rsidRPr="00E461D0">
        <w:rPr>
          <w:rFonts w:ascii="Palatino Linotype" w:hAnsi="Palatino Linotype"/>
        </w:rPr>
        <w:t xml:space="preserve"> revestirán el carácter de obligaciones negociables simples, no convertibles en acciones en virtud de la Ley de Obligaciones Negociables, tendrán derecho a los beneficios allí establecidos y estarán sujetas a los requisitos de procedimiento dispuestos en la misma, en las Normas de la CNV, y en </w:t>
      </w:r>
      <w:r w:rsidR="00F0094D" w:rsidRPr="00E461D0">
        <w:rPr>
          <w:rFonts w:ascii="Palatino Linotype" w:hAnsi="Palatino Linotype"/>
        </w:rPr>
        <w:t xml:space="preserve">la Ley de Mercado de Capitales </w:t>
      </w:r>
      <w:r w:rsidRPr="00E461D0">
        <w:rPr>
          <w:rFonts w:ascii="Palatino Linotype" w:hAnsi="Palatino Linotype"/>
        </w:rPr>
        <w:t xml:space="preserve">y su reglamentación. Salvo que se detalle lo contrario en el respectivo </w:t>
      </w:r>
      <w:r w:rsidR="00B3792D" w:rsidRPr="00E461D0">
        <w:rPr>
          <w:rFonts w:ascii="Palatino Linotype" w:hAnsi="Palatino Linotype"/>
        </w:rPr>
        <w:t>Suplemento de Prospecto</w:t>
      </w:r>
      <w:r w:rsidRPr="00E461D0">
        <w:rPr>
          <w:rFonts w:ascii="Palatino Linotype" w:hAnsi="Palatino Linotype"/>
        </w:rPr>
        <w:t>, las Obligaciones Negociables Py</w:t>
      </w:r>
      <w:r w:rsidR="00487404" w:rsidRPr="00E461D0">
        <w:rPr>
          <w:rFonts w:ascii="Palatino Linotype" w:hAnsi="Palatino Linotype"/>
        </w:rPr>
        <w:t>ME</w:t>
      </w:r>
      <w:r w:rsidRPr="00E461D0">
        <w:rPr>
          <w:rFonts w:ascii="Palatino Linotype" w:hAnsi="Palatino Linotype"/>
        </w:rPr>
        <w:t xml:space="preserve"> constituirán obligaciones simples, incondicionales y no subordinadas, con garantía común, con al menos igual prioridad de pago en todo momento que la demás deuda no garantizada y no subordinada, existente y futura (salvo las obligaciones que gocen de preferencia por ley o de puro derecho). De así especificarlo el respectivo </w:t>
      </w:r>
      <w:r w:rsidR="00B3792D" w:rsidRPr="00E461D0">
        <w:rPr>
          <w:rFonts w:ascii="Palatino Linotype" w:hAnsi="Palatino Linotype"/>
        </w:rPr>
        <w:t>Suplemento de Prospecto</w:t>
      </w:r>
      <w:r w:rsidRPr="00E461D0">
        <w:rPr>
          <w:rFonts w:ascii="Palatino Linotype" w:hAnsi="Palatino Linotype"/>
        </w:rPr>
        <w:t xml:space="preserve">, la Sociedad podrá emitir, obligaciones negociables subordinadas que estarán en todo momento sujetas en su derecho de pago al pago de la deuda garantizada de la Sociedad y, en tanto allí se establezca en tal sentido, a cierta otra deuda no garantizada y no subordinada (así como a las obligaciones preferidas por ley o de puro derecho). Véase el punto “Rango”, más adelante. </w:t>
      </w:r>
    </w:p>
    <w:p w14:paraId="58766959" w14:textId="77777777" w:rsidR="00BE2390" w:rsidRPr="00E461D0" w:rsidRDefault="00BE2390" w:rsidP="00BE2390">
      <w:pPr>
        <w:widowControl/>
        <w:autoSpaceDE/>
        <w:autoSpaceDN/>
        <w:adjustRightInd/>
        <w:spacing w:after="160" w:line="259" w:lineRule="auto"/>
        <w:jc w:val="both"/>
        <w:rPr>
          <w:rFonts w:ascii="Palatino Linotype" w:hAnsi="Palatino Linotype"/>
          <w:b/>
        </w:rPr>
      </w:pPr>
      <w:r w:rsidRPr="00E461D0">
        <w:rPr>
          <w:rFonts w:ascii="Palatino Linotype" w:hAnsi="Palatino Linotype"/>
          <w:b/>
        </w:rPr>
        <w:t>Montos Adicionales</w:t>
      </w:r>
    </w:p>
    <w:p w14:paraId="51B450E6" w14:textId="77777777"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 xml:space="preserve">Todos los pagos de capital, prima o intereses que correspondan a la </w:t>
      </w:r>
      <w:r w:rsidR="00386CA1" w:rsidRPr="00E461D0">
        <w:rPr>
          <w:rFonts w:ascii="Palatino Linotype" w:hAnsi="Palatino Linotype"/>
        </w:rPr>
        <w:t>Compañía</w:t>
      </w:r>
      <w:r w:rsidRPr="00E461D0">
        <w:rPr>
          <w:rFonts w:ascii="Palatino Linotype" w:hAnsi="Palatino Linotype"/>
        </w:rPr>
        <w:t xml:space="preserve"> con respecto a las Obligaciones Negociables Py</w:t>
      </w:r>
      <w:r w:rsidR="00386CA1" w:rsidRPr="00E461D0">
        <w:rPr>
          <w:rFonts w:ascii="Palatino Linotype" w:hAnsi="Palatino Linotype"/>
        </w:rPr>
        <w:t>ME</w:t>
      </w:r>
      <w:r w:rsidRPr="00E461D0">
        <w:rPr>
          <w:rFonts w:ascii="Palatino Linotype" w:hAnsi="Palatino Linotype"/>
        </w:rPr>
        <w:t xml:space="preserve"> de cualquier Clase, serán efectuados sin deducción o retención por o en concepto de cualquier impuesto, multas, sanciones, aranceles, gravámenes u otras cargas públicas actuales o futuras de cualquier naturaleza determinados o gravados por Argentina o en su representación, o cualquier subdivisión política del país o cualquier autoridad con facultades para gravar impuestos (“</w:t>
      </w:r>
      <w:r w:rsidRPr="00E461D0">
        <w:rPr>
          <w:rFonts w:ascii="Palatino Linotype" w:hAnsi="Palatino Linotype"/>
          <w:u w:val="single"/>
        </w:rPr>
        <w:t>Impuestos Argentinos</w:t>
      </w:r>
      <w:r w:rsidRPr="00E461D0">
        <w:rPr>
          <w:rFonts w:ascii="Palatino Linotype" w:hAnsi="Palatino Linotype"/>
        </w:rPr>
        <w:t>”), salvo que la Sociedad estuviera obligada por ley a deducir o retener dichos Impuestos Argentinos.</w:t>
      </w:r>
    </w:p>
    <w:p w14:paraId="0D907208" w14:textId="12D29B51"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 xml:space="preserve">En tal caso, la </w:t>
      </w:r>
      <w:r w:rsidR="00386CA1" w:rsidRPr="00E461D0">
        <w:rPr>
          <w:rFonts w:ascii="Palatino Linotype" w:hAnsi="Palatino Linotype"/>
        </w:rPr>
        <w:t>Compañía</w:t>
      </w:r>
      <w:r w:rsidRPr="00E461D0">
        <w:rPr>
          <w:rFonts w:ascii="Palatino Linotype" w:hAnsi="Palatino Linotype"/>
        </w:rPr>
        <w:t xml:space="preserve"> pagará los montos adicionales respecto de Impuestos Argentinos que puedan ser necesarios para que los montos recibidos por los tenedores de dichas Obligaciones Negociables Py</w:t>
      </w:r>
      <w:r w:rsidR="00386CA1" w:rsidRPr="00E461D0">
        <w:rPr>
          <w:rFonts w:ascii="Palatino Linotype" w:hAnsi="Palatino Linotype"/>
        </w:rPr>
        <w:t>ME</w:t>
      </w:r>
      <w:r w:rsidRPr="00E461D0">
        <w:rPr>
          <w:rFonts w:ascii="Palatino Linotype" w:hAnsi="Palatino Linotype"/>
        </w:rPr>
        <w:t>, luego de dicha deducción o retención, sean iguales a los montos respectivos que habrían recibido al respecto de no haberse practicado dicha retención o deducción (los “</w:t>
      </w:r>
      <w:r w:rsidRPr="00E461D0">
        <w:rPr>
          <w:rFonts w:ascii="Palatino Linotype" w:hAnsi="Palatino Linotype"/>
          <w:u w:val="single"/>
        </w:rPr>
        <w:t>Montos Adicionales</w:t>
      </w:r>
      <w:r w:rsidRPr="00E461D0">
        <w:rPr>
          <w:rFonts w:ascii="Palatino Linotype" w:hAnsi="Palatino Linotype"/>
        </w:rPr>
        <w:t>”), con la excepción de que no</w:t>
      </w:r>
      <w:r w:rsidR="00386CA1" w:rsidRPr="00E461D0">
        <w:rPr>
          <w:rFonts w:ascii="Palatino Linotype" w:hAnsi="Palatino Linotype"/>
        </w:rPr>
        <w:t xml:space="preserve"> se pagarán Montos Adicionales: </w:t>
      </w:r>
      <w:r w:rsidRPr="00E461D0">
        <w:rPr>
          <w:rFonts w:ascii="Palatino Linotype" w:hAnsi="Palatino Linotype"/>
        </w:rPr>
        <w:t>(1) a un tenedor o titular beneficiario de una obligación negociable, o en su representación, que sea responsable de Impuestos Argentinos respecto de dicha Obligación Negociable con motivo de tener una vinculación actual o anterior con la Argentina que no sea la tenencia o titularidad de dicha Obligación Negociable o la ejecución de derechos respecto de dicha Obligación Negociable o la percepción de ingresos o pagos al respecto;</w:t>
      </w:r>
      <w:r w:rsidR="00386CA1" w:rsidRPr="00E461D0">
        <w:rPr>
          <w:rFonts w:ascii="Palatino Linotype" w:hAnsi="Palatino Linotype"/>
        </w:rPr>
        <w:t xml:space="preserve"> </w:t>
      </w:r>
      <w:r w:rsidRPr="00E461D0">
        <w:rPr>
          <w:rFonts w:ascii="Palatino Linotype" w:hAnsi="Palatino Linotype"/>
        </w:rPr>
        <w:t>(2) a un tenedor o titular beneficiario de una Obligación Negociable, o en su representación, respecto de Impuestos Argentinos que no habrían sido gravados de no ser por el incumplimiento del tenedor o titular beneficiario de una Obligación Negociable de cumplir con cualquier requisito de certificación, identificación, información, documentación u otro requisito de presentación de información (dentro de los 30 días calendario a un requerimiento de cumplimiento por escrito de la Sociedad al tenedor), si dicho cumplimiento fuera exigido por ley, regulación, práctica administrativa aplicable o un tratado aplicable como condición previa a la exención de los Impuestos Argentinos, o reducción en la alícuota de deducción o retención de Impuestos;</w:t>
      </w:r>
      <w:r w:rsidR="00386CA1" w:rsidRPr="00E461D0">
        <w:rPr>
          <w:rFonts w:ascii="Palatino Linotype" w:hAnsi="Palatino Linotype"/>
        </w:rPr>
        <w:t xml:space="preserve"> </w:t>
      </w:r>
      <w:r w:rsidRPr="00E461D0">
        <w:rPr>
          <w:rFonts w:ascii="Palatino Linotype" w:hAnsi="Palatino Linotype"/>
        </w:rPr>
        <w:t>(3) a un tenedor o titular beneficiario de una Obligación Negociable, o en su representación, respecto de cualquier impuesto sobre el patrimonio sucesorio, herencia, donación, venta, transferencia o impuesto o gravamen similar o carga pública;</w:t>
      </w:r>
      <w:r w:rsidR="00386CA1" w:rsidRPr="00E461D0">
        <w:rPr>
          <w:rFonts w:ascii="Palatino Linotype" w:hAnsi="Palatino Linotype"/>
        </w:rPr>
        <w:t xml:space="preserve"> </w:t>
      </w:r>
      <w:r w:rsidRPr="00E461D0">
        <w:rPr>
          <w:rFonts w:ascii="Palatino Linotype" w:hAnsi="Palatino Linotype"/>
        </w:rPr>
        <w:t>(4) a un tenedor o titular beneficiario de una Obligación Negociable, o en su representación, respecto de Impuestos Argentinos que resulten pagaderos de otra forma que no sea mediante retención del pago de capital, prima, si hubiera, o intereses sobre las Obligaciones Negociables Py</w:t>
      </w:r>
      <w:r w:rsidR="00487404" w:rsidRPr="00E461D0">
        <w:rPr>
          <w:rFonts w:ascii="Palatino Linotype" w:hAnsi="Palatino Linotype"/>
        </w:rPr>
        <w:t>ME</w:t>
      </w:r>
      <w:r w:rsidRPr="00E461D0">
        <w:rPr>
          <w:rFonts w:ascii="Palatino Linotype" w:hAnsi="Palatino Linotype"/>
        </w:rPr>
        <w:t>;</w:t>
      </w:r>
      <w:r w:rsidR="00386CA1" w:rsidRPr="00E461D0">
        <w:rPr>
          <w:rFonts w:ascii="Palatino Linotype" w:hAnsi="Palatino Linotype"/>
        </w:rPr>
        <w:t xml:space="preserve"> </w:t>
      </w:r>
      <w:r w:rsidRPr="00E461D0">
        <w:rPr>
          <w:rFonts w:ascii="Palatino Linotype" w:hAnsi="Palatino Linotype"/>
        </w:rPr>
        <w:t>(5) a un tenedor o titular beneficiario de una obligación negociable, o en su representación, respecto de Impuestos Argentinos que no habrían sido gravados de no ser por el hecho de que dicho tenedor presentó una obligación negociable para su pago (cuando se requiera la presentac</w:t>
      </w:r>
      <w:r w:rsidR="00F0094D" w:rsidRPr="00E461D0">
        <w:rPr>
          <w:rFonts w:ascii="Palatino Linotype" w:hAnsi="Palatino Linotype"/>
        </w:rPr>
        <w:t xml:space="preserve">ión) más de 30 días después de </w:t>
      </w:r>
      <w:r w:rsidRPr="00E461D0">
        <w:rPr>
          <w:rFonts w:ascii="Palatino Linotype" w:hAnsi="Palatino Linotype"/>
        </w:rPr>
        <w:t>la fecha de vencimiento del pago;</w:t>
      </w:r>
      <w:r w:rsidR="00386CA1" w:rsidRPr="00E461D0">
        <w:rPr>
          <w:rFonts w:ascii="Palatino Linotype" w:hAnsi="Palatino Linotype"/>
        </w:rPr>
        <w:t xml:space="preserve"> </w:t>
      </w:r>
      <w:r w:rsidRPr="00E461D0">
        <w:rPr>
          <w:rFonts w:ascii="Palatino Linotype" w:hAnsi="Palatino Linotype"/>
        </w:rPr>
        <w:t>(6) cualquier combinación de lo</w:t>
      </w:r>
      <w:r w:rsidR="00386CA1" w:rsidRPr="00E461D0">
        <w:rPr>
          <w:rFonts w:ascii="Palatino Linotype" w:hAnsi="Palatino Linotype"/>
        </w:rPr>
        <w:t>s puntos (1) a (5) anteriores.</w:t>
      </w:r>
    </w:p>
    <w:p w14:paraId="797354A6" w14:textId="77777777"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Tampoco se pagarán Montos Adicionales respecto de cualquier pago de capital o cualquier prima o intereses sobre Obligaciones Negociables Py</w:t>
      </w:r>
      <w:r w:rsidR="00487404" w:rsidRPr="00E461D0">
        <w:rPr>
          <w:rFonts w:ascii="Palatino Linotype" w:hAnsi="Palatino Linotype"/>
        </w:rPr>
        <w:t>ME</w:t>
      </w:r>
      <w:r w:rsidRPr="00E461D0">
        <w:rPr>
          <w:rFonts w:ascii="Palatino Linotype" w:hAnsi="Palatino Linotype"/>
        </w:rPr>
        <w:t xml:space="preserve"> a cualquier tenedor o titular beneficiario de una obligación negociable que sea un fiduciario, sociedad de personas, sociedad de responsabilidad limitada u otra que no sea el titular beneficiario exclusivo de dicho pago, en tanto las leyes de Argentina exigieran que dicho pago sea incluido en las ganancias imponibles de un beneficiario o fiduciante respecto de dicho fiduciario o socio de dicha sociedad de personas, sociedad de responsabilidad limitada o titular beneficiario que no habría tenido derecho a dichos Montos Adicionales de haber sido el tenedor directo de dichas Obligaciones Negociables Py</w:t>
      </w:r>
      <w:r w:rsidR="00487404" w:rsidRPr="00E461D0">
        <w:rPr>
          <w:rFonts w:ascii="Palatino Linotype" w:hAnsi="Palatino Linotype"/>
        </w:rPr>
        <w:t>ME</w:t>
      </w:r>
      <w:r w:rsidRPr="00E461D0">
        <w:rPr>
          <w:rFonts w:ascii="Palatino Linotype" w:hAnsi="Palatino Linotype"/>
        </w:rPr>
        <w:t>.</w:t>
      </w:r>
    </w:p>
    <w:p w14:paraId="588369E7" w14:textId="77777777"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 xml:space="preserve">Se considerará que todas las referencias en este Prospecto a capital, prima o intereses pagaderos en virtud del presente incluyen referencias a Montos Adicionales pagaderos respecto de dicho capital, prima o intereses. </w:t>
      </w:r>
    </w:p>
    <w:p w14:paraId="448297A9" w14:textId="77777777"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La Sociedad pagará inmediatamente a su vencimiento todo impuesto de sello, tasa judicial, impuestos sobre la documentación o cualquier impuesto indirecto o sobre los bienes, cargas o gravámenes similares, actuales o futuros, que surjan en cualquier jurisdicción de la firma, otorgamiento o registro de cada Obligación Negociable o cualquier otro documento, excluyendo los impuestos, cargas o gravámenes similares impuestos por cualquier jurisdicción fuera de Argentina, con la excepción de aquéllos resultantes o que deban pagarse en relación con la exigibilidad de dicha Obligación Negociable después de producirse y mientras esté vigente cualquier supuesto de incumplimiento.</w:t>
      </w:r>
    </w:p>
    <w:p w14:paraId="610118F1" w14:textId="77777777" w:rsidR="00BE2390" w:rsidRPr="00E461D0" w:rsidRDefault="00BE2390" w:rsidP="00BE2390">
      <w:pPr>
        <w:widowControl/>
        <w:autoSpaceDE/>
        <w:autoSpaceDN/>
        <w:adjustRightInd/>
        <w:spacing w:after="160" w:line="259" w:lineRule="auto"/>
        <w:jc w:val="both"/>
        <w:rPr>
          <w:rFonts w:ascii="Palatino Linotype" w:hAnsi="Palatino Linotype"/>
          <w:b/>
        </w:rPr>
      </w:pPr>
      <w:r w:rsidRPr="00E461D0">
        <w:rPr>
          <w:rFonts w:ascii="Palatino Linotype" w:hAnsi="Palatino Linotype"/>
          <w:b/>
        </w:rPr>
        <w:t>Compromisos</w:t>
      </w:r>
    </w:p>
    <w:p w14:paraId="0226BAA2" w14:textId="77777777"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 xml:space="preserve">La </w:t>
      </w:r>
      <w:r w:rsidR="00386CA1" w:rsidRPr="00E461D0">
        <w:rPr>
          <w:rFonts w:ascii="Palatino Linotype" w:hAnsi="Palatino Linotype"/>
        </w:rPr>
        <w:t>Compañía</w:t>
      </w:r>
      <w:r w:rsidRPr="00E461D0">
        <w:rPr>
          <w:rFonts w:ascii="Palatino Linotype" w:hAnsi="Palatino Linotype"/>
        </w:rPr>
        <w:t xml:space="preserve"> podrá asumir compromisos en relación a cada Clase y/o Serie de las Obligaciones Negociables Py</w:t>
      </w:r>
      <w:r w:rsidR="00386CA1" w:rsidRPr="00E461D0">
        <w:rPr>
          <w:rFonts w:ascii="Palatino Linotype" w:hAnsi="Palatino Linotype"/>
        </w:rPr>
        <w:t>ME</w:t>
      </w:r>
      <w:r w:rsidRPr="00E461D0">
        <w:rPr>
          <w:rFonts w:ascii="Palatino Linotype" w:hAnsi="Palatino Linotype"/>
        </w:rPr>
        <w:t xml:space="preserve">, los cuales se especificarán en el </w:t>
      </w:r>
      <w:r w:rsidR="00B3792D" w:rsidRPr="00E461D0">
        <w:rPr>
          <w:rFonts w:ascii="Palatino Linotype" w:hAnsi="Palatino Linotype"/>
        </w:rPr>
        <w:t>Suplemento de Prospecto</w:t>
      </w:r>
      <w:r w:rsidRPr="00E461D0">
        <w:rPr>
          <w:rFonts w:ascii="Palatino Linotype" w:hAnsi="Palatino Linotype"/>
        </w:rPr>
        <w:t xml:space="preserve"> aplicable a dicha Clase y/o Serie.</w:t>
      </w:r>
    </w:p>
    <w:p w14:paraId="22D28D9A" w14:textId="77777777" w:rsidR="00BE2390" w:rsidRPr="00E461D0" w:rsidRDefault="00BE2390" w:rsidP="00BE2390">
      <w:pPr>
        <w:widowControl/>
        <w:autoSpaceDE/>
        <w:autoSpaceDN/>
        <w:adjustRightInd/>
        <w:spacing w:after="160" w:line="259" w:lineRule="auto"/>
        <w:jc w:val="both"/>
        <w:rPr>
          <w:rFonts w:ascii="Palatino Linotype" w:hAnsi="Palatino Linotype"/>
          <w:b/>
        </w:rPr>
      </w:pPr>
      <w:r w:rsidRPr="00E461D0">
        <w:rPr>
          <w:rFonts w:ascii="Palatino Linotype" w:hAnsi="Palatino Linotype"/>
          <w:b/>
        </w:rPr>
        <w:t>Eventos de Incumplimiento</w:t>
      </w:r>
    </w:p>
    <w:p w14:paraId="028F21FF" w14:textId="77777777"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Salvo que en las condiciones de emisión de una Clase y/o Serie se establezca lo contrario, o se agregaren o modificaren causales, en caso de ocurrir y mantenerse vigente uno o varios de los siguientes eventos, cada uno de ellos constituirá un “</w:t>
      </w:r>
      <w:r w:rsidRPr="00E461D0">
        <w:rPr>
          <w:rFonts w:ascii="Palatino Linotype" w:hAnsi="Palatino Linotype"/>
          <w:u w:val="single"/>
        </w:rPr>
        <w:t>Evento de Incumplimiento</w:t>
      </w:r>
      <w:r w:rsidRPr="00E461D0">
        <w:rPr>
          <w:rFonts w:ascii="Palatino Linotype" w:hAnsi="Palatino Linotype"/>
        </w:rPr>
        <w:t>” respecto de una Clase y/o Serie de las Obligaciones Negociables Py</w:t>
      </w:r>
      <w:r w:rsidR="00386CA1" w:rsidRPr="00E461D0">
        <w:rPr>
          <w:rFonts w:ascii="Palatino Linotype" w:hAnsi="Palatino Linotype"/>
        </w:rPr>
        <w:t>ME</w:t>
      </w:r>
      <w:r w:rsidRPr="00E461D0">
        <w:rPr>
          <w:rFonts w:ascii="Palatino Linotype" w:hAnsi="Palatino Linotype"/>
        </w:rPr>
        <w:t xml:space="preserve"> de:</w:t>
      </w:r>
    </w:p>
    <w:p w14:paraId="4817DDF9" w14:textId="77777777"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(i)</w:t>
      </w:r>
      <w:r w:rsidRPr="00E461D0">
        <w:rPr>
          <w:rFonts w:ascii="Palatino Linotype" w:hAnsi="Palatino Linotype"/>
        </w:rPr>
        <w:tab/>
        <w:t>incumplimiento por parte de la Sociedad en el pago a su vencimiento de cualquier monto de capital adeudado respecto de las Obligaciones Negociables Py</w:t>
      </w:r>
      <w:r w:rsidR="00386CA1" w:rsidRPr="00E461D0">
        <w:rPr>
          <w:rFonts w:ascii="Palatino Linotype" w:hAnsi="Palatino Linotype"/>
        </w:rPr>
        <w:t>ME</w:t>
      </w:r>
      <w:r w:rsidRPr="00E461D0">
        <w:rPr>
          <w:rFonts w:ascii="Palatino Linotype" w:hAnsi="Palatino Linotype"/>
        </w:rPr>
        <w:t xml:space="preserve"> de una Clase y/o Serie, y dicho incumplimiento subsista durante un período de 30 días hábiles;</w:t>
      </w:r>
    </w:p>
    <w:p w14:paraId="56AB64FC" w14:textId="77777777"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(ii)</w:t>
      </w:r>
      <w:r w:rsidRPr="00E461D0">
        <w:rPr>
          <w:rFonts w:ascii="Palatino Linotype" w:hAnsi="Palatino Linotype"/>
        </w:rPr>
        <w:tab/>
        <w:t>incumplimiento por parte de la Sociedad en el pago a su vencimiento de cualquier monto de intereses, montos adicionales y/o cualquier otro monto adeudado, respecto de cualquier de las Obligaciones Negociables Py</w:t>
      </w:r>
      <w:r w:rsidR="00487404" w:rsidRPr="00E461D0">
        <w:rPr>
          <w:rFonts w:ascii="Palatino Linotype" w:hAnsi="Palatino Linotype"/>
        </w:rPr>
        <w:t>ME</w:t>
      </w:r>
      <w:r w:rsidRPr="00E461D0">
        <w:rPr>
          <w:rFonts w:ascii="Palatino Linotype" w:hAnsi="Palatino Linotype"/>
        </w:rPr>
        <w:t xml:space="preserve"> de una Clase y/o Serie, y dicho incumplimiento subsista durante un período de 30 días hábiles;</w:t>
      </w:r>
    </w:p>
    <w:p w14:paraId="084E0BFD" w14:textId="77777777"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(iii)</w:t>
      </w:r>
      <w:r w:rsidRPr="00E461D0">
        <w:rPr>
          <w:rFonts w:ascii="Palatino Linotype" w:hAnsi="Palatino Linotype"/>
        </w:rPr>
        <w:tab/>
        <w:t xml:space="preserve">la Sociedad (a) es declarada en concurso preventivo o quiebra mediante una sentencia firme dictada por un tribunal competente y/o es declarada en estado de cesación de pagos, y/o interrumpe y/o suspende el pago de la totalidad o de una parte significativa de sus deudas; (b) pide su propio concurso preventivo o quiebra conforme con las normas vigentes; (c) propone y/o celebra una cesión general y/o un acuerdo general con o para beneficio de sus acreedores con respecto a la totalidad o una parte significativa de sus deudas (incluyendo, sin limitación, cualquier acuerdo preventivo extrajudicial) y/o declara una moratoria con respecto a dichas deudas; (d) reconoce una cesación de pagos que afecte a la totalidad o una parte significativa de sus deudas; y/o (e) consiente la designación de un administrador y/o interventor de la Sociedad, respecto de la totalidad o una parte significativa de los activos y/o ingresos de la Sociedad. </w:t>
      </w:r>
    </w:p>
    <w:p w14:paraId="352EA6BA" w14:textId="77777777"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 xml:space="preserve">Si se produjere y subsistiere uno o más Eventos de Incumplimiento, salvo que se indicare de otro modo en el respectivo </w:t>
      </w:r>
      <w:r w:rsidR="00B3792D" w:rsidRPr="00E461D0">
        <w:rPr>
          <w:rFonts w:ascii="Palatino Linotype" w:hAnsi="Palatino Linotype"/>
        </w:rPr>
        <w:t>Suplemento de Prospecto</w:t>
      </w:r>
      <w:r w:rsidRPr="00E461D0">
        <w:rPr>
          <w:rFonts w:ascii="Palatino Linotype" w:hAnsi="Palatino Linotype"/>
        </w:rPr>
        <w:t xml:space="preserve"> de una Clase y/o Serie, los tenedores de las Obligaciones Negociables Py</w:t>
      </w:r>
      <w:r w:rsidR="00386CA1" w:rsidRPr="00E461D0">
        <w:rPr>
          <w:rFonts w:ascii="Palatino Linotype" w:hAnsi="Palatino Linotype"/>
        </w:rPr>
        <w:t>ME</w:t>
      </w:r>
      <w:r w:rsidRPr="00E461D0">
        <w:rPr>
          <w:rFonts w:ascii="Palatino Linotype" w:hAnsi="Palatino Linotype"/>
        </w:rPr>
        <w:t xml:space="preserve"> de la respectiva Clase y/o Serie que representen como mínimo el 75% del monto de capital total de las Obligaciones Negociables Py</w:t>
      </w:r>
      <w:r w:rsidR="00386CA1" w:rsidRPr="00E461D0">
        <w:rPr>
          <w:rFonts w:ascii="Palatino Linotype" w:hAnsi="Palatino Linotype"/>
        </w:rPr>
        <w:t>ME</w:t>
      </w:r>
      <w:r w:rsidRPr="00E461D0">
        <w:rPr>
          <w:rFonts w:ascii="Palatino Linotype" w:hAnsi="Palatino Linotype"/>
        </w:rPr>
        <w:t xml:space="preserve"> en circulación de dicha Clase y/o Serie podrán, mediante notificación escrita a la Sociedad, declarar la caducidad de los plazos para el pago de capital, intereses, montos adicionales y/o cualquier otro monto adeudado bajo las Obligaciones Negociables Py</w:t>
      </w:r>
      <w:r w:rsidR="00386CA1" w:rsidRPr="00E461D0">
        <w:rPr>
          <w:rFonts w:ascii="Palatino Linotype" w:hAnsi="Palatino Linotype"/>
        </w:rPr>
        <w:t>ME</w:t>
      </w:r>
      <w:r w:rsidRPr="00E461D0">
        <w:rPr>
          <w:rFonts w:ascii="Palatino Linotype" w:hAnsi="Palatino Linotype"/>
        </w:rPr>
        <w:t>, de dicha Clase y/o Serie deviniendo la totalidad de tales montos exigibles y pagaderos en forma inmediata. Si se produce un Evento de Incumplimiento del tipo descripto en el inciso (iii) precedente, la caducidad de los plazos para el pago de capital, intereses, montos adicionales y/o cualquier otro monto adeudado de todas las Obligaciones Negociables Py</w:t>
      </w:r>
      <w:r w:rsidR="00386CA1" w:rsidRPr="00E461D0">
        <w:rPr>
          <w:rFonts w:ascii="Palatino Linotype" w:hAnsi="Palatino Linotype"/>
        </w:rPr>
        <w:t>ME</w:t>
      </w:r>
      <w:r w:rsidRPr="00E461D0">
        <w:rPr>
          <w:rFonts w:ascii="Palatino Linotype" w:hAnsi="Palatino Linotype"/>
        </w:rPr>
        <w:t xml:space="preserve"> de dicha Clase y/o Serie se producirá en forma automática sin necesidad de notificación a la Sociedad, deviniendo la totalidad de tales montos exigibles y pagaderos en forma inmediata. En caso que se hubiera producido la caducidad de los plazos para el pago de capital, intereses, montos adicionales y/o cualquier otro monto adeudado bajo las Obligaciones Negociables Py</w:t>
      </w:r>
      <w:r w:rsidR="00386CA1" w:rsidRPr="00E461D0">
        <w:rPr>
          <w:rFonts w:ascii="Palatino Linotype" w:hAnsi="Palatino Linotype"/>
        </w:rPr>
        <w:t>ME</w:t>
      </w:r>
      <w:r w:rsidRPr="00E461D0">
        <w:rPr>
          <w:rFonts w:ascii="Palatino Linotype" w:hAnsi="Palatino Linotype"/>
        </w:rPr>
        <w:t xml:space="preserve"> de cualquier Clase y/o Serie, los tenedores de Obligaciones Negociables Py</w:t>
      </w:r>
      <w:r w:rsidR="00386CA1" w:rsidRPr="00E461D0">
        <w:rPr>
          <w:rFonts w:ascii="Palatino Linotype" w:hAnsi="Palatino Linotype"/>
        </w:rPr>
        <w:t>ME</w:t>
      </w:r>
      <w:r w:rsidRPr="00E461D0">
        <w:rPr>
          <w:rFonts w:ascii="Palatino Linotype" w:hAnsi="Palatino Linotype"/>
        </w:rPr>
        <w:t xml:space="preserve"> de dicha Clase y/o Serie en circulación que representen como mínimo la mayoría simple del monto de capital total de las Obligaciones Negociables Py</w:t>
      </w:r>
      <w:r w:rsidR="00386CA1" w:rsidRPr="00E461D0">
        <w:rPr>
          <w:rFonts w:ascii="Palatino Linotype" w:hAnsi="Palatino Linotype"/>
        </w:rPr>
        <w:t>ME</w:t>
      </w:r>
      <w:r w:rsidRPr="00E461D0">
        <w:rPr>
          <w:rFonts w:ascii="Palatino Linotype" w:hAnsi="Palatino Linotype"/>
        </w:rPr>
        <w:t xml:space="preserve"> de dicha Clase y/o Serie en circulación podrán, mediante notificación escrita a la Sociedad, dejar sin efecto la caducidad de los plazos para el pago de capital, intereses, montos adicionales y/o cualquier otro monto adeudado bajo dicha Clase y/o Serie de Obligaciones Negociables Py</w:t>
      </w:r>
      <w:r w:rsidR="00386CA1" w:rsidRPr="00E461D0">
        <w:rPr>
          <w:rFonts w:ascii="Palatino Linotype" w:hAnsi="Palatino Linotype"/>
        </w:rPr>
        <w:t>ME</w:t>
      </w:r>
      <w:r w:rsidRPr="00E461D0">
        <w:rPr>
          <w:rFonts w:ascii="Palatino Linotype" w:hAnsi="Palatino Linotype"/>
        </w:rPr>
        <w:t>, siempre y cuando la totalidad de los Eventos de Incumplimiento hubieran sido subsanados y/o dispensados. Las Obligaciones Negociables Py</w:t>
      </w:r>
      <w:r w:rsidR="00386CA1" w:rsidRPr="00E461D0">
        <w:rPr>
          <w:rFonts w:ascii="Palatino Linotype" w:hAnsi="Palatino Linotype"/>
        </w:rPr>
        <w:t>ME</w:t>
      </w:r>
      <w:r w:rsidRPr="00E461D0">
        <w:rPr>
          <w:rFonts w:ascii="Palatino Linotype" w:hAnsi="Palatino Linotype"/>
        </w:rPr>
        <w:t xml:space="preserve"> de una Clase y/o Serie de Obligaciones Negociables Py</w:t>
      </w:r>
      <w:r w:rsidR="00386CA1" w:rsidRPr="00E461D0">
        <w:rPr>
          <w:rFonts w:ascii="Palatino Linotype" w:hAnsi="Palatino Linotype"/>
        </w:rPr>
        <w:t>ME</w:t>
      </w:r>
      <w:r w:rsidRPr="00E461D0">
        <w:rPr>
          <w:rFonts w:ascii="Palatino Linotype" w:hAnsi="Palatino Linotype"/>
        </w:rPr>
        <w:t xml:space="preserve"> que hayan sido rescatados y/o adquiridos por la Sociedad, mientras se mantengan en cartera por parte de la Sociedad, no serán consideradas en circulación a los efectos de calcular los porcentajes contemplados en este párrafo. </w:t>
      </w:r>
    </w:p>
    <w:p w14:paraId="59BF01CA" w14:textId="77777777" w:rsidR="00BE2390" w:rsidRPr="00E461D0" w:rsidRDefault="00BE2390" w:rsidP="00BE2390">
      <w:pPr>
        <w:widowControl/>
        <w:autoSpaceDE/>
        <w:autoSpaceDN/>
        <w:adjustRightInd/>
        <w:spacing w:after="160" w:line="259" w:lineRule="auto"/>
        <w:jc w:val="both"/>
        <w:rPr>
          <w:rFonts w:ascii="Palatino Linotype" w:hAnsi="Palatino Linotype"/>
          <w:b/>
        </w:rPr>
      </w:pPr>
      <w:r w:rsidRPr="00E461D0">
        <w:rPr>
          <w:rFonts w:ascii="Palatino Linotype" w:hAnsi="Palatino Linotype"/>
          <w:b/>
        </w:rPr>
        <w:t>Asambleas, Modificación y Dispensa</w:t>
      </w:r>
    </w:p>
    <w:p w14:paraId="0FB48285" w14:textId="77777777"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En cualquier momento podrán convocarse y celebrarse asambleas de tenedores de Obligaciones Negociables Py</w:t>
      </w:r>
      <w:r w:rsidR="00386CA1" w:rsidRPr="00E461D0">
        <w:rPr>
          <w:rFonts w:ascii="Palatino Linotype" w:hAnsi="Palatino Linotype"/>
        </w:rPr>
        <w:t>ME</w:t>
      </w:r>
      <w:r w:rsidRPr="00E461D0">
        <w:rPr>
          <w:rFonts w:ascii="Palatino Linotype" w:hAnsi="Palatino Linotype"/>
        </w:rPr>
        <w:t xml:space="preserve"> para tratar y decidir sobre cualquier cuestión que competa a la asamblea de tenedores de las mismas. Tales asambleas se llevarán a cabo conforme con lo dispuesto por la Ley de Obligaciones Negociables, las normas aplicables de la CNV y las demás disposiciones legales vigentes. La convocatoria, el quórum, las mayorías y los demás aspectos de dichas asambleas se regirán por tales disposiciones legales. </w:t>
      </w:r>
    </w:p>
    <w:p w14:paraId="1AFFDD85" w14:textId="77777777" w:rsidR="00BE2390" w:rsidRPr="00E461D0" w:rsidRDefault="00BE2390" w:rsidP="00BE2390">
      <w:pPr>
        <w:widowControl/>
        <w:autoSpaceDE/>
        <w:autoSpaceDN/>
        <w:adjustRightInd/>
        <w:spacing w:after="160" w:line="259" w:lineRule="auto"/>
        <w:jc w:val="both"/>
        <w:rPr>
          <w:rFonts w:ascii="Palatino Linotype" w:hAnsi="Palatino Linotype"/>
          <w:b/>
        </w:rPr>
      </w:pPr>
      <w:r w:rsidRPr="00E461D0">
        <w:rPr>
          <w:rFonts w:ascii="Palatino Linotype" w:hAnsi="Palatino Linotype"/>
          <w:b/>
        </w:rPr>
        <w:t>Colocación de las Obligaciones Negociables Py</w:t>
      </w:r>
      <w:r w:rsidR="00487404" w:rsidRPr="00E461D0">
        <w:rPr>
          <w:rFonts w:ascii="Palatino Linotype" w:hAnsi="Palatino Linotype"/>
          <w:b/>
        </w:rPr>
        <w:t>ME</w:t>
      </w:r>
    </w:p>
    <w:p w14:paraId="64E1E971" w14:textId="77777777"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Las Obligaciones Negociables Py</w:t>
      </w:r>
      <w:r w:rsidR="00386CA1" w:rsidRPr="00E461D0">
        <w:rPr>
          <w:rFonts w:ascii="Palatino Linotype" w:hAnsi="Palatino Linotype"/>
        </w:rPr>
        <w:t>ME</w:t>
      </w:r>
      <w:r w:rsidRPr="00E461D0">
        <w:rPr>
          <w:rFonts w:ascii="Palatino Linotype" w:hAnsi="Palatino Linotype"/>
        </w:rPr>
        <w:t xml:space="preserve"> a ser emitidas en el marco de este Programa podrán ser ofrecidas al público en Argentina de acuerdo con las Normas de la CNV. Este Prospecto estará disponible al público en general en Argentina. La colocación de Obligaciones Negociables Py</w:t>
      </w:r>
      <w:r w:rsidR="00386CA1" w:rsidRPr="00E461D0">
        <w:rPr>
          <w:rFonts w:ascii="Palatino Linotype" w:hAnsi="Palatino Linotype"/>
        </w:rPr>
        <w:t>ME</w:t>
      </w:r>
      <w:r w:rsidRPr="00E461D0">
        <w:rPr>
          <w:rFonts w:ascii="Palatino Linotype" w:hAnsi="Palatino Linotype"/>
        </w:rPr>
        <w:t xml:space="preserve"> en Argentina tendrá lugar de acuerdo con las disposiciones establecidas en la Ley de Mercado de Capitales y las Normas de la CNV. A tal fin se podrán realizar los siguientes actos, entre otros: (i) la publicación de los términos y condiciones de este Prospecto, cualquier </w:t>
      </w:r>
      <w:r w:rsidR="00B3792D" w:rsidRPr="00E461D0">
        <w:rPr>
          <w:rFonts w:ascii="Palatino Linotype" w:hAnsi="Palatino Linotype"/>
        </w:rPr>
        <w:t>Suplemento de Prospecto</w:t>
      </w:r>
      <w:r w:rsidRPr="00E461D0">
        <w:rPr>
          <w:rFonts w:ascii="Palatino Linotype" w:hAnsi="Palatino Linotype"/>
        </w:rPr>
        <w:t xml:space="preserve"> y el </w:t>
      </w:r>
      <w:r w:rsidR="00B3792D" w:rsidRPr="00E461D0">
        <w:rPr>
          <w:rFonts w:ascii="Palatino Linotype" w:hAnsi="Palatino Linotype"/>
        </w:rPr>
        <w:t>Suplemento de Prospecto</w:t>
      </w:r>
      <w:r w:rsidRPr="00E461D0">
        <w:rPr>
          <w:rFonts w:ascii="Palatino Linotype" w:hAnsi="Palatino Linotype"/>
        </w:rPr>
        <w:t xml:space="preserve"> aplicable en el boletín diario de la BCBA; (ii) la distribución de este Prospecto, cualquier </w:t>
      </w:r>
      <w:r w:rsidR="00B3792D" w:rsidRPr="00E461D0">
        <w:rPr>
          <w:rFonts w:ascii="Palatino Linotype" w:hAnsi="Palatino Linotype"/>
        </w:rPr>
        <w:t>Suplemento de Prospecto</w:t>
      </w:r>
      <w:r w:rsidRPr="00E461D0">
        <w:rPr>
          <w:rFonts w:ascii="Palatino Linotype" w:hAnsi="Palatino Linotype"/>
        </w:rPr>
        <w:t xml:space="preserve"> y el </w:t>
      </w:r>
      <w:r w:rsidR="00B3792D" w:rsidRPr="00E461D0">
        <w:rPr>
          <w:rFonts w:ascii="Palatino Linotype" w:hAnsi="Palatino Linotype"/>
        </w:rPr>
        <w:t>Suplemento de Prospecto</w:t>
      </w:r>
      <w:r w:rsidRPr="00E461D0">
        <w:rPr>
          <w:rFonts w:ascii="Palatino Linotype" w:hAnsi="Palatino Linotype"/>
        </w:rPr>
        <w:t xml:space="preserve"> aplicable al público en Argentina; (iii) </w:t>
      </w:r>
      <w:r w:rsidRPr="00E461D0">
        <w:rPr>
          <w:rFonts w:ascii="Palatino Linotype" w:hAnsi="Palatino Linotype"/>
          <w:i/>
        </w:rPr>
        <w:t>road shows</w:t>
      </w:r>
      <w:r w:rsidRPr="00E461D0">
        <w:rPr>
          <w:rFonts w:ascii="Palatino Linotype" w:hAnsi="Palatino Linotype"/>
        </w:rPr>
        <w:t xml:space="preserve"> en Argentina para potenciales inversores; y (iv) conferencias telefónicas con potenciales inversores en Argentina. Los Suplementos de </w:t>
      </w:r>
      <w:r w:rsidR="00B3792D" w:rsidRPr="00E461D0">
        <w:rPr>
          <w:rFonts w:ascii="Palatino Linotype" w:hAnsi="Palatino Linotype"/>
        </w:rPr>
        <w:t>Prospecto</w:t>
      </w:r>
      <w:r w:rsidRPr="00E461D0">
        <w:rPr>
          <w:rFonts w:ascii="Palatino Linotype" w:hAnsi="Palatino Linotype"/>
        </w:rPr>
        <w:t xml:space="preserve"> incluirán detalles específicos de los esfuerzos de colocación a realizar de conformidad con las Normas de la CNV. Se deja constancia, que a los efectos de suscribir las Obligaciones Negociables Py</w:t>
      </w:r>
      <w:r w:rsidR="00386CA1" w:rsidRPr="00E461D0">
        <w:rPr>
          <w:rFonts w:ascii="Palatino Linotype" w:hAnsi="Palatino Linotype"/>
        </w:rPr>
        <w:t>ME</w:t>
      </w:r>
      <w:r w:rsidRPr="00E461D0">
        <w:rPr>
          <w:rFonts w:ascii="Palatino Linotype" w:hAnsi="Palatino Linotype"/>
        </w:rPr>
        <w:t xml:space="preserve"> que se emitan en el marco de este Programa, los interesados deberán suministrar aquella información o documentación que deban o resuelvan libremente solicitarle los Colocadores para el cumplimiento de su función y de, entre otras, las normas sobre lavado de activos de origen delictivo y sobre prevención del lavado para el mercado de capitales emanadas de la Unidad de Información Financiera creada por la Ley Antilavado. </w:t>
      </w:r>
    </w:p>
    <w:p w14:paraId="49C581BF" w14:textId="77777777" w:rsidR="00BE2390" w:rsidRPr="00E461D0" w:rsidRDefault="00BE2390" w:rsidP="00BE2390">
      <w:pPr>
        <w:widowControl/>
        <w:autoSpaceDE/>
        <w:autoSpaceDN/>
        <w:adjustRightInd/>
        <w:spacing w:after="160" w:line="259" w:lineRule="auto"/>
        <w:jc w:val="both"/>
        <w:rPr>
          <w:rFonts w:ascii="Palatino Linotype" w:hAnsi="Palatino Linotype"/>
          <w:b/>
        </w:rPr>
      </w:pPr>
      <w:r w:rsidRPr="00E461D0">
        <w:rPr>
          <w:rFonts w:ascii="Palatino Linotype" w:hAnsi="Palatino Linotype"/>
          <w:b/>
        </w:rPr>
        <w:t xml:space="preserve">Notificaciones </w:t>
      </w:r>
    </w:p>
    <w:p w14:paraId="390F533B" w14:textId="349D326A"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Todas las notificaciones en relación con las Obligaciones Negociables Py</w:t>
      </w:r>
      <w:r w:rsidR="00386CA1" w:rsidRPr="00E461D0">
        <w:rPr>
          <w:rFonts w:ascii="Palatino Linotype" w:hAnsi="Palatino Linotype"/>
        </w:rPr>
        <w:t>ME</w:t>
      </w:r>
      <w:r w:rsidRPr="00E461D0">
        <w:rPr>
          <w:rFonts w:ascii="Palatino Linotype" w:hAnsi="Palatino Linotype"/>
        </w:rPr>
        <w:t xml:space="preserve"> que la </w:t>
      </w:r>
      <w:r w:rsidR="00386CA1" w:rsidRPr="00E461D0">
        <w:rPr>
          <w:rFonts w:ascii="Palatino Linotype" w:hAnsi="Palatino Linotype"/>
        </w:rPr>
        <w:t>Compañía</w:t>
      </w:r>
      <w:r w:rsidRPr="00E461D0">
        <w:rPr>
          <w:rFonts w:ascii="Palatino Linotype" w:hAnsi="Palatino Linotype"/>
        </w:rPr>
        <w:t xml:space="preserve"> deba efectuar a los tenedores de las mismas, se efectuarán mediante publicaciones que </w:t>
      </w:r>
      <w:r w:rsidR="00F0094D" w:rsidRPr="00E461D0">
        <w:rPr>
          <w:rFonts w:ascii="Palatino Linotype" w:hAnsi="Palatino Linotype"/>
        </w:rPr>
        <w:t xml:space="preserve">sean requeridas por las Normas </w:t>
      </w:r>
      <w:r w:rsidRPr="00E461D0">
        <w:rPr>
          <w:rFonts w:ascii="Palatino Linotype" w:hAnsi="Palatino Linotype"/>
        </w:rPr>
        <w:t>de la CNV y las demás disposiciones legales vigentes y que estarán disponibles en la autopista de la información financiera de la CNV (www.cnv.gov.ar) y en la</w:t>
      </w:r>
      <w:r w:rsidR="00386CA1" w:rsidRPr="00E461D0">
        <w:rPr>
          <w:rFonts w:ascii="Palatino Linotype" w:hAnsi="Palatino Linotype"/>
        </w:rPr>
        <w:t xml:space="preserve"> página web de Global </w:t>
      </w:r>
      <w:r w:rsidRPr="00E461D0">
        <w:rPr>
          <w:rFonts w:ascii="Palatino Linotype" w:hAnsi="Palatino Linotype"/>
        </w:rPr>
        <w:t>(www.</w:t>
      </w:r>
      <w:r w:rsidR="00386CA1" w:rsidRPr="00E461D0">
        <w:rPr>
          <w:rFonts w:ascii="Palatino Linotype" w:hAnsi="Palatino Linotype"/>
        </w:rPr>
        <w:t>globalvalores</w:t>
      </w:r>
      <w:r w:rsidRPr="00E461D0">
        <w:rPr>
          <w:rFonts w:ascii="Palatino Linotype" w:hAnsi="Palatino Linotype"/>
        </w:rPr>
        <w:t>.com.ar), así como mediante las publicaciones que requieran las normas aplicables del BYMA y/o de los otros mercados autorizados en los que listen y/o se negocien las Obligaciones Negociables Py</w:t>
      </w:r>
      <w:r w:rsidR="00386CA1" w:rsidRPr="00E461D0">
        <w:rPr>
          <w:rFonts w:ascii="Palatino Linotype" w:hAnsi="Palatino Linotype"/>
        </w:rPr>
        <w:t>ME</w:t>
      </w:r>
      <w:r w:rsidRPr="00E461D0">
        <w:rPr>
          <w:rFonts w:ascii="Palatino Linotype" w:hAnsi="Palatino Linotype"/>
        </w:rPr>
        <w:t>. Asimismo, podrán disponerse medios de notificación adicionales complementarios para cada Clase y/o Serie de las Obligaciones Negociables Py</w:t>
      </w:r>
      <w:r w:rsidR="00386CA1" w:rsidRPr="00E461D0">
        <w:rPr>
          <w:rFonts w:ascii="Palatino Linotype" w:hAnsi="Palatino Linotype"/>
        </w:rPr>
        <w:t>ME</w:t>
      </w:r>
      <w:r w:rsidRPr="00E461D0">
        <w:rPr>
          <w:rFonts w:ascii="Palatino Linotype" w:hAnsi="Palatino Linotype"/>
        </w:rPr>
        <w:t xml:space="preserve">, los cuales se especificarán en el </w:t>
      </w:r>
      <w:r w:rsidR="00B3792D" w:rsidRPr="00E461D0">
        <w:rPr>
          <w:rFonts w:ascii="Palatino Linotype" w:hAnsi="Palatino Linotype"/>
        </w:rPr>
        <w:t>Suplemento de Prospecto</w:t>
      </w:r>
      <w:r w:rsidRPr="00E461D0">
        <w:rPr>
          <w:rFonts w:ascii="Palatino Linotype" w:hAnsi="Palatino Linotype"/>
        </w:rPr>
        <w:t xml:space="preserve"> correspondiente a cada Clase y/o Serie.</w:t>
      </w:r>
    </w:p>
    <w:p w14:paraId="1BF8C5EB" w14:textId="77777777" w:rsidR="00BE2390" w:rsidRPr="00E461D0" w:rsidRDefault="00BE2390" w:rsidP="00BE2390">
      <w:pPr>
        <w:widowControl/>
        <w:autoSpaceDE/>
        <w:autoSpaceDN/>
        <w:adjustRightInd/>
        <w:spacing w:after="160" w:line="259" w:lineRule="auto"/>
        <w:jc w:val="both"/>
        <w:rPr>
          <w:rFonts w:ascii="Palatino Linotype" w:hAnsi="Palatino Linotype"/>
          <w:b/>
        </w:rPr>
      </w:pPr>
      <w:r w:rsidRPr="00E461D0">
        <w:rPr>
          <w:rFonts w:ascii="Palatino Linotype" w:hAnsi="Palatino Linotype"/>
          <w:b/>
        </w:rPr>
        <w:t>Ley aplicable</w:t>
      </w:r>
    </w:p>
    <w:p w14:paraId="31CD86CA" w14:textId="77777777"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 xml:space="preserve">La Ley de </w:t>
      </w:r>
      <w:r w:rsidR="00386CA1" w:rsidRPr="00E461D0">
        <w:rPr>
          <w:rFonts w:ascii="Palatino Linotype" w:hAnsi="Palatino Linotype"/>
        </w:rPr>
        <w:t>O</w:t>
      </w:r>
      <w:r w:rsidRPr="00E461D0">
        <w:rPr>
          <w:rFonts w:ascii="Palatino Linotype" w:hAnsi="Palatino Linotype"/>
        </w:rPr>
        <w:t xml:space="preserve">bligaciones </w:t>
      </w:r>
      <w:r w:rsidR="00386CA1" w:rsidRPr="00E461D0">
        <w:rPr>
          <w:rFonts w:ascii="Palatino Linotype" w:hAnsi="Palatino Linotype"/>
        </w:rPr>
        <w:t>N</w:t>
      </w:r>
      <w:r w:rsidRPr="00E461D0">
        <w:rPr>
          <w:rFonts w:ascii="Palatino Linotype" w:hAnsi="Palatino Linotype"/>
        </w:rPr>
        <w:t>egociables establece los requisitos para que las Obligaciones Negociables Py</w:t>
      </w:r>
      <w:r w:rsidR="00386CA1" w:rsidRPr="00E461D0">
        <w:rPr>
          <w:rFonts w:ascii="Palatino Linotype" w:hAnsi="Palatino Linotype"/>
        </w:rPr>
        <w:t>ME</w:t>
      </w:r>
      <w:r w:rsidRPr="00E461D0">
        <w:rPr>
          <w:rFonts w:ascii="Palatino Linotype" w:hAnsi="Palatino Linotype"/>
        </w:rPr>
        <w:t xml:space="preserve"> revistan tal carácter, y dicha ley, junto con la Ley General de Sociedades y sus modificatorias, y demás leyes y reglamentaciones argentinas regirán la capacidad y autoridad societaria de la </w:t>
      </w:r>
      <w:r w:rsidR="00386CA1" w:rsidRPr="00E461D0">
        <w:rPr>
          <w:rFonts w:ascii="Palatino Linotype" w:hAnsi="Palatino Linotype"/>
        </w:rPr>
        <w:t>Compañía</w:t>
      </w:r>
      <w:r w:rsidRPr="00E461D0">
        <w:rPr>
          <w:rFonts w:ascii="Palatino Linotype" w:hAnsi="Palatino Linotype"/>
        </w:rPr>
        <w:t xml:space="preserve"> para emitir y entregar las Obligaciones Negociables Py</w:t>
      </w:r>
      <w:r w:rsidR="00386CA1" w:rsidRPr="00E461D0">
        <w:rPr>
          <w:rFonts w:ascii="Palatino Linotype" w:hAnsi="Palatino Linotype"/>
        </w:rPr>
        <w:t>ME</w:t>
      </w:r>
      <w:r w:rsidRPr="00E461D0">
        <w:rPr>
          <w:rFonts w:ascii="Palatino Linotype" w:hAnsi="Palatino Linotype"/>
        </w:rPr>
        <w:t>, y la autorización de la CNV para la creación del Programa y la oferta de las Obligaciones Negociables Py</w:t>
      </w:r>
      <w:r w:rsidR="00386CA1" w:rsidRPr="00E461D0">
        <w:rPr>
          <w:rFonts w:ascii="Palatino Linotype" w:hAnsi="Palatino Linotype"/>
        </w:rPr>
        <w:t>ME</w:t>
      </w:r>
      <w:r w:rsidRPr="00E461D0">
        <w:rPr>
          <w:rFonts w:ascii="Palatino Linotype" w:hAnsi="Palatino Linotype"/>
        </w:rPr>
        <w:t>. Todas las cuestiones relacionadas con las Obligaciones Negociables Py</w:t>
      </w:r>
      <w:r w:rsidR="00386CA1" w:rsidRPr="00E461D0">
        <w:rPr>
          <w:rFonts w:ascii="Palatino Linotype" w:hAnsi="Palatino Linotype"/>
        </w:rPr>
        <w:t>ME</w:t>
      </w:r>
      <w:r w:rsidRPr="00E461D0">
        <w:rPr>
          <w:rFonts w:ascii="Palatino Linotype" w:hAnsi="Palatino Linotype"/>
        </w:rPr>
        <w:t xml:space="preserve"> se regirán por y deberán ser interpretadas exclusivamente de conformidad con las leyes de la Argentina. Sin embargo, dichas cuestiones relacionadas con las Obligaciones Negociables Py</w:t>
      </w:r>
      <w:r w:rsidR="00386CA1" w:rsidRPr="00E461D0">
        <w:rPr>
          <w:rFonts w:ascii="Palatino Linotype" w:hAnsi="Palatino Linotype"/>
        </w:rPr>
        <w:t>ME</w:t>
      </w:r>
      <w:r w:rsidRPr="00E461D0">
        <w:rPr>
          <w:rFonts w:ascii="Palatino Linotype" w:hAnsi="Palatino Linotype"/>
        </w:rPr>
        <w:t xml:space="preserve"> podrán regirse por las leyes de cualquier otra jurisdicción, si así se especificara en el </w:t>
      </w:r>
      <w:r w:rsidR="00B3792D" w:rsidRPr="00E461D0">
        <w:rPr>
          <w:rFonts w:ascii="Palatino Linotype" w:hAnsi="Palatino Linotype"/>
        </w:rPr>
        <w:t>Suplemento de Prospecto</w:t>
      </w:r>
      <w:r w:rsidRPr="00E461D0">
        <w:rPr>
          <w:rFonts w:ascii="Palatino Linotype" w:hAnsi="Palatino Linotype"/>
        </w:rPr>
        <w:t xml:space="preserve"> de cada Clase y/o Serie correspondiente y, en ese caso, deberán ser interpretados de conformidad con las mismas. </w:t>
      </w:r>
    </w:p>
    <w:p w14:paraId="34B8B2A0" w14:textId="77777777" w:rsidR="00BE2390" w:rsidRPr="00E461D0" w:rsidRDefault="00BE2390" w:rsidP="00BE2390">
      <w:pPr>
        <w:widowControl/>
        <w:autoSpaceDE/>
        <w:autoSpaceDN/>
        <w:adjustRightInd/>
        <w:spacing w:after="160" w:line="259" w:lineRule="auto"/>
        <w:jc w:val="both"/>
        <w:rPr>
          <w:rFonts w:ascii="Palatino Linotype" w:hAnsi="Palatino Linotype"/>
          <w:b/>
        </w:rPr>
      </w:pPr>
      <w:r w:rsidRPr="00E461D0">
        <w:rPr>
          <w:rFonts w:ascii="Palatino Linotype" w:hAnsi="Palatino Linotype"/>
          <w:b/>
        </w:rPr>
        <w:t>2)</w:t>
      </w:r>
      <w:r w:rsidRPr="00E461D0">
        <w:rPr>
          <w:rFonts w:ascii="Palatino Linotype" w:hAnsi="Palatino Linotype"/>
          <w:b/>
        </w:rPr>
        <w:tab/>
        <w:t>Plan de distribución</w:t>
      </w:r>
    </w:p>
    <w:p w14:paraId="2CA9634B" w14:textId="0DA3EAFF"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La Sociedad podrá ofrecer las Obligaciones Negociables Py</w:t>
      </w:r>
      <w:r w:rsidR="00386CA1" w:rsidRPr="00E461D0">
        <w:rPr>
          <w:rFonts w:ascii="Palatino Linotype" w:hAnsi="Palatino Linotype"/>
        </w:rPr>
        <w:t>ME</w:t>
      </w:r>
      <w:r w:rsidRPr="00E461D0">
        <w:rPr>
          <w:rFonts w:ascii="Palatino Linotype" w:hAnsi="Palatino Linotype"/>
        </w:rPr>
        <w:t xml:space="preserve"> en cualquiera de estas formas, mediante: (i) colocadores; o (ii) directamente a uno o varios compradores. Las Obligaciones Negociables Py</w:t>
      </w:r>
      <w:r w:rsidR="00386CA1" w:rsidRPr="00E461D0">
        <w:rPr>
          <w:rFonts w:ascii="Palatino Linotype" w:hAnsi="Palatino Linotype"/>
        </w:rPr>
        <w:t>ME</w:t>
      </w:r>
      <w:r w:rsidRPr="00E461D0">
        <w:rPr>
          <w:rFonts w:ascii="Palatino Linotype" w:hAnsi="Palatino Linotype"/>
        </w:rPr>
        <w:t xml:space="preserve"> a ser emitidas en el marco de este Programa podrán ser ofrecidas al público en Argentina de acuerdo con los diversos mecanismos de colocación autorizados en el Capítulo IV, Título VI de las Normas de la CNV (formación de libro o subasta o licitación pública). Los mecanismos de colo</w:t>
      </w:r>
      <w:r w:rsidR="00386CA1" w:rsidRPr="00E461D0">
        <w:rPr>
          <w:rFonts w:ascii="Palatino Linotype" w:hAnsi="Palatino Linotype"/>
        </w:rPr>
        <w:t>cación a ser utilizados por la Compañía</w:t>
      </w:r>
      <w:r w:rsidRPr="00E461D0">
        <w:rPr>
          <w:rFonts w:ascii="Palatino Linotype" w:hAnsi="Palatino Linotype"/>
        </w:rPr>
        <w:t xml:space="preserve"> serán determinados en la oportunidad de la colocación de cada </w:t>
      </w:r>
      <w:r w:rsidR="00F0094D" w:rsidRPr="00E461D0">
        <w:rPr>
          <w:rFonts w:ascii="Palatino Linotype" w:hAnsi="Palatino Linotype"/>
        </w:rPr>
        <w:t xml:space="preserve">Clase y/o Serie </w:t>
      </w:r>
      <w:r w:rsidRPr="00E461D0">
        <w:rPr>
          <w:rFonts w:ascii="Palatino Linotype" w:hAnsi="Palatino Linotype"/>
        </w:rPr>
        <w:t xml:space="preserve">conforme la normativa aplicable vigente en dicho momento, y se detallarán en el respectivo </w:t>
      </w:r>
      <w:r w:rsidR="00B3792D" w:rsidRPr="00E461D0">
        <w:rPr>
          <w:rFonts w:ascii="Palatino Linotype" w:hAnsi="Palatino Linotype"/>
        </w:rPr>
        <w:t>Suplemento de Prospecto</w:t>
      </w:r>
      <w:r w:rsidRPr="00E461D0">
        <w:rPr>
          <w:rFonts w:ascii="Palatino Linotype" w:hAnsi="Palatino Linotype"/>
        </w:rPr>
        <w:t>.</w:t>
      </w:r>
    </w:p>
    <w:p w14:paraId="7952EC70" w14:textId="77777777" w:rsidR="00386CA1" w:rsidRPr="00E461D0" w:rsidRDefault="00386CA1"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La Compañía</w:t>
      </w:r>
      <w:r w:rsidR="00BE2390" w:rsidRPr="00E461D0">
        <w:rPr>
          <w:rFonts w:ascii="Palatino Linotype" w:hAnsi="Palatino Linotype"/>
        </w:rPr>
        <w:t xml:space="preserve"> se reserva el derecho de retirar, cancelar o modificar cualquier oferta de las Obligaciones Negociables Py</w:t>
      </w:r>
      <w:r w:rsidRPr="00E461D0">
        <w:rPr>
          <w:rFonts w:ascii="Palatino Linotype" w:hAnsi="Palatino Linotype"/>
        </w:rPr>
        <w:t>ME</w:t>
      </w:r>
      <w:r w:rsidR="00BE2390" w:rsidRPr="00E461D0">
        <w:rPr>
          <w:rFonts w:ascii="Palatino Linotype" w:hAnsi="Palatino Linotype"/>
        </w:rPr>
        <w:t xml:space="preserve"> contemplado en el presente Prospecto y en cualquier </w:t>
      </w:r>
      <w:r w:rsidR="00B3792D" w:rsidRPr="00E461D0">
        <w:rPr>
          <w:rFonts w:ascii="Palatino Linotype" w:hAnsi="Palatino Linotype"/>
        </w:rPr>
        <w:t>Suplemento de Prospecto</w:t>
      </w:r>
      <w:r w:rsidR="00BE2390" w:rsidRPr="00E461D0">
        <w:rPr>
          <w:rFonts w:ascii="Palatino Linotype" w:hAnsi="Palatino Linotype"/>
        </w:rPr>
        <w:t>, previa publicación de un aviso en los mismos medios por los cuales se hubiera anunciado dicha oferta de las Obligaciones Negociables Py</w:t>
      </w:r>
      <w:r w:rsidRPr="00E461D0">
        <w:rPr>
          <w:rFonts w:ascii="Palatino Linotype" w:hAnsi="Palatino Linotype"/>
        </w:rPr>
        <w:t>ME</w:t>
      </w:r>
      <w:r w:rsidR="00BE2390" w:rsidRPr="00E461D0">
        <w:rPr>
          <w:rFonts w:ascii="Palatino Linotype" w:hAnsi="Palatino Linotype"/>
        </w:rPr>
        <w:t>. La Sociedad podrá rechazar ofertas de compra de las Obligaciones Negociables Py</w:t>
      </w:r>
      <w:r w:rsidRPr="00E461D0">
        <w:rPr>
          <w:rFonts w:ascii="Palatino Linotype" w:hAnsi="Palatino Linotype"/>
        </w:rPr>
        <w:t>ME</w:t>
      </w:r>
      <w:r w:rsidR="00BE2390" w:rsidRPr="00E461D0">
        <w:rPr>
          <w:rFonts w:ascii="Palatino Linotype" w:hAnsi="Palatino Linotype"/>
        </w:rPr>
        <w:t xml:space="preserve"> en forma parcial, utilizando el principio de proporcionalidad. </w:t>
      </w:r>
    </w:p>
    <w:p w14:paraId="7D458DBA" w14:textId="77777777"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En caso de que haya Colocadores, cada Colocador tendrá el derecho de rechazar parcialmente, utilizando el principio de proporcionalidad, cualquier oferta de compra de las Obligaciones Negociables Py</w:t>
      </w:r>
      <w:r w:rsidR="00386CA1" w:rsidRPr="00E461D0">
        <w:rPr>
          <w:rFonts w:ascii="Palatino Linotype" w:hAnsi="Palatino Linotype"/>
        </w:rPr>
        <w:t>ME</w:t>
      </w:r>
      <w:r w:rsidRPr="00E461D0">
        <w:rPr>
          <w:rFonts w:ascii="Palatino Linotype" w:hAnsi="Palatino Linotype"/>
        </w:rPr>
        <w:t xml:space="preserve"> recibida por él en calidad de mandatario. Sin perjuicio de lo reseñado se especifica que las ofertas únicamente podrán ser rechazadas cuando contuvieren errores u omisiones de datos que hagan imposible su procesamiento por el sistema o por incumplimiento de exigencias normativas en materia de prevención del lavado de dinero y financiamiento del terrorismo.</w:t>
      </w:r>
    </w:p>
    <w:p w14:paraId="705B2150" w14:textId="77777777"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Cualquier colocador y/o agente que participare en la distribución de las Obligaciones Negociables Py</w:t>
      </w:r>
      <w:r w:rsidR="00386CA1" w:rsidRPr="00E461D0">
        <w:rPr>
          <w:rFonts w:ascii="Palatino Linotype" w:hAnsi="Palatino Linotype"/>
        </w:rPr>
        <w:t>ME</w:t>
      </w:r>
      <w:r w:rsidRPr="00E461D0">
        <w:rPr>
          <w:rFonts w:ascii="Palatino Linotype" w:hAnsi="Palatino Linotype"/>
        </w:rPr>
        <w:t xml:space="preserve"> podrá ser considerado como suscriptor y cualquier descuento o comisión recibida por ellos sobre la venta o reventa de las Obligaciones Negociables Py</w:t>
      </w:r>
      <w:r w:rsidR="00386CA1" w:rsidRPr="00E461D0">
        <w:rPr>
          <w:rFonts w:ascii="Palatino Linotype" w:hAnsi="Palatino Linotype"/>
        </w:rPr>
        <w:t>ME</w:t>
      </w:r>
      <w:r w:rsidRPr="00E461D0">
        <w:rPr>
          <w:rFonts w:ascii="Palatino Linotype" w:hAnsi="Palatino Linotype"/>
        </w:rPr>
        <w:t xml:space="preserve"> podrá ser considerado como descuentos y comisiones de suscripción de conformidad con la Ley de Obligaciones Negociables</w:t>
      </w:r>
      <w:r w:rsidR="00386CA1" w:rsidRPr="00E461D0">
        <w:rPr>
          <w:rFonts w:ascii="Palatino Linotype" w:hAnsi="Palatino Linotype"/>
        </w:rPr>
        <w:t>.</w:t>
      </w:r>
      <w:r w:rsidRPr="00E461D0">
        <w:rPr>
          <w:rFonts w:ascii="Palatino Linotype" w:hAnsi="Palatino Linotype"/>
        </w:rPr>
        <w:t xml:space="preserve"> Los colocadores podrán ser clientes, llevar a cabo negocios o prestar servicios la Sociedad o a sus afiliadas. </w:t>
      </w:r>
    </w:p>
    <w:p w14:paraId="7319E6EE" w14:textId="77777777" w:rsidR="00BE2390" w:rsidRPr="00E461D0" w:rsidRDefault="00BE2390" w:rsidP="00BE2390">
      <w:pPr>
        <w:widowControl/>
        <w:autoSpaceDE/>
        <w:autoSpaceDN/>
        <w:adjustRightInd/>
        <w:spacing w:after="160" w:line="259" w:lineRule="auto"/>
        <w:jc w:val="both"/>
        <w:rPr>
          <w:rFonts w:ascii="Palatino Linotype" w:hAnsi="Palatino Linotype"/>
          <w:b/>
        </w:rPr>
      </w:pPr>
      <w:r w:rsidRPr="00E461D0">
        <w:rPr>
          <w:rFonts w:ascii="Palatino Linotype" w:hAnsi="Palatino Linotype"/>
          <w:b/>
        </w:rPr>
        <w:t>3)</w:t>
      </w:r>
      <w:r w:rsidRPr="00E461D0">
        <w:rPr>
          <w:rFonts w:ascii="Palatino Linotype" w:hAnsi="Palatino Linotype"/>
          <w:b/>
        </w:rPr>
        <w:tab/>
        <w:t>Mercados:</w:t>
      </w:r>
    </w:p>
    <w:p w14:paraId="43BD35D1" w14:textId="77777777"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La Sociedad podrá solicitar que las Obligaciones Negociables Py</w:t>
      </w:r>
      <w:r w:rsidR="00487404" w:rsidRPr="00E461D0">
        <w:rPr>
          <w:rFonts w:ascii="Palatino Linotype" w:hAnsi="Palatino Linotype"/>
        </w:rPr>
        <w:t>ME</w:t>
      </w:r>
      <w:r w:rsidRPr="00E461D0">
        <w:rPr>
          <w:rFonts w:ascii="Palatino Linotype" w:hAnsi="Palatino Linotype"/>
        </w:rPr>
        <w:t xml:space="preserve"> de una Clase y/o Serie sean admitidas para que se listen y se negocien en el BYMA, el MAE y/o en cualquier otro mercado autorizado que acuerden la Sociedad y el organizador y/o colocador que se determine en el </w:t>
      </w:r>
      <w:r w:rsidR="00B3792D" w:rsidRPr="00E461D0">
        <w:rPr>
          <w:rFonts w:ascii="Palatino Linotype" w:hAnsi="Palatino Linotype"/>
        </w:rPr>
        <w:t>Suplemento de Prospecto</w:t>
      </w:r>
      <w:r w:rsidRPr="00E461D0">
        <w:rPr>
          <w:rFonts w:ascii="Palatino Linotype" w:hAnsi="Palatino Linotype"/>
        </w:rPr>
        <w:t xml:space="preserve"> aplicable. Sin embargo, la Sociedad no podría asegurar que tales solicitudes sean aceptadas. </w:t>
      </w:r>
    </w:p>
    <w:p w14:paraId="4CC6686B" w14:textId="77777777" w:rsidR="00BE2390" w:rsidRPr="00E461D0" w:rsidRDefault="00BE2390" w:rsidP="00BE2390">
      <w:pPr>
        <w:widowControl/>
        <w:autoSpaceDE/>
        <w:autoSpaceDN/>
        <w:adjustRightInd/>
        <w:spacing w:after="160" w:line="259" w:lineRule="auto"/>
        <w:jc w:val="both"/>
        <w:rPr>
          <w:rFonts w:ascii="Palatino Linotype" w:hAnsi="Palatino Linotype"/>
          <w:b/>
        </w:rPr>
      </w:pPr>
      <w:r w:rsidRPr="00E461D0">
        <w:rPr>
          <w:rFonts w:ascii="Palatino Linotype" w:hAnsi="Palatino Linotype"/>
          <w:b/>
        </w:rPr>
        <w:t>4)</w:t>
      </w:r>
      <w:r w:rsidRPr="00E461D0">
        <w:rPr>
          <w:rFonts w:ascii="Palatino Linotype" w:hAnsi="Palatino Linotype"/>
          <w:b/>
        </w:rPr>
        <w:tab/>
        <w:t>Gastos de la emisión:</w:t>
      </w:r>
    </w:p>
    <w:p w14:paraId="72A0B460" w14:textId="77777777" w:rsidR="00BE2390" w:rsidRPr="00E461D0" w:rsidRDefault="00BE2390" w:rsidP="00BE2390">
      <w:pPr>
        <w:widowControl/>
        <w:autoSpaceDE/>
        <w:autoSpaceDN/>
        <w:adjustRightInd/>
        <w:spacing w:after="160" w:line="259" w:lineRule="auto"/>
        <w:jc w:val="both"/>
        <w:rPr>
          <w:rFonts w:ascii="Palatino Linotype" w:hAnsi="Palatino Linotype"/>
        </w:rPr>
      </w:pPr>
      <w:r w:rsidRPr="00E461D0">
        <w:rPr>
          <w:rFonts w:ascii="Palatino Linotype" w:hAnsi="Palatino Linotype"/>
        </w:rPr>
        <w:t>La Sociedad informará los gastos relacionados con la emisión de cada Clase y/o Serie de las Obligaciones Negociables Py</w:t>
      </w:r>
      <w:r w:rsidR="00386CA1" w:rsidRPr="00E461D0">
        <w:rPr>
          <w:rFonts w:ascii="Palatino Linotype" w:hAnsi="Palatino Linotype"/>
        </w:rPr>
        <w:t>ME</w:t>
      </w:r>
      <w:r w:rsidRPr="00E461D0">
        <w:rPr>
          <w:rFonts w:ascii="Palatino Linotype" w:hAnsi="Palatino Linotype"/>
        </w:rPr>
        <w:t xml:space="preserve"> en el </w:t>
      </w:r>
      <w:r w:rsidR="00B3792D" w:rsidRPr="00E461D0">
        <w:rPr>
          <w:rFonts w:ascii="Palatino Linotype" w:hAnsi="Palatino Linotype"/>
        </w:rPr>
        <w:t>Suplemento de Prospecto</w:t>
      </w:r>
      <w:r w:rsidRPr="00E461D0">
        <w:rPr>
          <w:rFonts w:ascii="Palatino Linotype" w:hAnsi="Palatino Linotype"/>
        </w:rPr>
        <w:t xml:space="preserve"> respectivo.</w:t>
      </w:r>
    </w:p>
    <w:p w14:paraId="1A34A91C" w14:textId="77777777" w:rsidR="00487404" w:rsidRPr="00E461D0" w:rsidRDefault="00487404" w:rsidP="00BE2390">
      <w:pPr>
        <w:widowControl/>
        <w:autoSpaceDE/>
        <w:autoSpaceDN/>
        <w:adjustRightInd/>
        <w:spacing w:after="160" w:line="259" w:lineRule="auto"/>
        <w:jc w:val="both"/>
        <w:rPr>
          <w:rFonts w:ascii="Palatino Linotype" w:hAnsi="Palatino Linotype"/>
        </w:rPr>
        <w:sectPr w:rsidR="00487404" w:rsidRPr="00E461D0">
          <w:pgSz w:w="12240" w:h="15840"/>
          <w:pgMar w:top="1417" w:right="1701" w:bottom="1417" w:left="1701" w:header="708" w:footer="708" w:gutter="0"/>
          <w:cols w:space="708"/>
          <w:docGrid w:linePitch="360"/>
        </w:sectPr>
      </w:pPr>
    </w:p>
    <w:p w14:paraId="71484FBD" w14:textId="77777777" w:rsidR="005A02F0" w:rsidRPr="00E461D0" w:rsidRDefault="00C22F9B" w:rsidP="003C15F8">
      <w:pPr>
        <w:pStyle w:val="Ttulo1"/>
      </w:pPr>
      <w:bookmarkStart w:id="15" w:name="_Toc535599652"/>
      <w:bookmarkStart w:id="16" w:name="_Toc23325152"/>
      <w:r w:rsidRPr="00E461D0">
        <w:t xml:space="preserve">VIII. </w:t>
      </w:r>
      <w:r w:rsidR="005A02F0" w:rsidRPr="00E461D0">
        <w:t>CARGA IMPOSITIVA</w:t>
      </w:r>
      <w:bookmarkEnd w:id="15"/>
      <w:bookmarkEnd w:id="16"/>
    </w:p>
    <w:p w14:paraId="7E280B2E" w14:textId="77777777" w:rsidR="005A02F0" w:rsidRPr="00E461D0" w:rsidRDefault="005A02F0" w:rsidP="00487404">
      <w:pPr>
        <w:spacing w:after="120" w:line="240" w:lineRule="exact"/>
        <w:ind w:right="-1"/>
        <w:rPr>
          <w:rFonts w:ascii="Garamond" w:hAnsi="Garamond"/>
          <w:i/>
        </w:rPr>
      </w:pPr>
    </w:p>
    <w:p w14:paraId="6141D7EC" w14:textId="77777777" w:rsidR="00487404" w:rsidRPr="00E461D0" w:rsidRDefault="00487404" w:rsidP="003C15F8">
      <w:pPr>
        <w:spacing w:after="120" w:line="240" w:lineRule="exact"/>
        <w:ind w:right="-1"/>
        <w:jc w:val="both"/>
        <w:rPr>
          <w:rFonts w:ascii="Garamond" w:hAnsi="Garamond"/>
          <w:i/>
        </w:rPr>
      </w:pPr>
      <w:r w:rsidRPr="00E461D0">
        <w:rPr>
          <w:rFonts w:ascii="Garamond" w:hAnsi="Garamond"/>
          <w:i/>
        </w:rPr>
        <w:t>El siguiente resumen de las principales consecuencias tributarias en la Argentina derivadas de la adquisición, titularidad y enajenación de Obligaciones Negociables</w:t>
      </w:r>
      <w:r w:rsidRPr="00E461D0">
        <w:rPr>
          <w:rFonts w:ascii="Garamond" w:hAnsi="Garamond"/>
          <w:i/>
          <w:sz w:val="16"/>
          <w:szCs w:val="16"/>
          <w:lang w:eastAsia="es-ES"/>
        </w:rPr>
        <w:t xml:space="preserve"> </w:t>
      </w:r>
      <w:r w:rsidRPr="00E461D0">
        <w:rPr>
          <w:rFonts w:ascii="Garamond" w:hAnsi="Garamond"/>
          <w:i/>
        </w:rPr>
        <w:t>Py</w:t>
      </w:r>
      <w:r w:rsidR="005A02F0" w:rsidRPr="00E461D0">
        <w:rPr>
          <w:rFonts w:ascii="Garamond" w:hAnsi="Garamond"/>
          <w:i/>
        </w:rPr>
        <w:t>ME</w:t>
      </w:r>
      <w:r w:rsidRPr="00E461D0">
        <w:rPr>
          <w:rFonts w:ascii="Garamond" w:hAnsi="Garamond"/>
          <w:i/>
        </w:rPr>
        <w:t>, se basa en las leyes impositivas de la Argentina y las reglamentaciones emanadas de éstas, en vigencia a la fecha de este Prospecto, y están sujetas a cualquier modificación posterior dispuestas por las leyes y reglamentaciones argentinas que entren en vigencia después de dicha fecha.</w:t>
      </w:r>
    </w:p>
    <w:p w14:paraId="36056E73" w14:textId="647AEDFC" w:rsidR="00487404" w:rsidRPr="00E461D0" w:rsidRDefault="00F0094D" w:rsidP="003C15F8">
      <w:pPr>
        <w:spacing w:after="120" w:line="240" w:lineRule="exact"/>
        <w:ind w:right="-1"/>
        <w:jc w:val="both"/>
        <w:rPr>
          <w:rFonts w:ascii="Book Antiqua" w:hAnsi="Book Antiqua"/>
          <w:i/>
        </w:rPr>
      </w:pPr>
      <w:r w:rsidRPr="00E461D0">
        <w:rPr>
          <w:rFonts w:ascii="Garamond" w:hAnsi="Garamond"/>
          <w:i/>
        </w:rPr>
        <w:t xml:space="preserve">Si bien este resumen es </w:t>
      </w:r>
      <w:r w:rsidR="00487404" w:rsidRPr="00E461D0">
        <w:rPr>
          <w:rFonts w:ascii="Garamond" w:hAnsi="Garamond"/>
          <w:i/>
        </w:rPr>
        <w:t xml:space="preserve">una interpretación razonable de la legislación vigente a la fecha de este Prospecto, no puede asegurarse que los tribunales o las autoridades fiscales responsables de la aplicación de las leyes y regulaciones aquí descriptas concuerden con esta interpretación. </w:t>
      </w:r>
    </w:p>
    <w:p w14:paraId="096AF2F8" w14:textId="77777777" w:rsidR="00487404" w:rsidRPr="00E461D0" w:rsidRDefault="00487404" w:rsidP="003C15F8">
      <w:pPr>
        <w:spacing w:after="120" w:line="240" w:lineRule="exact"/>
        <w:ind w:right="-1"/>
        <w:jc w:val="both"/>
        <w:rPr>
          <w:rFonts w:ascii="Garamond" w:hAnsi="Garamond"/>
          <w:i/>
        </w:rPr>
      </w:pPr>
      <w:r w:rsidRPr="00E461D0">
        <w:rPr>
          <w:rFonts w:ascii="Garamond" w:hAnsi="Garamond"/>
          <w:i/>
        </w:rPr>
        <w:t>Se recomienda a los futuros inversores de las Obligaciones Negociables Py</w:t>
      </w:r>
      <w:r w:rsidR="005A02F0" w:rsidRPr="00E461D0">
        <w:rPr>
          <w:rFonts w:ascii="Garamond" w:hAnsi="Garamond"/>
          <w:i/>
        </w:rPr>
        <w:t>ME</w:t>
      </w:r>
      <w:r w:rsidRPr="00E461D0">
        <w:rPr>
          <w:rFonts w:ascii="Garamond" w:hAnsi="Garamond"/>
          <w:i/>
        </w:rPr>
        <w:t xml:space="preserve"> que consulten a sus asesores impositivos acerca de las consecuencias impositivas que pudiese acarrear la inversión en dichos valores negociables conforme la legislación impositiva de aplicación en su país de residencia e incluir, de modo no taxativo, la percepción de intereses y la venta, rescate u otra clase de acto de disposición de las Obligaciones Negociables</w:t>
      </w:r>
      <w:r w:rsidRPr="00E461D0">
        <w:rPr>
          <w:rFonts w:ascii="Garamond" w:hAnsi="Garamond"/>
          <w:i/>
          <w:sz w:val="16"/>
          <w:szCs w:val="16"/>
          <w:lang w:eastAsia="es-ES"/>
        </w:rPr>
        <w:t xml:space="preserve"> </w:t>
      </w:r>
      <w:r w:rsidRPr="00E461D0">
        <w:rPr>
          <w:rFonts w:ascii="Garamond" w:hAnsi="Garamond"/>
          <w:i/>
        </w:rPr>
        <w:t>Py</w:t>
      </w:r>
      <w:r w:rsidR="005A02F0" w:rsidRPr="00E461D0">
        <w:rPr>
          <w:rFonts w:ascii="Garamond" w:hAnsi="Garamond"/>
          <w:i/>
        </w:rPr>
        <w:t>ME</w:t>
      </w:r>
      <w:r w:rsidRPr="00E461D0">
        <w:rPr>
          <w:rFonts w:ascii="Garamond" w:hAnsi="Garamond"/>
          <w:i/>
        </w:rPr>
        <w:t>.</w:t>
      </w:r>
    </w:p>
    <w:p w14:paraId="66F7C89E" w14:textId="77777777" w:rsidR="00487404" w:rsidRPr="00E461D0" w:rsidRDefault="00487404" w:rsidP="00487404">
      <w:pPr>
        <w:spacing w:line="240" w:lineRule="exact"/>
        <w:rPr>
          <w:rStyle w:val="a1"/>
          <w:rFonts w:ascii="Garamond" w:hAnsi="Garamond"/>
        </w:rPr>
      </w:pPr>
    </w:p>
    <w:p w14:paraId="4AD83BE6" w14:textId="77777777" w:rsidR="00487404" w:rsidRPr="00E461D0" w:rsidRDefault="00487404" w:rsidP="003C15F8">
      <w:pPr>
        <w:jc w:val="both"/>
        <w:rPr>
          <w:rFonts w:ascii="Palatino Linotype" w:hAnsi="Palatino Linotype"/>
          <w:b/>
        </w:rPr>
      </w:pPr>
      <w:r w:rsidRPr="00E461D0">
        <w:rPr>
          <w:rFonts w:ascii="Palatino Linotype" w:hAnsi="Palatino Linotype"/>
          <w:b/>
        </w:rPr>
        <w:t>Impuesto a las ganancias</w:t>
      </w:r>
    </w:p>
    <w:p w14:paraId="647ED2F9" w14:textId="77777777" w:rsidR="005A02F0" w:rsidRPr="00E461D0" w:rsidRDefault="005A02F0" w:rsidP="003C15F8">
      <w:pPr>
        <w:jc w:val="both"/>
        <w:rPr>
          <w:rFonts w:ascii="Palatino Linotype" w:hAnsi="Palatino Linotype"/>
          <w:i/>
        </w:rPr>
      </w:pPr>
    </w:p>
    <w:p w14:paraId="675CC226" w14:textId="63A2A85D" w:rsidR="00104A68" w:rsidRPr="00E461D0" w:rsidRDefault="00104A68" w:rsidP="00104A68">
      <w:pPr>
        <w:jc w:val="both"/>
        <w:rPr>
          <w:rFonts w:ascii="Palatino Linotype" w:hAnsi="Palatino Linotype"/>
        </w:rPr>
      </w:pPr>
      <w:r w:rsidRPr="00E461D0">
        <w:rPr>
          <w:rFonts w:ascii="Palatino Linotype" w:hAnsi="Palatino Linotype"/>
        </w:rPr>
        <w:t>El artículo 81, inciso b) de la Ley 27.430, derogó la exención en el impuesto a las ganancias (el “Impuesto a las Ganancias”) prevista en los incisos 3) y 4) del artículo 36 bis de la ley 23.576. En virtud de ello, y de acuerdo a lo previsto por los artículos primero y cuarto agregados a continuación del artículo 90 de la Ley de Impuesto a las Ganancias, para el caso de las personas humanas residentes y sucesiones indivisas radicadas en el país, los intereses o rendimientos y los resultados provenientes de la compraventa, cambio, permuta o disposición de l</w:t>
      </w:r>
      <w:r w:rsidR="00A217C8" w:rsidRPr="00E461D0">
        <w:rPr>
          <w:rFonts w:ascii="Palatino Linotype" w:hAnsi="Palatino Linotype"/>
        </w:rPr>
        <w:t>a</w:t>
      </w:r>
      <w:r w:rsidRPr="00E461D0">
        <w:rPr>
          <w:rFonts w:ascii="Palatino Linotype" w:hAnsi="Palatino Linotype"/>
        </w:rPr>
        <w:t xml:space="preserve">s </w:t>
      </w:r>
      <w:r w:rsidR="00A217C8" w:rsidRPr="00E461D0">
        <w:rPr>
          <w:rFonts w:ascii="Palatino Linotype" w:hAnsi="Palatino Linotype"/>
        </w:rPr>
        <w:t>Obligaciones Negociables</w:t>
      </w:r>
      <w:r w:rsidR="00852E38" w:rsidRPr="00E461D0">
        <w:rPr>
          <w:rFonts w:ascii="Palatino Linotype" w:hAnsi="Palatino Linotype"/>
        </w:rPr>
        <w:t xml:space="preserve"> PyME</w:t>
      </w:r>
      <w:r w:rsidRPr="00E461D0">
        <w:rPr>
          <w:rFonts w:ascii="Palatino Linotype" w:hAnsi="Palatino Linotype"/>
        </w:rPr>
        <w:t xml:space="preserve">, se encuentran gravados al 5%, cuando sean emitidas en moneda nacional sin cláusula de ajuste, y al 15% cuando sean emitidas en moneda nacional con cláusula de ajuste o moneda extranjera. El Poder Ejecutivo Nacional podrá incrementar la alícuota del 5% hasta el límite del 15%, siempre que medien informes técnicos fundados, basados en variables económicas, que así lo justifiquen. </w:t>
      </w:r>
    </w:p>
    <w:p w14:paraId="61FE3163" w14:textId="77777777" w:rsidR="00104A68" w:rsidRPr="00E461D0" w:rsidRDefault="00104A68" w:rsidP="00104A68">
      <w:pPr>
        <w:jc w:val="both"/>
        <w:rPr>
          <w:rFonts w:ascii="Palatino Linotype" w:hAnsi="Palatino Linotype"/>
        </w:rPr>
      </w:pPr>
    </w:p>
    <w:p w14:paraId="42E49441" w14:textId="77777777" w:rsidR="00104A68" w:rsidRPr="00E461D0" w:rsidRDefault="00104A68" w:rsidP="00104A68">
      <w:pPr>
        <w:jc w:val="both"/>
        <w:rPr>
          <w:rFonts w:ascii="Palatino Linotype" w:hAnsi="Palatino Linotype"/>
        </w:rPr>
      </w:pPr>
      <w:r w:rsidRPr="00E461D0">
        <w:rPr>
          <w:rFonts w:ascii="Palatino Linotype" w:hAnsi="Palatino Linotype"/>
        </w:rPr>
        <w:t>También se encuentran alcanzados por el Impuesto a las Ganancias las sociedades comerciales, otras entidades constituidas o registradas conforme a las leyes argentinas, sucursales locales de entidades extranjeras, establecimientos estables pertenecientes a personas físicas residentes en el exterior o a personas jurídicas constituidas en el extranjero, empresas unipersonales y personas físicas que desarrollan determinadas actividades comerciales en Argentina. El ingreso del impuesto deberá ser hecho por los tenedores locales. En los supuestos en los que la Emisora sea un sujeto no regulado por la Ley de Entidades Financieras, y que los beneficiarios de los intereses tampoco sean entidades financieras, el impuesto a las ganancias deberá ser retenido e ingresado por la Emisora.</w:t>
      </w:r>
    </w:p>
    <w:p w14:paraId="6C910FFB" w14:textId="56185BC0" w:rsidR="00104A68" w:rsidRPr="00E461D0" w:rsidRDefault="00104A68" w:rsidP="00104A68">
      <w:pPr>
        <w:jc w:val="both"/>
        <w:rPr>
          <w:rFonts w:ascii="Palatino Linotype" w:hAnsi="Palatino Linotype"/>
        </w:rPr>
      </w:pPr>
      <w:r w:rsidRPr="00E461D0">
        <w:rPr>
          <w:rFonts w:ascii="Palatino Linotype" w:hAnsi="Palatino Linotype"/>
        </w:rPr>
        <w:t xml:space="preserve"> </w:t>
      </w:r>
    </w:p>
    <w:p w14:paraId="141F0AC5" w14:textId="77777777" w:rsidR="00104A68" w:rsidRPr="00E461D0" w:rsidRDefault="00104A68" w:rsidP="00104A68">
      <w:pPr>
        <w:jc w:val="both"/>
        <w:rPr>
          <w:rFonts w:ascii="Palatino Linotype" w:hAnsi="Palatino Linotype"/>
        </w:rPr>
      </w:pPr>
      <w:r w:rsidRPr="00E461D0">
        <w:rPr>
          <w:rFonts w:ascii="Palatino Linotype" w:hAnsi="Palatino Linotype"/>
        </w:rPr>
        <w:t>En este caso, de acuerdo a lo previsto por la actual redacción del penúltimo párrafo del artículo 81, inciso a) de la Ley de Impuesto a las Ganancias, los intereses quedarán sujetos, en el momento del pago, a las normas de retención vigentes dictadas por la Administración Federal de Ingresos Públicos, con independencia de que resulten o no deducibles.</w:t>
      </w:r>
    </w:p>
    <w:p w14:paraId="7F84C24B" w14:textId="77777777" w:rsidR="00104A68" w:rsidRPr="00E461D0" w:rsidRDefault="00104A68" w:rsidP="00104A68">
      <w:pPr>
        <w:jc w:val="both"/>
        <w:rPr>
          <w:rFonts w:ascii="Palatino Linotype" w:hAnsi="Palatino Linotype"/>
        </w:rPr>
      </w:pPr>
    </w:p>
    <w:p w14:paraId="05ECE157" w14:textId="5B4165D4" w:rsidR="00104A68" w:rsidRPr="00E461D0" w:rsidRDefault="00104A68" w:rsidP="00104A68">
      <w:pPr>
        <w:jc w:val="both"/>
        <w:rPr>
          <w:rFonts w:ascii="Palatino Linotype" w:hAnsi="Palatino Linotype"/>
        </w:rPr>
      </w:pPr>
      <w:r w:rsidRPr="00E461D0">
        <w:rPr>
          <w:rFonts w:ascii="Palatino Linotype" w:hAnsi="Palatino Linotype"/>
        </w:rPr>
        <w:t>En el caso de beneficiarios del exterior, de acuerdo a lo previsto por el artículo 20 inciso w) de la Ley de Impuesto a las Ganancias, los intereses o rendimientos y los resultados provenientes de la compraventa, cambio, permuta o disposición de l</w:t>
      </w:r>
      <w:r w:rsidR="00A217C8" w:rsidRPr="00E461D0">
        <w:rPr>
          <w:rFonts w:ascii="Palatino Linotype" w:hAnsi="Palatino Linotype"/>
        </w:rPr>
        <w:t>a</w:t>
      </w:r>
      <w:r w:rsidRPr="00E461D0">
        <w:rPr>
          <w:rFonts w:ascii="Palatino Linotype" w:hAnsi="Palatino Linotype"/>
        </w:rPr>
        <w:t xml:space="preserve">s </w:t>
      </w:r>
      <w:r w:rsidR="00A217C8" w:rsidRPr="00E461D0">
        <w:rPr>
          <w:rFonts w:ascii="Palatino Linotype" w:hAnsi="Palatino Linotype"/>
        </w:rPr>
        <w:t>Obligaciones Negociables</w:t>
      </w:r>
      <w:r w:rsidRPr="00E461D0">
        <w:rPr>
          <w:rFonts w:ascii="Palatino Linotype" w:hAnsi="Palatino Linotype"/>
        </w:rPr>
        <w:t xml:space="preserve"> </w:t>
      </w:r>
      <w:r w:rsidR="00852E38" w:rsidRPr="00E461D0">
        <w:rPr>
          <w:rFonts w:ascii="Palatino Linotype" w:hAnsi="Palatino Linotype"/>
        </w:rPr>
        <w:t xml:space="preserve">PyME </w:t>
      </w:r>
      <w:r w:rsidRPr="00E461D0">
        <w:rPr>
          <w:rFonts w:ascii="Palatino Linotype" w:hAnsi="Palatino Linotype"/>
        </w:rPr>
        <w:t>se encuentran exentos del Impuesto a las Ganancias, en la medida en que tales beneficiarios no residan en jurisdicciones no cooperantes o los fondos invertidos no provengan de jurisdicciones no cooperantes.</w:t>
      </w:r>
    </w:p>
    <w:p w14:paraId="231EA684" w14:textId="77777777" w:rsidR="00104A68" w:rsidRPr="00E461D0" w:rsidRDefault="00104A68" w:rsidP="00104A68">
      <w:pPr>
        <w:jc w:val="both"/>
        <w:rPr>
          <w:rFonts w:ascii="Palatino Linotype" w:hAnsi="Palatino Linotype"/>
        </w:rPr>
      </w:pPr>
    </w:p>
    <w:p w14:paraId="6B8D7BCD" w14:textId="77777777" w:rsidR="00104A68" w:rsidRPr="00E461D0" w:rsidRDefault="00104A68" w:rsidP="00104A68">
      <w:pPr>
        <w:jc w:val="both"/>
        <w:rPr>
          <w:rFonts w:ascii="Palatino Linotype" w:hAnsi="Palatino Linotype"/>
        </w:rPr>
      </w:pPr>
      <w:r w:rsidRPr="00E461D0">
        <w:rPr>
          <w:rFonts w:ascii="Palatino Linotype" w:hAnsi="Palatino Linotype"/>
        </w:rPr>
        <w:t>El tratamiento señalado será de aplicación siempre que se cumplan los requisitos previstos en el Art. 36 de la Ley 23.576, es decir:</w:t>
      </w:r>
    </w:p>
    <w:p w14:paraId="69E6E5C0" w14:textId="77777777" w:rsidR="00104A68" w:rsidRPr="00E461D0" w:rsidRDefault="00104A68" w:rsidP="00104A68">
      <w:pPr>
        <w:jc w:val="both"/>
        <w:rPr>
          <w:rFonts w:ascii="Palatino Linotype" w:hAnsi="Palatino Linotype"/>
        </w:rPr>
      </w:pPr>
    </w:p>
    <w:p w14:paraId="2DD36654" w14:textId="77777777" w:rsidR="00104A68" w:rsidRPr="00E461D0" w:rsidRDefault="00104A68" w:rsidP="00104A68">
      <w:pPr>
        <w:jc w:val="both"/>
        <w:rPr>
          <w:rFonts w:ascii="Palatino Linotype" w:hAnsi="Palatino Linotype"/>
        </w:rPr>
      </w:pPr>
      <w:r w:rsidRPr="00E461D0">
        <w:rPr>
          <w:rFonts w:ascii="Palatino Linotype" w:hAnsi="Palatino Linotype"/>
        </w:rPr>
        <w:t>(a)</w:t>
      </w:r>
      <w:r w:rsidRPr="00E461D0">
        <w:rPr>
          <w:rFonts w:ascii="Palatino Linotype" w:hAnsi="Palatino Linotype"/>
        </w:rPr>
        <w:tab/>
        <w:t>Se trate de obligaciones negociables que sean colocadas por oferta pública autorizada por la CNV, en cumplimiento de la Ley de Mercados de Capitales y las Normas de la CNV;</w:t>
      </w:r>
    </w:p>
    <w:p w14:paraId="22096BED" w14:textId="77777777" w:rsidR="00104A68" w:rsidRPr="00E461D0" w:rsidRDefault="00104A68" w:rsidP="00104A68">
      <w:pPr>
        <w:jc w:val="both"/>
        <w:rPr>
          <w:rFonts w:ascii="Palatino Linotype" w:hAnsi="Palatino Linotype"/>
        </w:rPr>
      </w:pPr>
      <w:r w:rsidRPr="00E461D0">
        <w:rPr>
          <w:rFonts w:ascii="Palatino Linotype" w:hAnsi="Palatino Linotype"/>
        </w:rPr>
        <w:t>(b)</w:t>
      </w:r>
      <w:r w:rsidRPr="00E461D0">
        <w:rPr>
          <w:rFonts w:ascii="Palatino Linotype" w:hAnsi="Palatino Linotype"/>
        </w:rPr>
        <w:tab/>
        <w:t xml:space="preserve">Los fondos a obtener mediante la colocación de las Obligaciones Negociables deberán ser utilizados por la Emisora para: (i) inversiones en activos físicos situados en Argentina, (ii) la integración de capital de trabajo en Argentina, (iii) la refinanciación de pasivos y/o (iv) la integración de aportes de capital en sociedades controladas o vinculadas a la Emisora siempre que los fondos derivados de la misma se apliquen a los destinos antes especificados; y </w:t>
      </w:r>
    </w:p>
    <w:p w14:paraId="5E7E1A8B" w14:textId="678E9EE0" w:rsidR="00104A68" w:rsidRPr="00E461D0" w:rsidRDefault="00104A68" w:rsidP="00104A68">
      <w:pPr>
        <w:jc w:val="both"/>
        <w:rPr>
          <w:rFonts w:ascii="Palatino Linotype" w:hAnsi="Palatino Linotype"/>
        </w:rPr>
      </w:pPr>
      <w:r w:rsidRPr="00E461D0">
        <w:rPr>
          <w:rFonts w:ascii="Palatino Linotype" w:hAnsi="Palatino Linotype"/>
        </w:rPr>
        <w:t>(c)</w:t>
      </w:r>
      <w:r w:rsidRPr="00E461D0">
        <w:rPr>
          <w:rFonts w:ascii="Palatino Linotype" w:hAnsi="Palatino Linotype"/>
        </w:rPr>
        <w:tab/>
        <w:t>la Emisora deberá acreditar ante la CNV, en el tiempo y forma que determinen las reglamentaciones aplicables, que los fondos obtenidos de la oferta de l</w:t>
      </w:r>
      <w:r w:rsidR="00A217C8" w:rsidRPr="00E461D0">
        <w:rPr>
          <w:rFonts w:ascii="Palatino Linotype" w:hAnsi="Palatino Linotype"/>
        </w:rPr>
        <w:t>a</w:t>
      </w:r>
      <w:r w:rsidRPr="00E461D0">
        <w:rPr>
          <w:rFonts w:ascii="Palatino Linotype" w:hAnsi="Palatino Linotype"/>
        </w:rPr>
        <w:t xml:space="preserve">s </w:t>
      </w:r>
      <w:r w:rsidR="00A217C8" w:rsidRPr="00E461D0">
        <w:rPr>
          <w:rFonts w:ascii="Palatino Linotype" w:hAnsi="Palatino Linotype"/>
        </w:rPr>
        <w:t>Obligaciones Negociables</w:t>
      </w:r>
      <w:r w:rsidR="00852E38" w:rsidRPr="00E461D0">
        <w:rPr>
          <w:rFonts w:ascii="Palatino Linotype" w:hAnsi="Palatino Linotype"/>
        </w:rPr>
        <w:t xml:space="preserve"> PyME</w:t>
      </w:r>
      <w:r w:rsidRPr="00E461D0">
        <w:rPr>
          <w:rFonts w:ascii="Palatino Linotype" w:hAnsi="Palatino Linotype"/>
        </w:rPr>
        <w:t xml:space="preserve"> fueron utilizados para cualquiera de los fines descriptos en el apartado (ii) precedente.</w:t>
      </w:r>
    </w:p>
    <w:p w14:paraId="5A08E1BF" w14:textId="77777777" w:rsidR="00104A68" w:rsidRPr="00E461D0" w:rsidRDefault="00104A68" w:rsidP="00104A68">
      <w:pPr>
        <w:jc w:val="both"/>
        <w:rPr>
          <w:rFonts w:ascii="Palatino Linotype" w:hAnsi="Palatino Linotype"/>
        </w:rPr>
      </w:pPr>
    </w:p>
    <w:p w14:paraId="26CD3039" w14:textId="77777777" w:rsidR="00104A68" w:rsidRPr="00E461D0" w:rsidRDefault="00104A68" w:rsidP="00104A68">
      <w:pPr>
        <w:jc w:val="both"/>
        <w:rPr>
          <w:rFonts w:ascii="Palatino Linotype" w:hAnsi="Palatino Linotype"/>
        </w:rPr>
      </w:pPr>
      <w:r w:rsidRPr="00E461D0">
        <w:rPr>
          <w:rFonts w:ascii="Palatino Linotype" w:hAnsi="Palatino Linotype"/>
        </w:rPr>
        <w:t>El último párrafo del artículo 20 inciso w) de la Ley de Impuesto a las Ganancias prevé que la Comisión Nacional de Valores está facultada a reglamentar y fiscalizar, en el ámbito de su competencia, las condiciones establecidas en dicho artículo, de conformidad con lo dispuesto en la Ley 26.831.</w:t>
      </w:r>
    </w:p>
    <w:p w14:paraId="21C944EA" w14:textId="77777777" w:rsidR="00104A68" w:rsidRPr="00E461D0" w:rsidRDefault="00104A68" w:rsidP="00104A68">
      <w:pPr>
        <w:jc w:val="both"/>
        <w:rPr>
          <w:rFonts w:ascii="Palatino Linotype" w:hAnsi="Palatino Linotype"/>
        </w:rPr>
      </w:pPr>
    </w:p>
    <w:p w14:paraId="28BFB980" w14:textId="604AB967" w:rsidR="00104A68" w:rsidRPr="00E461D0" w:rsidRDefault="00104A68" w:rsidP="00104A68">
      <w:pPr>
        <w:jc w:val="both"/>
        <w:rPr>
          <w:rFonts w:ascii="Palatino Linotype" w:hAnsi="Palatino Linotype"/>
        </w:rPr>
      </w:pPr>
      <w:r w:rsidRPr="00E461D0">
        <w:rPr>
          <w:rFonts w:ascii="Palatino Linotype" w:hAnsi="Palatino Linotype"/>
        </w:rPr>
        <w:t>En caso de no resultar aplicable la exención prevista en artículo 20 inciso w) de la Ley del Impuesto a las Ganancias, los intereses o rendimientos de l</w:t>
      </w:r>
      <w:r w:rsidR="00A217C8" w:rsidRPr="00E461D0">
        <w:rPr>
          <w:rFonts w:ascii="Palatino Linotype" w:hAnsi="Palatino Linotype"/>
        </w:rPr>
        <w:t>a</w:t>
      </w:r>
      <w:r w:rsidRPr="00E461D0">
        <w:rPr>
          <w:rFonts w:ascii="Palatino Linotype" w:hAnsi="Palatino Linotype"/>
        </w:rPr>
        <w:t xml:space="preserve">s </w:t>
      </w:r>
      <w:r w:rsidR="00A217C8" w:rsidRPr="00E461D0">
        <w:rPr>
          <w:rFonts w:ascii="Palatino Linotype" w:hAnsi="Palatino Linotype"/>
        </w:rPr>
        <w:t>Obligaciones Negociables</w:t>
      </w:r>
      <w:r w:rsidRPr="00E461D0">
        <w:rPr>
          <w:rFonts w:ascii="Palatino Linotype" w:hAnsi="Palatino Linotype"/>
        </w:rPr>
        <w:t xml:space="preserve"> </w:t>
      </w:r>
      <w:r w:rsidR="00852E38" w:rsidRPr="00E461D0">
        <w:rPr>
          <w:rFonts w:ascii="Palatino Linotype" w:hAnsi="Palatino Linotype"/>
        </w:rPr>
        <w:t xml:space="preserve">PyME </w:t>
      </w:r>
      <w:r w:rsidRPr="00E461D0">
        <w:rPr>
          <w:rFonts w:ascii="Palatino Linotype" w:hAnsi="Palatino Linotype"/>
        </w:rPr>
        <w:t>quedarán alcanzados por las presunciones de renta del artículo 93 de la Ley de Impuesto a las Ganancias, a las alícuotas descriptas en el primer párrafo. En estos casos, los pagos de intereses estarán sujetos al Impuesto a las Ganancias a (i) 2,15% o 6,45%, según se trate de obligaciones negociables en moneda nacional sin cláusula de ajuste, o de obligaciones negociables en moneda nacional con cláusula de ajuste y en moneda extranjera, respectivamente, siempre que el tenedor sea una entidad bancaria o financiera bajo supervisión del respectivo banco central u organismo equivalente radicada en jurisdicciones no consideradas de nula o baja tributación o se trate de jurisdicciones que hayan suscripto con la República Argentina convenios de intercambio de información y además que por aplicación de sus normas internas no pueda alegarse secreto bancario, bursátil o de otro tipo, ante el pedido de información del respectivo fisco; o (ii) 5% o 15%, según se trate de obligaciones negociables en moneda nacional sin cláusula de ajuste, o de obligaciones negociables en moneda nacional con cláusula de ajuste y en moneda extranjera, respectivamente, cuando el tenedor no cumpla con las condiciones previstas anteriormente.</w:t>
      </w:r>
    </w:p>
    <w:p w14:paraId="41658765" w14:textId="77777777" w:rsidR="00104A68" w:rsidRPr="00E461D0" w:rsidRDefault="00104A68" w:rsidP="00104A68">
      <w:pPr>
        <w:jc w:val="both"/>
        <w:rPr>
          <w:rFonts w:ascii="Palatino Linotype" w:hAnsi="Palatino Linotype"/>
        </w:rPr>
      </w:pPr>
    </w:p>
    <w:p w14:paraId="5E3C1F37" w14:textId="6C2CFA5C" w:rsidR="00104A68" w:rsidRPr="00E461D0" w:rsidRDefault="00104A68" w:rsidP="00104A68">
      <w:pPr>
        <w:jc w:val="both"/>
        <w:rPr>
          <w:rFonts w:ascii="Palatino Linotype" w:hAnsi="Palatino Linotype"/>
        </w:rPr>
      </w:pPr>
      <w:r w:rsidRPr="00E461D0">
        <w:rPr>
          <w:rFonts w:ascii="Palatino Linotype" w:hAnsi="Palatino Linotype"/>
        </w:rPr>
        <w:t xml:space="preserve">Por su parte, los resultados provenientes de la compraventa, cambio, permuta o disposición, quedarán alcanzados a las alícuotas del 5% o 15%, según se trate de obligaciones negociables en moneda nacional sin cláusula de ajuste, o de obligaciones negociables en moneda nacional con cláusula de ajuste y en moneda extranjera, respectivamente, sobre la presunción de renta del 90% de las sumas pagadas, pudiendo el beneficiario optar, para la determinación de la ganancia neta sujeta a retención, la suma que resulte de deducir del beneficio bruto pagado o acreditado, los gastos realizados en el país necesarios para su obtención, mantenimiento y conservación, como así también las deducciones admitidas por la Ley de Impuesto a las Ganancias. </w:t>
      </w:r>
    </w:p>
    <w:p w14:paraId="148D9230" w14:textId="77777777" w:rsidR="00104A68" w:rsidRPr="00E461D0" w:rsidRDefault="00104A68" w:rsidP="00104A68">
      <w:pPr>
        <w:jc w:val="both"/>
        <w:rPr>
          <w:rFonts w:ascii="Palatino Linotype" w:hAnsi="Palatino Linotype"/>
        </w:rPr>
      </w:pPr>
    </w:p>
    <w:p w14:paraId="43867844" w14:textId="77777777" w:rsidR="00104A68" w:rsidRPr="00E461D0" w:rsidRDefault="00104A68" w:rsidP="00104A68">
      <w:pPr>
        <w:jc w:val="both"/>
        <w:rPr>
          <w:rFonts w:ascii="Palatino Linotype" w:hAnsi="Palatino Linotype"/>
        </w:rPr>
      </w:pPr>
      <w:r w:rsidRPr="00E461D0">
        <w:rPr>
          <w:rFonts w:ascii="Palatino Linotype" w:hAnsi="Palatino Linotype"/>
        </w:rPr>
        <w:t xml:space="preserve">Sin embargo, de tratarse de beneficiarios del exterior que residen en jurisdicciones no cooperantes o los fondos invertidos provienen de jurisdicciones no cooperantes, la alícuota aplicable será del 35% sobre la ganancia presunta que corresponda de acuerdo con lo establecido en el artículo 93 de la Ley de Impuesto a las Ganancias, según el tipo de ganancia de que se trate. </w:t>
      </w:r>
    </w:p>
    <w:p w14:paraId="162DEB2B" w14:textId="77777777" w:rsidR="00104A68" w:rsidRPr="00E461D0" w:rsidRDefault="00104A68" w:rsidP="00104A68">
      <w:pPr>
        <w:jc w:val="both"/>
        <w:rPr>
          <w:rFonts w:ascii="Palatino Linotype" w:hAnsi="Palatino Linotype"/>
        </w:rPr>
      </w:pPr>
    </w:p>
    <w:p w14:paraId="18C0A923" w14:textId="77777777" w:rsidR="00104A68" w:rsidRPr="00E461D0" w:rsidRDefault="00104A68" w:rsidP="00104A68">
      <w:pPr>
        <w:jc w:val="both"/>
        <w:rPr>
          <w:rFonts w:ascii="Palatino Linotype" w:hAnsi="Palatino Linotype"/>
        </w:rPr>
      </w:pPr>
      <w:r w:rsidRPr="00E461D0">
        <w:rPr>
          <w:rFonts w:ascii="Palatino Linotype" w:hAnsi="Palatino Linotype"/>
        </w:rPr>
        <w:t>A los efectos del ingreso del gravamen en cuestión, deberán observarse las previsiones de la Resolución General N°4227/2018 (B.O. 12/04/2018).</w:t>
      </w:r>
    </w:p>
    <w:p w14:paraId="7AA39F25" w14:textId="77777777" w:rsidR="00104A68" w:rsidRPr="00E461D0" w:rsidRDefault="00104A68" w:rsidP="00104A68">
      <w:pPr>
        <w:jc w:val="both"/>
        <w:rPr>
          <w:rFonts w:ascii="Palatino Linotype" w:hAnsi="Palatino Linotype"/>
        </w:rPr>
      </w:pPr>
    </w:p>
    <w:p w14:paraId="6478A13C" w14:textId="53BBB216" w:rsidR="00C22F9B" w:rsidRPr="00E461D0" w:rsidRDefault="00104A68" w:rsidP="003C15F8">
      <w:pPr>
        <w:jc w:val="both"/>
        <w:rPr>
          <w:rFonts w:ascii="Palatino Linotype" w:hAnsi="Palatino Linotype"/>
        </w:rPr>
      </w:pPr>
      <w:r w:rsidRPr="00E461D0">
        <w:rPr>
          <w:rFonts w:ascii="Palatino Linotype" w:hAnsi="Palatino Linotype"/>
        </w:rPr>
        <w:t>Finalmente, para los casos de personas humanas residentes, sucesiones indivisas radicadas en la República Argentina y beneficiarios del exterior, la Administración Federal de Ingresos Públicos aún no reglamentó regímenes de retención del impuesto.</w:t>
      </w:r>
      <w:bookmarkStart w:id="17" w:name="_DV_M372"/>
      <w:bookmarkStart w:id="18" w:name="_DV_M373"/>
      <w:bookmarkStart w:id="19" w:name="_DV_M384"/>
      <w:bookmarkEnd w:id="17"/>
      <w:bookmarkEnd w:id="18"/>
      <w:bookmarkEnd w:id="19"/>
    </w:p>
    <w:p w14:paraId="02CE70D0" w14:textId="77777777" w:rsidR="00487404" w:rsidRPr="00E461D0" w:rsidRDefault="00487404" w:rsidP="003C15F8">
      <w:pPr>
        <w:jc w:val="both"/>
        <w:rPr>
          <w:rFonts w:ascii="Palatino Linotype" w:hAnsi="Palatino Linotype"/>
          <w:b/>
        </w:rPr>
      </w:pPr>
      <w:r w:rsidRPr="00E461D0">
        <w:rPr>
          <w:rFonts w:ascii="Palatino Linotype" w:hAnsi="Palatino Linotype"/>
          <w:b/>
        </w:rPr>
        <w:t>Impuesto al valor Agregado</w:t>
      </w:r>
    </w:p>
    <w:p w14:paraId="44CA9243" w14:textId="77777777" w:rsidR="00C22F9B" w:rsidRPr="00E461D0" w:rsidRDefault="00C22F9B" w:rsidP="003C15F8">
      <w:pPr>
        <w:jc w:val="both"/>
        <w:rPr>
          <w:rFonts w:ascii="Palatino Linotype" w:hAnsi="Palatino Linotype"/>
        </w:rPr>
      </w:pPr>
    </w:p>
    <w:p w14:paraId="6160AA2B" w14:textId="7431331C" w:rsidR="00104A68" w:rsidRPr="00E461D0" w:rsidRDefault="00104A68" w:rsidP="00104A68">
      <w:pPr>
        <w:jc w:val="both"/>
        <w:rPr>
          <w:rFonts w:ascii="Palatino Linotype" w:hAnsi="Palatino Linotype"/>
        </w:rPr>
      </w:pPr>
      <w:r w:rsidRPr="00E461D0">
        <w:rPr>
          <w:rFonts w:ascii="Palatino Linotype" w:hAnsi="Palatino Linotype"/>
        </w:rPr>
        <w:t xml:space="preserve">El pago de intereses de las Obligaciones Negociables </w:t>
      </w:r>
      <w:r w:rsidR="00852E38" w:rsidRPr="00E461D0">
        <w:rPr>
          <w:rFonts w:ascii="Palatino Linotype" w:hAnsi="Palatino Linotype"/>
        </w:rPr>
        <w:t xml:space="preserve">PyME </w:t>
      </w:r>
      <w:r w:rsidRPr="00E461D0">
        <w:rPr>
          <w:rFonts w:ascii="Palatino Linotype" w:hAnsi="Palatino Linotype"/>
        </w:rPr>
        <w:t>est</w:t>
      </w:r>
      <w:r w:rsidR="000074C4" w:rsidRPr="00E461D0">
        <w:rPr>
          <w:rFonts w:ascii="Palatino Linotype" w:hAnsi="Palatino Linotype"/>
        </w:rPr>
        <w:t>ará exento del I</w:t>
      </w:r>
      <w:r w:rsidRPr="00E461D0">
        <w:rPr>
          <w:rFonts w:ascii="Palatino Linotype" w:hAnsi="Palatino Linotype"/>
        </w:rPr>
        <w:t xml:space="preserve">mpuesto al </w:t>
      </w:r>
      <w:r w:rsidR="000074C4" w:rsidRPr="00E461D0">
        <w:rPr>
          <w:rFonts w:ascii="Palatino Linotype" w:hAnsi="Palatino Linotype"/>
        </w:rPr>
        <w:t>V</w:t>
      </w:r>
      <w:r w:rsidRPr="00E461D0">
        <w:rPr>
          <w:rFonts w:ascii="Palatino Linotype" w:hAnsi="Palatino Linotype"/>
        </w:rPr>
        <w:t xml:space="preserve">alor </w:t>
      </w:r>
      <w:r w:rsidR="000074C4" w:rsidRPr="00E461D0">
        <w:rPr>
          <w:rFonts w:ascii="Palatino Linotype" w:hAnsi="Palatino Linotype"/>
        </w:rPr>
        <w:t>A</w:t>
      </w:r>
      <w:r w:rsidRPr="00E461D0">
        <w:rPr>
          <w:rFonts w:ascii="Palatino Linotype" w:hAnsi="Palatino Linotype"/>
        </w:rPr>
        <w:t>gregado en la medida en que sean colocadas por oferta pública autorizada por la CNV.</w:t>
      </w:r>
    </w:p>
    <w:p w14:paraId="520829E6" w14:textId="77777777" w:rsidR="00104A68" w:rsidRPr="00E461D0" w:rsidRDefault="00104A68" w:rsidP="00104A68">
      <w:pPr>
        <w:jc w:val="both"/>
        <w:rPr>
          <w:rFonts w:ascii="Palatino Linotype" w:hAnsi="Palatino Linotype"/>
        </w:rPr>
      </w:pPr>
    </w:p>
    <w:p w14:paraId="546D0F42" w14:textId="77777777" w:rsidR="00104A68" w:rsidRPr="00E461D0" w:rsidRDefault="00104A68" w:rsidP="00104A68">
      <w:pPr>
        <w:jc w:val="both"/>
        <w:rPr>
          <w:rFonts w:ascii="Palatino Linotype" w:hAnsi="Palatino Linotype"/>
        </w:rPr>
      </w:pPr>
      <w:r w:rsidRPr="00E461D0">
        <w:rPr>
          <w:rFonts w:ascii="Palatino Linotype" w:hAnsi="Palatino Linotype"/>
        </w:rPr>
        <w:t xml:space="preserve">Además, de acuerdo con el artículo 36 bis de la Ley de Obligaciones Negociables quedan exentos del Impuesto al Valor Agregado las operaciones financieras y prestaciones relativas a la emisión, suscripción, colocación, transferencia, amortización, intereses y cancelaciones de las obligaciones negociables y sus garantías en la medida que se cumplan los requisitos y condiciones previstos en el Artículo 36 de la Ley 23.576. </w:t>
      </w:r>
    </w:p>
    <w:p w14:paraId="1E3C33D9" w14:textId="77777777" w:rsidR="00104A68" w:rsidRPr="00E461D0" w:rsidRDefault="00104A68" w:rsidP="00104A68">
      <w:pPr>
        <w:jc w:val="both"/>
        <w:rPr>
          <w:rFonts w:ascii="Palatino Linotype" w:hAnsi="Palatino Linotype"/>
        </w:rPr>
      </w:pPr>
    </w:p>
    <w:p w14:paraId="54C31E07" w14:textId="0EE2B654" w:rsidR="00C22F9B" w:rsidRPr="00E461D0" w:rsidRDefault="00104A68" w:rsidP="003C15F8">
      <w:pPr>
        <w:jc w:val="both"/>
        <w:rPr>
          <w:rFonts w:ascii="Palatino Linotype" w:hAnsi="Palatino Linotype"/>
        </w:rPr>
      </w:pPr>
      <w:r w:rsidRPr="00E461D0">
        <w:rPr>
          <w:rFonts w:ascii="Palatino Linotype" w:hAnsi="Palatino Linotype"/>
        </w:rPr>
        <w:t xml:space="preserve">De conformidad con la ley de impuesto al valor agregado, la transferencia de Obligaciones Negociables </w:t>
      </w:r>
      <w:r w:rsidR="00852E38" w:rsidRPr="00E461D0">
        <w:rPr>
          <w:rFonts w:ascii="Palatino Linotype" w:hAnsi="Palatino Linotype"/>
        </w:rPr>
        <w:t xml:space="preserve">PyME </w:t>
      </w:r>
      <w:r w:rsidRPr="00E461D0">
        <w:rPr>
          <w:rFonts w:ascii="Palatino Linotype" w:hAnsi="Palatino Linotype"/>
        </w:rPr>
        <w:t>no se encuentra sujeta a este impuesto, aún si no se cumplieran las Condiciones del Artículo 36.</w:t>
      </w:r>
    </w:p>
    <w:p w14:paraId="5C63C7CF" w14:textId="77777777" w:rsidR="00487404" w:rsidRPr="00E461D0" w:rsidRDefault="00487404" w:rsidP="003C15F8">
      <w:pPr>
        <w:jc w:val="both"/>
        <w:rPr>
          <w:rFonts w:ascii="Palatino Linotype" w:hAnsi="Palatino Linotype"/>
        </w:rPr>
      </w:pPr>
      <w:r w:rsidRPr="00E461D0">
        <w:rPr>
          <w:rFonts w:ascii="Palatino Linotype" w:hAnsi="Palatino Linotype"/>
        </w:rPr>
        <w:t>Cabe recordar que el Artículo 38 de la Ley de Obligaciones Negociables establece, que si la emisora no cumple las Condiciones del Artículo 36, será responsable por el pago de cualquiera de los impuestos resultantes. En este caso la alícuota a aplicar será del 21%, salvo supuestos especiales previstos por la normativa del gravamen.</w:t>
      </w:r>
    </w:p>
    <w:p w14:paraId="7AF54529" w14:textId="77777777" w:rsidR="00C22F9B" w:rsidRPr="00E461D0" w:rsidRDefault="00C22F9B" w:rsidP="003C15F8">
      <w:pPr>
        <w:jc w:val="both"/>
        <w:rPr>
          <w:rFonts w:ascii="Palatino Linotype" w:hAnsi="Palatino Linotype"/>
        </w:rPr>
      </w:pPr>
    </w:p>
    <w:p w14:paraId="2E6B247D" w14:textId="77777777" w:rsidR="00487404" w:rsidRPr="00E461D0" w:rsidRDefault="00487404" w:rsidP="003C15F8">
      <w:pPr>
        <w:jc w:val="both"/>
        <w:rPr>
          <w:rFonts w:ascii="Palatino Linotype" w:hAnsi="Palatino Linotype"/>
          <w:b/>
        </w:rPr>
      </w:pPr>
      <w:r w:rsidRPr="00E461D0">
        <w:rPr>
          <w:rFonts w:ascii="Palatino Linotype" w:hAnsi="Palatino Linotype"/>
          <w:b/>
        </w:rPr>
        <w:t>Impuesto a la Ganancia Mínima Presunta</w:t>
      </w:r>
    </w:p>
    <w:p w14:paraId="4A998A68" w14:textId="77777777" w:rsidR="00487404" w:rsidRPr="00E461D0" w:rsidRDefault="00487404" w:rsidP="003C15F8">
      <w:pPr>
        <w:jc w:val="both"/>
        <w:rPr>
          <w:rFonts w:ascii="Palatino Linotype" w:hAnsi="Palatino Linotype"/>
        </w:rPr>
      </w:pPr>
      <w:bookmarkStart w:id="20" w:name="_DV_M388"/>
      <w:bookmarkStart w:id="21" w:name="_DV_M389"/>
      <w:bookmarkStart w:id="22" w:name="_DV_M390"/>
      <w:bookmarkEnd w:id="20"/>
      <w:bookmarkEnd w:id="21"/>
      <w:bookmarkEnd w:id="22"/>
    </w:p>
    <w:p w14:paraId="7F5F8E18" w14:textId="6FC3ABDF" w:rsidR="00487404" w:rsidRPr="00E461D0" w:rsidRDefault="00852E38" w:rsidP="003C15F8">
      <w:pPr>
        <w:jc w:val="both"/>
        <w:rPr>
          <w:rFonts w:ascii="Palatino Linotype" w:hAnsi="Palatino Linotype"/>
        </w:rPr>
      </w:pPr>
      <w:r w:rsidRPr="00E461D0">
        <w:rPr>
          <w:rFonts w:ascii="Palatino Linotype" w:hAnsi="Palatino Linotype"/>
        </w:rPr>
        <w:t xml:space="preserve">Este impuesto fue derogado para los ejercicios que se inician a partir del 1° de enero de 2019 (conf. artículo 76 de la </w:t>
      </w:r>
      <w:r w:rsidR="00487404" w:rsidRPr="00E461D0">
        <w:rPr>
          <w:rFonts w:ascii="Palatino Linotype" w:hAnsi="Palatino Linotype"/>
        </w:rPr>
        <w:t>Ley 27.260</w:t>
      </w:r>
      <w:r w:rsidRPr="00E461D0">
        <w:rPr>
          <w:rFonts w:ascii="Palatino Linotype" w:hAnsi="Palatino Linotype"/>
        </w:rPr>
        <w:t>).</w:t>
      </w:r>
    </w:p>
    <w:p w14:paraId="0FDB3884" w14:textId="77777777" w:rsidR="00487404" w:rsidRPr="00E461D0" w:rsidRDefault="00487404" w:rsidP="003C15F8">
      <w:pPr>
        <w:jc w:val="both"/>
        <w:rPr>
          <w:rFonts w:ascii="Palatino Linotype" w:hAnsi="Palatino Linotype"/>
        </w:rPr>
      </w:pPr>
    </w:p>
    <w:p w14:paraId="6813D4ED" w14:textId="77777777" w:rsidR="00487404" w:rsidRPr="00E461D0" w:rsidRDefault="00487404" w:rsidP="003C15F8">
      <w:pPr>
        <w:jc w:val="both"/>
        <w:rPr>
          <w:rFonts w:ascii="Palatino Linotype" w:hAnsi="Palatino Linotype"/>
          <w:b/>
        </w:rPr>
      </w:pPr>
      <w:r w:rsidRPr="00E461D0">
        <w:rPr>
          <w:rFonts w:ascii="Palatino Linotype" w:hAnsi="Palatino Linotype"/>
          <w:b/>
        </w:rPr>
        <w:t>Impuesto sobre los Bienes Personales</w:t>
      </w:r>
    </w:p>
    <w:p w14:paraId="5BDC720B" w14:textId="77777777" w:rsidR="00C22F9B" w:rsidRPr="00E461D0" w:rsidRDefault="00C22F9B" w:rsidP="003C15F8">
      <w:pPr>
        <w:jc w:val="both"/>
        <w:rPr>
          <w:rFonts w:ascii="Palatino Linotype" w:hAnsi="Palatino Linotype"/>
        </w:rPr>
      </w:pPr>
    </w:p>
    <w:p w14:paraId="33100A0E" w14:textId="77777777" w:rsidR="00487404" w:rsidRPr="00E461D0" w:rsidRDefault="00487404" w:rsidP="003C15F8">
      <w:pPr>
        <w:jc w:val="both"/>
        <w:rPr>
          <w:rFonts w:ascii="Palatino Linotype" w:hAnsi="Palatino Linotype"/>
        </w:rPr>
      </w:pPr>
      <w:r w:rsidRPr="00E461D0">
        <w:rPr>
          <w:rFonts w:ascii="Palatino Linotype" w:hAnsi="Palatino Linotype"/>
          <w:u w:val="single"/>
        </w:rPr>
        <w:t xml:space="preserve">Personas </w:t>
      </w:r>
      <w:r w:rsidR="00C22F9B" w:rsidRPr="00E461D0">
        <w:rPr>
          <w:rFonts w:ascii="Palatino Linotype" w:hAnsi="Palatino Linotype"/>
          <w:u w:val="single"/>
        </w:rPr>
        <w:t>humanas</w:t>
      </w:r>
      <w:r w:rsidRPr="00E461D0">
        <w:rPr>
          <w:rFonts w:ascii="Palatino Linotype" w:hAnsi="Palatino Linotype"/>
          <w:u w:val="single"/>
        </w:rPr>
        <w:t xml:space="preserve"> y sucesiones indivisas</w:t>
      </w:r>
      <w:r w:rsidRPr="00E461D0">
        <w:rPr>
          <w:rFonts w:ascii="Palatino Linotype" w:hAnsi="Palatino Linotype"/>
        </w:rPr>
        <w:t>.</w:t>
      </w:r>
      <w:bookmarkStart w:id="23" w:name="_DV_M395"/>
      <w:bookmarkEnd w:id="23"/>
      <w:r w:rsidRPr="00E461D0">
        <w:rPr>
          <w:rFonts w:ascii="Palatino Linotype" w:hAnsi="Palatino Linotype"/>
        </w:rPr>
        <w:t xml:space="preserve"> </w:t>
      </w:r>
    </w:p>
    <w:p w14:paraId="095E90CF" w14:textId="77777777" w:rsidR="00487404" w:rsidRPr="00E461D0" w:rsidRDefault="00487404" w:rsidP="003C15F8">
      <w:pPr>
        <w:jc w:val="both"/>
        <w:rPr>
          <w:rFonts w:ascii="Palatino Linotype" w:hAnsi="Palatino Linotype"/>
        </w:rPr>
      </w:pPr>
    </w:p>
    <w:p w14:paraId="0BE600E3" w14:textId="68222BBA" w:rsidR="00487404" w:rsidRPr="00E461D0" w:rsidRDefault="00487404" w:rsidP="003C15F8">
      <w:pPr>
        <w:jc w:val="both"/>
        <w:rPr>
          <w:rFonts w:ascii="Palatino Linotype" w:hAnsi="Palatino Linotype"/>
        </w:rPr>
      </w:pPr>
      <w:r w:rsidRPr="00E461D0">
        <w:rPr>
          <w:rFonts w:ascii="Palatino Linotype" w:hAnsi="Palatino Linotype"/>
        </w:rPr>
        <w:t xml:space="preserve">Son sujetos pasivos de este impuesto: (i) las personas físicas domiciliadas en el país y las sucesiones indivisas radicadas en el mismo, por los bienes situados en la Argentina y en el exterior; y (ii) las personas físicas domiciliadas en el exterior y las sucesiones indivisas radicadas en el exterior, por los bienes situados en la Argentina. El impuesto grava los bienes existentes al 31 de diciembre de cada año de dichos sujetos. Las Obligaciones Negociables </w:t>
      </w:r>
      <w:r w:rsidR="00852E38" w:rsidRPr="00E461D0">
        <w:rPr>
          <w:rFonts w:ascii="Palatino Linotype" w:hAnsi="Palatino Linotype"/>
        </w:rPr>
        <w:t xml:space="preserve">PyME </w:t>
      </w:r>
      <w:r w:rsidRPr="00E461D0">
        <w:rPr>
          <w:rFonts w:ascii="Palatino Linotype" w:hAnsi="Palatino Linotype"/>
        </w:rPr>
        <w:t xml:space="preserve">están incluidas dentro de los bienes computables a los efectos de determinar la base imponible del impuesto y deben valuarse, en caso de cotizar, al último valor de cotización al 31 de diciembre de cada año. </w:t>
      </w:r>
    </w:p>
    <w:p w14:paraId="11BCB3F9" w14:textId="77777777" w:rsidR="00487404" w:rsidRPr="00E461D0" w:rsidRDefault="00487404" w:rsidP="003C15F8">
      <w:pPr>
        <w:jc w:val="both"/>
        <w:rPr>
          <w:rFonts w:ascii="Palatino Linotype" w:hAnsi="Palatino Linotype"/>
        </w:rPr>
      </w:pPr>
    </w:p>
    <w:p w14:paraId="11B77D9D" w14:textId="77777777" w:rsidR="002B7C90" w:rsidRPr="00E461D0" w:rsidRDefault="002B7C90" w:rsidP="002B7C90">
      <w:pPr>
        <w:jc w:val="both"/>
        <w:rPr>
          <w:rFonts w:ascii="Palatino Linotype" w:hAnsi="Palatino Linotype"/>
        </w:rPr>
      </w:pPr>
      <w:r w:rsidRPr="00E461D0">
        <w:rPr>
          <w:rFonts w:ascii="Palatino Linotype" w:hAnsi="Palatino Linotype"/>
        </w:rPr>
        <w:t>En virtud de lo previsto en la Ley Nº 27.480, a partir del año 2019, las personas humanas y sucesiones indivisas radicadas en el país, estarán alcanzadas con el IBP por sus bienes gravados al 31 de diciembre que superen el mínimo no imponible de $2.000.000: (i) hasta $3.000.000, a la alícuota del 0,25%; (ii) más de $3.000.000 hasta $18.000.000, pagarán $7.500 más el 0,50% sobre el excedente de $3.000.000; y (iii) más de $18.000.000, pagarán $82.500 más el 0,75% sobre el excedente de 0,75%.</w:t>
      </w:r>
    </w:p>
    <w:p w14:paraId="7AEF2DE1" w14:textId="77777777" w:rsidR="002B7C90" w:rsidRPr="00E461D0" w:rsidRDefault="002B7C90" w:rsidP="002B7C90">
      <w:pPr>
        <w:jc w:val="both"/>
        <w:rPr>
          <w:rFonts w:ascii="Palatino Linotype" w:hAnsi="Palatino Linotype"/>
        </w:rPr>
      </w:pPr>
    </w:p>
    <w:p w14:paraId="3408F9E4" w14:textId="5709F459" w:rsidR="00487404" w:rsidRPr="00E461D0" w:rsidRDefault="002B7C90" w:rsidP="003C15F8">
      <w:pPr>
        <w:jc w:val="both"/>
        <w:rPr>
          <w:rFonts w:ascii="Palatino Linotype" w:hAnsi="Palatino Linotype"/>
        </w:rPr>
      </w:pPr>
      <w:r w:rsidRPr="00E461D0">
        <w:rPr>
          <w:rFonts w:ascii="Palatino Linotype" w:hAnsi="Palatino Linotype"/>
        </w:rPr>
        <w:t>De tratarse de inmuebles destinados a casa-habitación del contribuyente, o del causante en el caso de sucesiones indivisas, no estarán alcanzados por el impuesto cuando su valor determinado de acuerdo con las normas de esta ley, resulten iguales o inferiores a $ 18.000.000.</w:t>
      </w:r>
      <w:bookmarkStart w:id="24" w:name="_DV_M397"/>
      <w:bookmarkEnd w:id="24"/>
    </w:p>
    <w:p w14:paraId="5767808F" w14:textId="5B08C2F9" w:rsidR="00487404" w:rsidRPr="00E461D0" w:rsidRDefault="00487404" w:rsidP="003C15F8">
      <w:pPr>
        <w:jc w:val="both"/>
        <w:rPr>
          <w:rFonts w:ascii="Palatino Linotype" w:hAnsi="Palatino Linotype"/>
        </w:rPr>
      </w:pPr>
      <w:bookmarkStart w:id="25" w:name="_DV_M398"/>
      <w:bookmarkEnd w:id="25"/>
      <w:r w:rsidRPr="00E461D0">
        <w:rPr>
          <w:rFonts w:ascii="Palatino Linotype" w:hAnsi="Palatino Linotype"/>
        </w:rPr>
        <w:t xml:space="preserve">Aunque las Obligaciones Negociables </w:t>
      </w:r>
      <w:r w:rsidR="00852E38" w:rsidRPr="00E461D0">
        <w:rPr>
          <w:rFonts w:ascii="Palatino Linotype" w:hAnsi="Palatino Linotype"/>
        </w:rPr>
        <w:t xml:space="preserve">PyME </w:t>
      </w:r>
      <w:r w:rsidRPr="00E461D0">
        <w:rPr>
          <w:rFonts w:ascii="Palatino Linotype" w:hAnsi="Palatino Linotype"/>
        </w:rPr>
        <w:t>detentadas directamente por personas físicas o sucesiones indivisas, ambas domiciliadas o radicadas, según el caso, fuera de la Argentina técnicamente estarían sujetas al impuesto so</w:t>
      </w:r>
      <w:r w:rsidR="00F0094D" w:rsidRPr="00E461D0">
        <w:rPr>
          <w:rFonts w:ascii="Palatino Linotype" w:hAnsi="Palatino Linotype"/>
        </w:rPr>
        <w:t xml:space="preserve">bre los bienes personales, aun </w:t>
      </w:r>
      <w:r w:rsidRPr="00E461D0">
        <w:rPr>
          <w:rFonts w:ascii="Palatino Linotype" w:hAnsi="Palatino Linotype"/>
        </w:rPr>
        <w:t>no se ha establecido un procedimiento para la retención de dicho impuesto respecto de valores negociables, tales como las Obligaciones Negociables, detentados directamente por dichas personas físicas o sucesiones indivisas, en los supuestos en los que no exista un sujeto local domiciliado o radicado en el país que tenga la disposición, tenencia, custodia o depósito de las Obligaciones Negociables</w:t>
      </w:r>
      <w:r w:rsidR="00852E38" w:rsidRPr="00E461D0">
        <w:rPr>
          <w:rFonts w:ascii="Palatino Linotype" w:hAnsi="Palatino Linotype"/>
        </w:rPr>
        <w:t xml:space="preserve"> PyME</w:t>
      </w:r>
      <w:r w:rsidRPr="00E461D0">
        <w:rPr>
          <w:rFonts w:ascii="Palatino Linotype" w:hAnsi="Palatino Linotype"/>
        </w:rPr>
        <w:t xml:space="preserve"> (el “</w:t>
      </w:r>
      <w:r w:rsidRPr="00E461D0">
        <w:rPr>
          <w:rFonts w:ascii="Palatino Linotype" w:hAnsi="Palatino Linotype"/>
          <w:u w:val="single"/>
        </w:rPr>
        <w:t>Responsable Sustituto</w:t>
      </w:r>
      <w:r w:rsidRPr="00E461D0">
        <w:rPr>
          <w:rFonts w:ascii="Palatino Linotype" w:hAnsi="Palatino Linotype"/>
        </w:rPr>
        <w:t>”).</w:t>
      </w:r>
    </w:p>
    <w:p w14:paraId="38BBDAE5" w14:textId="77777777" w:rsidR="00487404" w:rsidRPr="00E461D0" w:rsidRDefault="00487404" w:rsidP="003C15F8">
      <w:pPr>
        <w:jc w:val="both"/>
        <w:rPr>
          <w:rFonts w:ascii="Palatino Linotype" w:hAnsi="Palatino Linotype"/>
        </w:rPr>
      </w:pPr>
    </w:p>
    <w:p w14:paraId="19C96114" w14:textId="77777777" w:rsidR="00487404" w:rsidRPr="00E461D0" w:rsidRDefault="00487404" w:rsidP="003C15F8">
      <w:pPr>
        <w:jc w:val="both"/>
        <w:rPr>
          <w:rFonts w:ascii="Palatino Linotype" w:hAnsi="Palatino Linotype"/>
        </w:rPr>
      </w:pPr>
      <w:bookmarkStart w:id="26" w:name="_DV_M399"/>
      <w:bookmarkEnd w:id="26"/>
      <w:r w:rsidRPr="00E461D0">
        <w:rPr>
          <w:rFonts w:ascii="Palatino Linotype" w:hAnsi="Palatino Linotype"/>
        </w:rPr>
        <w:t xml:space="preserve">En la actualidad y de acuerdo al Decreto Nº 127/96 y sus modificatorias (el “Decreto 127”), este es el único régimen de ingreso del impuesto aplicable a las personas físicas o sucesiones indivisas domiciliadas o radicadas en el exterior, </w:t>
      </w:r>
      <w:bookmarkStart w:id="27" w:name="_DV_C1359"/>
      <w:r w:rsidRPr="00E461D0">
        <w:rPr>
          <w:rFonts w:ascii="Palatino Linotype" w:hAnsi="Palatino Linotype"/>
        </w:rPr>
        <w:t>excepto para el caso de</w:t>
      </w:r>
      <w:bookmarkStart w:id="28" w:name="_DV_M400"/>
      <w:bookmarkEnd w:id="27"/>
      <w:bookmarkEnd w:id="28"/>
      <w:r w:rsidRPr="00E461D0">
        <w:rPr>
          <w:rFonts w:ascii="Palatino Linotype" w:hAnsi="Palatino Linotype"/>
        </w:rPr>
        <w:t xml:space="preserve">: (i) las personas físicas de nacionalidad extranjera domiciliadas en Argentina que - por razones de índole laboral - requieran una residencia en </w:t>
      </w:r>
      <w:bookmarkStart w:id="29" w:name="_DV_C1361"/>
      <w:r w:rsidRPr="00E461D0">
        <w:rPr>
          <w:rFonts w:ascii="Palatino Linotype" w:hAnsi="Palatino Linotype"/>
        </w:rPr>
        <w:t>la Argentina</w:t>
      </w:r>
      <w:bookmarkStart w:id="30" w:name="_DV_M401"/>
      <w:bookmarkEnd w:id="29"/>
      <w:bookmarkEnd w:id="30"/>
      <w:r w:rsidRPr="00E461D0">
        <w:rPr>
          <w:rFonts w:ascii="Palatino Linotype" w:hAnsi="Palatino Linotype"/>
        </w:rPr>
        <w:t xml:space="preserve"> que no supere los cinco años; y (ii) los miembros de las misiones diplomáticas y consulares extranjeras domiciliados en el exterior que hubieran ingresado al país para desempeñar funciones diplomáticas y consulares, en tanto no les resulte aplicable la exención prevista en el Artículo 21, inciso a) de la ley del impuesto. En ambos casos, las personas involucradas deberán tributar el impuesto exclusivamente respecto de los bienes situados en Argentina, en los términos establecidos en la ley del impuesto para las personas físicas residentes en el país.</w:t>
      </w:r>
    </w:p>
    <w:p w14:paraId="5D9E0698" w14:textId="77777777" w:rsidR="00487404" w:rsidRPr="00E461D0" w:rsidRDefault="00487404" w:rsidP="003C15F8">
      <w:pPr>
        <w:jc w:val="both"/>
        <w:rPr>
          <w:rFonts w:ascii="Palatino Linotype" w:hAnsi="Palatino Linotype"/>
        </w:rPr>
      </w:pPr>
      <w:bookmarkStart w:id="31" w:name="_Toc213148657"/>
      <w:bookmarkStart w:id="32" w:name="_DV_M402"/>
      <w:bookmarkEnd w:id="31"/>
      <w:bookmarkEnd w:id="32"/>
    </w:p>
    <w:p w14:paraId="126FD641" w14:textId="77777777" w:rsidR="00487404" w:rsidRPr="00E461D0" w:rsidRDefault="00487404" w:rsidP="003C15F8">
      <w:pPr>
        <w:jc w:val="both"/>
        <w:rPr>
          <w:rFonts w:ascii="Palatino Linotype" w:hAnsi="Palatino Linotype"/>
        </w:rPr>
      </w:pPr>
      <w:r w:rsidRPr="00E461D0">
        <w:rPr>
          <w:rFonts w:ascii="Palatino Linotype" w:hAnsi="Palatino Linotype"/>
          <w:u w:val="single"/>
        </w:rPr>
        <w:t>Personas Jurídicas</w:t>
      </w:r>
      <w:r w:rsidRPr="00E461D0">
        <w:rPr>
          <w:rFonts w:ascii="Palatino Linotype" w:hAnsi="Palatino Linotype"/>
        </w:rPr>
        <w:t>.</w:t>
      </w:r>
    </w:p>
    <w:p w14:paraId="677B37B4" w14:textId="77777777" w:rsidR="00487404" w:rsidRPr="00E461D0" w:rsidRDefault="00487404" w:rsidP="003C15F8">
      <w:pPr>
        <w:jc w:val="both"/>
        <w:rPr>
          <w:rFonts w:ascii="Palatino Linotype" w:hAnsi="Palatino Linotype"/>
        </w:rPr>
      </w:pPr>
    </w:p>
    <w:p w14:paraId="7D14E827" w14:textId="77777777" w:rsidR="00487404" w:rsidRPr="00E461D0" w:rsidRDefault="00487404" w:rsidP="003C15F8">
      <w:pPr>
        <w:jc w:val="both"/>
        <w:rPr>
          <w:rFonts w:ascii="Palatino Linotype" w:hAnsi="Palatino Linotype"/>
        </w:rPr>
      </w:pPr>
      <w:bookmarkStart w:id="33" w:name="_DV_M403"/>
      <w:bookmarkEnd w:id="33"/>
      <w:r w:rsidRPr="00E461D0">
        <w:rPr>
          <w:rFonts w:ascii="Palatino Linotype" w:hAnsi="Palatino Linotype"/>
        </w:rPr>
        <w:t xml:space="preserve">Las personas jurídicas domiciliadas en la Argentina no están alcanzadas por el impuesto sobre los bienes personales. </w:t>
      </w:r>
    </w:p>
    <w:p w14:paraId="261B125C" w14:textId="77777777" w:rsidR="00487404" w:rsidRPr="00E461D0" w:rsidRDefault="00487404" w:rsidP="003C15F8">
      <w:pPr>
        <w:jc w:val="both"/>
        <w:rPr>
          <w:rFonts w:ascii="Palatino Linotype" w:hAnsi="Palatino Linotype"/>
        </w:rPr>
      </w:pPr>
    </w:p>
    <w:p w14:paraId="779C265D" w14:textId="6D99CC68" w:rsidR="00487404" w:rsidRPr="00E461D0" w:rsidRDefault="00487404" w:rsidP="003C15F8">
      <w:pPr>
        <w:jc w:val="both"/>
        <w:rPr>
          <w:rFonts w:ascii="Palatino Linotype" w:hAnsi="Palatino Linotype"/>
        </w:rPr>
      </w:pPr>
      <w:bookmarkStart w:id="34" w:name="_DV_M404"/>
      <w:bookmarkEnd w:id="34"/>
      <w:r w:rsidRPr="00E461D0">
        <w:rPr>
          <w:rFonts w:ascii="Palatino Linotype" w:hAnsi="Palatino Linotype"/>
        </w:rPr>
        <w:t>En el caso de Obligaciones Negociables previstas en la Ley de Obligaciones Negociables</w:t>
      </w:r>
      <w:r w:rsidR="00852E38" w:rsidRPr="00E461D0">
        <w:rPr>
          <w:rFonts w:ascii="Palatino Linotype" w:hAnsi="Palatino Linotype"/>
        </w:rPr>
        <w:t xml:space="preserve"> PyME</w:t>
      </w:r>
      <w:r w:rsidRPr="00E461D0">
        <w:rPr>
          <w:rFonts w:ascii="Palatino Linotype" w:hAnsi="Palatino Linotype"/>
        </w:rPr>
        <w:t xml:space="preserve"> cuya titularidad corresponda a sociedades, cualquier otro tipo de persona de existencia ideal, empresas, establecimientos estables, patrimonios de afectación o explotaciones, domiciliados o radicados o ubicados fuera de la Argentina (en este punto, los “Titulares Extranjeros”), en un país en el que no se aplique el régimen de nominatividad de los títulos valores privados, la ley presume –sin admitir prueba en contrario- que las Obligaciones Negociables </w:t>
      </w:r>
      <w:r w:rsidR="00852E38" w:rsidRPr="00E461D0">
        <w:rPr>
          <w:rFonts w:ascii="Palatino Linotype" w:hAnsi="Palatino Linotype"/>
        </w:rPr>
        <w:t xml:space="preserve">PyME </w:t>
      </w:r>
      <w:r w:rsidRPr="00E461D0">
        <w:rPr>
          <w:rFonts w:ascii="Palatino Linotype" w:hAnsi="Palatino Linotype"/>
        </w:rPr>
        <w:t>pertenecen a personas físicas o sucesiones indivisas domiciliadas o radicadas en la Argentina y, por lo tanto, sujetas al gravamen.</w:t>
      </w:r>
    </w:p>
    <w:p w14:paraId="3C78C0E9" w14:textId="77777777" w:rsidR="00C22F9B" w:rsidRPr="00E461D0" w:rsidRDefault="00C22F9B" w:rsidP="003C15F8">
      <w:pPr>
        <w:jc w:val="both"/>
        <w:rPr>
          <w:rFonts w:ascii="Palatino Linotype" w:hAnsi="Palatino Linotype"/>
          <w:lang w:eastAsia="es-ES"/>
        </w:rPr>
      </w:pPr>
      <w:bookmarkStart w:id="35" w:name="_DV_M405"/>
      <w:bookmarkEnd w:id="35"/>
    </w:p>
    <w:p w14:paraId="7F8D7FAF" w14:textId="1F65553D" w:rsidR="00487404" w:rsidRPr="00E461D0" w:rsidRDefault="00487404" w:rsidP="003C15F8">
      <w:pPr>
        <w:jc w:val="both"/>
        <w:rPr>
          <w:rFonts w:ascii="Palatino Linotype" w:hAnsi="Palatino Linotype"/>
        </w:rPr>
      </w:pPr>
      <w:r w:rsidRPr="00E461D0">
        <w:rPr>
          <w:rFonts w:ascii="Palatino Linotype" w:hAnsi="Palatino Linotype"/>
          <w:lang w:eastAsia="es-ES"/>
        </w:rPr>
        <w:t>Esta presunción sólo comprende a los Titulares Extranjeros que por su naturaleza jurídica o sus estatutos, tengan por actividad principal realizar inversiones fuera de la jurisdicción de su constitución y/o no puedan efectuar en la misma ciertas operaciones y/o inversiones expresamente determinadas en el régimen legal o estatutario que las regula (en este punto, los “</w:t>
      </w:r>
      <w:r w:rsidRPr="00E461D0">
        <w:rPr>
          <w:rFonts w:ascii="Palatino Linotype" w:hAnsi="Palatino Linotype"/>
          <w:u w:val="single"/>
          <w:lang w:eastAsia="es-ES"/>
        </w:rPr>
        <w:t>Titulares Off-Shore</w:t>
      </w:r>
      <w:r w:rsidRPr="00E461D0">
        <w:rPr>
          <w:rFonts w:ascii="Palatino Linotype" w:hAnsi="Palatino Linotype"/>
          <w:lang w:eastAsia="es-ES"/>
        </w:rPr>
        <w:t xml:space="preserve">”). Dicha presunción no resulta aplicable: (i) de acuerdo a la ley del impuesto, cuando los titulares directos de las Obligaciones Negociables </w:t>
      </w:r>
      <w:r w:rsidR="00852E38" w:rsidRPr="00E461D0">
        <w:rPr>
          <w:rFonts w:ascii="Palatino Linotype" w:hAnsi="Palatino Linotype"/>
        </w:rPr>
        <w:t>PyME</w:t>
      </w:r>
      <w:r w:rsidR="00F0094D" w:rsidRPr="00E461D0">
        <w:rPr>
          <w:rFonts w:ascii="Palatino Linotype" w:hAnsi="Palatino Linotype"/>
          <w:lang w:eastAsia="es-ES"/>
        </w:rPr>
        <w:t xml:space="preserve"> </w:t>
      </w:r>
      <w:r w:rsidRPr="00E461D0">
        <w:rPr>
          <w:rFonts w:ascii="Palatino Linotype" w:hAnsi="Palatino Linotype"/>
          <w:lang w:eastAsia="es-ES"/>
        </w:rPr>
        <w:t>sean compañías de seguros, fondos abiertos de inversión, fondos de pensión o entidades bancarias o financieras cuyas casas matrices estén constituidas o radicadas en países en los que sus bancos centrales u organismos equivalentes hayan adoptado los estándares internacionales de supervisión bancaria establecidos por el Comité de Bancos de Basilea; y (ii) de acuerdo al Decreto 127, a los títulos privados representativos de deuda con oferta pública autorizada por la CNV, y que se negocien en bolsas o mercados de valores de la Argentina o del exterior. En este caso la emisora no estará obligada a actuar como responsable sustituto del impuesto sobre los bienes personales, para lo cual, de conformidad con la Resolución General (AFIP) Nº 2151/2006, deberá conservar una copia de la resolución de la CNV por la que se acuerda la autorización de oferta pública de las Obligaciones Negociables</w:t>
      </w:r>
      <w:r w:rsidR="00852E38" w:rsidRPr="00E461D0">
        <w:rPr>
          <w:rFonts w:ascii="Palatino Linotype" w:hAnsi="Palatino Linotype"/>
          <w:lang w:eastAsia="es-ES"/>
        </w:rPr>
        <w:t xml:space="preserve"> </w:t>
      </w:r>
      <w:r w:rsidR="00852E38" w:rsidRPr="00E461D0">
        <w:rPr>
          <w:rFonts w:ascii="Palatino Linotype" w:hAnsi="Palatino Linotype"/>
        </w:rPr>
        <w:t>PyME</w:t>
      </w:r>
      <w:r w:rsidRPr="00E461D0">
        <w:rPr>
          <w:rFonts w:ascii="Palatino Linotype" w:hAnsi="Palatino Linotype"/>
          <w:lang w:eastAsia="es-ES"/>
        </w:rPr>
        <w:t xml:space="preserve">, y constancia de su vigencia al 31 de diciembre del año al que corresponda la liquidación del impuesto, ambas certificadas por la CNV. En caso que la AFIP considere que no se cuenta con la documentación que acredita la autorización de la CNV y su negociación en mercados de valores del país o del exterior, la emisora será responsable del ingreso del impuesto sobre los bienes personales de Titulares Off-Shore. En este último supuesto, </w:t>
      </w:r>
      <w:bookmarkStart w:id="36" w:name="_DV_M406"/>
      <w:bookmarkEnd w:id="36"/>
      <w:r w:rsidRPr="00E461D0">
        <w:rPr>
          <w:rFonts w:ascii="Palatino Linotype" w:hAnsi="Palatino Linotype"/>
        </w:rPr>
        <w:t>de acuerdo al Artículo 26 (según la Ley Nº 23.966 y sus modificatorias) de la ley del impuesto, la alícuota aplicable será</w:t>
      </w:r>
      <w:r w:rsidR="002B7C90" w:rsidRPr="00E461D0">
        <w:rPr>
          <w:rFonts w:ascii="Palatino Linotype" w:hAnsi="Palatino Linotype"/>
        </w:rPr>
        <w:t xml:space="preserve"> del</w:t>
      </w:r>
      <w:r w:rsidRPr="00E461D0">
        <w:rPr>
          <w:rFonts w:ascii="Palatino Linotype" w:hAnsi="Palatino Linotype"/>
        </w:rPr>
        <w:t xml:space="preserve"> 0,5%.</w:t>
      </w:r>
    </w:p>
    <w:p w14:paraId="726862FE" w14:textId="77777777" w:rsidR="00487404" w:rsidRPr="00E461D0" w:rsidRDefault="00487404" w:rsidP="003C15F8">
      <w:pPr>
        <w:jc w:val="both"/>
        <w:rPr>
          <w:rFonts w:ascii="Palatino Linotype" w:hAnsi="Palatino Linotype"/>
        </w:rPr>
      </w:pPr>
    </w:p>
    <w:p w14:paraId="29AAA562" w14:textId="77777777" w:rsidR="00487404" w:rsidRPr="00E461D0" w:rsidRDefault="00487404" w:rsidP="003C15F8">
      <w:pPr>
        <w:jc w:val="both"/>
        <w:rPr>
          <w:rFonts w:ascii="Palatino Linotype" w:hAnsi="Palatino Linotype"/>
          <w:b/>
          <w:bCs/>
        </w:rPr>
      </w:pPr>
      <w:r w:rsidRPr="00E461D0">
        <w:rPr>
          <w:rFonts w:ascii="Palatino Linotype" w:hAnsi="Palatino Linotype"/>
          <w:b/>
          <w:bCs/>
        </w:rPr>
        <w:t>Impuesto sobre los Créditos y Débitos en Cuentas Bancarias</w:t>
      </w:r>
    </w:p>
    <w:p w14:paraId="129764DD" w14:textId="77777777" w:rsidR="00C22F9B" w:rsidRPr="00E461D0" w:rsidRDefault="00C22F9B" w:rsidP="003C15F8">
      <w:pPr>
        <w:jc w:val="both"/>
        <w:rPr>
          <w:rFonts w:ascii="Palatino Linotype" w:hAnsi="Palatino Linotype"/>
          <w:b/>
          <w:bCs/>
        </w:rPr>
      </w:pPr>
    </w:p>
    <w:p w14:paraId="550537F8" w14:textId="0D83C5AD" w:rsidR="00487404" w:rsidRPr="00E461D0" w:rsidRDefault="00487404" w:rsidP="003C15F8">
      <w:pPr>
        <w:jc w:val="both"/>
        <w:rPr>
          <w:rFonts w:ascii="Palatino Linotype" w:hAnsi="Palatino Linotype"/>
        </w:rPr>
      </w:pPr>
      <w:r w:rsidRPr="00E461D0">
        <w:rPr>
          <w:rFonts w:ascii="Palatino Linotype" w:hAnsi="Palatino Linotype"/>
        </w:rPr>
        <w:t>La Ley N° 25.413 (y sus</w:t>
      </w:r>
      <w:r w:rsidR="00F0094D" w:rsidRPr="00E461D0">
        <w:rPr>
          <w:rFonts w:ascii="Palatino Linotype" w:hAnsi="Palatino Linotype"/>
        </w:rPr>
        <w:t xml:space="preserve"> modificaciones) estableció un </w:t>
      </w:r>
      <w:r w:rsidRPr="00E461D0">
        <w:rPr>
          <w:rFonts w:ascii="Palatino Linotype" w:hAnsi="Palatino Linotype"/>
        </w:rPr>
        <w:t xml:space="preserve">impuesto sobre los créditos y débitos efectuados en cuentas, de cualquier naturaleza, abiertas en las entidades regidas por la LEF, salvo aquéllas específicamente excluidas por la ley y sus reglamentaciones. </w:t>
      </w:r>
    </w:p>
    <w:p w14:paraId="4440FC16" w14:textId="77777777" w:rsidR="00C22F9B" w:rsidRPr="00E461D0" w:rsidRDefault="00C22F9B" w:rsidP="003C15F8">
      <w:pPr>
        <w:jc w:val="both"/>
        <w:rPr>
          <w:rFonts w:ascii="Palatino Linotype" w:hAnsi="Palatino Linotype"/>
        </w:rPr>
      </w:pPr>
    </w:p>
    <w:p w14:paraId="0C13AD6A" w14:textId="77777777" w:rsidR="00487404" w:rsidRPr="00E461D0" w:rsidRDefault="00487404" w:rsidP="003C15F8">
      <w:pPr>
        <w:jc w:val="both"/>
        <w:rPr>
          <w:rFonts w:ascii="Palatino Linotype" w:hAnsi="Palatino Linotype"/>
        </w:rPr>
      </w:pPr>
      <w:r w:rsidRPr="00E461D0">
        <w:rPr>
          <w:rFonts w:ascii="Palatino Linotype" w:hAnsi="Palatino Linotype"/>
        </w:rPr>
        <w:t>La alícuota general del impuesto es del 0,6% aplicable sobre cada débito y cada crédito, aunque existen tasas reducidas del 0,075% así como tasas incrementadas del 1,2%.</w:t>
      </w:r>
    </w:p>
    <w:p w14:paraId="69F071AE" w14:textId="77777777" w:rsidR="00C22F9B" w:rsidRPr="00E461D0" w:rsidRDefault="00C22F9B" w:rsidP="003C15F8">
      <w:pPr>
        <w:jc w:val="both"/>
        <w:rPr>
          <w:rFonts w:ascii="Palatino Linotype" w:hAnsi="Palatino Linotype"/>
        </w:rPr>
      </w:pPr>
    </w:p>
    <w:p w14:paraId="48460690" w14:textId="42E1C57A" w:rsidR="00487404" w:rsidRPr="00E461D0" w:rsidRDefault="00487404" w:rsidP="003C15F8">
      <w:pPr>
        <w:jc w:val="both"/>
        <w:rPr>
          <w:rFonts w:ascii="Palatino Linotype" w:hAnsi="Palatino Linotype"/>
        </w:rPr>
      </w:pPr>
      <w:r w:rsidRPr="00E461D0">
        <w:rPr>
          <w:rFonts w:ascii="Palatino Linotype" w:hAnsi="Palatino Linotype"/>
        </w:rPr>
        <w:t>En general las entidades financieras intervinientes actúan como agentes de percepción y liquidación del gravamen. En caso de que las sumas pagaderas en relación a las Obligaciones Negociables</w:t>
      </w:r>
      <w:r w:rsidR="00852E38" w:rsidRPr="00E461D0">
        <w:rPr>
          <w:rFonts w:ascii="Palatino Linotype" w:hAnsi="Palatino Linotype"/>
        </w:rPr>
        <w:t xml:space="preserve"> PyME</w:t>
      </w:r>
      <w:r w:rsidRPr="00E461D0">
        <w:rPr>
          <w:rFonts w:ascii="Palatino Linotype" w:hAnsi="Palatino Linotype"/>
        </w:rPr>
        <w:t xml:space="preserve"> (por capital, intereses u otros conceptos) sean acreditadas a los tenedores de las Obligaciones Negociables</w:t>
      </w:r>
      <w:r w:rsidR="00852E38" w:rsidRPr="00E461D0">
        <w:rPr>
          <w:rFonts w:ascii="Palatino Linotype" w:hAnsi="Palatino Linotype"/>
        </w:rPr>
        <w:t xml:space="preserve"> PyME</w:t>
      </w:r>
      <w:r w:rsidRPr="00E461D0">
        <w:rPr>
          <w:rFonts w:ascii="Palatino Linotype" w:hAnsi="Palatino Linotype"/>
        </w:rPr>
        <w:t>, que no gocen de un tratamiento específico, en cuentas abiertas en entidades financieras locales, el crédito correspondiente a dicha acreditación se encontraría gravado con este impuesto, a la alícuota general del 0,6% por cada débito o crédito.</w:t>
      </w:r>
    </w:p>
    <w:p w14:paraId="4176A0CC" w14:textId="77777777" w:rsidR="00487404" w:rsidRPr="00E461D0" w:rsidRDefault="00487404" w:rsidP="003C15F8">
      <w:pPr>
        <w:jc w:val="both"/>
        <w:rPr>
          <w:rFonts w:ascii="Palatino Linotype" w:hAnsi="Palatino Linotype"/>
        </w:rPr>
      </w:pPr>
    </w:p>
    <w:p w14:paraId="7F038DD1" w14:textId="77777777" w:rsidR="00487404" w:rsidRPr="00E461D0" w:rsidRDefault="00487404" w:rsidP="003C15F8">
      <w:pPr>
        <w:jc w:val="both"/>
        <w:rPr>
          <w:rFonts w:ascii="Palatino Linotype" w:hAnsi="Palatino Linotype"/>
        </w:rPr>
      </w:pPr>
      <w:bookmarkStart w:id="37" w:name="_DV_M411"/>
      <w:bookmarkEnd w:id="37"/>
      <w:r w:rsidRPr="00E461D0">
        <w:rPr>
          <w:rFonts w:ascii="Palatino Linotype" w:hAnsi="Palatino Linotype"/>
        </w:rPr>
        <w:t>De acuerdo al Decreto Nº 380/01 y sus modificatorias y complementarias (el “</w:t>
      </w:r>
      <w:r w:rsidRPr="00E461D0">
        <w:rPr>
          <w:rFonts w:ascii="Palatino Linotype" w:hAnsi="Palatino Linotype"/>
          <w:u w:val="single"/>
        </w:rPr>
        <w:t>Decreto 380</w:t>
      </w:r>
      <w:r w:rsidRPr="00E461D0">
        <w:rPr>
          <w:rFonts w:ascii="Palatino Linotype" w:hAnsi="Palatino Linotype"/>
        </w:rPr>
        <w:t xml:space="preserve">”), también serán considerados como hechos imponibles de este impuesto: (i) ciertas operaciones en las que no se utilicen cuentas abiertas en entidades financieras, efectuadas por las entidades comprendidas en la Ley de Entidades Financieras y (ii) todos los movimientos o entregas de fondos, aún en efectivo, que cualquier persona, incluidas las entidades comprendidas en la Ley de Entidades Financieras, efectúen por cuenta propia o por cuenta y a nombre de terceros, cualesquiera sean los mecanismos utilizados para llevarlos a cabo, las denominaciones que se les otorguen y su instrumentación jurídica. En la Resolución N° 2111/06 la AFIP aclaró que los movimientos o entregas de fondos referidos, son aquellos efectuados a través de sistemas de pago organizados –existentes o no a la vigencia de este impuesto- que reemplacen el uso de la cuenta bancaria, efectuados por cuenta propia o ajena, en el ejercicio de actividades económicas. </w:t>
      </w:r>
    </w:p>
    <w:p w14:paraId="466497B7" w14:textId="77777777" w:rsidR="00487404" w:rsidRPr="00E461D0" w:rsidRDefault="00487404" w:rsidP="003C15F8">
      <w:pPr>
        <w:jc w:val="both"/>
        <w:rPr>
          <w:rFonts w:ascii="Palatino Linotype" w:hAnsi="Palatino Linotype"/>
        </w:rPr>
      </w:pPr>
    </w:p>
    <w:p w14:paraId="1C1D2D03" w14:textId="77777777" w:rsidR="00487404" w:rsidRPr="00E461D0" w:rsidRDefault="00487404" w:rsidP="003C15F8">
      <w:pPr>
        <w:jc w:val="both"/>
        <w:rPr>
          <w:rFonts w:ascii="Palatino Linotype" w:hAnsi="Palatino Linotype"/>
        </w:rPr>
      </w:pPr>
      <w:bookmarkStart w:id="38" w:name="_DV_M412"/>
      <w:bookmarkEnd w:id="38"/>
      <w:r w:rsidRPr="00E461D0">
        <w:rPr>
          <w:rFonts w:ascii="Palatino Linotype" w:hAnsi="Palatino Linotype"/>
        </w:rPr>
        <w:t>El Artículo 10 del Decreto Nº 380/2001 establece que estarán exentos del impuesto, entre otras operaciones, los débitos y créditos correspondientes a cuentas utilizadas en forma exclusiva para las operaciones inherentes a la actividad específica y los giros y transferencias de los que sean ordenantes con igual finalidad, los mercados autorizados por la CNV y sus respectivos agentes, bolsas de comercio que no tengan organizados mercados de valores, cajas de valores y entidades de liquidación y compensación de operaciones autorizadas por la CNV.</w:t>
      </w:r>
    </w:p>
    <w:p w14:paraId="2654844A" w14:textId="77777777" w:rsidR="00487404" w:rsidRPr="00E461D0" w:rsidRDefault="00487404" w:rsidP="003C15F8">
      <w:pPr>
        <w:jc w:val="both"/>
        <w:rPr>
          <w:rFonts w:ascii="Palatino Linotype" w:hAnsi="Palatino Linotype"/>
        </w:rPr>
      </w:pPr>
    </w:p>
    <w:p w14:paraId="1363C734" w14:textId="77777777" w:rsidR="00487404" w:rsidRPr="00E461D0" w:rsidRDefault="00487404" w:rsidP="003C15F8">
      <w:pPr>
        <w:jc w:val="both"/>
        <w:rPr>
          <w:rFonts w:ascii="Palatino Linotype" w:hAnsi="Palatino Linotype"/>
        </w:rPr>
      </w:pPr>
      <w:bookmarkStart w:id="39" w:name="_DV_M413"/>
      <w:bookmarkEnd w:id="39"/>
      <w:r w:rsidRPr="00E461D0">
        <w:rPr>
          <w:rFonts w:ascii="Palatino Linotype" w:hAnsi="Palatino Linotype"/>
        </w:rPr>
        <w:t>También se encuentran exentos del impuesto, los movimientos registrados en las cuentas corrientes especiales (Comunicación “A” 3250 del Banco Central) cuando las mismas estén abiertas a nombre de personas jurídicas del exterior y en tanto se utilicen exclusivamente para la realización de inversiones financieras en el país (véase Artículo 10, inciso (s) del anexo al Decreto N° 380/2001).</w:t>
      </w:r>
      <w:bookmarkStart w:id="40" w:name="_DV_M414"/>
      <w:bookmarkEnd w:id="40"/>
    </w:p>
    <w:p w14:paraId="75DDD1D5" w14:textId="77777777" w:rsidR="00487404" w:rsidRPr="00E461D0" w:rsidRDefault="00487404" w:rsidP="003C15F8">
      <w:pPr>
        <w:jc w:val="both"/>
        <w:rPr>
          <w:rFonts w:ascii="Palatino Linotype" w:hAnsi="Palatino Linotype"/>
        </w:rPr>
      </w:pPr>
    </w:p>
    <w:p w14:paraId="2700F26D" w14:textId="77777777" w:rsidR="0023008A" w:rsidRPr="00E461D0" w:rsidRDefault="0023008A" w:rsidP="0023008A">
      <w:pPr>
        <w:jc w:val="both"/>
        <w:rPr>
          <w:rFonts w:ascii="Palatino Linotype" w:hAnsi="Palatino Linotype"/>
        </w:rPr>
      </w:pPr>
      <w:r w:rsidRPr="00E461D0">
        <w:rPr>
          <w:rFonts w:ascii="Palatino Linotype" w:hAnsi="Palatino Linotype"/>
        </w:rPr>
        <w:t xml:space="preserve">Al respecto, téngase en cuenta que, mediante la Ley 27.432, el Poder Legislativo nacional autorizó al Poder Ejecutivo nacional a reducir hasta un 20% por año a partir de 2018, el porcentaje del impuesto que a la fecha de entrada en vigencia de la mentada ley no resulte computable como pago a cuenta del Impuesto a las Ganancias; pudiendo establecerse que, en 2022, se compute íntegramente el CID como pago a cuenta del Impuesto a las Ganancias. </w:t>
      </w:r>
    </w:p>
    <w:p w14:paraId="086A9534" w14:textId="77777777" w:rsidR="0023008A" w:rsidRPr="00E461D0" w:rsidRDefault="0023008A" w:rsidP="0023008A">
      <w:pPr>
        <w:jc w:val="both"/>
        <w:rPr>
          <w:rFonts w:ascii="Palatino Linotype" w:hAnsi="Palatino Linotype"/>
        </w:rPr>
      </w:pPr>
    </w:p>
    <w:p w14:paraId="6A61013C" w14:textId="095AF624" w:rsidR="0023008A" w:rsidRPr="00E461D0" w:rsidRDefault="0023008A" w:rsidP="0023008A">
      <w:pPr>
        <w:jc w:val="both"/>
        <w:rPr>
          <w:rFonts w:ascii="Palatino Linotype" w:hAnsi="Palatino Linotype"/>
        </w:rPr>
      </w:pPr>
      <w:r w:rsidRPr="00E461D0">
        <w:rPr>
          <w:rFonts w:ascii="Palatino Linotype" w:hAnsi="Palatino Linotype"/>
        </w:rPr>
        <w:t>Así, mediante el Decreto N°409/2018 (B.O. 07/05/ 2018) se estableció que el 33% del impuesto pagado sobre operaciones gravadas con la alícuota del 0,6% y el 33% del impuesto pagado sobre operaciones gravadas con la alícuota del 1,2% podrán computarse como pago a cuenta del Impuesto a las Ganancias y del Impuesto a la Ganancia Mínima Presunta. Estas modificaciones surten efecto para los anticipos y saldos de declaración jurada de los períodos que se inicien a partir del 1º de enero de 2018, por los créditos de impuestos originados en los hechos imponibles que se perfeccionen desde esa fecha</w:t>
      </w:r>
    </w:p>
    <w:p w14:paraId="7BEA9D31" w14:textId="77777777" w:rsidR="0023008A" w:rsidRPr="00E461D0" w:rsidRDefault="0023008A" w:rsidP="0023008A">
      <w:pPr>
        <w:jc w:val="both"/>
        <w:rPr>
          <w:rFonts w:ascii="Palatino Linotype" w:hAnsi="Palatino Linotype"/>
        </w:rPr>
      </w:pPr>
    </w:p>
    <w:p w14:paraId="5ED8CB66" w14:textId="77777777" w:rsidR="00C22F9B" w:rsidRPr="00E461D0" w:rsidRDefault="00C22F9B" w:rsidP="003C15F8">
      <w:pPr>
        <w:jc w:val="both"/>
        <w:rPr>
          <w:rFonts w:ascii="Palatino Linotype" w:hAnsi="Palatino Linotype"/>
        </w:rPr>
      </w:pPr>
    </w:p>
    <w:p w14:paraId="3DFFE138" w14:textId="22BD3203" w:rsidR="00487404" w:rsidRPr="00E461D0" w:rsidRDefault="00487404" w:rsidP="003C15F8">
      <w:pPr>
        <w:jc w:val="both"/>
        <w:rPr>
          <w:rFonts w:ascii="Palatino Linotype" w:hAnsi="Palatino Linotype"/>
        </w:rPr>
      </w:pPr>
      <w:r w:rsidRPr="00E461D0">
        <w:rPr>
          <w:rFonts w:ascii="Palatino Linotype" w:hAnsi="Palatino Linotype"/>
        </w:rPr>
        <w:t xml:space="preserve">El monto excedente no podrá ser compensado con otros impuestos ni transferido a favor de terceros, solamente podrá ser transferido, hasta su agotamiento, a otros períodos económicos de los citados impuestos. </w:t>
      </w:r>
    </w:p>
    <w:p w14:paraId="1C700108" w14:textId="77777777" w:rsidR="00C22F9B" w:rsidRPr="00E461D0" w:rsidRDefault="00C22F9B" w:rsidP="003C15F8">
      <w:pPr>
        <w:jc w:val="both"/>
        <w:rPr>
          <w:rFonts w:ascii="Palatino Linotype" w:hAnsi="Palatino Linotype"/>
        </w:rPr>
      </w:pPr>
    </w:p>
    <w:p w14:paraId="0FE441A9" w14:textId="77777777" w:rsidR="00487404" w:rsidRPr="00E461D0" w:rsidRDefault="00487404" w:rsidP="003C15F8">
      <w:pPr>
        <w:jc w:val="both"/>
        <w:rPr>
          <w:rFonts w:ascii="Palatino Linotype" w:hAnsi="Palatino Linotype"/>
          <w:b/>
        </w:rPr>
      </w:pPr>
      <w:r w:rsidRPr="00E461D0">
        <w:rPr>
          <w:rFonts w:ascii="Palatino Linotype" w:hAnsi="Palatino Linotype"/>
          <w:b/>
        </w:rPr>
        <w:t>Impuesto sobre los Ingresos Brutos</w:t>
      </w:r>
    </w:p>
    <w:p w14:paraId="42B7BB40" w14:textId="77777777" w:rsidR="00C22F9B" w:rsidRPr="00E461D0" w:rsidRDefault="00C22F9B" w:rsidP="003C15F8">
      <w:pPr>
        <w:jc w:val="both"/>
        <w:rPr>
          <w:rFonts w:ascii="Palatino Linotype" w:hAnsi="Palatino Linotype"/>
        </w:rPr>
      </w:pPr>
    </w:p>
    <w:p w14:paraId="1D974B56" w14:textId="77777777" w:rsidR="00487404" w:rsidRPr="00E461D0" w:rsidRDefault="00487404" w:rsidP="003C15F8">
      <w:pPr>
        <w:jc w:val="both"/>
        <w:rPr>
          <w:rFonts w:ascii="Palatino Linotype" w:hAnsi="Palatino Linotype"/>
        </w:rPr>
      </w:pPr>
      <w:r w:rsidRPr="00E461D0">
        <w:rPr>
          <w:rFonts w:ascii="Palatino Linotype" w:hAnsi="Palatino Linotype"/>
        </w:rPr>
        <w:t xml:space="preserve">El impuesto sobre los ingresos brutos es un impuesto local, que se aplica sobre el ejercicio habitual y a título oneroso de cualquier actividad desarrollada en el ámbito de una jurisdicción provincial y/o en la Ciudad Autónoma de Buenos Aires. La base del impuesto es el monto de los ingresos s brutos generados como consecuencia del desarrollo de una actividad comercial en forma habitual llevada a cabo en cada jurisdicción. </w:t>
      </w:r>
    </w:p>
    <w:p w14:paraId="5031E7DA" w14:textId="77777777" w:rsidR="00C22F9B" w:rsidRPr="00E461D0" w:rsidRDefault="00C22F9B" w:rsidP="003C15F8">
      <w:pPr>
        <w:jc w:val="both"/>
        <w:rPr>
          <w:rFonts w:ascii="Palatino Linotype" w:hAnsi="Palatino Linotype"/>
        </w:rPr>
      </w:pPr>
    </w:p>
    <w:p w14:paraId="25986638" w14:textId="13434063" w:rsidR="00487404" w:rsidRPr="00E461D0" w:rsidRDefault="00487404" w:rsidP="003C15F8">
      <w:pPr>
        <w:jc w:val="both"/>
        <w:rPr>
          <w:rFonts w:ascii="Palatino Linotype" w:hAnsi="Palatino Linotype"/>
        </w:rPr>
      </w:pPr>
      <w:r w:rsidRPr="00E461D0">
        <w:rPr>
          <w:rFonts w:ascii="Palatino Linotype" w:hAnsi="Palatino Linotype"/>
        </w:rPr>
        <w:t>Los inversores que en forma regular realicen actividades, o que se presuma que desarrollan, dichas actividades en cualquier jurisdicción en la cual obtengan sus ingresos por los intereses originados en la tenencia de obligaciones negociables, o por su venta o t</w:t>
      </w:r>
      <w:r w:rsidR="00F0094D" w:rsidRPr="00E461D0">
        <w:rPr>
          <w:rFonts w:ascii="Palatino Linotype" w:hAnsi="Palatino Linotype"/>
        </w:rPr>
        <w:t xml:space="preserve">ransferencia, podrían resultar </w:t>
      </w:r>
      <w:r w:rsidRPr="00E461D0">
        <w:rPr>
          <w:rFonts w:ascii="Palatino Linotype" w:hAnsi="Palatino Linotype"/>
        </w:rPr>
        <w:t>gravados con este impuesto a tasas que varían de acuerdo con la legislación específica de cada provincia de la Argentina salvo que proceda la aplicación de alguna exención.</w:t>
      </w:r>
    </w:p>
    <w:p w14:paraId="62964BE2" w14:textId="77777777" w:rsidR="00C22F9B" w:rsidRPr="00E461D0" w:rsidRDefault="00C22F9B" w:rsidP="003C15F8">
      <w:pPr>
        <w:jc w:val="both"/>
        <w:rPr>
          <w:rFonts w:ascii="Palatino Linotype" w:hAnsi="Palatino Linotype"/>
        </w:rPr>
      </w:pPr>
    </w:p>
    <w:p w14:paraId="3AE9F944" w14:textId="3F65719D" w:rsidR="00487404" w:rsidRPr="00E461D0" w:rsidRDefault="00487404" w:rsidP="003C15F8">
      <w:pPr>
        <w:jc w:val="both"/>
        <w:rPr>
          <w:rFonts w:ascii="Palatino Linotype" w:hAnsi="Palatino Linotype"/>
        </w:rPr>
      </w:pPr>
      <w:r w:rsidRPr="00E461D0">
        <w:rPr>
          <w:rFonts w:ascii="Palatino Linotype" w:hAnsi="Palatino Linotype"/>
        </w:rPr>
        <w:t xml:space="preserve">Los intereses de Obligaciones Negociables </w:t>
      </w:r>
      <w:r w:rsidR="00852E38" w:rsidRPr="00E461D0">
        <w:rPr>
          <w:rFonts w:ascii="Palatino Linotype" w:hAnsi="Palatino Linotype"/>
        </w:rPr>
        <w:t xml:space="preserve">PyME </w:t>
      </w:r>
      <w:r w:rsidRPr="00E461D0">
        <w:rPr>
          <w:rFonts w:ascii="Palatino Linotype" w:hAnsi="Palatino Linotype"/>
        </w:rPr>
        <w:t>se encuentran usualmente exentos del tributo siempre que la exención en el impuesto a las ganancias resulte procedente.</w:t>
      </w:r>
    </w:p>
    <w:p w14:paraId="3D0C6937" w14:textId="77777777" w:rsidR="00C22F9B" w:rsidRPr="00E461D0" w:rsidRDefault="00C22F9B" w:rsidP="003C15F8">
      <w:pPr>
        <w:jc w:val="both"/>
        <w:rPr>
          <w:rFonts w:ascii="Palatino Linotype" w:hAnsi="Palatino Linotype"/>
        </w:rPr>
      </w:pPr>
    </w:p>
    <w:p w14:paraId="202D2FB6" w14:textId="77777777" w:rsidR="00487404" w:rsidRPr="00E461D0" w:rsidRDefault="00487404" w:rsidP="003C15F8">
      <w:pPr>
        <w:jc w:val="both"/>
        <w:rPr>
          <w:rFonts w:ascii="Palatino Linotype" w:hAnsi="Palatino Linotype"/>
        </w:rPr>
      </w:pPr>
      <w:r w:rsidRPr="00E461D0">
        <w:rPr>
          <w:rFonts w:ascii="Palatino Linotype" w:hAnsi="Palatino Linotype"/>
        </w:rPr>
        <w:t xml:space="preserve">Los ingresos resultantes de cualquier operación relacionada con Obligaciones Negociables, emitidas de conformidad con la Ley de Obligaciones Negociables, están exentos del impuesto sobre los ingresos brutos en las jurisdicciones de la Ciudad Autónoma de Buenos Aires y la Provincia de Buenos Aires. </w:t>
      </w:r>
    </w:p>
    <w:p w14:paraId="008C0C99" w14:textId="77777777" w:rsidR="00487404" w:rsidRPr="00E461D0" w:rsidRDefault="00487404" w:rsidP="003C15F8">
      <w:pPr>
        <w:jc w:val="both"/>
        <w:rPr>
          <w:rFonts w:ascii="Palatino Linotype" w:hAnsi="Palatino Linotype"/>
        </w:rPr>
      </w:pPr>
    </w:p>
    <w:p w14:paraId="17CBF4E5" w14:textId="77777777" w:rsidR="00487404" w:rsidRPr="00E461D0" w:rsidRDefault="00487404" w:rsidP="003C15F8">
      <w:pPr>
        <w:jc w:val="both"/>
        <w:rPr>
          <w:rFonts w:ascii="Palatino Linotype" w:hAnsi="Palatino Linotype"/>
        </w:rPr>
      </w:pPr>
      <w:bookmarkStart w:id="41" w:name="_DV_M419"/>
      <w:bookmarkEnd w:id="41"/>
      <w:r w:rsidRPr="00E461D0">
        <w:rPr>
          <w:rFonts w:ascii="Palatino Linotype" w:hAnsi="Palatino Linotype"/>
        </w:rPr>
        <w:t xml:space="preserve">El Código Fiscal de la Ciudad Autónoma de Buenos Aires establece que se encuentran exentos del impuesto los ingresos brutos provenientes de toda operación sobre obligaciones negociables emitidas de conformidad con la Ley N° 23.576, la percepción de intereses y actualizaciones devengadas y el valor de venta en caso de transferencia, mientras le sea de aplicación la exención del impuesto a las ganancias. </w:t>
      </w:r>
    </w:p>
    <w:p w14:paraId="067EA839" w14:textId="77777777" w:rsidR="00487404" w:rsidRPr="00E461D0" w:rsidRDefault="00487404" w:rsidP="003C15F8">
      <w:pPr>
        <w:jc w:val="both"/>
        <w:rPr>
          <w:rFonts w:ascii="Palatino Linotype" w:hAnsi="Palatino Linotype"/>
        </w:rPr>
      </w:pPr>
    </w:p>
    <w:p w14:paraId="44084612" w14:textId="77777777" w:rsidR="00487404" w:rsidRPr="00E461D0" w:rsidRDefault="00487404" w:rsidP="003C15F8">
      <w:pPr>
        <w:jc w:val="both"/>
        <w:rPr>
          <w:rFonts w:ascii="Palatino Linotype" w:hAnsi="Palatino Linotype"/>
        </w:rPr>
      </w:pPr>
      <w:r w:rsidRPr="00E461D0">
        <w:rPr>
          <w:rFonts w:ascii="Palatino Linotype" w:hAnsi="Palatino Linotype"/>
        </w:rPr>
        <w:t xml:space="preserve">De la misma manera, el Código Fiscal de la Provincia de Buenos Aires establece que toda operación sobre obligaciones negociables emitidas de conformidad a lo dispuesto por las Leyes 23.576 y 23.962 y sus modificatorias, la percepción de intereses y actualización devengadas y el valor de venta en caso de transferencia, se encuentra exento del impuesto, mientras le sea de aplicación la exención respecto del impuesto a las ganancias. </w:t>
      </w:r>
    </w:p>
    <w:p w14:paraId="0C74FAF2" w14:textId="77777777" w:rsidR="00487404" w:rsidRPr="00E461D0" w:rsidRDefault="00487404" w:rsidP="003C15F8">
      <w:pPr>
        <w:jc w:val="both"/>
        <w:rPr>
          <w:rStyle w:val="nfasis"/>
          <w:rFonts w:ascii="Palatino Linotype" w:hAnsi="Palatino Linotype"/>
          <w:b/>
          <w:i w:val="0"/>
        </w:rPr>
      </w:pPr>
    </w:p>
    <w:p w14:paraId="7ECBBBF9" w14:textId="77777777" w:rsidR="00487404" w:rsidRPr="00E461D0" w:rsidRDefault="00487404" w:rsidP="003C15F8">
      <w:pPr>
        <w:jc w:val="both"/>
        <w:rPr>
          <w:rStyle w:val="nfasis"/>
          <w:rFonts w:ascii="Palatino Linotype" w:hAnsi="Palatino Linotype"/>
          <w:b/>
          <w:i w:val="0"/>
        </w:rPr>
      </w:pPr>
      <w:r w:rsidRPr="00E461D0">
        <w:rPr>
          <w:rStyle w:val="nfasis"/>
          <w:rFonts w:ascii="Palatino Linotype" w:hAnsi="Palatino Linotype"/>
          <w:b/>
          <w:i w:val="0"/>
        </w:rPr>
        <w:t>Impuesto de Sellos</w:t>
      </w:r>
    </w:p>
    <w:p w14:paraId="68F74A26" w14:textId="77777777" w:rsidR="00487404" w:rsidRPr="00E461D0" w:rsidRDefault="00487404" w:rsidP="003C15F8">
      <w:pPr>
        <w:jc w:val="both"/>
        <w:rPr>
          <w:rStyle w:val="nfasis"/>
          <w:rFonts w:ascii="Palatino Linotype" w:hAnsi="Palatino Linotype"/>
          <w:b/>
          <w:i w:val="0"/>
        </w:rPr>
      </w:pPr>
    </w:p>
    <w:p w14:paraId="71E47608" w14:textId="1609D4D5" w:rsidR="00487404" w:rsidRPr="00E461D0" w:rsidRDefault="00487404" w:rsidP="003C15F8">
      <w:pPr>
        <w:jc w:val="both"/>
        <w:rPr>
          <w:rFonts w:ascii="Palatino Linotype" w:hAnsi="Palatino Linotype"/>
        </w:rPr>
      </w:pPr>
      <w:r w:rsidRPr="00E461D0">
        <w:rPr>
          <w:rFonts w:ascii="Palatino Linotype" w:hAnsi="Palatino Linotype"/>
        </w:rPr>
        <w:t>El impuesto de sellos es un gravamen de carácter local que, en general, grava la instrumentación de actos de carácter oneroso que se celebren en la Ciudad Autónoma de Buenos Aires o en una provincia d</w:t>
      </w:r>
      <w:r w:rsidR="00F0094D" w:rsidRPr="00E461D0">
        <w:rPr>
          <w:rFonts w:ascii="Palatino Linotype" w:hAnsi="Palatino Linotype"/>
        </w:rPr>
        <w:t xml:space="preserve">e la Argentina o que produzcan </w:t>
      </w:r>
      <w:r w:rsidRPr="00E461D0">
        <w:rPr>
          <w:rFonts w:ascii="Palatino Linotype" w:hAnsi="Palatino Linotype"/>
        </w:rPr>
        <w:t>efectos en ellas.</w:t>
      </w:r>
    </w:p>
    <w:p w14:paraId="01A1823F" w14:textId="77777777" w:rsidR="0023008A" w:rsidRPr="00E461D0" w:rsidRDefault="0023008A" w:rsidP="003C15F8">
      <w:pPr>
        <w:jc w:val="both"/>
        <w:rPr>
          <w:rFonts w:ascii="Palatino Linotype" w:hAnsi="Palatino Linotype"/>
        </w:rPr>
      </w:pPr>
    </w:p>
    <w:p w14:paraId="64911620" w14:textId="77777777" w:rsidR="00487404" w:rsidRPr="00E461D0" w:rsidRDefault="00487404" w:rsidP="003C15F8">
      <w:pPr>
        <w:jc w:val="both"/>
        <w:rPr>
          <w:rFonts w:ascii="Palatino Linotype" w:hAnsi="Palatino Linotype"/>
        </w:rPr>
      </w:pPr>
      <w:r w:rsidRPr="00E461D0">
        <w:rPr>
          <w:rFonts w:ascii="Palatino Linotype" w:hAnsi="Palatino Linotype"/>
        </w:rPr>
        <w:t xml:space="preserve">En la Ciudad Autónoma de Buenos Aires se encuentran exentos de este impuesto todos los actos, contratos y operaciones, incluyendo entregas o recepciones de dinero, relacionados con la emisión, suscripción, colocación y transferencia de Obligaciones Negociables, emitidas conforme al régimen de las leyes N° 23.576 y N° 23.962 y sus modificatorias. Esta exención comprenderá a los aumentos de capital que se realicen para la emisión de acciones a entregar por conversión de las Obligaciones Negociables, como así también a la constitución de todo tipo de garantías personales o reales a favor de inversores o terceros que garanticen la emisión sean anteriores, simultáneos o posteriores a la misma. </w:t>
      </w:r>
    </w:p>
    <w:p w14:paraId="2D0AC855" w14:textId="77777777" w:rsidR="00487404" w:rsidRPr="00E461D0" w:rsidRDefault="00487404" w:rsidP="003C15F8">
      <w:pPr>
        <w:jc w:val="both"/>
        <w:rPr>
          <w:rFonts w:ascii="Palatino Linotype" w:hAnsi="Palatino Linotype"/>
        </w:rPr>
      </w:pPr>
    </w:p>
    <w:p w14:paraId="11B41E47" w14:textId="1236B211" w:rsidR="00487404" w:rsidRPr="00E461D0" w:rsidRDefault="00487404" w:rsidP="003C15F8">
      <w:pPr>
        <w:jc w:val="both"/>
        <w:rPr>
          <w:rFonts w:ascii="Palatino Linotype" w:hAnsi="Palatino Linotype"/>
        </w:rPr>
      </w:pPr>
      <w:r w:rsidRPr="00E461D0">
        <w:rPr>
          <w:rFonts w:ascii="Palatino Linotype" w:hAnsi="Palatino Linotype"/>
        </w:rPr>
        <w:t>Asimismo, el Código Fiscal de la Ciudad Autónoma de Buenos Aires exime del gravamen a los instrumentos, actos y operaciones de cualquier naturaleza, incluyendo entregas y recepciones de dinero vinculados y/o necesarios para posibilitar</w:t>
      </w:r>
      <w:r w:rsidR="00F0094D" w:rsidRPr="00E461D0">
        <w:rPr>
          <w:rFonts w:ascii="Palatino Linotype" w:hAnsi="Palatino Linotype"/>
        </w:rPr>
        <w:t xml:space="preserve"> la emisión de títulos valores </w:t>
      </w:r>
      <w:r w:rsidRPr="00E461D0">
        <w:rPr>
          <w:rFonts w:ascii="Palatino Linotype" w:hAnsi="Palatino Linotype"/>
        </w:rPr>
        <w:t>representativos de deuda de sus emisoras y cualesquiera otros valores negociables destinados a la oferta pública en los términos de la Ley de Marcado de Capitales, por parte de sociedades o fideicomisos financieros debidamente autorizados por la CNV a hacer oferta pública de dichos valores. Esta exención ampara a los instrumentos, actos, contratos, operaciones y a las garantías vinculadas con dichas emisiones, sean aquellos anteriores, simultáneos, posteriores o renovaciones de estos últimos.</w:t>
      </w:r>
    </w:p>
    <w:p w14:paraId="45FA4283" w14:textId="77777777" w:rsidR="00487404" w:rsidRPr="00E461D0" w:rsidRDefault="00487404" w:rsidP="003C15F8">
      <w:pPr>
        <w:jc w:val="both"/>
        <w:rPr>
          <w:rFonts w:ascii="Palatino Linotype" w:hAnsi="Palatino Linotype"/>
        </w:rPr>
      </w:pPr>
    </w:p>
    <w:p w14:paraId="2CD688B0" w14:textId="55A433F9" w:rsidR="00487404" w:rsidRPr="00E461D0" w:rsidRDefault="00487404" w:rsidP="003C15F8">
      <w:pPr>
        <w:jc w:val="both"/>
        <w:rPr>
          <w:rFonts w:ascii="Palatino Linotype" w:hAnsi="Palatino Linotype"/>
        </w:rPr>
      </w:pPr>
      <w:r w:rsidRPr="00E461D0">
        <w:rPr>
          <w:rFonts w:ascii="Palatino Linotype" w:hAnsi="Palatino Linotype"/>
        </w:rPr>
        <w:t>Los actos y/o instrumentos relacionados con la negociación de las acciones y demás valores negociables debidamente autorizados para su oferta pública por la CNV, como es el caso de las Obligaciones Negociables</w:t>
      </w:r>
      <w:r w:rsidR="00852E38" w:rsidRPr="00E461D0">
        <w:rPr>
          <w:rFonts w:ascii="Palatino Linotype" w:hAnsi="Palatino Linotype"/>
        </w:rPr>
        <w:t xml:space="preserve"> PyME</w:t>
      </w:r>
      <w:r w:rsidRPr="00E461D0">
        <w:rPr>
          <w:rFonts w:ascii="Palatino Linotype" w:hAnsi="Palatino Linotype"/>
        </w:rPr>
        <w:t>, también gozarán de la exención.</w:t>
      </w:r>
    </w:p>
    <w:p w14:paraId="3D468D66" w14:textId="77777777" w:rsidR="00487404" w:rsidRPr="00E461D0" w:rsidRDefault="00487404" w:rsidP="003C15F8">
      <w:pPr>
        <w:jc w:val="both"/>
        <w:rPr>
          <w:rFonts w:ascii="Palatino Linotype" w:hAnsi="Palatino Linotype"/>
        </w:rPr>
      </w:pPr>
    </w:p>
    <w:p w14:paraId="56AB4424" w14:textId="77777777" w:rsidR="00487404" w:rsidRPr="00E461D0" w:rsidRDefault="00487404" w:rsidP="003C15F8">
      <w:pPr>
        <w:jc w:val="both"/>
        <w:rPr>
          <w:rFonts w:ascii="Palatino Linotype" w:hAnsi="Palatino Linotype"/>
        </w:rPr>
      </w:pPr>
      <w:r w:rsidRPr="00E461D0">
        <w:rPr>
          <w:rFonts w:ascii="Palatino Linotype" w:hAnsi="Palatino Linotype"/>
        </w:rPr>
        <w:t xml:space="preserve">Las últimas dos exenciones expuestas quedarán sin efecto si en el plazo de 90 días corridos no se solicita la autorización para la oferta pública de dichos valores negociables ante la CNV y/o si la colocación de los mismos no se realiza en un plazo de 180 días corridos a partir de la concesión de la autorización solicitada. </w:t>
      </w:r>
    </w:p>
    <w:p w14:paraId="0361FADD" w14:textId="77777777" w:rsidR="00487404" w:rsidRPr="00E461D0" w:rsidRDefault="00487404" w:rsidP="003C15F8">
      <w:pPr>
        <w:jc w:val="both"/>
        <w:rPr>
          <w:rFonts w:ascii="Palatino Linotype" w:hAnsi="Palatino Linotype"/>
        </w:rPr>
      </w:pPr>
    </w:p>
    <w:p w14:paraId="60E1A555" w14:textId="72546B76" w:rsidR="00487404" w:rsidRPr="00E461D0" w:rsidRDefault="00487404" w:rsidP="003C15F8">
      <w:pPr>
        <w:jc w:val="both"/>
        <w:rPr>
          <w:rFonts w:ascii="Palatino Linotype" w:hAnsi="Palatino Linotype"/>
        </w:rPr>
      </w:pPr>
      <w:r w:rsidRPr="00E461D0">
        <w:rPr>
          <w:rFonts w:ascii="Palatino Linotype" w:hAnsi="Palatino Linotype"/>
        </w:rPr>
        <w:t>Por su parte, en la Provincia de Buenos Aires están exentos de este impuesto todos los actos, contratos y operaciones, incluyendo entregas o recepciones de dinero, relacionados con la emisión, suscripción, colocación y transferencia de Obligaciones Negociables, emitidas conforme el régimen de las leyes N° 23.576 y N° 23.962 y sus modificatorias. Esta exención comprenderá a los aumentos de capital que se realicen para la emisión de acciones a entregar, por conversión de las Obligaciones Negociables</w:t>
      </w:r>
      <w:r w:rsidR="00852E38" w:rsidRPr="00E461D0">
        <w:rPr>
          <w:rFonts w:ascii="Palatino Linotype" w:hAnsi="Palatino Linotype"/>
        </w:rPr>
        <w:t xml:space="preserve"> PyME</w:t>
      </w:r>
      <w:r w:rsidRPr="00E461D0">
        <w:rPr>
          <w:rFonts w:ascii="Palatino Linotype" w:hAnsi="Palatino Linotype"/>
        </w:rPr>
        <w:t>, como así también a la constitución de todo tipo de garantías personales o reales a favor de inversores o terceros que garanticen la emisión sean anteriores, simultáneos o posteriores a la misma.</w:t>
      </w:r>
    </w:p>
    <w:p w14:paraId="4B909ECC" w14:textId="77777777" w:rsidR="00487404" w:rsidRPr="00E461D0" w:rsidRDefault="00487404" w:rsidP="003C15F8">
      <w:pPr>
        <w:jc w:val="both"/>
        <w:rPr>
          <w:rFonts w:ascii="Palatino Linotype" w:hAnsi="Palatino Linotype"/>
        </w:rPr>
      </w:pPr>
    </w:p>
    <w:p w14:paraId="0628C7B0" w14:textId="575A02FA" w:rsidR="00487404" w:rsidRPr="00E461D0" w:rsidRDefault="00487404" w:rsidP="003C15F8">
      <w:pPr>
        <w:jc w:val="both"/>
        <w:rPr>
          <w:rFonts w:ascii="Palatino Linotype" w:hAnsi="Palatino Linotype"/>
        </w:rPr>
      </w:pPr>
      <w:r w:rsidRPr="00E461D0">
        <w:rPr>
          <w:rFonts w:ascii="Palatino Linotype" w:hAnsi="Palatino Linotype"/>
        </w:rPr>
        <w:t>También están exentos de este impuesto todos los instrumentos, actos y operaciones de cualquier naturaleza, incluyendo entregas y recepciones de dinero vinculados y/o necesarios para posibilitar incremento de capital social, emisión de títulos valores representativos de deuda de sus emisoras y cualesquiera otros valores negociables destinados a la oferta pública en los términos de la Ley de Mercado de Capitales, por parte de sociedades debidamente autorizadas por la CNV a hacer oferta pública de dichos títulos valores y/o instrumentos. Esta exención comprende también a los instrumentos, a</w:t>
      </w:r>
      <w:r w:rsidR="00F0094D" w:rsidRPr="00E461D0">
        <w:rPr>
          <w:rFonts w:ascii="Palatino Linotype" w:hAnsi="Palatino Linotype"/>
        </w:rPr>
        <w:t xml:space="preserve">ctos, contratos, operaciones y </w:t>
      </w:r>
      <w:r w:rsidRPr="00E461D0">
        <w:rPr>
          <w:rFonts w:ascii="Palatino Linotype" w:hAnsi="Palatino Linotype"/>
        </w:rPr>
        <w:t xml:space="preserve">garantías vinculadas con los incrementos de capital y/o las emisiones mencionadas precedentemente. </w:t>
      </w:r>
    </w:p>
    <w:p w14:paraId="65815AAA" w14:textId="77777777" w:rsidR="00487404" w:rsidRPr="00E461D0" w:rsidRDefault="00487404" w:rsidP="003C15F8">
      <w:pPr>
        <w:jc w:val="both"/>
        <w:rPr>
          <w:rFonts w:ascii="Palatino Linotype" w:hAnsi="Palatino Linotype"/>
        </w:rPr>
      </w:pPr>
    </w:p>
    <w:p w14:paraId="2E8020A6" w14:textId="77777777" w:rsidR="00487404" w:rsidRPr="00E461D0" w:rsidRDefault="00487404" w:rsidP="003C15F8">
      <w:pPr>
        <w:jc w:val="both"/>
        <w:rPr>
          <w:rFonts w:ascii="Palatino Linotype" w:hAnsi="Palatino Linotype"/>
        </w:rPr>
      </w:pPr>
      <w:r w:rsidRPr="00E461D0">
        <w:rPr>
          <w:rFonts w:ascii="Palatino Linotype" w:hAnsi="Palatino Linotype"/>
        </w:rPr>
        <w:t>Asimismo, se encuentran exentos de este impuesto en la Provincia de Buenos Aires los actos relacionados con la negociación de valores negociables debidamente autorizados para su oferta pública por la CNV.</w:t>
      </w:r>
    </w:p>
    <w:p w14:paraId="04714192" w14:textId="77777777" w:rsidR="00487404" w:rsidRPr="00E461D0" w:rsidRDefault="00487404" w:rsidP="003C15F8">
      <w:pPr>
        <w:jc w:val="both"/>
        <w:rPr>
          <w:rFonts w:ascii="Palatino Linotype" w:hAnsi="Palatino Linotype"/>
        </w:rPr>
      </w:pPr>
    </w:p>
    <w:p w14:paraId="07ED3989" w14:textId="77777777" w:rsidR="00487404" w:rsidRPr="00E461D0" w:rsidRDefault="00487404" w:rsidP="003C15F8">
      <w:pPr>
        <w:jc w:val="both"/>
        <w:rPr>
          <w:rFonts w:ascii="Palatino Linotype" w:hAnsi="Palatino Linotype"/>
        </w:rPr>
      </w:pPr>
      <w:r w:rsidRPr="00E461D0">
        <w:rPr>
          <w:rFonts w:ascii="Palatino Linotype" w:hAnsi="Palatino Linotype"/>
        </w:rPr>
        <w:t>Sin embargo, las últimas dos exenciones explicitadas quedarán sin efecto si en el plazo de 90 días corridos no se solicita la autorización para la oferta pública de dichos valores negociables ante la CNV y/o si la colocación de los mismos no se realiza en un plazo de 180 días corridos a partir de la concesión de la autorización solicitada.</w:t>
      </w:r>
    </w:p>
    <w:p w14:paraId="32C4F8CA" w14:textId="77777777" w:rsidR="00487404" w:rsidRPr="00E461D0" w:rsidRDefault="00487404" w:rsidP="003C15F8">
      <w:pPr>
        <w:jc w:val="both"/>
        <w:rPr>
          <w:rFonts w:ascii="Palatino Linotype" w:hAnsi="Palatino Linotype"/>
        </w:rPr>
      </w:pPr>
    </w:p>
    <w:p w14:paraId="498923D1" w14:textId="77777777" w:rsidR="00487404" w:rsidRPr="00E461D0" w:rsidRDefault="00487404" w:rsidP="003C15F8">
      <w:pPr>
        <w:jc w:val="both"/>
        <w:rPr>
          <w:rFonts w:ascii="Palatino Linotype" w:hAnsi="Palatino Linotype"/>
          <w:b/>
          <w:bCs/>
        </w:rPr>
      </w:pPr>
      <w:r w:rsidRPr="00E461D0">
        <w:rPr>
          <w:rFonts w:ascii="Palatino Linotype" w:hAnsi="Palatino Linotype"/>
        </w:rPr>
        <w:t>Considerando la autonomía que en materia tributaria posee cada jurisdicción provincial, se deberá analizar los potenciales efectos que este tipo de operatorias pudieran generar y el tratamiento tributario que establece el resto de las jurisdicciones provinciales.</w:t>
      </w:r>
    </w:p>
    <w:p w14:paraId="2D2FD8E0" w14:textId="77777777" w:rsidR="00487404" w:rsidRPr="00E461D0" w:rsidRDefault="00487404" w:rsidP="003C15F8">
      <w:pPr>
        <w:jc w:val="both"/>
        <w:rPr>
          <w:rFonts w:ascii="Palatino Linotype" w:hAnsi="Palatino Linotype"/>
          <w:b/>
        </w:rPr>
      </w:pPr>
    </w:p>
    <w:p w14:paraId="1F9FDBF3" w14:textId="77777777" w:rsidR="00487404" w:rsidRPr="00E461D0" w:rsidRDefault="00487404" w:rsidP="003C15F8">
      <w:pPr>
        <w:jc w:val="both"/>
        <w:rPr>
          <w:rFonts w:ascii="Palatino Linotype" w:hAnsi="Palatino Linotype"/>
          <w:b/>
        </w:rPr>
      </w:pPr>
      <w:r w:rsidRPr="00E461D0">
        <w:rPr>
          <w:rFonts w:ascii="Palatino Linotype" w:hAnsi="Palatino Linotype"/>
          <w:b/>
        </w:rPr>
        <w:t xml:space="preserve">Otros impuestos </w:t>
      </w:r>
    </w:p>
    <w:p w14:paraId="52C5B332" w14:textId="77777777" w:rsidR="00C22F9B" w:rsidRPr="00E461D0" w:rsidRDefault="00C22F9B" w:rsidP="003C15F8">
      <w:pPr>
        <w:jc w:val="both"/>
        <w:rPr>
          <w:rFonts w:ascii="Palatino Linotype" w:hAnsi="Palatino Linotype"/>
        </w:rPr>
      </w:pPr>
    </w:p>
    <w:p w14:paraId="647E6781" w14:textId="6D3FD3D6" w:rsidR="0023008A" w:rsidRPr="00E461D0" w:rsidRDefault="00487404" w:rsidP="003C15F8">
      <w:pPr>
        <w:jc w:val="both"/>
        <w:rPr>
          <w:rFonts w:ascii="Palatino Linotype" w:hAnsi="Palatino Linotype"/>
        </w:rPr>
      </w:pPr>
      <w:r w:rsidRPr="00E461D0">
        <w:rPr>
          <w:rFonts w:ascii="Palatino Linotype" w:hAnsi="Palatino Linotype"/>
        </w:rPr>
        <w:t xml:space="preserve">A nivel federal, no se grava con impuestos la transmisión gratuita de bienes a herederos, donantes, legatarios o donatarios. Ningún impuesto a la transferencia de valores negociables, impuesto a la emisión, registro o similares debe ser pagado por los suscriptores de Obligaciones Negociables </w:t>
      </w:r>
      <w:r w:rsidR="00852E38" w:rsidRPr="00E461D0">
        <w:rPr>
          <w:rFonts w:ascii="Palatino Linotype" w:hAnsi="Palatino Linotype"/>
        </w:rPr>
        <w:t xml:space="preserve">PyME </w:t>
      </w:r>
      <w:r w:rsidRPr="00E461D0">
        <w:rPr>
          <w:rFonts w:ascii="Palatino Linotype" w:hAnsi="Palatino Linotype"/>
        </w:rPr>
        <w:t>siempre que las mismas se efectúen en mercados abiertos y/o bursátiles.</w:t>
      </w:r>
    </w:p>
    <w:p w14:paraId="52F2D227" w14:textId="77777777" w:rsidR="0023008A" w:rsidRPr="00E461D0" w:rsidRDefault="0023008A" w:rsidP="003C15F8">
      <w:pPr>
        <w:jc w:val="both"/>
        <w:rPr>
          <w:rFonts w:ascii="Palatino Linotype" w:hAnsi="Palatino Linotype"/>
        </w:rPr>
      </w:pPr>
    </w:p>
    <w:p w14:paraId="14A126FA" w14:textId="4AC6D8DF" w:rsidR="00487404" w:rsidRPr="00E461D0" w:rsidRDefault="00487404" w:rsidP="003C15F8">
      <w:pPr>
        <w:jc w:val="both"/>
        <w:rPr>
          <w:rFonts w:ascii="Palatino Linotype" w:hAnsi="Palatino Linotype"/>
        </w:rPr>
      </w:pPr>
      <w:r w:rsidRPr="00E461D0">
        <w:rPr>
          <w:rFonts w:ascii="Palatino Linotype" w:hAnsi="Palatino Linotype"/>
        </w:rPr>
        <w:t xml:space="preserve">A nivel provincial, </w:t>
      </w:r>
      <w:r w:rsidR="0023008A" w:rsidRPr="00E461D0">
        <w:rPr>
          <w:rFonts w:ascii="Palatino Linotype" w:hAnsi="Palatino Linotype"/>
        </w:rPr>
        <w:t xml:space="preserve">la </w:t>
      </w:r>
      <w:r w:rsidR="0068601C" w:rsidRPr="00E461D0">
        <w:rPr>
          <w:rFonts w:ascii="Palatino Linotype" w:hAnsi="Palatino Linotype"/>
        </w:rPr>
        <w:t xml:space="preserve">única </w:t>
      </w:r>
      <w:r w:rsidR="0023008A" w:rsidRPr="00E461D0">
        <w:rPr>
          <w:rFonts w:ascii="Palatino Linotype" w:hAnsi="Palatino Linotype"/>
        </w:rPr>
        <w:t>jurisdicci</w:t>
      </w:r>
      <w:r w:rsidR="0068601C" w:rsidRPr="00E461D0">
        <w:rPr>
          <w:rFonts w:ascii="Palatino Linotype" w:hAnsi="Palatino Linotype"/>
        </w:rPr>
        <w:t>ó</w:t>
      </w:r>
      <w:r w:rsidR="0023008A" w:rsidRPr="00E461D0">
        <w:rPr>
          <w:rFonts w:ascii="Palatino Linotype" w:hAnsi="Palatino Linotype"/>
        </w:rPr>
        <w:t>n</w:t>
      </w:r>
      <w:r w:rsidR="0068601C" w:rsidRPr="00E461D0">
        <w:rPr>
          <w:rFonts w:ascii="Palatino Linotype" w:hAnsi="Palatino Linotype"/>
        </w:rPr>
        <w:t xml:space="preserve"> </w:t>
      </w:r>
      <w:r w:rsidR="0023008A" w:rsidRPr="00E461D0">
        <w:rPr>
          <w:rFonts w:ascii="Palatino Linotype" w:hAnsi="Palatino Linotype"/>
        </w:rPr>
        <w:t>que</w:t>
      </w:r>
      <w:r w:rsidR="0068601C" w:rsidRPr="00E461D0">
        <w:rPr>
          <w:rFonts w:ascii="Palatino Linotype" w:hAnsi="Palatino Linotype"/>
        </w:rPr>
        <w:t xml:space="preserve"> tiene actualmente </w:t>
      </w:r>
      <w:r w:rsidR="0023008A" w:rsidRPr="00E461D0">
        <w:rPr>
          <w:rFonts w:ascii="Palatino Linotype" w:hAnsi="Palatino Linotype"/>
        </w:rPr>
        <w:t>implementado</w:t>
      </w:r>
      <w:r w:rsidR="0068601C" w:rsidRPr="00E461D0">
        <w:rPr>
          <w:rFonts w:ascii="Palatino Linotype" w:hAnsi="Palatino Linotype"/>
        </w:rPr>
        <w:t xml:space="preserve"> el</w:t>
      </w:r>
      <w:r w:rsidR="0023008A" w:rsidRPr="00E461D0">
        <w:rPr>
          <w:rFonts w:ascii="Palatino Linotype" w:hAnsi="Palatino Linotype"/>
        </w:rPr>
        <w:t xml:space="preserve"> </w:t>
      </w:r>
      <w:r w:rsidR="0068601C" w:rsidRPr="00E461D0">
        <w:rPr>
          <w:rFonts w:ascii="Palatino Linotype" w:hAnsi="Palatino Linotype"/>
        </w:rPr>
        <w:t>I</w:t>
      </w:r>
      <w:r w:rsidR="0023008A" w:rsidRPr="00E461D0">
        <w:rPr>
          <w:rFonts w:ascii="Palatino Linotype" w:hAnsi="Palatino Linotype"/>
        </w:rPr>
        <w:t xml:space="preserve">mpuesto </w:t>
      </w:r>
      <w:r w:rsidR="0068601C" w:rsidRPr="00E461D0">
        <w:rPr>
          <w:rFonts w:ascii="Palatino Linotype" w:hAnsi="Palatino Linotype"/>
        </w:rPr>
        <w:t>a</w:t>
      </w:r>
      <w:r w:rsidR="0023008A" w:rsidRPr="00E461D0">
        <w:rPr>
          <w:rFonts w:ascii="Palatino Linotype" w:hAnsi="Palatino Linotype"/>
        </w:rPr>
        <w:t xml:space="preserve"> la </w:t>
      </w:r>
      <w:r w:rsidR="0068601C" w:rsidRPr="00E461D0">
        <w:rPr>
          <w:rFonts w:ascii="Palatino Linotype" w:hAnsi="Palatino Linotype"/>
        </w:rPr>
        <w:t>t</w:t>
      </w:r>
      <w:r w:rsidR="0023008A" w:rsidRPr="00E461D0">
        <w:rPr>
          <w:rFonts w:ascii="Palatino Linotype" w:hAnsi="Palatino Linotype"/>
        </w:rPr>
        <w:t xml:space="preserve">ransmisión Gratuita de Bienes </w:t>
      </w:r>
      <w:r w:rsidR="0068601C" w:rsidRPr="00E461D0">
        <w:rPr>
          <w:rFonts w:ascii="Palatino Linotype" w:hAnsi="Palatino Linotype"/>
        </w:rPr>
        <w:t xml:space="preserve">es </w:t>
      </w:r>
      <w:r w:rsidR="0023008A" w:rsidRPr="00E461D0">
        <w:rPr>
          <w:rFonts w:ascii="Palatino Linotype" w:hAnsi="Palatino Linotype"/>
        </w:rPr>
        <w:t xml:space="preserve">la Provincia de Buenos Aires </w:t>
      </w:r>
      <w:r w:rsidR="0068601C" w:rsidRPr="00E461D0">
        <w:rPr>
          <w:rFonts w:ascii="Palatino Linotype" w:hAnsi="Palatino Linotype"/>
        </w:rPr>
        <w:t>(mediante la L</w:t>
      </w:r>
      <w:r w:rsidR="0023008A" w:rsidRPr="00E461D0">
        <w:rPr>
          <w:rFonts w:ascii="Palatino Linotype" w:hAnsi="Palatino Linotype"/>
        </w:rPr>
        <w:t>ey 14</w:t>
      </w:r>
      <w:r w:rsidR="0068601C" w:rsidRPr="00E461D0">
        <w:rPr>
          <w:rFonts w:ascii="Palatino Linotype" w:hAnsi="Palatino Linotype"/>
        </w:rPr>
        <w:t>.</w:t>
      </w:r>
      <w:r w:rsidR="0023008A" w:rsidRPr="00E461D0">
        <w:rPr>
          <w:rFonts w:ascii="Palatino Linotype" w:hAnsi="Palatino Linotype"/>
        </w:rPr>
        <w:t>044</w:t>
      </w:r>
      <w:r w:rsidR="0068601C" w:rsidRPr="00E461D0">
        <w:rPr>
          <w:rFonts w:ascii="Palatino Linotype" w:hAnsi="Palatino Linotype"/>
        </w:rPr>
        <w:t xml:space="preserve">, </w:t>
      </w:r>
      <w:r w:rsidR="0023008A" w:rsidRPr="00E461D0">
        <w:rPr>
          <w:rFonts w:ascii="Palatino Linotype" w:hAnsi="Palatino Linotype"/>
        </w:rPr>
        <w:t xml:space="preserve">a partir del 1º de enero de 2011). Son contribuyentes las personas humanas y jurídicas beneficiarias de una transmisión gratuita de bienes en tanto se domicilien o residan en la respectiva provincia, independientemente del lugar donde estén situados los bienes. Las alícuotas aplicables varían entre el 1,60% y 8,78%, de conformidad con lo dispuesto por el artículo 54 de la Ley 15.079 (Ley Impositiva 2019), atendiendo al grado de parentesco y el monto de la base imponible. </w:t>
      </w:r>
      <w:r w:rsidR="0068601C" w:rsidRPr="00E461D0">
        <w:rPr>
          <w:rFonts w:ascii="Palatino Linotype" w:hAnsi="Palatino Linotype"/>
        </w:rPr>
        <w:t>Las Obligaciones Negociables</w:t>
      </w:r>
      <w:r w:rsidR="00852E38" w:rsidRPr="00E461D0">
        <w:rPr>
          <w:rFonts w:ascii="Palatino Linotype" w:hAnsi="Palatino Linotype"/>
        </w:rPr>
        <w:t xml:space="preserve"> PyME</w:t>
      </w:r>
      <w:r w:rsidR="0023008A" w:rsidRPr="00E461D0">
        <w:rPr>
          <w:rFonts w:ascii="Palatino Linotype" w:hAnsi="Palatino Linotype"/>
        </w:rPr>
        <w:t>, en tanto queden involucrados en una transmisión gratuita de bienes, podrían quedar afectados por estos gravámenes en las jurisdicciones señaladas</w:t>
      </w:r>
    </w:p>
    <w:p w14:paraId="0560EFD5" w14:textId="77777777" w:rsidR="00487404" w:rsidRPr="00E461D0" w:rsidRDefault="00487404" w:rsidP="003C15F8">
      <w:pPr>
        <w:jc w:val="both"/>
        <w:rPr>
          <w:rFonts w:ascii="Palatino Linotype" w:hAnsi="Palatino Linotype"/>
        </w:rPr>
      </w:pPr>
      <w:r w:rsidRPr="00E461D0">
        <w:rPr>
          <w:rFonts w:ascii="Palatino Linotype" w:hAnsi="Palatino Linotype"/>
        </w:rPr>
        <w:t>Respecto de la existencia de impuestos a la transmisión gratuita de bienes en las restantes jurisdicciones provinciales, el análisis deberá llevarse a cabo tomando en consideración la legislación de cada provincia en particular.</w:t>
      </w:r>
    </w:p>
    <w:p w14:paraId="72DD7BE4" w14:textId="77777777" w:rsidR="00487404" w:rsidRPr="00E461D0" w:rsidRDefault="00487404" w:rsidP="003C15F8">
      <w:pPr>
        <w:jc w:val="both"/>
        <w:rPr>
          <w:rFonts w:ascii="Palatino Linotype" w:hAnsi="Palatino Linotype"/>
        </w:rPr>
      </w:pPr>
    </w:p>
    <w:p w14:paraId="35E6DEE7" w14:textId="77777777" w:rsidR="00487404" w:rsidRPr="00E461D0" w:rsidRDefault="00487404" w:rsidP="003C15F8">
      <w:pPr>
        <w:jc w:val="both"/>
        <w:rPr>
          <w:rFonts w:ascii="Palatino Linotype" w:hAnsi="Palatino Linotype"/>
          <w:b/>
        </w:rPr>
      </w:pPr>
      <w:r w:rsidRPr="00E461D0">
        <w:rPr>
          <w:rFonts w:ascii="Palatino Linotype" w:hAnsi="Palatino Linotype"/>
          <w:b/>
        </w:rPr>
        <w:t>Tasas de Justicia</w:t>
      </w:r>
    </w:p>
    <w:p w14:paraId="75020E2B" w14:textId="77777777" w:rsidR="00C22F9B" w:rsidRPr="00E461D0" w:rsidRDefault="00C22F9B" w:rsidP="003C15F8">
      <w:pPr>
        <w:jc w:val="both"/>
        <w:rPr>
          <w:rFonts w:ascii="Palatino Linotype" w:hAnsi="Palatino Linotype"/>
        </w:rPr>
      </w:pPr>
    </w:p>
    <w:p w14:paraId="6AE6880C" w14:textId="497AB475" w:rsidR="00487404" w:rsidRPr="00E461D0" w:rsidRDefault="00487404" w:rsidP="003C15F8">
      <w:pPr>
        <w:jc w:val="both"/>
        <w:rPr>
          <w:rFonts w:ascii="Palatino Linotype" w:hAnsi="Palatino Linotype"/>
        </w:rPr>
      </w:pPr>
      <w:r w:rsidRPr="00E461D0">
        <w:rPr>
          <w:rFonts w:ascii="Palatino Linotype" w:hAnsi="Palatino Linotype"/>
        </w:rPr>
        <w:t xml:space="preserve">En el supuesto de que sea necesario interponer acciones judiciales en relación con las Obligaciones Negociables </w:t>
      </w:r>
      <w:r w:rsidR="00852E38" w:rsidRPr="00E461D0">
        <w:rPr>
          <w:rFonts w:ascii="Palatino Linotype" w:hAnsi="Palatino Linotype"/>
        </w:rPr>
        <w:t xml:space="preserve">PyME </w:t>
      </w:r>
      <w:r w:rsidRPr="00E461D0">
        <w:rPr>
          <w:rFonts w:ascii="Palatino Linotype" w:hAnsi="Palatino Linotype"/>
        </w:rPr>
        <w:t>en la Argentina, se aplicará una tasa de justicia (actualmente correspondiente al 3%) sobre el monto del reclamo iniciado ante los tribunales argentinos con asiento en la Ciudad Autónoma de Buenos Aires.</w:t>
      </w:r>
    </w:p>
    <w:p w14:paraId="28FE1B16" w14:textId="77777777" w:rsidR="00C22F9B" w:rsidRPr="00E461D0" w:rsidRDefault="00C22F9B" w:rsidP="003C15F8">
      <w:pPr>
        <w:jc w:val="both"/>
        <w:rPr>
          <w:rFonts w:ascii="Palatino Linotype" w:hAnsi="Palatino Linotype"/>
          <w:b/>
          <w:bCs/>
        </w:rPr>
      </w:pPr>
    </w:p>
    <w:p w14:paraId="3761F608" w14:textId="77777777" w:rsidR="00487404" w:rsidRPr="00E461D0" w:rsidRDefault="00487404" w:rsidP="003C15F8">
      <w:pPr>
        <w:jc w:val="both"/>
        <w:rPr>
          <w:rFonts w:ascii="Palatino Linotype" w:hAnsi="Palatino Linotype"/>
          <w:b/>
          <w:bCs/>
        </w:rPr>
      </w:pPr>
      <w:r w:rsidRPr="00E461D0">
        <w:rPr>
          <w:rFonts w:ascii="Palatino Linotype" w:hAnsi="Palatino Linotype"/>
          <w:b/>
          <w:bCs/>
        </w:rPr>
        <w:t>Oferta Pública y Exención Impositiva</w:t>
      </w:r>
    </w:p>
    <w:p w14:paraId="44285EFB" w14:textId="77777777" w:rsidR="00C22F9B" w:rsidRPr="00E461D0" w:rsidRDefault="00C22F9B" w:rsidP="003C15F8">
      <w:pPr>
        <w:jc w:val="both"/>
        <w:rPr>
          <w:rFonts w:ascii="Palatino Linotype" w:hAnsi="Palatino Linotype"/>
        </w:rPr>
      </w:pPr>
    </w:p>
    <w:p w14:paraId="5BD0A75D" w14:textId="77777777" w:rsidR="00487404" w:rsidRPr="00E461D0" w:rsidRDefault="00487404" w:rsidP="003C15F8">
      <w:pPr>
        <w:jc w:val="both"/>
        <w:rPr>
          <w:rFonts w:ascii="Palatino Linotype" w:hAnsi="Palatino Linotype"/>
        </w:rPr>
      </w:pPr>
      <w:r w:rsidRPr="00E461D0">
        <w:rPr>
          <w:rFonts w:ascii="Palatino Linotype" w:hAnsi="Palatino Linotype"/>
        </w:rPr>
        <w:t>A través de la Ley de Obligaciones Negociables, la Ley de Mercado de Capitales, las Normas de la CNV, y sus modificatorias, como la Resolución de la CNV N° 662/2016 se precisaron entre otras cuestiones los siguientes aspectos:</w:t>
      </w:r>
    </w:p>
    <w:p w14:paraId="6EB16F01" w14:textId="77777777" w:rsidR="00C22F9B" w:rsidRPr="00E461D0" w:rsidRDefault="00C22F9B" w:rsidP="003C15F8">
      <w:pPr>
        <w:jc w:val="both"/>
        <w:rPr>
          <w:rFonts w:ascii="Palatino Linotype" w:hAnsi="Palatino Linotype"/>
        </w:rPr>
      </w:pPr>
    </w:p>
    <w:p w14:paraId="27FC5980" w14:textId="77777777" w:rsidR="00487404" w:rsidRPr="00E461D0" w:rsidRDefault="00487404" w:rsidP="003C15F8">
      <w:pPr>
        <w:jc w:val="both"/>
        <w:rPr>
          <w:rFonts w:ascii="Palatino Linotype" w:hAnsi="Palatino Linotype"/>
        </w:rPr>
      </w:pPr>
      <w:r w:rsidRPr="00E461D0">
        <w:rPr>
          <w:rFonts w:ascii="Palatino Linotype" w:hAnsi="Palatino Linotype"/>
        </w:rPr>
        <w:t>Los valores negociables cuya colocación esté también prevista en otro país se considerarán colocados por oferta pública, no obstante lo establecido por las leyes o reglamentaciones de los respectivos países y aun cuando la oferta sea sólo para inversores calificados, cuando dicha colocación se realice dando cumplimiento a las disposiciones de las Normas CNV.</w:t>
      </w:r>
    </w:p>
    <w:p w14:paraId="3099C044" w14:textId="77777777" w:rsidR="007527F9" w:rsidRPr="00E461D0" w:rsidRDefault="007527F9" w:rsidP="003C15F8">
      <w:pPr>
        <w:jc w:val="both"/>
        <w:rPr>
          <w:rFonts w:ascii="Palatino Linotype" w:hAnsi="Palatino Linotype"/>
        </w:rPr>
      </w:pPr>
    </w:p>
    <w:p w14:paraId="170238C7" w14:textId="77777777" w:rsidR="00487404" w:rsidRPr="00E461D0" w:rsidRDefault="00487404" w:rsidP="003C15F8">
      <w:pPr>
        <w:jc w:val="both"/>
        <w:rPr>
          <w:rFonts w:ascii="Palatino Linotype" w:hAnsi="Palatino Linotype"/>
        </w:rPr>
      </w:pPr>
      <w:r w:rsidRPr="00E461D0">
        <w:rPr>
          <w:rFonts w:ascii="Palatino Linotype" w:hAnsi="Palatino Linotype"/>
        </w:rPr>
        <w:t>Si la oferta es efectuada en los términos de la Ley Nº 26.831 se considerará pública, sin perjuicio de la denominación y/o calificación otorgada por la legislación extranjera.</w:t>
      </w:r>
    </w:p>
    <w:p w14:paraId="4B48E363" w14:textId="77777777" w:rsidR="00C22F9B" w:rsidRPr="00E461D0" w:rsidRDefault="00C22F9B" w:rsidP="003C15F8">
      <w:pPr>
        <w:jc w:val="both"/>
        <w:rPr>
          <w:rFonts w:ascii="Palatino Linotype" w:hAnsi="Palatino Linotype"/>
        </w:rPr>
      </w:pPr>
    </w:p>
    <w:p w14:paraId="4648368A" w14:textId="77777777" w:rsidR="00487404" w:rsidRPr="00E461D0" w:rsidRDefault="00487404" w:rsidP="003C15F8">
      <w:pPr>
        <w:jc w:val="both"/>
        <w:rPr>
          <w:rFonts w:ascii="Palatino Linotype" w:hAnsi="Palatino Linotype"/>
        </w:rPr>
      </w:pPr>
      <w:r w:rsidRPr="00E461D0">
        <w:rPr>
          <w:rFonts w:ascii="Palatino Linotype" w:hAnsi="Palatino Linotype"/>
        </w:rPr>
        <w:t>Para que exista “colocación por oferta pública” es necesario demostrar “efectivos esfuerzos de colocación”, en los términos del artículo 82 de la Ley de Mercado de Capitales. Es decir, no es suficiente la sola existencia de la autorización de la CNV pero tampoco es necesario alcanzar un resultado determinado, tal como un criterio de dispersión mínima de inversores. En suma, la “colocación por oferta pública” resultaría una obligación de medio, pero no de resultado.</w:t>
      </w:r>
    </w:p>
    <w:p w14:paraId="5B612359" w14:textId="77777777" w:rsidR="00C22F9B" w:rsidRPr="00E461D0" w:rsidRDefault="00C22F9B" w:rsidP="003C15F8">
      <w:pPr>
        <w:jc w:val="both"/>
        <w:rPr>
          <w:rFonts w:ascii="Palatino Linotype" w:hAnsi="Palatino Linotype"/>
        </w:rPr>
      </w:pPr>
    </w:p>
    <w:p w14:paraId="3895F7A8" w14:textId="77777777" w:rsidR="00487404" w:rsidRPr="00E461D0" w:rsidRDefault="00487404" w:rsidP="003C15F8">
      <w:pPr>
        <w:jc w:val="both"/>
        <w:rPr>
          <w:rFonts w:ascii="Palatino Linotype" w:hAnsi="Palatino Linotype"/>
        </w:rPr>
      </w:pPr>
      <w:r w:rsidRPr="00E461D0">
        <w:rPr>
          <w:rFonts w:ascii="Palatino Linotype" w:hAnsi="Palatino Linotype"/>
        </w:rPr>
        <w:t>Los esfuerzos de oferta pública pueden llevarse a cabo no sólo en el país sino también en el exterior.</w:t>
      </w:r>
    </w:p>
    <w:p w14:paraId="6C4AB834" w14:textId="77777777" w:rsidR="00C22F9B" w:rsidRPr="00E461D0" w:rsidRDefault="00C22F9B" w:rsidP="003C15F8">
      <w:pPr>
        <w:jc w:val="both"/>
        <w:rPr>
          <w:rFonts w:ascii="Palatino Linotype" w:hAnsi="Palatino Linotype"/>
        </w:rPr>
      </w:pPr>
    </w:p>
    <w:p w14:paraId="09898A5F" w14:textId="77777777" w:rsidR="00487404" w:rsidRPr="00E461D0" w:rsidRDefault="00487404" w:rsidP="003C15F8">
      <w:pPr>
        <w:jc w:val="both"/>
        <w:rPr>
          <w:rFonts w:ascii="Palatino Linotype" w:hAnsi="Palatino Linotype"/>
        </w:rPr>
      </w:pPr>
      <w:r w:rsidRPr="00E461D0">
        <w:rPr>
          <w:rFonts w:ascii="Palatino Linotype" w:hAnsi="Palatino Linotype"/>
        </w:rPr>
        <w:t>La oferta puede ser dirigida “al público en general o a un grupo determinado de inversores”, y aún “sólo para inversores institucionales”, aclarándose así que la oferta no debe ser dirigida siempre al público en general.</w:t>
      </w:r>
    </w:p>
    <w:p w14:paraId="7C8E0C24" w14:textId="77777777" w:rsidR="00C22F9B" w:rsidRPr="00E461D0" w:rsidRDefault="00C22F9B" w:rsidP="003C15F8">
      <w:pPr>
        <w:jc w:val="both"/>
        <w:rPr>
          <w:rFonts w:ascii="Palatino Linotype" w:hAnsi="Palatino Linotype"/>
        </w:rPr>
      </w:pPr>
    </w:p>
    <w:p w14:paraId="7074B2AB" w14:textId="77777777" w:rsidR="00487404" w:rsidRPr="00E461D0" w:rsidRDefault="00487404" w:rsidP="003C15F8">
      <w:pPr>
        <w:jc w:val="both"/>
        <w:rPr>
          <w:rFonts w:ascii="Palatino Linotype" w:hAnsi="Palatino Linotype"/>
        </w:rPr>
      </w:pPr>
      <w:r w:rsidRPr="00E461D0">
        <w:rPr>
          <w:rFonts w:ascii="Palatino Linotype" w:hAnsi="Palatino Linotype"/>
        </w:rPr>
        <w:t>La celebración de un contrato de colocación resulta válida a los fines de considerar cumplimentado el requisito de la oferta pública, en la medida que se demuestre que el colocador ofertó por los medios previstos en la Ley de Mercado de Capitales y Normas de la CNV.</w:t>
      </w:r>
    </w:p>
    <w:p w14:paraId="47F7320C" w14:textId="77777777" w:rsidR="00C22F9B" w:rsidRPr="00E461D0" w:rsidRDefault="00C22F9B" w:rsidP="003C15F8">
      <w:pPr>
        <w:jc w:val="both"/>
        <w:rPr>
          <w:rFonts w:ascii="Palatino Linotype" w:hAnsi="Palatino Linotype"/>
        </w:rPr>
      </w:pPr>
    </w:p>
    <w:p w14:paraId="7147CDCC" w14:textId="77777777" w:rsidR="00487404" w:rsidRPr="00E461D0" w:rsidRDefault="00487404" w:rsidP="003C15F8">
      <w:pPr>
        <w:jc w:val="both"/>
        <w:rPr>
          <w:rFonts w:ascii="Palatino Linotype" w:hAnsi="Palatino Linotype"/>
        </w:rPr>
      </w:pPr>
      <w:r w:rsidRPr="00E461D0">
        <w:rPr>
          <w:rFonts w:ascii="Palatino Linotype" w:hAnsi="Palatino Linotype"/>
        </w:rPr>
        <w:t>En tal sentido, a los efectos de acreditar los esfuerzos de colocación, dentro de los CINCO (5) días de efectuada la colocación, deberá presentarse copia del contrato de colocación, debidamente firmado, y de corresponder, con la traducción y legalización pertinente. La documentación que acredite los esfuerzos de colocación, así como su adjudicación y el proceso de colocación, deberá mantenerse a disposición de la CNV para el caso que sea requerida. Asimismo, dentro de los QUINCE (15) días de efectuada la colocación, el agente colocador deberá acreditar a la entidad emisora los esfuerzos para la colocación primaria de los valores negociables a través de los mecanismos dispuestos en las Normas CNV.</w:t>
      </w:r>
    </w:p>
    <w:p w14:paraId="6AAF0A56" w14:textId="77777777" w:rsidR="00C22F9B" w:rsidRPr="00E461D0" w:rsidRDefault="00C22F9B" w:rsidP="003C15F8">
      <w:pPr>
        <w:jc w:val="both"/>
        <w:rPr>
          <w:rFonts w:ascii="Palatino Linotype" w:hAnsi="Palatino Linotype"/>
        </w:rPr>
      </w:pPr>
    </w:p>
    <w:p w14:paraId="582C6F90" w14:textId="77777777" w:rsidR="00487404" w:rsidRPr="00E461D0" w:rsidRDefault="00487404" w:rsidP="003C15F8">
      <w:pPr>
        <w:jc w:val="both"/>
        <w:rPr>
          <w:rFonts w:ascii="Palatino Linotype" w:hAnsi="Palatino Linotype"/>
        </w:rPr>
      </w:pPr>
      <w:r w:rsidRPr="00E461D0">
        <w:rPr>
          <w:rFonts w:ascii="Palatino Linotype" w:hAnsi="Palatino Linotype"/>
        </w:rPr>
        <w:t>La normativa CNV establece adicionalmente que la celebración de un contrato de colocación (underwriting) resulta válida a los fines de considerar cumplimentado el requisito de oferta pública, si el agente colocador realizó los esfuerzos de colocación conforme lo indicado en dicha normativa.</w:t>
      </w:r>
    </w:p>
    <w:p w14:paraId="3BC0DDDA" w14:textId="77777777" w:rsidR="00C22F9B" w:rsidRPr="00E461D0" w:rsidRDefault="00C22F9B" w:rsidP="003C15F8">
      <w:pPr>
        <w:jc w:val="both"/>
        <w:rPr>
          <w:rFonts w:ascii="Palatino Linotype" w:hAnsi="Palatino Linotype"/>
        </w:rPr>
      </w:pPr>
    </w:p>
    <w:p w14:paraId="710BB54E" w14:textId="77777777" w:rsidR="00487404" w:rsidRPr="00E461D0" w:rsidRDefault="00487404" w:rsidP="003C15F8">
      <w:pPr>
        <w:jc w:val="both"/>
        <w:rPr>
          <w:rFonts w:ascii="Palatino Linotype" w:hAnsi="Palatino Linotype"/>
        </w:rPr>
      </w:pPr>
      <w:r w:rsidRPr="00E461D0">
        <w:rPr>
          <w:rFonts w:ascii="Palatino Linotype" w:hAnsi="Palatino Linotype"/>
        </w:rPr>
        <w:t>En los casos de refinanciación de deudas empresarias, se considera cumplimentado el requisito de oferta pública cuando los suscriptores de la nueva emisión revistan el carácter de tenedores de las obligaciones negociables objeto de canje.</w:t>
      </w:r>
    </w:p>
    <w:p w14:paraId="69376B9E" w14:textId="77777777" w:rsidR="00C22F9B" w:rsidRPr="00E461D0" w:rsidRDefault="00C22F9B" w:rsidP="003C15F8">
      <w:pPr>
        <w:jc w:val="both"/>
        <w:rPr>
          <w:rFonts w:ascii="Palatino Linotype" w:hAnsi="Palatino Linotype"/>
        </w:rPr>
      </w:pPr>
    </w:p>
    <w:p w14:paraId="0E287706" w14:textId="77777777" w:rsidR="00487404" w:rsidRPr="00E461D0" w:rsidRDefault="00487404" w:rsidP="003C15F8">
      <w:pPr>
        <w:jc w:val="both"/>
        <w:rPr>
          <w:rFonts w:ascii="Palatino Linotype" w:hAnsi="Palatino Linotype"/>
        </w:rPr>
      </w:pPr>
      <w:r w:rsidRPr="00E461D0">
        <w:rPr>
          <w:rFonts w:ascii="Palatino Linotype" w:hAnsi="Palatino Linotype"/>
        </w:rPr>
        <w:t>La utilización de los fondos provenientes de una emisión de obligaciones negociables para refinanciar pasivos incluyendo los denominados “préstamos puente” es admitida expresamente.</w:t>
      </w:r>
    </w:p>
    <w:p w14:paraId="416AE6DD" w14:textId="77777777" w:rsidR="00C22F9B" w:rsidRPr="00E461D0" w:rsidRDefault="00C22F9B" w:rsidP="003C15F8">
      <w:pPr>
        <w:jc w:val="both"/>
        <w:rPr>
          <w:rFonts w:ascii="Palatino Linotype" w:hAnsi="Palatino Linotype"/>
        </w:rPr>
      </w:pPr>
    </w:p>
    <w:p w14:paraId="3D278347" w14:textId="77777777" w:rsidR="00487404" w:rsidRPr="00E461D0" w:rsidRDefault="00487404" w:rsidP="003C15F8">
      <w:pPr>
        <w:jc w:val="both"/>
        <w:rPr>
          <w:rFonts w:ascii="Palatino Linotype" w:hAnsi="Palatino Linotype"/>
        </w:rPr>
      </w:pPr>
      <w:r w:rsidRPr="00E461D0">
        <w:rPr>
          <w:rFonts w:ascii="Palatino Linotype" w:hAnsi="Palatino Linotype"/>
        </w:rPr>
        <w:t>Los títulos cuenten con listado en mercados autorizados a los efectos de su consideración como colocados por oferta pública (aunque en los considerandos se aclara que el listado en un mercado autorizado coadyuva a valorar la voluntad de ofertar públicamente).</w:t>
      </w:r>
    </w:p>
    <w:p w14:paraId="2FE41036" w14:textId="77777777" w:rsidR="00C22F9B" w:rsidRPr="00E461D0" w:rsidRDefault="00C22F9B" w:rsidP="003C15F8">
      <w:pPr>
        <w:jc w:val="both"/>
        <w:rPr>
          <w:rFonts w:ascii="Palatino Linotype" w:hAnsi="Palatino Linotype"/>
        </w:rPr>
      </w:pPr>
    </w:p>
    <w:p w14:paraId="5B4EC427" w14:textId="77777777" w:rsidR="00487404" w:rsidRPr="00E461D0" w:rsidRDefault="00487404" w:rsidP="003C15F8">
      <w:pPr>
        <w:jc w:val="both"/>
        <w:rPr>
          <w:rFonts w:ascii="Palatino Linotype" w:hAnsi="Palatino Linotype"/>
        </w:rPr>
      </w:pPr>
      <w:r w:rsidRPr="00E461D0">
        <w:rPr>
          <w:rFonts w:ascii="Palatino Linotype" w:hAnsi="Palatino Linotype"/>
        </w:rPr>
        <w:t>En los casos de canjes de obligaciones negociables por obligaciones negociables en el marco de refinanciación de deudas los beneficios de las obligaciones negociables originariamente colocadas por oferta pública se extienden a las nuevas obligaciones negociables ofrecidas en canje, en la medida que los suscriptores de éstas han sido tenedores de aquellas.</w:t>
      </w:r>
    </w:p>
    <w:p w14:paraId="77C7F284" w14:textId="77777777" w:rsidR="00C22F9B" w:rsidRPr="00E461D0" w:rsidRDefault="00C22F9B" w:rsidP="003C15F8">
      <w:pPr>
        <w:jc w:val="both"/>
        <w:rPr>
          <w:rFonts w:ascii="Palatino Linotype" w:hAnsi="Palatino Linotype"/>
        </w:rPr>
      </w:pPr>
    </w:p>
    <w:p w14:paraId="4CAFB6CD" w14:textId="77777777" w:rsidR="00487404" w:rsidRPr="00E461D0" w:rsidRDefault="00487404" w:rsidP="003C15F8">
      <w:pPr>
        <w:jc w:val="both"/>
        <w:rPr>
          <w:rFonts w:ascii="Palatino Linotype" w:hAnsi="Palatino Linotype"/>
        </w:rPr>
      </w:pPr>
      <w:r w:rsidRPr="00E461D0">
        <w:rPr>
          <w:rFonts w:ascii="Palatino Linotype" w:hAnsi="Palatino Linotype"/>
        </w:rPr>
        <w:t>El Emisor hará sus mejores esfuerzos para que los Títulos Valores sean susceptibles de contar con los beneficios impositivos.</w:t>
      </w:r>
    </w:p>
    <w:p w14:paraId="0C04B243" w14:textId="77777777" w:rsidR="00C22F9B" w:rsidRPr="00E461D0" w:rsidRDefault="00C22F9B" w:rsidP="003C15F8">
      <w:pPr>
        <w:jc w:val="both"/>
        <w:rPr>
          <w:rFonts w:ascii="Palatino Linotype" w:hAnsi="Palatino Linotype"/>
          <w:b/>
          <w:bCs/>
        </w:rPr>
      </w:pPr>
    </w:p>
    <w:p w14:paraId="2B377B60" w14:textId="77777777" w:rsidR="00487404" w:rsidRPr="00E461D0" w:rsidRDefault="00487404" w:rsidP="003C15F8">
      <w:pPr>
        <w:jc w:val="both"/>
        <w:rPr>
          <w:rFonts w:ascii="Palatino Linotype" w:hAnsi="Palatino Linotype"/>
          <w:b/>
        </w:rPr>
      </w:pPr>
      <w:r w:rsidRPr="00E461D0">
        <w:rPr>
          <w:rFonts w:ascii="Palatino Linotype" w:hAnsi="Palatino Linotype"/>
          <w:b/>
          <w:bCs/>
        </w:rPr>
        <w:t>Ingresos de fondos provenientes de jurisdicciones de baja o nula tributación (“no cooperadores a los fines de la transparencia fiscal”)</w:t>
      </w:r>
      <w:r w:rsidRPr="00E461D0">
        <w:rPr>
          <w:rFonts w:ascii="Palatino Linotype" w:hAnsi="Palatino Linotype"/>
          <w:b/>
        </w:rPr>
        <w:t xml:space="preserve"> </w:t>
      </w:r>
    </w:p>
    <w:p w14:paraId="0A84CCD9" w14:textId="77777777" w:rsidR="00487404" w:rsidRPr="00E461D0" w:rsidRDefault="00487404" w:rsidP="003C15F8">
      <w:pPr>
        <w:jc w:val="both"/>
        <w:rPr>
          <w:rFonts w:ascii="Palatino Linotype" w:hAnsi="Palatino Linotype"/>
        </w:rPr>
      </w:pPr>
    </w:p>
    <w:p w14:paraId="12F3822E" w14:textId="77777777" w:rsidR="0068601C" w:rsidRPr="00E461D0" w:rsidRDefault="0068601C" w:rsidP="0068601C">
      <w:pPr>
        <w:jc w:val="both"/>
        <w:rPr>
          <w:rFonts w:ascii="Palatino Linotype" w:hAnsi="Palatino Linotype"/>
        </w:rPr>
      </w:pPr>
      <w:r w:rsidRPr="00E461D0">
        <w:rPr>
          <w:rFonts w:ascii="Palatino Linotype" w:hAnsi="Palatino Linotype"/>
        </w:rPr>
        <w:t>De acuerdo con lo establecido en el artículo agregado sin número a continuación del artículo 18 de la Ley de Procedimiento Fiscal Federal N° 11.683, todo residente local que reciba fondos de cualquier naturaleza (es decir, préstamos, aportes de capital, etc.) de jurisdicciones de nula o baja tributación, se encuentra sujeta al Impuesto a las Ganancias y al Impuesto al Valor Agregado sobre una base imponible del 110% de los montos recibidos de dichas entidades (con algunas excepciones limitadas). Ello, basado en la presunción de que tales montos constituyen incrementos patrimoniales no justificados para la parte local que los recibe. Si bien podría sostenerse que esta disposición no debería aplicarse para operaciones de emisión de títulos con oferta pública, no puede asegurarse que la autoridad impositiva comparta este criterio.</w:t>
      </w:r>
    </w:p>
    <w:p w14:paraId="6A87025A" w14:textId="77777777" w:rsidR="0068601C" w:rsidRPr="00E461D0" w:rsidRDefault="0068601C" w:rsidP="0068601C">
      <w:pPr>
        <w:jc w:val="both"/>
        <w:rPr>
          <w:rFonts w:ascii="Palatino Linotype" w:hAnsi="Palatino Linotype"/>
        </w:rPr>
      </w:pPr>
    </w:p>
    <w:p w14:paraId="22D5DF14" w14:textId="333111A1" w:rsidR="0068601C" w:rsidRPr="00E461D0" w:rsidRDefault="0068601C" w:rsidP="0068601C">
      <w:pPr>
        <w:jc w:val="both"/>
        <w:rPr>
          <w:rFonts w:ascii="Palatino Linotype" w:hAnsi="Palatino Linotype"/>
        </w:rPr>
      </w:pPr>
      <w:r w:rsidRPr="00E461D0">
        <w:rPr>
          <w:rFonts w:ascii="Palatino Linotype" w:hAnsi="Palatino Linotype"/>
        </w:rPr>
        <w:t>Según lo precedente, no se espera que las Obligaciones Negociables</w:t>
      </w:r>
      <w:r w:rsidR="007527F9" w:rsidRPr="00E461D0">
        <w:rPr>
          <w:rFonts w:ascii="Palatino Linotype" w:hAnsi="Palatino Linotype"/>
        </w:rPr>
        <w:t xml:space="preserve"> </w:t>
      </w:r>
      <w:r w:rsidRPr="00E461D0">
        <w:rPr>
          <w:rFonts w:ascii="Palatino Linotype" w:hAnsi="Palatino Linotype"/>
        </w:rPr>
        <w:t xml:space="preserve">sean originalmente adquiridas por sujetos –personas de existencia ideal o </w:t>
      </w:r>
      <w:r w:rsidR="00E461D0">
        <w:rPr>
          <w:rFonts w:ascii="Palatino Linotype" w:hAnsi="Palatino Linotype"/>
        </w:rPr>
        <w:t xml:space="preserve">personas </w:t>
      </w:r>
      <w:r w:rsidRPr="00E461D0">
        <w:rPr>
          <w:rFonts w:ascii="Palatino Linotype" w:hAnsi="Palatino Linotype"/>
        </w:rPr>
        <w:t xml:space="preserve">humanas- o entidades domiciliadas o constituidas en jurisdicciones de baja tributación, o comprados por ninguna persona que opere con cuentas bancarias abiertas en entidades financieras ubicadas en jurisdicciones de nula o baja tributación. </w:t>
      </w:r>
    </w:p>
    <w:p w14:paraId="37E5A633" w14:textId="77777777" w:rsidR="0068601C" w:rsidRPr="00E461D0" w:rsidRDefault="0068601C" w:rsidP="0068601C">
      <w:pPr>
        <w:jc w:val="both"/>
        <w:rPr>
          <w:rFonts w:ascii="Palatino Linotype" w:hAnsi="Palatino Linotype"/>
        </w:rPr>
      </w:pPr>
    </w:p>
    <w:p w14:paraId="01DBB6DF" w14:textId="77777777" w:rsidR="0068601C" w:rsidRPr="00E461D0" w:rsidRDefault="0068601C" w:rsidP="0068601C">
      <w:pPr>
        <w:jc w:val="both"/>
        <w:rPr>
          <w:rFonts w:ascii="Palatino Linotype" w:hAnsi="Palatino Linotype"/>
        </w:rPr>
      </w:pPr>
      <w:r w:rsidRPr="00E461D0">
        <w:rPr>
          <w:rFonts w:ascii="Palatino Linotype" w:hAnsi="Palatino Linotype"/>
        </w:rPr>
        <w:t>En cuanto a las jurisdicciones de baja o nula tributación, el tercer artículo agregado a continuación del artículo 15 de la Ley de Impuesto a las Ganancias las define como aquellos países, dominios, jurisdicciones, territorios, estados asociados o regímenes tributarios especiales que establezcan una tributación máxima a la renta empresaria inferior al sesenta por ciento (60%) de la alícuota contemplada en el inciso a) del artículo 69 de esa ley (15%).</w:t>
      </w:r>
    </w:p>
    <w:p w14:paraId="0025B345" w14:textId="77777777" w:rsidR="0068601C" w:rsidRPr="00E461D0" w:rsidRDefault="0068601C" w:rsidP="0068601C">
      <w:pPr>
        <w:jc w:val="both"/>
        <w:rPr>
          <w:rFonts w:ascii="Palatino Linotype" w:hAnsi="Palatino Linotype"/>
        </w:rPr>
      </w:pPr>
    </w:p>
    <w:p w14:paraId="650329C1" w14:textId="77777777" w:rsidR="0068601C" w:rsidRPr="00E461D0" w:rsidRDefault="0068601C" w:rsidP="0068601C">
      <w:pPr>
        <w:jc w:val="both"/>
        <w:rPr>
          <w:rFonts w:ascii="Palatino Linotype" w:hAnsi="Palatino Linotype"/>
        </w:rPr>
      </w:pPr>
      <w:r w:rsidRPr="00E461D0">
        <w:rPr>
          <w:rFonts w:ascii="Palatino Linotype" w:hAnsi="Palatino Linotype"/>
        </w:rPr>
        <w:t>El sujeto local o receptor local de los fondos puede refutar dicha presunción legal probando debidamente ante la Autoridad Impositiva que los fondos provienen de actividades efectivamente realizadas por el contribuyente argentino o por una tercera persona en dicha jurisdicción o que dichos fondos fueron declarados con anterioridad.</w:t>
      </w:r>
    </w:p>
    <w:p w14:paraId="415B0F25" w14:textId="77777777" w:rsidR="0068601C" w:rsidRPr="00E461D0" w:rsidRDefault="0068601C" w:rsidP="0068601C">
      <w:pPr>
        <w:jc w:val="both"/>
        <w:rPr>
          <w:rFonts w:ascii="Palatino Linotype" w:hAnsi="Palatino Linotype"/>
        </w:rPr>
      </w:pPr>
    </w:p>
    <w:p w14:paraId="57FAEABA" w14:textId="773A2F78" w:rsidR="00C22F9B" w:rsidRPr="00E461D0" w:rsidRDefault="0068601C" w:rsidP="003C15F8">
      <w:pPr>
        <w:jc w:val="both"/>
        <w:rPr>
          <w:rFonts w:ascii="Palatino Linotype" w:hAnsi="Palatino Linotype"/>
        </w:rPr>
      </w:pPr>
      <w:r w:rsidRPr="00E461D0">
        <w:rPr>
          <w:rFonts w:ascii="Palatino Linotype" w:hAnsi="Palatino Linotype"/>
        </w:rPr>
        <w:t xml:space="preserve">La presunción analizada, podría resultar aplicable a los potenciales tenedores de las Obligaciones </w:t>
      </w:r>
      <w:r w:rsidR="00A217C8" w:rsidRPr="00E461D0">
        <w:rPr>
          <w:rFonts w:ascii="Palatino Linotype" w:hAnsi="Palatino Linotype"/>
        </w:rPr>
        <w:t>Negociables</w:t>
      </w:r>
      <w:r w:rsidRPr="00E461D0">
        <w:rPr>
          <w:rFonts w:ascii="Palatino Linotype" w:hAnsi="Palatino Linotype"/>
        </w:rPr>
        <w:t xml:space="preserve"> </w:t>
      </w:r>
      <w:r w:rsidR="00063EB4" w:rsidRPr="00E461D0">
        <w:rPr>
          <w:rFonts w:ascii="Palatino Linotype" w:hAnsi="Palatino Linotype"/>
        </w:rPr>
        <w:t xml:space="preserve">PyME </w:t>
      </w:r>
      <w:r w:rsidRPr="00E461D0">
        <w:rPr>
          <w:rFonts w:ascii="Palatino Linotype" w:hAnsi="Palatino Linotype"/>
        </w:rPr>
        <w:t xml:space="preserve">que realicen la venta de </w:t>
      </w:r>
      <w:r w:rsidR="00063EB4" w:rsidRPr="00E461D0">
        <w:rPr>
          <w:rFonts w:ascii="Palatino Linotype" w:hAnsi="Palatino Linotype"/>
        </w:rPr>
        <w:t>éstas</w:t>
      </w:r>
      <w:r w:rsidRPr="00E461D0">
        <w:rPr>
          <w:rFonts w:ascii="Palatino Linotype" w:hAnsi="Palatino Linotype"/>
        </w:rPr>
        <w:t xml:space="preserve"> a sujetos –personas de existencia ideal o humanas- y entidades domiciliadas o constituidas en jurisdicciones de baja tributación, o cuando el precio de venta sea abonado desde cuentas bancarias abiertas en entidades financieras ubicadas en jurisdicciones de baja o nula tributación.</w:t>
      </w:r>
    </w:p>
    <w:p w14:paraId="6E778D6D" w14:textId="77777777" w:rsidR="00C22F9B" w:rsidRPr="00E461D0" w:rsidRDefault="00C22F9B" w:rsidP="003C15F8">
      <w:pPr>
        <w:jc w:val="both"/>
        <w:rPr>
          <w:rFonts w:ascii="Palatino Linotype" w:hAnsi="Palatino Linotype"/>
          <w:i/>
        </w:rPr>
      </w:pPr>
    </w:p>
    <w:p w14:paraId="7B79704D" w14:textId="77777777" w:rsidR="00487404" w:rsidRPr="00E461D0" w:rsidRDefault="00487404" w:rsidP="003C15F8">
      <w:pPr>
        <w:jc w:val="both"/>
        <w:rPr>
          <w:rFonts w:ascii="Palatino Linotype" w:hAnsi="Palatino Linotype"/>
          <w:i/>
        </w:rPr>
      </w:pPr>
      <w:r w:rsidRPr="00E461D0">
        <w:rPr>
          <w:rFonts w:ascii="Palatino Linotype" w:hAnsi="Palatino Linotype"/>
          <w:i/>
        </w:rPr>
        <w:t>Regímenes de recaudación provincial sobre créditos en cuentas bancarias</w:t>
      </w:r>
    </w:p>
    <w:p w14:paraId="7CD634C7" w14:textId="77777777" w:rsidR="00487404" w:rsidRPr="00E461D0" w:rsidRDefault="00487404" w:rsidP="003C15F8">
      <w:pPr>
        <w:jc w:val="both"/>
        <w:rPr>
          <w:rFonts w:ascii="Palatino Linotype" w:hAnsi="Palatino Linotype"/>
          <w:lang w:eastAsia="es-AR"/>
        </w:rPr>
      </w:pPr>
    </w:p>
    <w:p w14:paraId="40B3AB68" w14:textId="546AC57F" w:rsidR="00487404" w:rsidRPr="00E461D0" w:rsidRDefault="00487404" w:rsidP="003C15F8">
      <w:pPr>
        <w:jc w:val="both"/>
        <w:rPr>
          <w:rFonts w:ascii="Palatino Linotype" w:hAnsi="Palatino Linotype"/>
          <w:lang w:eastAsia="es-AR"/>
        </w:rPr>
      </w:pPr>
      <w:r w:rsidRPr="00E461D0">
        <w:rPr>
          <w:rFonts w:ascii="Palatino Linotype" w:hAnsi="Palatino Linotype"/>
          <w:lang w:eastAsia="es-AR"/>
        </w:rPr>
        <w:t>Distintos fiscos provinciales (por ejemplo, Ciudad Autónoma de Buenos Aires, Corrientes, Córdoba, Tucumán, P</w:t>
      </w:r>
      <w:r w:rsidR="000D59C6" w:rsidRPr="00E461D0">
        <w:rPr>
          <w:rFonts w:ascii="Palatino Linotype" w:hAnsi="Palatino Linotype"/>
          <w:lang w:eastAsia="es-AR"/>
        </w:rPr>
        <w:t xml:space="preserve">rovincia de </w:t>
      </w:r>
      <w:r w:rsidRPr="00E461D0">
        <w:rPr>
          <w:rFonts w:ascii="Palatino Linotype" w:hAnsi="Palatino Linotype"/>
          <w:lang w:eastAsia="es-AR"/>
        </w:rPr>
        <w:t xml:space="preserve">Bs. As., Salta, etc.) han establecido regímenes de percepción del impuesto sobre los ingresos brutos que resultan aplicables a los créditos que se produzcan en las cuentas abiertas en entidades financieras, cualquiera sea su especie y/o naturaleza, quedando comprendidas la totalidad de las sucursales, cualquiera sea el asiento territorial de las mismas. </w:t>
      </w:r>
    </w:p>
    <w:p w14:paraId="47C38B06" w14:textId="77777777" w:rsidR="00487404" w:rsidRPr="00E461D0" w:rsidRDefault="00487404" w:rsidP="003C15F8">
      <w:pPr>
        <w:jc w:val="both"/>
        <w:rPr>
          <w:rFonts w:ascii="Palatino Linotype" w:hAnsi="Palatino Linotype"/>
          <w:lang w:eastAsia="es-AR"/>
        </w:rPr>
      </w:pPr>
    </w:p>
    <w:p w14:paraId="33B941A4" w14:textId="77777777" w:rsidR="00487404" w:rsidRPr="00E461D0" w:rsidRDefault="00487404" w:rsidP="003C15F8">
      <w:pPr>
        <w:jc w:val="both"/>
        <w:rPr>
          <w:rFonts w:ascii="Palatino Linotype" w:hAnsi="Palatino Linotype"/>
          <w:lang w:eastAsia="es-AR"/>
        </w:rPr>
      </w:pPr>
      <w:r w:rsidRPr="00E461D0">
        <w:rPr>
          <w:rFonts w:ascii="Palatino Linotype" w:hAnsi="Palatino Linotype"/>
          <w:lang w:eastAsia="es-AR"/>
        </w:rPr>
        <w:t>Estos regímenes se aplican a aquellos contribuyentes que se encuentran en el padrón que provee mensualmente la Dirección de Rentas de cada jurisdicción.</w:t>
      </w:r>
    </w:p>
    <w:p w14:paraId="65180FF6" w14:textId="77777777" w:rsidR="00487404" w:rsidRPr="00E461D0" w:rsidRDefault="00487404" w:rsidP="003C15F8">
      <w:pPr>
        <w:jc w:val="both"/>
        <w:rPr>
          <w:rFonts w:ascii="Palatino Linotype" w:hAnsi="Palatino Linotype"/>
          <w:lang w:eastAsia="es-AR"/>
        </w:rPr>
      </w:pPr>
    </w:p>
    <w:p w14:paraId="672932F9" w14:textId="77777777" w:rsidR="00487404" w:rsidRPr="00E461D0" w:rsidRDefault="00487404" w:rsidP="003C15F8">
      <w:pPr>
        <w:jc w:val="both"/>
        <w:rPr>
          <w:rFonts w:ascii="Palatino Linotype" w:hAnsi="Palatino Linotype"/>
          <w:lang w:eastAsia="es-AR"/>
        </w:rPr>
      </w:pPr>
      <w:r w:rsidRPr="00E461D0">
        <w:rPr>
          <w:rFonts w:ascii="Palatino Linotype" w:hAnsi="Palatino Linotype"/>
          <w:lang w:eastAsia="es-AR"/>
        </w:rPr>
        <w:t>Las alícuotas a aplicar dependen de cada uno de los fiscos con un rango que puede llegar actualmente al 5%.</w:t>
      </w:r>
    </w:p>
    <w:p w14:paraId="329555CC" w14:textId="77777777" w:rsidR="00487404" w:rsidRPr="00E461D0" w:rsidRDefault="00487404" w:rsidP="003C15F8">
      <w:pPr>
        <w:jc w:val="both"/>
        <w:rPr>
          <w:rFonts w:ascii="Palatino Linotype" w:hAnsi="Palatino Linotype"/>
          <w:lang w:eastAsia="es-AR"/>
        </w:rPr>
      </w:pPr>
    </w:p>
    <w:p w14:paraId="260936B2" w14:textId="77777777" w:rsidR="00487404" w:rsidRPr="00E461D0" w:rsidRDefault="00487404" w:rsidP="003C15F8">
      <w:pPr>
        <w:jc w:val="both"/>
        <w:rPr>
          <w:rFonts w:ascii="Palatino Linotype" w:hAnsi="Palatino Linotype"/>
          <w:lang w:eastAsia="es-AR"/>
        </w:rPr>
      </w:pPr>
      <w:r w:rsidRPr="00E461D0">
        <w:rPr>
          <w:rFonts w:ascii="Palatino Linotype" w:hAnsi="Palatino Linotype"/>
          <w:lang w:eastAsia="es-AR"/>
        </w:rPr>
        <w:t>Las percepciones sufridas constituyen un pago a cuenta del impuesto sobre los ingresos brutos para aquellos sujetos que son pasibles de las mismas.</w:t>
      </w:r>
    </w:p>
    <w:p w14:paraId="4A841E5C" w14:textId="77777777" w:rsidR="00487404" w:rsidRPr="00E461D0" w:rsidRDefault="00487404" w:rsidP="003C15F8">
      <w:pPr>
        <w:jc w:val="both"/>
        <w:rPr>
          <w:rFonts w:ascii="Palatino Linotype" w:hAnsi="Palatino Linotype"/>
          <w:lang w:eastAsia="es-AR"/>
        </w:rPr>
      </w:pPr>
    </w:p>
    <w:p w14:paraId="498D8524" w14:textId="77777777" w:rsidR="00487404" w:rsidRPr="00E461D0" w:rsidRDefault="00487404" w:rsidP="003C15F8">
      <w:pPr>
        <w:jc w:val="both"/>
        <w:rPr>
          <w:rFonts w:ascii="Palatino Linotype" w:hAnsi="Palatino Linotype"/>
          <w:lang w:eastAsia="es-AR"/>
        </w:rPr>
      </w:pPr>
      <w:r w:rsidRPr="00E461D0">
        <w:rPr>
          <w:rFonts w:ascii="Palatino Linotype" w:hAnsi="Palatino Linotype"/>
          <w:i/>
        </w:rPr>
        <w:t>Tratados para Evitar la Doble Imposición</w:t>
      </w:r>
      <w:bookmarkStart w:id="42" w:name="_DV_M453"/>
      <w:bookmarkEnd w:id="42"/>
    </w:p>
    <w:p w14:paraId="55398820" w14:textId="77777777" w:rsidR="00487404" w:rsidRPr="00E461D0" w:rsidRDefault="00487404" w:rsidP="003C15F8">
      <w:pPr>
        <w:jc w:val="both"/>
        <w:rPr>
          <w:rFonts w:ascii="Palatino Linotype" w:hAnsi="Palatino Linotype"/>
          <w:lang w:eastAsia="es-AR"/>
        </w:rPr>
      </w:pPr>
    </w:p>
    <w:p w14:paraId="1B28097F" w14:textId="77777777" w:rsidR="00487404" w:rsidRPr="00E461D0" w:rsidRDefault="00487404" w:rsidP="003C15F8">
      <w:pPr>
        <w:jc w:val="both"/>
        <w:rPr>
          <w:rFonts w:ascii="Palatino Linotype" w:hAnsi="Palatino Linotype"/>
        </w:rPr>
      </w:pPr>
      <w:r w:rsidRPr="00E461D0">
        <w:rPr>
          <w:rFonts w:ascii="Palatino Linotype" w:hAnsi="Palatino Linotype"/>
        </w:rPr>
        <w:t>En caso de resultar aplicable algún tratado para evitar la doble imposición, el régimen impositivo aplicable podría no coincidir, total o parcialmente, con el descripto en el presente</w:t>
      </w:r>
      <w:bookmarkStart w:id="43" w:name="_DV_M454"/>
      <w:bookmarkEnd w:id="43"/>
      <w:r w:rsidRPr="00E461D0">
        <w:rPr>
          <w:rFonts w:ascii="Palatino Linotype" w:hAnsi="Palatino Linotype"/>
        </w:rPr>
        <w:t>.</w:t>
      </w:r>
    </w:p>
    <w:p w14:paraId="6A0106C1" w14:textId="77777777" w:rsidR="00487404" w:rsidRPr="00E461D0" w:rsidRDefault="00487404" w:rsidP="003C15F8">
      <w:pPr>
        <w:jc w:val="both"/>
        <w:rPr>
          <w:rFonts w:ascii="Palatino Linotype" w:hAnsi="Palatino Linotype"/>
        </w:rPr>
      </w:pPr>
    </w:p>
    <w:p w14:paraId="3EB230EA" w14:textId="77777777" w:rsidR="0068601C" w:rsidRPr="00E461D0" w:rsidRDefault="0068601C" w:rsidP="0068601C">
      <w:pPr>
        <w:jc w:val="both"/>
        <w:rPr>
          <w:rFonts w:ascii="Palatino Linotype" w:hAnsi="Palatino Linotype"/>
        </w:rPr>
      </w:pPr>
      <w:r w:rsidRPr="00E461D0">
        <w:rPr>
          <w:rFonts w:ascii="Palatino Linotype" w:hAnsi="Palatino Linotype"/>
        </w:rPr>
        <w:t>Actualmente, Argentina tiene vigente tratados para evitar la doble imposición con Alemania, Australia, Bélgica, Bolivia, Brasil, Canadá, Chile, Dinamarca, España, Finlandia, Francia, Italia, México, Noruega, Países Bajos, Reino Unido, Rusia, Suecia y Suiza.</w:t>
      </w:r>
    </w:p>
    <w:p w14:paraId="5526E42E" w14:textId="77777777" w:rsidR="0068601C" w:rsidRPr="00E461D0" w:rsidRDefault="0068601C" w:rsidP="0068601C">
      <w:pPr>
        <w:jc w:val="both"/>
        <w:rPr>
          <w:rFonts w:ascii="Palatino Linotype" w:hAnsi="Palatino Linotype"/>
        </w:rPr>
      </w:pPr>
    </w:p>
    <w:p w14:paraId="26C2DC2E" w14:textId="483BB6D3" w:rsidR="00C22F9B" w:rsidRPr="00E461D0" w:rsidRDefault="0068601C" w:rsidP="003C15F8">
      <w:pPr>
        <w:jc w:val="both"/>
        <w:rPr>
          <w:rFonts w:ascii="Palatino Linotype" w:hAnsi="Palatino Linotype"/>
        </w:rPr>
      </w:pPr>
      <w:r w:rsidRPr="00E461D0">
        <w:rPr>
          <w:rFonts w:ascii="Palatino Linotype" w:hAnsi="Palatino Linotype"/>
        </w:rPr>
        <w:t>No existe a la fecha un convenio para evitar la doble imposición vigente en materia de Impuesto a las Ganancias y/o al patrimonio entre la Argentina y los Estados Unidos de Norteamérica.</w:t>
      </w:r>
    </w:p>
    <w:p w14:paraId="1C85974C" w14:textId="77777777" w:rsidR="00487404" w:rsidRPr="00E461D0" w:rsidRDefault="00487404" w:rsidP="003C15F8">
      <w:pPr>
        <w:jc w:val="both"/>
        <w:rPr>
          <w:rFonts w:ascii="Palatino Linotype" w:hAnsi="Palatino Linotype"/>
        </w:rPr>
      </w:pPr>
      <w:r w:rsidRPr="00E461D0">
        <w:rPr>
          <w:rFonts w:ascii="Palatino Linotype" w:hAnsi="Palatino Linotype"/>
          <w:b/>
          <w:bCs/>
        </w:rPr>
        <w:t>EL RESUMEN PRECEDENTE NO CONSTITUYE UN ANÁLISIS COMPLETO DE TODAS LAS CONSECUENCIAS TRIBUTARIAS RELATIVAS A LA TITULARIDAD DE OBLIGACIONES NEGOCIABLES PYME. LOS TENEDORES Y COMPRADORES POTENCIALES DEBERÁN CONSULTAR CON SUS PROPIOS ASESORES IMPOSITIVOS EN LO QUE SE REFIERE A LAS CONSECUENCIAS IMPOSITIVAS EN SU SITUACIÓN ESPECÍFICA.</w:t>
      </w:r>
    </w:p>
    <w:p w14:paraId="4623DB13" w14:textId="77777777" w:rsidR="003E2CE7" w:rsidRPr="00E461D0" w:rsidRDefault="003E2CE7" w:rsidP="003C15F8">
      <w:pPr>
        <w:widowControl/>
        <w:jc w:val="both"/>
        <w:rPr>
          <w:rFonts w:ascii="Palatino Linotype" w:hAnsi="Palatino Linotype"/>
          <w:b/>
        </w:rPr>
        <w:sectPr w:rsidR="003E2CE7" w:rsidRPr="00E461D0">
          <w:pgSz w:w="12240" w:h="15840"/>
          <w:pgMar w:top="1417" w:right="1701" w:bottom="1417" w:left="1701" w:header="708" w:footer="708" w:gutter="0"/>
          <w:cols w:space="708"/>
          <w:docGrid w:linePitch="360"/>
        </w:sectPr>
      </w:pPr>
    </w:p>
    <w:p w14:paraId="4C09F621" w14:textId="595A0659" w:rsidR="00487404" w:rsidRPr="00E461D0" w:rsidRDefault="003E2CE7" w:rsidP="00004268">
      <w:pPr>
        <w:pStyle w:val="Ttulo1"/>
      </w:pPr>
      <w:bookmarkStart w:id="44" w:name="_Toc23325153"/>
      <w:r w:rsidRPr="00E461D0">
        <w:t>IX. CONTROLES DE CAMBIO</w:t>
      </w:r>
      <w:bookmarkEnd w:id="44"/>
    </w:p>
    <w:p w14:paraId="353440AE" w14:textId="77777777" w:rsidR="00487404" w:rsidRPr="00E461D0" w:rsidRDefault="00487404" w:rsidP="003C15F8">
      <w:pPr>
        <w:widowControl/>
        <w:jc w:val="both"/>
        <w:rPr>
          <w:rFonts w:ascii="Palatino Linotype" w:hAnsi="Palatino Linotype"/>
        </w:rPr>
      </w:pPr>
    </w:p>
    <w:p w14:paraId="30A2343F" w14:textId="77777777" w:rsidR="00487404" w:rsidRPr="00E461D0" w:rsidRDefault="00487404" w:rsidP="003C15F8">
      <w:pPr>
        <w:widowControl/>
        <w:jc w:val="both"/>
        <w:rPr>
          <w:rFonts w:ascii="Palatino Linotype" w:hAnsi="Palatino Linotype"/>
          <w:b/>
          <w:u w:val="single"/>
        </w:rPr>
      </w:pPr>
      <w:bookmarkStart w:id="45" w:name="_DV_M120"/>
      <w:bookmarkStart w:id="46" w:name="_DV_M121"/>
      <w:bookmarkEnd w:id="45"/>
      <w:bookmarkEnd w:id="46"/>
      <w:r w:rsidRPr="00CE678E">
        <w:rPr>
          <w:rFonts w:ascii="Palatino Linotype" w:hAnsi="Palatino Linotype"/>
          <w:b/>
          <w:u w:val="single"/>
        </w:rPr>
        <w:t xml:space="preserve">El Decreto Nº 616/05 </w:t>
      </w:r>
    </w:p>
    <w:p w14:paraId="119CBB89" w14:textId="77777777" w:rsidR="003E2CE7" w:rsidRPr="00CE678E" w:rsidRDefault="003E2CE7" w:rsidP="003C15F8">
      <w:pPr>
        <w:widowControl/>
        <w:jc w:val="both"/>
        <w:rPr>
          <w:rFonts w:ascii="Palatino Linotype" w:hAnsi="Palatino Linotype"/>
        </w:rPr>
      </w:pPr>
    </w:p>
    <w:p w14:paraId="59BB10FA" w14:textId="399B5C6C" w:rsidR="00487404" w:rsidRPr="00E461D0" w:rsidRDefault="00487404" w:rsidP="003C15F8">
      <w:pPr>
        <w:widowControl/>
        <w:jc w:val="both"/>
        <w:rPr>
          <w:rFonts w:ascii="Palatino Linotype" w:hAnsi="Palatino Linotype"/>
        </w:rPr>
      </w:pPr>
      <w:r w:rsidRPr="00E461D0">
        <w:rPr>
          <w:rFonts w:ascii="Palatino Linotype" w:hAnsi="Palatino Linotype"/>
        </w:rPr>
        <w:t>El Decreto Nº 616/05 dictado por el P</w:t>
      </w:r>
      <w:r w:rsidR="005A02F0" w:rsidRPr="00E461D0">
        <w:rPr>
          <w:rFonts w:ascii="Palatino Linotype" w:hAnsi="Palatino Linotype"/>
        </w:rPr>
        <w:t xml:space="preserve">oder </w:t>
      </w:r>
      <w:r w:rsidRPr="00E461D0">
        <w:rPr>
          <w:rFonts w:ascii="Palatino Linotype" w:hAnsi="Palatino Linotype"/>
        </w:rPr>
        <w:t>E</w:t>
      </w:r>
      <w:r w:rsidR="005A02F0" w:rsidRPr="00E461D0">
        <w:rPr>
          <w:rFonts w:ascii="Palatino Linotype" w:hAnsi="Palatino Linotype"/>
        </w:rPr>
        <w:t xml:space="preserve">jecutivo </w:t>
      </w:r>
      <w:r w:rsidRPr="00E461D0">
        <w:rPr>
          <w:rFonts w:ascii="Palatino Linotype" w:hAnsi="Palatino Linotype"/>
        </w:rPr>
        <w:t>N</w:t>
      </w:r>
      <w:r w:rsidR="005A02F0" w:rsidRPr="00E461D0">
        <w:rPr>
          <w:rFonts w:ascii="Palatino Linotype" w:hAnsi="Palatino Linotype"/>
        </w:rPr>
        <w:t>acional</w:t>
      </w:r>
      <w:r w:rsidRPr="00E461D0">
        <w:rPr>
          <w:rFonts w:ascii="Palatino Linotype" w:hAnsi="Palatino Linotype"/>
        </w:rPr>
        <w:t xml:space="preserve"> el 9 de junio de 2005, estableció que (a) todo ingreso de fondos al mercado local de cambios originado en el endeudamiento con el exterior de personas </w:t>
      </w:r>
      <w:r w:rsidR="005A02F0" w:rsidRPr="00E461D0">
        <w:rPr>
          <w:rFonts w:ascii="Palatino Linotype" w:hAnsi="Palatino Linotype"/>
        </w:rPr>
        <w:t>humanas</w:t>
      </w:r>
      <w:r w:rsidRPr="00E461D0">
        <w:rPr>
          <w:rFonts w:ascii="Palatino Linotype" w:hAnsi="Palatino Linotype"/>
        </w:rPr>
        <w:t xml:space="preserve"> o jurídicas pertenecientes al sector privado, excluyendo los referidos al financiamiento del comercio exterior y a las emisiones primarias de títulos de deuda que cuenten con oferta pública y listado en mercados ; (b) todo ingreso de fondos de no residentes cursados por el mercado local de cambios destinados a: tenencias de moneda local, adquisición de activos o pasivos financieros de todo tipo del sector privado financiero o no financiero (excluyendo la inversión extranjera directa (es decir, inversiones en inmuebles o que representen al menos un 10% del capital social o votos de una empresa local) y las emisiones primarias de títulos de deuda y de acciones que cuenten con oferta pública y listado en mercados ), e inversiones en valores emitidos por el sector público que sean adquiridos en mercados secundarios; deberán cumplir los siguientes requisitos: (a) los fondos ingresados sólo pueden ser transferidos fuera del mercado local de cambios al vencimiento de un plazo de 365 días corridos, a contar desde la fecha de ingreso de los mismos al país (el “</w:t>
      </w:r>
      <w:r w:rsidRPr="00E461D0">
        <w:rPr>
          <w:rFonts w:ascii="Palatino Linotype" w:hAnsi="Palatino Linotype"/>
          <w:u w:val="single"/>
        </w:rPr>
        <w:t>Plazo Mínimo de Permanencia</w:t>
      </w:r>
      <w:r w:rsidRPr="00E461D0">
        <w:rPr>
          <w:rFonts w:ascii="Palatino Linotype" w:hAnsi="Palatino Linotype"/>
        </w:rPr>
        <w:t>”); (b) el resultado de la negociación de cambios de los fondos ingresados debe acreditarse en una cuenta del sistema bancario local; (c) debe constituirse un depósito nominativo, no transferible y no remunerado, por el 30% del monto involucrado en la operación correspondiente, durante un plazo de 365 días corridos, de acuerdo a las condiciones que se establezcan en la reglamentación (el “</w:t>
      </w:r>
      <w:r w:rsidRPr="00E461D0">
        <w:rPr>
          <w:rFonts w:ascii="Palatino Linotype" w:hAnsi="Palatino Linotype"/>
          <w:u w:val="single"/>
        </w:rPr>
        <w:t>Depósito</w:t>
      </w:r>
      <w:r w:rsidRPr="00E461D0">
        <w:rPr>
          <w:rFonts w:ascii="Palatino Linotype" w:hAnsi="Palatino Linotype"/>
        </w:rPr>
        <w:t xml:space="preserve">”); y (d) el mencionado Depósito debe ser constituido en </w:t>
      </w:r>
      <w:r w:rsidR="00CE678E">
        <w:rPr>
          <w:rFonts w:ascii="Palatino Linotype" w:hAnsi="Palatino Linotype"/>
        </w:rPr>
        <w:t>D</w:t>
      </w:r>
      <w:r w:rsidRPr="00E461D0">
        <w:rPr>
          <w:rFonts w:ascii="Palatino Linotype" w:hAnsi="Palatino Linotype"/>
        </w:rPr>
        <w:t>ólares en las entidades financieras del país, no devengando intereses ni beneficios de ningún tipo, ni pudiendo ser utilizado como garantía de operaciones de crédito de ningún tipo. Cabe aclarar que existen diversas excepciones a los requisitos del Decreto 616/2005, incluyendo, entre otras, las que se detallan más abajo.</w:t>
      </w:r>
    </w:p>
    <w:p w14:paraId="78873A95" w14:textId="77777777" w:rsidR="005A02F0" w:rsidRPr="00E461D0" w:rsidRDefault="005A02F0" w:rsidP="003C15F8">
      <w:pPr>
        <w:widowControl/>
        <w:jc w:val="both"/>
        <w:rPr>
          <w:rFonts w:ascii="Palatino Linotype" w:hAnsi="Palatino Linotype"/>
        </w:rPr>
      </w:pPr>
    </w:p>
    <w:p w14:paraId="76DF5851" w14:textId="77777777" w:rsidR="00487404" w:rsidRPr="00E461D0" w:rsidRDefault="00487404" w:rsidP="003C15F8">
      <w:pPr>
        <w:widowControl/>
        <w:jc w:val="both"/>
        <w:rPr>
          <w:rFonts w:ascii="Palatino Linotype" w:hAnsi="Palatino Linotype"/>
        </w:rPr>
      </w:pPr>
      <w:r w:rsidRPr="00E461D0">
        <w:rPr>
          <w:rFonts w:ascii="Palatino Linotype" w:hAnsi="Palatino Linotype"/>
        </w:rPr>
        <w:t>En virtud de las facultades delegadas por el Artículo 5° de dicho Decreto se facultó al Ministerio de Economía y Producción, actual Ministerio de Hacienda a modificar, en caso de producirse cambios en las condiciones macroeconómicas, (i) el plazo mínimo para que los fondos ingresados puedan ser transferidos fuera del MULC, y (ii) el porcentaje correspondiente al Depósito.</w:t>
      </w:r>
    </w:p>
    <w:p w14:paraId="714C14BB" w14:textId="77777777" w:rsidR="00487404" w:rsidRPr="00E461D0" w:rsidRDefault="00487404" w:rsidP="003C15F8">
      <w:pPr>
        <w:widowControl/>
        <w:jc w:val="both"/>
        <w:rPr>
          <w:rFonts w:ascii="Palatino Linotype" w:hAnsi="Palatino Linotype"/>
        </w:rPr>
      </w:pPr>
    </w:p>
    <w:p w14:paraId="0EC44D23" w14:textId="77777777" w:rsidR="00487404" w:rsidRPr="00CE678E" w:rsidRDefault="00487404" w:rsidP="003C15F8">
      <w:pPr>
        <w:widowControl/>
        <w:jc w:val="both"/>
        <w:rPr>
          <w:rFonts w:ascii="Palatino Linotype" w:hAnsi="Palatino Linotype"/>
        </w:rPr>
      </w:pPr>
      <w:r w:rsidRPr="00E461D0">
        <w:rPr>
          <w:rFonts w:ascii="Palatino Linotype" w:hAnsi="Palatino Linotype"/>
        </w:rPr>
        <w:t>En este sentido, a través de la Resolución 3/2015 de fecha 18 de diciembre de 2015, el Ministerio de Hacienda redujo de 30% a 0% la alícuota aplicable al referido Depósito y, de manera complementaria, redujo de 365 a 120 días el Plazo Mínimo de Permanencia. Asimismo, con posterioridad el Ministerio de Hacienda ha reducido a 0 días el Plazo Mínimo de Permanencia mediante Resolución 1-E/2017 de fecha 04 de enero de 2017.</w:t>
      </w:r>
      <w:r w:rsidR="005A02F0" w:rsidRPr="00E461D0">
        <w:rPr>
          <w:rFonts w:ascii="Palatino Linotype" w:hAnsi="Palatino Linotype"/>
        </w:rPr>
        <w:t xml:space="preserve"> </w:t>
      </w:r>
      <w:r w:rsidRPr="00E461D0">
        <w:rPr>
          <w:rFonts w:ascii="Palatino Linotype" w:hAnsi="Palatino Linotype"/>
        </w:rPr>
        <w:t>En virtud de ello, a la fecha del presente, el porcentaje del Depósito equivale a 0% y el Plazo Mínimo de Permanencia es de 0 días.</w:t>
      </w:r>
    </w:p>
    <w:p w14:paraId="68CD2F43" w14:textId="77777777" w:rsidR="00F0333A" w:rsidRPr="00CE678E" w:rsidRDefault="00F0333A" w:rsidP="00CE678E">
      <w:pPr>
        <w:widowControl/>
        <w:jc w:val="both"/>
        <w:rPr>
          <w:rFonts w:ascii="Palatino Linotype" w:hAnsi="Palatino Linotype"/>
        </w:rPr>
      </w:pPr>
    </w:p>
    <w:p w14:paraId="72F7FBBD" w14:textId="77777777" w:rsidR="00F0333A" w:rsidRPr="00E461D0" w:rsidRDefault="00F0333A">
      <w:pPr>
        <w:widowControl/>
        <w:jc w:val="both"/>
        <w:rPr>
          <w:rFonts w:ascii="Palatino Linotype" w:hAnsi="Palatino Linotype"/>
          <w:b/>
          <w:u w:val="single"/>
        </w:rPr>
      </w:pPr>
      <w:r w:rsidRPr="00E461D0">
        <w:rPr>
          <w:rFonts w:ascii="Palatino Linotype" w:hAnsi="Palatino Linotype"/>
          <w:b/>
          <w:u w:val="single"/>
        </w:rPr>
        <w:t>Nueva normativa cambiaria</w:t>
      </w:r>
    </w:p>
    <w:p w14:paraId="47773776" w14:textId="77777777" w:rsidR="00F0333A" w:rsidRPr="00E461D0" w:rsidRDefault="00F0333A">
      <w:pPr>
        <w:widowControl/>
        <w:jc w:val="both"/>
        <w:rPr>
          <w:rFonts w:ascii="Palatino Linotype" w:hAnsi="Palatino Linotype"/>
        </w:rPr>
      </w:pPr>
    </w:p>
    <w:p w14:paraId="2E8164DE" w14:textId="77777777" w:rsidR="00F0333A" w:rsidRPr="00E461D0" w:rsidRDefault="00F0333A" w:rsidP="00CE678E">
      <w:pPr>
        <w:widowControl/>
        <w:jc w:val="both"/>
        <w:rPr>
          <w:rFonts w:ascii="Palatino Linotype" w:hAnsi="Palatino Linotype"/>
        </w:rPr>
      </w:pPr>
      <w:r w:rsidRPr="00E461D0">
        <w:rPr>
          <w:rFonts w:ascii="Palatino Linotype" w:hAnsi="Palatino Linotype"/>
        </w:rPr>
        <w:t>Recientemente, con fecha 1° de septiembre el Decreto de Necesidad y Urgencia N° 609 (“DNU”) publicado en el Boletín Oficial estableció en principio hasta el 31 de diciembre de 2019, el contravalor de la exportación de bienes y servicios deberá ingresarse al país en divisas y/o negociarse en el mercado de cambios en las condiciones y plazos que establezca el BCRA oportunamente.</w:t>
      </w:r>
    </w:p>
    <w:p w14:paraId="43979431" w14:textId="77777777" w:rsidR="00F0333A" w:rsidRPr="00E461D0" w:rsidRDefault="00F0333A" w:rsidP="00CE678E">
      <w:pPr>
        <w:widowControl/>
        <w:jc w:val="both"/>
        <w:rPr>
          <w:rFonts w:ascii="Palatino Linotype" w:hAnsi="Palatino Linotype"/>
        </w:rPr>
      </w:pPr>
    </w:p>
    <w:p w14:paraId="35075F02" w14:textId="6E12A735" w:rsidR="00F0333A" w:rsidRPr="00E461D0" w:rsidRDefault="00F0333A">
      <w:pPr>
        <w:widowControl/>
        <w:jc w:val="both"/>
        <w:rPr>
          <w:rFonts w:ascii="Palatino Linotype" w:hAnsi="Palatino Linotype"/>
        </w:rPr>
      </w:pPr>
      <w:r w:rsidRPr="00E461D0">
        <w:rPr>
          <w:rFonts w:ascii="Palatino Linotype" w:hAnsi="Palatino Linotype"/>
        </w:rPr>
        <w:t>En ese marco, el BCRA emitió las Comunicaciones “A”  6770, 6776, 6780, 6782,</w:t>
      </w:r>
      <w:r w:rsidR="000B136C" w:rsidRPr="00E461D0">
        <w:rPr>
          <w:rFonts w:ascii="Palatino Linotype" w:hAnsi="Palatino Linotype"/>
        </w:rPr>
        <w:t xml:space="preserve"> 6787,</w:t>
      </w:r>
      <w:r w:rsidRPr="00E461D0">
        <w:rPr>
          <w:rFonts w:ascii="Palatino Linotype" w:hAnsi="Palatino Linotype"/>
        </w:rPr>
        <w:t xml:space="preserve"> 6788, 6792, 6795, 6796</w:t>
      </w:r>
      <w:r w:rsidR="000B136C" w:rsidRPr="00E461D0">
        <w:rPr>
          <w:rFonts w:ascii="Palatino Linotype" w:hAnsi="Palatino Linotype"/>
        </w:rPr>
        <w:t>,</w:t>
      </w:r>
      <w:r w:rsidRPr="00E461D0">
        <w:rPr>
          <w:rFonts w:ascii="Palatino Linotype" w:hAnsi="Palatino Linotype"/>
        </w:rPr>
        <w:t xml:space="preserve"> 6799</w:t>
      </w:r>
      <w:r w:rsidR="000B136C" w:rsidRPr="00E461D0">
        <w:rPr>
          <w:rFonts w:ascii="Palatino Linotype" w:hAnsi="Palatino Linotype"/>
        </w:rPr>
        <w:t xml:space="preserve">, </w:t>
      </w:r>
      <w:r w:rsidR="00893D82" w:rsidRPr="00E461D0">
        <w:rPr>
          <w:rFonts w:ascii="Palatino Linotype" w:hAnsi="Palatino Linotype"/>
        </w:rPr>
        <w:t>6804</w:t>
      </w:r>
      <w:r w:rsidR="00CC6CE1">
        <w:rPr>
          <w:rFonts w:ascii="Palatino Linotype" w:hAnsi="Palatino Linotype"/>
        </w:rPr>
        <w:t>,</w:t>
      </w:r>
      <w:r w:rsidR="00893D82" w:rsidRPr="00E461D0">
        <w:rPr>
          <w:rFonts w:ascii="Palatino Linotype" w:hAnsi="Palatino Linotype"/>
        </w:rPr>
        <w:t xml:space="preserve"> 68</w:t>
      </w:r>
      <w:r w:rsidR="000B136C" w:rsidRPr="00E461D0">
        <w:rPr>
          <w:rFonts w:ascii="Palatino Linotype" w:hAnsi="Palatino Linotype"/>
        </w:rPr>
        <w:t>05</w:t>
      </w:r>
      <w:r w:rsidR="00B273AF">
        <w:rPr>
          <w:rFonts w:ascii="Palatino Linotype" w:hAnsi="Palatino Linotype"/>
        </w:rPr>
        <w:t>, 6814,</w:t>
      </w:r>
      <w:r w:rsidR="00CC6CE1">
        <w:rPr>
          <w:rFonts w:ascii="Palatino Linotype" w:hAnsi="Palatino Linotype"/>
        </w:rPr>
        <w:t xml:space="preserve"> 6815</w:t>
      </w:r>
      <w:r w:rsidR="00B273AF">
        <w:rPr>
          <w:rFonts w:ascii="Palatino Linotype" w:hAnsi="Palatino Linotype"/>
        </w:rPr>
        <w:t xml:space="preserve"> y 6818</w:t>
      </w:r>
      <w:r w:rsidRPr="00E461D0">
        <w:rPr>
          <w:rFonts w:ascii="Palatino Linotype" w:hAnsi="Palatino Linotype"/>
        </w:rPr>
        <w:t xml:space="preserve"> por las cuales se dispusieron restricciones al acceso al mercado de cambios para la compra de moneda extranjera y metales preciosos amonedados y las transferencias al exterior así como medidas que eviten prácticas y operaciones tendientes a eludir, a través de títulos públicos u otros instrumentos, lo dispuesto en dichas medidas.</w:t>
      </w:r>
    </w:p>
    <w:p w14:paraId="291CEBFA" w14:textId="77777777" w:rsidR="00F0333A" w:rsidRPr="00E461D0" w:rsidRDefault="00F0333A">
      <w:pPr>
        <w:widowControl/>
        <w:jc w:val="both"/>
        <w:rPr>
          <w:rFonts w:ascii="Palatino Linotype" w:hAnsi="Palatino Linotype"/>
        </w:rPr>
      </w:pPr>
    </w:p>
    <w:p w14:paraId="76D498B4" w14:textId="77777777" w:rsidR="00F0333A" w:rsidRPr="00E461D0" w:rsidRDefault="00F0333A">
      <w:pPr>
        <w:widowControl/>
        <w:jc w:val="both"/>
        <w:rPr>
          <w:rFonts w:ascii="Palatino Linotype" w:hAnsi="Palatino Linotype"/>
        </w:rPr>
      </w:pPr>
      <w:r w:rsidRPr="00E461D0">
        <w:rPr>
          <w:rFonts w:ascii="Palatino Linotype" w:hAnsi="Palatino Linotype"/>
        </w:rPr>
        <w:t>Asimismo, el referido DNU establece que el BCRA establecerá los supuestos en los que el acceso al mercado de cambios para la compra de moneda extranjera y metales preciosos amonedados y las transferencias al exterior requerirán autorización previa, con base en pautas objetivas en función de las condiciones vigentes en el mercado cambiario y distinguiendo la situación de las personas humanas de la de las personas jurídicas. De igual modo se faculta al BCRA para establecer reglamentaciones que eviten prácticas y operaciones tendientes a eludir, a través de títulos públicos u otros instrumentos, lo dispuesto en esta medida.</w:t>
      </w:r>
    </w:p>
    <w:p w14:paraId="54F32E72" w14:textId="77777777" w:rsidR="00F0333A" w:rsidRPr="00E461D0" w:rsidRDefault="00F0333A">
      <w:pPr>
        <w:widowControl/>
        <w:jc w:val="both"/>
        <w:rPr>
          <w:rFonts w:ascii="Palatino Linotype" w:hAnsi="Palatino Linotype"/>
        </w:rPr>
      </w:pPr>
      <w:r w:rsidRPr="00E461D0">
        <w:rPr>
          <w:rFonts w:ascii="Palatino Linotype" w:hAnsi="Palatino Linotype"/>
        </w:rPr>
        <w:t>El artículo 4 del DNU sustituye el artículo 2 del Decreto N° 596/2019 que disponía que la postergación dispuesta en dicho Decreto no alcanzaba a los títulos representativos de deuda pública nacional de corto plazo cuyos tenedores registrados al 31 de julio de 2019 en la Caja de Valores sean personas humanas que los conserven bajo su titularidad a la fecha de pago; por un nuevo artículo que aclara el alcance de tenencia directa e indirecta de las personas humanas, disponiendo que dicha postergación no alcanzará a los títulos representativos de deuda pública nacional de corto plazo en los casos en que las tenencias: (a) consten al 31 de julio de 2019 en sistemas de registro a través de entidades locales cuyas registraciones sean verificables por las autoridades competentes de contralor de la República Argentina, y (b) correspondan, directa o indirectamente a personas humanas que las conserven bajo su titularidad a la fecha de pago y cuya trazabilidad pueda ser verificada por los citados organismos de contralor estatales.</w:t>
      </w:r>
    </w:p>
    <w:p w14:paraId="559596EF" w14:textId="77777777" w:rsidR="00F0333A" w:rsidRPr="00E461D0" w:rsidRDefault="00F0333A">
      <w:pPr>
        <w:widowControl/>
        <w:jc w:val="both"/>
        <w:rPr>
          <w:rFonts w:ascii="Palatino Linotype" w:hAnsi="Palatino Linotype"/>
        </w:rPr>
      </w:pPr>
    </w:p>
    <w:p w14:paraId="1049AB67" w14:textId="77777777" w:rsidR="00F0333A" w:rsidRPr="00E461D0" w:rsidRDefault="00F0333A">
      <w:pPr>
        <w:widowControl/>
        <w:jc w:val="both"/>
        <w:rPr>
          <w:rFonts w:ascii="Palatino Linotype" w:hAnsi="Palatino Linotype"/>
        </w:rPr>
      </w:pPr>
      <w:r w:rsidRPr="00E461D0">
        <w:rPr>
          <w:rFonts w:ascii="Palatino Linotype" w:hAnsi="Palatino Linotype"/>
        </w:rPr>
        <w:t>Idéntico tratamiento tendrán los títulos suscriptos en la licitación del 13 de agosto de 2019 por personas humanas que los conserven bajo su titularidad a la respectiva fecha de pago. También estarán incluidos en el tratamiento que les dispensa este artículo, los títulos representativos de deuda alcanzados por este decreto, cuyo titular sea una persona humana que los haya entregado en garantía de operaciones de mercado y los recupere manteniendo su titularidad a la fecha de pago, siempre y cuando la trazabilidad de su titularidad esté asegurada a criterio de la CNV.</w:t>
      </w:r>
    </w:p>
    <w:p w14:paraId="66CC22BE" w14:textId="77777777" w:rsidR="00F0333A" w:rsidRPr="00E461D0" w:rsidRDefault="00F0333A">
      <w:pPr>
        <w:widowControl/>
        <w:jc w:val="both"/>
        <w:rPr>
          <w:rFonts w:ascii="Palatino Linotype" w:hAnsi="Palatino Linotype"/>
        </w:rPr>
      </w:pPr>
    </w:p>
    <w:p w14:paraId="754135AD" w14:textId="77777777" w:rsidR="00F0333A" w:rsidRPr="00E461D0" w:rsidRDefault="00F0333A">
      <w:pPr>
        <w:widowControl/>
        <w:jc w:val="both"/>
        <w:rPr>
          <w:rFonts w:ascii="Palatino Linotype" w:hAnsi="Palatino Linotype"/>
        </w:rPr>
      </w:pPr>
      <w:r w:rsidRPr="00E461D0">
        <w:rPr>
          <w:rFonts w:ascii="Palatino Linotype" w:hAnsi="Palatino Linotype"/>
        </w:rPr>
        <w:t>Mediante el DNU también se dispone que los tenedores de los títulos de la deuda pública referidos en el Decreto N° 596 mencionado, cuya fecha de vencimiento original se encuentre vencida, podrán darlos en pago, computándolos a su valor técnico calculado a la fecha de su vencimiento original, para la cancelación de las siguientes obligaciones de la seguridad social, vencidas y exigibles al 31 de julio de 2019: (1) Aportes y contribuciones con destino al Sistema Previsional Integrado Argentino (SIPA), establecido por la Ley N° 24.241, sus modificaciones y complementarias; (2) Aportes y contribuciones con destino al Instituto Nacional de Servicios Sociales para Jubilados y Pensionados (INSSJP), establecido por la Ley N° 19.032 y sus modificaciones; (3) Contribuciones con destino al Régimen Nacional de Asignaciones Familiares, establecido por la Ley N° 24.714 y sus modificaciones; y (4) Contribuciones con destino al Fondo Nacional de Empleo, instituido por la Ley N° 24.013. Las obligaciones indicadas precedentemente con más sus intereses resarcitorios, punitorios y multas, se calcularán hasta la fecha de cancelación mediante la dación en pago de los títulos indicados en el Decreto N° 596.</w:t>
      </w:r>
    </w:p>
    <w:p w14:paraId="405DBDA6" w14:textId="77777777" w:rsidR="00F0333A" w:rsidRPr="00E461D0" w:rsidRDefault="00F0333A">
      <w:pPr>
        <w:widowControl/>
        <w:jc w:val="both"/>
        <w:rPr>
          <w:rFonts w:ascii="Palatino Linotype" w:hAnsi="Palatino Linotype"/>
        </w:rPr>
      </w:pPr>
    </w:p>
    <w:p w14:paraId="61B534F1" w14:textId="5CA58BBF" w:rsidR="00F0333A" w:rsidRPr="00E461D0" w:rsidRDefault="00F0333A">
      <w:pPr>
        <w:widowControl/>
        <w:jc w:val="both"/>
        <w:rPr>
          <w:rFonts w:ascii="Palatino Linotype" w:hAnsi="Palatino Linotype"/>
        </w:rPr>
      </w:pPr>
      <w:r w:rsidRPr="00E461D0">
        <w:rPr>
          <w:rFonts w:ascii="Palatino Linotype" w:hAnsi="Palatino Linotype"/>
        </w:rPr>
        <w:t>A continuación, se detallan los aspectos más relevantes de la nueva normativa del BCRA conforme la Comunicación “A” 6770, 6776, 6780, 6782,</w:t>
      </w:r>
      <w:r w:rsidR="000B136C" w:rsidRPr="00E461D0">
        <w:rPr>
          <w:rFonts w:ascii="Palatino Linotype" w:hAnsi="Palatino Linotype"/>
        </w:rPr>
        <w:t xml:space="preserve"> 6787,</w:t>
      </w:r>
      <w:r w:rsidRPr="00E461D0">
        <w:rPr>
          <w:rFonts w:ascii="Palatino Linotype" w:hAnsi="Palatino Linotype"/>
        </w:rPr>
        <w:t xml:space="preserve"> 6788, 6792, 6795, 6796</w:t>
      </w:r>
      <w:r w:rsidR="00CC6CE1">
        <w:rPr>
          <w:rFonts w:ascii="Palatino Linotype" w:hAnsi="Palatino Linotype"/>
        </w:rPr>
        <w:t>, 6799</w:t>
      </w:r>
      <w:r w:rsidR="000B136C" w:rsidRPr="00E461D0">
        <w:rPr>
          <w:rFonts w:ascii="Palatino Linotype" w:hAnsi="Palatino Linotype"/>
        </w:rPr>
        <w:t>, 6804, 6805</w:t>
      </w:r>
      <w:r w:rsidR="00B273AF">
        <w:rPr>
          <w:rFonts w:ascii="Palatino Linotype" w:hAnsi="Palatino Linotype"/>
        </w:rPr>
        <w:t>, 6814,</w:t>
      </w:r>
      <w:r w:rsidR="00CC6CE1">
        <w:rPr>
          <w:rFonts w:ascii="Palatino Linotype" w:hAnsi="Palatino Linotype"/>
        </w:rPr>
        <w:t xml:space="preserve"> 6815</w:t>
      </w:r>
      <w:r w:rsidR="00B273AF">
        <w:rPr>
          <w:rFonts w:ascii="Palatino Linotype" w:hAnsi="Palatino Linotype"/>
        </w:rPr>
        <w:t xml:space="preserve"> y 6818</w:t>
      </w:r>
      <w:r w:rsidR="00CC6CE1">
        <w:rPr>
          <w:rFonts w:ascii="Palatino Linotype" w:hAnsi="Palatino Linotype"/>
        </w:rPr>
        <w:t xml:space="preserve"> y</w:t>
      </w:r>
      <w:r w:rsidRPr="00E461D0">
        <w:rPr>
          <w:rFonts w:ascii="Palatino Linotype" w:hAnsi="Palatino Linotype"/>
        </w:rPr>
        <w:t xml:space="preserve"> complementarias, relativos al ingreso y egreso de fondos de la Argentina:</w:t>
      </w:r>
    </w:p>
    <w:p w14:paraId="67414EFC" w14:textId="77777777" w:rsidR="00F0333A" w:rsidRPr="00E461D0" w:rsidRDefault="00F0333A">
      <w:pPr>
        <w:widowControl/>
        <w:jc w:val="both"/>
        <w:rPr>
          <w:rFonts w:ascii="Palatino Linotype" w:hAnsi="Palatino Linotype"/>
        </w:rPr>
      </w:pPr>
    </w:p>
    <w:p w14:paraId="7FBCEE91" w14:textId="77777777" w:rsidR="00F0333A" w:rsidRPr="00E461D0" w:rsidRDefault="00F0333A">
      <w:pPr>
        <w:widowControl/>
        <w:jc w:val="both"/>
        <w:rPr>
          <w:rFonts w:ascii="Palatino Linotype" w:hAnsi="Palatino Linotype"/>
          <w:i/>
        </w:rPr>
      </w:pPr>
      <w:r w:rsidRPr="00E461D0">
        <w:rPr>
          <w:rFonts w:ascii="Palatino Linotype" w:hAnsi="Palatino Linotype"/>
          <w:i/>
        </w:rPr>
        <w:t xml:space="preserve">Cobro de Exportaciones </w:t>
      </w:r>
    </w:p>
    <w:p w14:paraId="4F8016E7" w14:textId="77777777" w:rsidR="00F0333A" w:rsidRPr="00E461D0" w:rsidRDefault="00F0333A">
      <w:pPr>
        <w:widowControl/>
        <w:jc w:val="both"/>
        <w:rPr>
          <w:rFonts w:ascii="Palatino Linotype" w:hAnsi="Palatino Linotype"/>
        </w:rPr>
      </w:pPr>
    </w:p>
    <w:p w14:paraId="0E193BE5" w14:textId="77777777" w:rsidR="00F0333A" w:rsidRPr="00E461D0" w:rsidRDefault="00F0333A">
      <w:pPr>
        <w:widowControl/>
        <w:jc w:val="both"/>
        <w:rPr>
          <w:rFonts w:ascii="Palatino Linotype" w:hAnsi="Palatino Linotype"/>
        </w:rPr>
      </w:pPr>
      <w:r w:rsidRPr="00E461D0">
        <w:rPr>
          <w:rFonts w:ascii="Palatino Linotype" w:hAnsi="Palatino Linotype"/>
        </w:rPr>
        <w:t>El contravalor en divisas de exportaciones oficializadas a partir del 2 de septiembre de 2019 hasta alcanzar el valor facturado según la condición de venta pactada deberá ingresarse al país y liquidarse en el mercado de cambios en los siguientes plazos a computar desde la fecha del cumplido de embarque otorgado por la Aduana:</w:t>
      </w:r>
    </w:p>
    <w:p w14:paraId="791B868C" w14:textId="6B4B41E2" w:rsidR="00F0333A" w:rsidRPr="00E461D0" w:rsidRDefault="00F0333A">
      <w:pPr>
        <w:widowControl/>
        <w:jc w:val="both"/>
        <w:rPr>
          <w:rFonts w:ascii="Palatino Linotype" w:hAnsi="Palatino Linotype"/>
        </w:rPr>
      </w:pPr>
      <w:r w:rsidRPr="00E461D0">
        <w:rPr>
          <w:rFonts w:ascii="Palatino Linotype" w:hAnsi="Palatino Linotype"/>
        </w:rPr>
        <w:t>•</w:t>
      </w:r>
      <w:r w:rsidRPr="00E461D0">
        <w:rPr>
          <w:rFonts w:ascii="Palatino Linotype" w:hAnsi="Palatino Linotype"/>
        </w:rPr>
        <w:tab/>
        <w:t>15 días corridos para las exportaciones de bienes que correspondan a las posiciones arancelarias: 1001.19.00, 1001.99.00, 1003.90.10, 1003.90.80, 1005.90.10 (excepto el maíz pisingallo), 1007.90.00, 1201.90.00, 1208.10.00, 1507.10.00, 1507.90.19, 1517.90.90 (excepto aquellos que no contengan soja)</w:t>
      </w:r>
      <w:r w:rsidR="000B136C" w:rsidRPr="00E461D0">
        <w:rPr>
          <w:rFonts w:ascii="Palatino Linotype" w:hAnsi="Palatino Linotype"/>
        </w:rPr>
        <w:t xml:space="preserve"> y a las posiciones arancelarias: 2304.00.10 o 2304.00.90</w:t>
      </w:r>
      <w:r w:rsidRPr="00E461D0">
        <w:rPr>
          <w:rFonts w:ascii="Palatino Linotype" w:hAnsi="Palatino Linotype"/>
        </w:rPr>
        <w:t xml:space="preserve">. </w:t>
      </w:r>
    </w:p>
    <w:p w14:paraId="30059834" w14:textId="01F37DC6" w:rsidR="00F0333A" w:rsidRPr="00E461D0" w:rsidRDefault="00F0333A">
      <w:pPr>
        <w:widowControl/>
        <w:jc w:val="both"/>
        <w:rPr>
          <w:rFonts w:ascii="Palatino Linotype" w:hAnsi="Palatino Linotype"/>
        </w:rPr>
      </w:pPr>
      <w:r w:rsidRPr="00E461D0">
        <w:rPr>
          <w:rFonts w:ascii="Palatino Linotype" w:hAnsi="Palatino Linotype"/>
        </w:rPr>
        <w:t>•</w:t>
      </w:r>
      <w:r w:rsidRPr="00E461D0">
        <w:rPr>
          <w:rFonts w:ascii="Palatino Linotype" w:hAnsi="Palatino Linotype"/>
        </w:rPr>
        <w:tab/>
        <w:t>30 días corridos para las exportaciones de bienes que correspondan al capítulo 27 (excepto la posición 2716.00.00).</w:t>
      </w:r>
    </w:p>
    <w:p w14:paraId="61ACD9BB" w14:textId="77777777" w:rsidR="00F0333A" w:rsidRPr="00E461D0" w:rsidRDefault="00F0333A">
      <w:pPr>
        <w:widowControl/>
        <w:jc w:val="both"/>
        <w:rPr>
          <w:rFonts w:ascii="Palatino Linotype" w:hAnsi="Palatino Linotype"/>
        </w:rPr>
      </w:pPr>
      <w:r w:rsidRPr="00E461D0">
        <w:rPr>
          <w:rFonts w:ascii="Palatino Linotype" w:hAnsi="Palatino Linotype"/>
        </w:rPr>
        <w:t>•</w:t>
      </w:r>
      <w:r w:rsidRPr="00E461D0">
        <w:rPr>
          <w:rFonts w:ascii="Palatino Linotype" w:hAnsi="Palatino Linotype"/>
        </w:rPr>
        <w:tab/>
        <w:t>60 días corridos para las operaciones entre partes vinculadas que no correspondan a los bienes indicados en los puntos 1.1.1.1 y 1.1.1.2 y las exportaciones correspondientes a los capítulos 26 (excepto las posiciones 2601.11.00, 2603.00.90, 2607.00.00, 2608.00.10, 2613.90.90, 2616.10.00, 2616.90.00 y 2621.10.00) y 71 (excepto las posiciones 7106.91.00, 7108.12.10 y 7112.99.00).</w:t>
      </w:r>
    </w:p>
    <w:p w14:paraId="23763075" w14:textId="0D77FE7D" w:rsidR="000B136C" w:rsidRPr="00E461D0" w:rsidRDefault="000B136C">
      <w:pPr>
        <w:widowControl/>
        <w:jc w:val="both"/>
        <w:rPr>
          <w:rFonts w:ascii="Palatino Linotype" w:hAnsi="Palatino Linotype"/>
        </w:rPr>
      </w:pPr>
      <w:r w:rsidRPr="00E461D0">
        <w:rPr>
          <w:rFonts w:ascii="Palatino Linotype" w:hAnsi="Palatino Linotype"/>
        </w:rPr>
        <w:t>•</w:t>
      </w:r>
      <w:r w:rsidRPr="00E461D0">
        <w:rPr>
          <w:rFonts w:ascii="Palatino Linotype" w:hAnsi="Palatino Linotype"/>
        </w:rPr>
        <w:tab/>
        <w:t>Se aclara que los exportadores que realizaron operaciones con partes vinculadas que correspondan a bienes comprendidos en el punto 1.1.1.4 podrán solicitar a la entidad encargada del seguimiento de la destinación que extienda el plazo hasta aquel previsto en dicho punto cuando: (i) el importador sea una sociedad controlada por el exportador argentino; (ii) el exportador no haya registrado exportaciones por un valor total superior al equivalente a US$ 50 millones en el año calendario inmediato anterior a la oficialización de la destinación. Cuando la entidad haya verificado que la destinación de exportación corresponde a una operación en la que se cumplen estas condiciones, podrá extender el plazo hasta aquel que resulte aplicable a los productos de acuerdo con el punto 1.1.1. Cuando la entidad haya verificado que la destinación de exportación fue declarada erróneamente ante la Aduana como una operación con contraparte vinculada, se podrá extender el plazo hasta aquel que resulte aplicable a los productos de acuerdo con el punto 1.1.1.</w:t>
      </w:r>
    </w:p>
    <w:p w14:paraId="3F29C8C7" w14:textId="77777777" w:rsidR="00F0333A" w:rsidRPr="00E461D0" w:rsidRDefault="00F0333A">
      <w:pPr>
        <w:widowControl/>
        <w:jc w:val="both"/>
        <w:rPr>
          <w:rFonts w:ascii="Palatino Linotype" w:hAnsi="Palatino Linotype"/>
        </w:rPr>
      </w:pPr>
      <w:r w:rsidRPr="00E461D0">
        <w:rPr>
          <w:rFonts w:ascii="Palatino Linotype" w:hAnsi="Palatino Linotype"/>
        </w:rPr>
        <w:t>•</w:t>
      </w:r>
      <w:r w:rsidRPr="00E461D0">
        <w:rPr>
          <w:rFonts w:ascii="Palatino Linotype" w:hAnsi="Palatino Linotype"/>
        </w:rPr>
        <w:tab/>
        <w:t>180 días corridos para el resto de los bienes.</w:t>
      </w:r>
    </w:p>
    <w:p w14:paraId="41085F12" w14:textId="77777777" w:rsidR="00F0333A" w:rsidRPr="00E461D0" w:rsidRDefault="00F0333A">
      <w:pPr>
        <w:widowControl/>
        <w:jc w:val="both"/>
        <w:rPr>
          <w:rFonts w:ascii="Palatino Linotype" w:hAnsi="Palatino Linotype"/>
        </w:rPr>
      </w:pPr>
      <w:r w:rsidRPr="00E461D0">
        <w:rPr>
          <w:rFonts w:ascii="Palatino Linotype" w:hAnsi="Palatino Linotype"/>
        </w:rPr>
        <w:t>•</w:t>
      </w:r>
      <w:r w:rsidRPr="00E461D0">
        <w:rPr>
          <w:rFonts w:ascii="Palatino Linotype" w:hAnsi="Palatino Linotype"/>
        </w:rPr>
        <w:tab/>
        <w:t xml:space="preserve">365 días corridos para las operaciones que se concreten en el marco del régimen “Exporta Simple”, independientemente del tipo de bien exportado. </w:t>
      </w:r>
    </w:p>
    <w:p w14:paraId="7FFB7155" w14:textId="77777777" w:rsidR="00F0333A" w:rsidRPr="00E461D0" w:rsidRDefault="00F0333A">
      <w:pPr>
        <w:widowControl/>
        <w:jc w:val="both"/>
        <w:rPr>
          <w:rFonts w:ascii="Palatino Linotype" w:hAnsi="Palatino Linotype"/>
        </w:rPr>
      </w:pPr>
    </w:p>
    <w:p w14:paraId="79341B23" w14:textId="77777777" w:rsidR="00F0333A" w:rsidRPr="00E461D0" w:rsidRDefault="00F0333A">
      <w:pPr>
        <w:widowControl/>
        <w:jc w:val="both"/>
        <w:rPr>
          <w:rFonts w:ascii="Palatino Linotype" w:hAnsi="Palatino Linotype"/>
        </w:rPr>
      </w:pPr>
      <w:r w:rsidRPr="00E461D0">
        <w:rPr>
          <w:rFonts w:ascii="Palatino Linotype" w:hAnsi="Palatino Linotype"/>
        </w:rPr>
        <w:t xml:space="preserve">Independientemente de los plazos máximos precedentes, los cobros de exportaciones deberán ser ingresados y liquidados en el mercado local de cambios dentro de los 5 días hábiles de la fecha de cobro. </w:t>
      </w:r>
    </w:p>
    <w:p w14:paraId="6C37CCC7" w14:textId="77777777" w:rsidR="00F0333A" w:rsidRPr="00E461D0" w:rsidRDefault="00F0333A">
      <w:pPr>
        <w:widowControl/>
        <w:jc w:val="both"/>
        <w:rPr>
          <w:rFonts w:ascii="Palatino Linotype" w:hAnsi="Palatino Linotype"/>
        </w:rPr>
      </w:pPr>
    </w:p>
    <w:p w14:paraId="5F02199B" w14:textId="77777777" w:rsidR="00F0333A" w:rsidRPr="00E461D0" w:rsidRDefault="00F0333A">
      <w:pPr>
        <w:widowControl/>
        <w:jc w:val="both"/>
        <w:rPr>
          <w:rFonts w:ascii="Palatino Linotype" w:hAnsi="Palatino Linotype"/>
        </w:rPr>
      </w:pPr>
      <w:r w:rsidRPr="00E461D0">
        <w:rPr>
          <w:rFonts w:ascii="Palatino Linotype" w:hAnsi="Palatino Linotype"/>
        </w:rPr>
        <w:t>Se consideran operaciones con vinculadas aquellas en las que participan un exportador y una contraparte que mantienen entre ellos, los tipos de relaciones descriptos el punto 1.2.2. de las normas sobre “Grandes exposiciones al riesgo de crédito” del BCRA.</w:t>
      </w:r>
    </w:p>
    <w:p w14:paraId="33B7D4B9" w14:textId="77777777" w:rsidR="00F0333A" w:rsidRPr="00E461D0" w:rsidRDefault="00F0333A">
      <w:pPr>
        <w:widowControl/>
        <w:jc w:val="both"/>
        <w:rPr>
          <w:rFonts w:ascii="Palatino Linotype" w:hAnsi="Palatino Linotype"/>
        </w:rPr>
      </w:pPr>
    </w:p>
    <w:p w14:paraId="6E9D2DF1" w14:textId="77777777" w:rsidR="00F0333A" w:rsidRPr="00E461D0" w:rsidRDefault="00F0333A">
      <w:pPr>
        <w:widowControl/>
        <w:jc w:val="both"/>
        <w:rPr>
          <w:rFonts w:ascii="Palatino Linotype" w:hAnsi="Palatino Linotype"/>
        </w:rPr>
      </w:pPr>
      <w:r w:rsidRPr="00E461D0">
        <w:rPr>
          <w:rFonts w:ascii="Palatino Linotype" w:hAnsi="Palatino Linotype"/>
        </w:rPr>
        <w:t>Los montos en moneda extranjera originados en cobros de siniestros por coberturas contratadas, en la medida que los mismos cubran el valor de los bienes exportados, están alcanzados por esta obligación.</w:t>
      </w:r>
    </w:p>
    <w:p w14:paraId="2E687C5F" w14:textId="77777777" w:rsidR="00F0333A" w:rsidRPr="00E461D0" w:rsidRDefault="00F0333A">
      <w:pPr>
        <w:widowControl/>
        <w:jc w:val="both"/>
        <w:rPr>
          <w:rFonts w:ascii="Palatino Linotype" w:hAnsi="Palatino Linotype"/>
        </w:rPr>
      </w:pPr>
    </w:p>
    <w:p w14:paraId="1EF86034" w14:textId="77777777" w:rsidR="00F0333A" w:rsidRPr="00E461D0" w:rsidRDefault="00F0333A">
      <w:pPr>
        <w:widowControl/>
        <w:jc w:val="both"/>
        <w:rPr>
          <w:rFonts w:ascii="Palatino Linotype" w:hAnsi="Palatino Linotype"/>
        </w:rPr>
      </w:pPr>
      <w:r w:rsidRPr="00E461D0">
        <w:rPr>
          <w:rFonts w:ascii="Palatino Linotype" w:hAnsi="Palatino Linotype"/>
        </w:rPr>
        <w:t>El exportador deberá seleccionar una entidad para que realice el “Seguimiento de las negociaciones de divisas por exportaciones de bienes”. La obligación de ingreso y liquidación de divisas de un permiso de embarque se considerará cumplida cuando la entidad haya certificado tal situación por los mecanismos establecidos a tal efecto.</w:t>
      </w:r>
    </w:p>
    <w:p w14:paraId="79782711" w14:textId="77777777" w:rsidR="00F0333A" w:rsidRPr="00E461D0" w:rsidRDefault="00F0333A">
      <w:pPr>
        <w:widowControl/>
        <w:jc w:val="both"/>
        <w:rPr>
          <w:rFonts w:ascii="Palatino Linotype" w:hAnsi="Palatino Linotype"/>
        </w:rPr>
      </w:pPr>
    </w:p>
    <w:p w14:paraId="398F62DD" w14:textId="77777777" w:rsidR="00F0333A" w:rsidRPr="00E461D0" w:rsidRDefault="00F0333A">
      <w:pPr>
        <w:widowControl/>
        <w:jc w:val="both"/>
        <w:rPr>
          <w:rFonts w:ascii="Palatino Linotype" w:hAnsi="Palatino Linotype"/>
          <w:i/>
        </w:rPr>
      </w:pPr>
      <w:r w:rsidRPr="00E461D0">
        <w:rPr>
          <w:rFonts w:ascii="Palatino Linotype" w:hAnsi="Palatino Linotype"/>
          <w:i/>
        </w:rPr>
        <w:t>Cancelación de anticipos y préstamos de prefinanciación de exportaciones.</w:t>
      </w:r>
    </w:p>
    <w:p w14:paraId="117FC039" w14:textId="77777777" w:rsidR="00F0333A" w:rsidRPr="00E461D0" w:rsidRDefault="00F0333A">
      <w:pPr>
        <w:widowControl/>
        <w:jc w:val="both"/>
        <w:rPr>
          <w:rFonts w:ascii="Palatino Linotype" w:hAnsi="Palatino Linotype"/>
        </w:rPr>
      </w:pPr>
    </w:p>
    <w:p w14:paraId="4CD0860F" w14:textId="77777777" w:rsidR="00F0333A" w:rsidRPr="00E461D0" w:rsidRDefault="00F0333A">
      <w:pPr>
        <w:widowControl/>
        <w:jc w:val="both"/>
        <w:rPr>
          <w:rFonts w:ascii="Palatino Linotype" w:hAnsi="Palatino Linotype"/>
        </w:rPr>
      </w:pPr>
      <w:r w:rsidRPr="00E461D0">
        <w:rPr>
          <w:rFonts w:ascii="Palatino Linotype" w:hAnsi="Palatino Linotype"/>
        </w:rPr>
        <w:t>Se admite la aplicación de cobros de exportaciones a la cancelación de anticipos y préstamos de prefinanciación de exportaciones a:</w:t>
      </w:r>
    </w:p>
    <w:p w14:paraId="76B3DC1E" w14:textId="77777777" w:rsidR="00F0333A" w:rsidRPr="00E461D0" w:rsidRDefault="00F0333A">
      <w:pPr>
        <w:widowControl/>
        <w:jc w:val="both"/>
        <w:rPr>
          <w:rFonts w:ascii="Palatino Linotype" w:hAnsi="Palatino Linotype"/>
        </w:rPr>
      </w:pPr>
      <w:r w:rsidRPr="00E461D0">
        <w:rPr>
          <w:rFonts w:ascii="Palatino Linotype" w:hAnsi="Palatino Linotype"/>
        </w:rPr>
        <w:t>(i) Prefinanciaciones y financiaciones otorgadas o garantizadas por entidades financieras locales.</w:t>
      </w:r>
    </w:p>
    <w:p w14:paraId="6D104F9A" w14:textId="77777777" w:rsidR="00F0333A" w:rsidRPr="00E461D0" w:rsidRDefault="00F0333A">
      <w:pPr>
        <w:widowControl/>
        <w:jc w:val="both"/>
        <w:rPr>
          <w:rFonts w:ascii="Palatino Linotype" w:hAnsi="Palatino Linotype"/>
        </w:rPr>
      </w:pPr>
      <w:r w:rsidRPr="00E461D0">
        <w:rPr>
          <w:rFonts w:ascii="Palatino Linotype" w:hAnsi="Palatino Linotype"/>
        </w:rPr>
        <w:t>(ii) Prefinanciaciones, anticipos y financiaciones ingresadas y liquidadas en el mercado local de cambios y declaradas en el relevamiento de activos y pasivos externos.</w:t>
      </w:r>
    </w:p>
    <w:p w14:paraId="25CAA595" w14:textId="77777777" w:rsidR="00F0333A" w:rsidRPr="00E461D0" w:rsidRDefault="00F0333A">
      <w:pPr>
        <w:widowControl/>
        <w:jc w:val="both"/>
        <w:rPr>
          <w:rFonts w:ascii="Palatino Linotype" w:hAnsi="Palatino Linotype"/>
        </w:rPr>
      </w:pPr>
      <w:r w:rsidRPr="00E461D0">
        <w:rPr>
          <w:rFonts w:ascii="Palatino Linotype" w:hAnsi="Palatino Linotype"/>
        </w:rPr>
        <w:t>(iii) Préstamos financieros con contratos vigentes al 31 de agosto de 2019 cuyas condiciones prevean la atención de los servicios mediante la aplicación en el exterior del flujo de fondos de exportaciones.</w:t>
      </w:r>
    </w:p>
    <w:p w14:paraId="6A3F087D" w14:textId="77777777" w:rsidR="00F0333A" w:rsidRPr="00E461D0" w:rsidRDefault="00F0333A">
      <w:pPr>
        <w:widowControl/>
        <w:jc w:val="both"/>
        <w:rPr>
          <w:rFonts w:ascii="Palatino Linotype" w:hAnsi="Palatino Linotype"/>
        </w:rPr>
      </w:pPr>
      <w:r w:rsidRPr="00E461D0">
        <w:rPr>
          <w:rFonts w:ascii="Palatino Linotype" w:hAnsi="Palatino Linotype"/>
        </w:rPr>
        <w:t>(iv) Financiaciones de entidades financieras a importadores del exterior.</w:t>
      </w:r>
    </w:p>
    <w:p w14:paraId="6CFE06B9" w14:textId="77777777" w:rsidR="00F0333A" w:rsidRPr="00E461D0" w:rsidRDefault="00F0333A">
      <w:pPr>
        <w:widowControl/>
        <w:jc w:val="both"/>
        <w:rPr>
          <w:rFonts w:ascii="Palatino Linotype" w:hAnsi="Palatino Linotype"/>
        </w:rPr>
      </w:pPr>
    </w:p>
    <w:p w14:paraId="0F358891" w14:textId="77777777" w:rsidR="00F0333A" w:rsidRPr="00E461D0" w:rsidRDefault="00F0333A">
      <w:pPr>
        <w:widowControl/>
        <w:jc w:val="both"/>
        <w:rPr>
          <w:rFonts w:ascii="Palatino Linotype" w:hAnsi="Palatino Linotype"/>
        </w:rPr>
      </w:pPr>
      <w:r w:rsidRPr="00E461D0">
        <w:rPr>
          <w:rFonts w:ascii="Palatino Linotype" w:hAnsi="Palatino Linotype"/>
        </w:rPr>
        <w:t>Aquellas aplicaciones de cobro de exportaciones que no se encuentren detalladas en los puntos (i), a (iv) precedentes, requerirán la conformidad previa del BCRA.</w:t>
      </w:r>
    </w:p>
    <w:p w14:paraId="6854D400" w14:textId="77777777" w:rsidR="00F0333A" w:rsidRPr="00E461D0" w:rsidRDefault="00F0333A">
      <w:pPr>
        <w:widowControl/>
        <w:jc w:val="both"/>
        <w:rPr>
          <w:rFonts w:ascii="Palatino Linotype" w:hAnsi="Palatino Linotype"/>
        </w:rPr>
      </w:pPr>
    </w:p>
    <w:p w14:paraId="13C4DE66" w14:textId="77777777" w:rsidR="00F0333A" w:rsidRPr="00E461D0" w:rsidRDefault="00F0333A">
      <w:pPr>
        <w:widowControl/>
        <w:jc w:val="both"/>
        <w:rPr>
          <w:rFonts w:ascii="Palatino Linotype" w:hAnsi="Palatino Linotype"/>
          <w:i/>
        </w:rPr>
      </w:pPr>
      <w:r w:rsidRPr="00E461D0">
        <w:rPr>
          <w:rFonts w:ascii="Palatino Linotype" w:hAnsi="Palatino Linotype"/>
          <w:i/>
        </w:rPr>
        <w:t>Obligación de ingreso y liquidación de operaciones de exportación de servicios</w:t>
      </w:r>
    </w:p>
    <w:p w14:paraId="1955FA51" w14:textId="77777777" w:rsidR="00F0333A" w:rsidRPr="00E461D0" w:rsidRDefault="00F0333A">
      <w:pPr>
        <w:widowControl/>
        <w:jc w:val="both"/>
        <w:rPr>
          <w:rFonts w:ascii="Palatino Linotype" w:hAnsi="Palatino Linotype"/>
        </w:rPr>
      </w:pPr>
    </w:p>
    <w:p w14:paraId="0294999E" w14:textId="77777777" w:rsidR="00F0333A" w:rsidRPr="00E461D0" w:rsidRDefault="00F0333A">
      <w:pPr>
        <w:widowControl/>
        <w:jc w:val="both"/>
        <w:rPr>
          <w:rFonts w:ascii="Palatino Linotype" w:hAnsi="Palatino Linotype"/>
        </w:rPr>
      </w:pPr>
      <w:r w:rsidRPr="00E461D0">
        <w:rPr>
          <w:rFonts w:ascii="Palatino Linotype" w:hAnsi="Palatino Linotype"/>
        </w:rPr>
        <w:t>Los cobros de exportaciones de servicios deberán ser ingresados y liquidados en el mercado local de cambios en un plazo no mayor a los 5 días hábiles a partir de la fecha de su percepción en el exterior o en el país, o de su acreditación en cuentas del exterior.</w:t>
      </w:r>
    </w:p>
    <w:p w14:paraId="1270A1A3" w14:textId="77777777" w:rsidR="00F0333A" w:rsidRPr="00E461D0" w:rsidRDefault="00F0333A">
      <w:pPr>
        <w:widowControl/>
        <w:jc w:val="both"/>
        <w:rPr>
          <w:rFonts w:ascii="Palatino Linotype" w:hAnsi="Palatino Linotype"/>
        </w:rPr>
      </w:pPr>
    </w:p>
    <w:p w14:paraId="19D5FC78" w14:textId="77777777" w:rsidR="00F0333A" w:rsidRPr="00E461D0" w:rsidRDefault="00F0333A">
      <w:pPr>
        <w:widowControl/>
        <w:jc w:val="both"/>
        <w:rPr>
          <w:rFonts w:ascii="Palatino Linotype" w:hAnsi="Palatino Linotype"/>
          <w:i/>
        </w:rPr>
      </w:pPr>
      <w:r w:rsidRPr="00E461D0">
        <w:rPr>
          <w:rFonts w:ascii="Palatino Linotype" w:hAnsi="Palatino Linotype"/>
          <w:i/>
        </w:rPr>
        <w:t>Constitución de Activos Externos – Garantías y Operaciones de Derivados</w:t>
      </w:r>
    </w:p>
    <w:p w14:paraId="414358AB" w14:textId="05F5A423" w:rsidR="00F0333A" w:rsidRPr="00E461D0" w:rsidRDefault="00F0333A">
      <w:pPr>
        <w:widowControl/>
        <w:jc w:val="both"/>
        <w:rPr>
          <w:rFonts w:ascii="Palatino Linotype" w:hAnsi="Palatino Linotype"/>
        </w:rPr>
      </w:pPr>
      <w:r w:rsidRPr="00E461D0">
        <w:rPr>
          <w:rFonts w:ascii="Palatino Linotype" w:hAnsi="Palatino Linotype"/>
        </w:rPr>
        <w:t>Se establece la conformidad previa del BCRA para el acceso al mercado de cambios por parte de personas jurídicas, gobiernos locales, Fondos Comunes de Inversión, Fideicomisos y otras universalidades constituidas en el país, para la constitución de activos externos y para la constitución de todo tipo de garantías vinculadas a la concertación de operaciones de derivados.</w:t>
      </w:r>
    </w:p>
    <w:p w14:paraId="3BA695DA" w14:textId="77777777" w:rsidR="00F0333A" w:rsidRPr="00E461D0" w:rsidRDefault="00F0333A">
      <w:pPr>
        <w:widowControl/>
        <w:jc w:val="both"/>
        <w:rPr>
          <w:rFonts w:ascii="Palatino Linotype" w:hAnsi="Palatino Linotype"/>
        </w:rPr>
      </w:pPr>
    </w:p>
    <w:p w14:paraId="4FAD7721" w14:textId="0E8DC65B" w:rsidR="00F0333A" w:rsidRDefault="00F0333A">
      <w:pPr>
        <w:widowControl/>
        <w:jc w:val="both"/>
        <w:rPr>
          <w:rFonts w:ascii="Palatino Linotype" w:hAnsi="Palatino Linotype"/>
        </w:rPr>
      </w:pPr>
      <w:r w:rsidRPr="00E461D0">
        <w:rPr>
          <w:rFonts w:ascii="Palatino Linotype" w:hAnsi="Palatino Linotype"/>
        </w:rPr>
        <w:t>Se aclara que las entidades podrán dar acceso al mercado local de cambios para realizar pagos de principal o intereses a los fideicomisos constituidos</w:t>
      </w:r>
      <w:r w:rsidR="000B136C" w:rsidRPr="00E461D0">
        <w:rPr>
          <w:rFonts w:ascii="Palatino Linotype" w:hAnsi="Palatino Linotype"/>
        </w:rPr>
        <w:t xml:space="preserve"> en el país</w:t>
      </w:r>
      <w:r w:rsidRPr="00E461D0">
        <w:rPr>
          <w:rFonts w:ascii="Palatino Linotype" w:hAnsi="Palatino Linotype"/>
        </w:rPr>
        <w:t xml:space="preserve"> por un residente, para garantizar la atención de los servicios de capital e intereses de su obligación, en la medida que verifique que el </w:t>
      </w:r>
      <w:r w:rsidR="000B136C" w:rsidRPr="00E461D0">
        <w:rPr>
          <w:rFonts w:ascii="Palatino Linotype" w:hAnsi="Palatino Linotype"/>
        </w:rPr>
        <w:t>deudor</w:t>
      </w:r>
      <w:r w:rsidRPr="00E461D0">
        <w:rPr>
          <w:rFonts w:ascii="Palatino Linotype" w:hAnsi="Palatino Linotype"/>
        </w:rPr>
        <w:t xml:space="preserve"> hubiese tenido acceso para realizar el pago a su nombre por cumplimentar las disposiciones normativas aplicables.</w:t>
      </w:r>
    </w:p>
    <w:p w14:paraId="57B51C8E" w14:textId="77777777" w:rsidR="00CC6CE1" w:rsidRDefault="00CC6CE1">
      <w:pPr>
        <w:widowControl/>
        <w:jc w:val="both"/>
        <w:rPr>
          <w:rFonts w:ascii="Palatino Linotype" w:hAnsi="Palatino Linotype"/>
        </w:rPr>
      </w:pPr>
    </w:p>
    <w:p w14:paraId="5A1559F0" w14:textId="05A37FCC" w:rsidR="00CC6CE1" w:rsidRPr="00E461D0" w:rsidRDefault="00CC6CE1">
      <w:pPr>
        <w:widowControl/>
        <w:jc w:val="both"/>
        <w:rPr>
          <w:rFonts w:ascii="Palatino Linotype" w:hAnsi="Palatino Linotype"/>
        </w:rPr>
      </w:pPr>
      <w:r w:rsidRPr="00CC6CE1">
        <w:rPr>
          <w:rFonts w:ascii="Palatino Linotype" w:hAnsi="Palatino Linotype"/>
        </w:rPr>
        <w:t>Al respecto, la Comunicación “A” 6814 aclara que se permite constituir garantías localmente para los contratos de endeudamiento financiero con el exterior contraídos tanto con anterioridad como con posterioridad al 31 de agosto de 2019; que, por el contrario, sólo se permite constituir garantías en el exterior para los contratos de endeudamiento financiero con el exterior contraídos con anterioridad al 31 de agosto de 2019.</w:t>
      </w:r>
    </w:p>
    <w:p w14:paraId="37B1897F" w14:textId="77777777" w:rsidR="00F0333A" w:rsidRPr="00E461D0" w:rsidRDefault="00F0333A">
      <w:pPr>
        <w:widowControl/>
        <w:jc w:val="both"/>
        <w:rPr>
          <w:rFonts w:ascii="Palatino Linotype" w:hAnsi="Palatino Linotype"/>
        </w:rPr>
      </w:pPr>
    </w:p>
    <w:p w14:paraId="4CC0131D" w14:textId="608081EE" w:rsidR="00F0333A" w:rsidRDefault="00CC6CE1">
      <w:pPr>
        <w:widowControl/>
        <w:jc w:val="both"/>
        <w:rPr>
          <w:rFonts w:ascii="Palatino Linotype" w:hAnsi="Palatino Linotype"/>
        </w:rPr>
      </w:pPr>
      <w:r>
        <w:rPr>
          <w:rFonts w:ascii="Palatino Linotype" w:hAnsi="Palatino Linotype"/>
        </w:rPr>
        <w:t>La Comunicación “A” 6815 dispone</w:t>
      </w:r>
      <w:r w:rsidR="00F0333A" w:rsidRPr="00E461D0">
        <w:rPr>
          <w:rFonts w:ascii="Palatino Linotype" w:hAnsi="Palatino Linotype"/>
        </w:rPr>
        <w:t xml:space="preserve"> la conformidad previa del BCRA para el acceso al mercado de cambios por parte de Personas Humanas residentes para la constitución de activos externos ayuda familiar y para  </w:t>
      </w:r>
      <w:r>
        <w:rPr>
          <w:rFonts w:ascii="Palatino Linotype" w:hAnsi="Palatino Linotype"/>
        </w:rPr>
        <w:t>operatoria</w:t>
      </w:r>
      <w:r w:rsidR="00F0333A" w:rsidRPr="00E461D0">
        <w:rPr>
          <w:rFonts w:ascii="Palatino Linotype" w:hAnsi="Palatino Linotype"/>
        </w:rPr>
        <w:t xml:space="preserve"> de derivados cuando supere el equivalente de US$ </w:t>
      </w:r>
      <w:r>
        <w:rPr>
          <w:rFonts w:ascii="Palatino Linotype" w:hAnsi="Palatino Linotype"/>
        </w:rPr>
        <w:t>200</w:t>
      </w:r>
      <w:r w:rsidR="00F0333A" w:rsidRPr="00E461D0">
        <w:rPr>
          <w:rFonts w:ascii="Palatino Linotype" w:hAnsi="Palatino Linotype"/>
        </w:rPr>
        <w:t xml:space="preserve"> mensuales en el conjunto de las entidades autorizadas a operar en cambios y en el conjunto de los conceptos señalados precedentemente.</w:t>
      </w:r>
    </w:p>
    <w:p w14:paraId="4DB3F82E" w14:textId="77777777" w:rsidR="00CC6CE1" w:rsidRDefault="00CC6CE1">
      <w:pPr>
        <w:widowControl/>
        <w:jc w:val="both"/>
        <w:rPr>
          <w:rFonts w:ascii="Palatino Linotype" w:hAnsi="Palatino Linotype"/>
        </w:rPr>
      </w:pPr>
    </w:p>
    <w:p w14:paraId="1EB0859A" w14:textId="77777777" w:rsidR="00CC6CE1" w:rsidRPr="00CC6CE1" w:rsidRDefault="00CC6CE1" w:rsidP="00CC6CE1">
      <w:pPr>
        <w:widowControl/>
        <w:jc w:val="both"/>
        <w:rPr>
          <w:rFonts w:ascii="Palatino Linotype" w:hAnsi="Palatino Linotype"/>
        </w:rPr>
      </w:pPr>
      <w:r w:rsidRPr="00CC6CE1">
        <w:rPr>
          <w:rFonts w:ascii="Palatino Linotype" w:hAnsi="Palatino Linotype"/>
        </w:rPr>
        <w:t>La operación deberá cursarse con débito a cuentas del cliente en entidades financieras locales, admitiéndose el uso de efectivo en moneda local en operaciones hasta el equivalente de US$ 100 en el mes calendario y en el conjunto de entidades autorizadas a operar en cambios.</w:t>
      </w:r>
    </w:p>
    <w:p w14:paraId="6E52A32D" w14:textId="77777777" w:rsidR="00CC6CE1" w:rsidRDefault="00CC6CE1" w:rsidP="00CC6CE1">
      <w:pPr>
        <w:widowControl/>
        <w:jc w:val="both"/>
        <w:rPr>
          <w:rFonts w:ascii="Palatino Linotype" w:hAnsi="Palatino Linotype"/>
        </w:rPr>
      </w:pPr>
    </w:p>
    <w:p w14:paraId="0C44CD6A" w14:textId="75022502" w:rsidR="00CC6CE1" w:rsidRPr="00E461D0" w:rsidRDefault="00CC6CE1" w:rsidP="00CC6CE1">
      <w:pPr>
        <w:widowControl/>
        <w:jc w:val="both"/>
        <w:rPr>
          <w:rFonts w:ascii="Palatino Linotype" w:hAnsi="Palatino Linotype"/>
        </w:rPr>
      </w:pPr>
      <w:r w:rsidRPr="00CC6CE1">
        <w:rPr>
          <w:rFonts w:ascii="Palatino Linotype" w:hAnsi="Palatino Linotype"/>
        </w:rPr>
        <w:t>En los casos que se trate de conceptos incluidos en activos externos del cliente, la entidad autorizada vendedora deberá entregar los billetes o cheques de viajero en moneda extranjera o acreditar los fondos en una cuenta en moneda extranjera de titularidad del cliente en entidades financieras locales o en una cuenta bancaria de titularidad del cliente en el exterior, según corresponda</w:t>
      </w:r>
    </w:p>
    <w:p w14:paraId="1FC9559A" w14:textId="77777777" w:rsidR="000B136C" w:rsidRPr="00E461D0" w:rsidRDefault="000B136C">
      <w:pPr>
        <w:widowControl/>
        <w:jc w:val="both"/>
        <w:rPr>
          <w:rFonts w:ascii="Palatino Linotype" w:hAnsi="Palatino Linotype"/>
        </w:rPr>
      </w:pPr>
    </w:p>
    <w:p w14:paraId="4C06021E" w14:textId="3D05712F" w:rsidR="000B136C" w:rsidRPr="00E461D0" w:rsidRDefault="000B136C" w:rsidP="000B136C">
      <w:pPr>
        <w:widowControl/>
        <w:jc w:val="both"/>
        <w:rPr>
          <w:rFonts w:ascii="Palatino Linotype" w:hAnsi="Palatino Linotype"/>
        </w:rPr>
      </w:pPr>
      <w:r w:rsidRPr="00E461D0">
        <w:rPr>
          <w:rFonts w:ascii="Palatino Linotype" w:hAnsi="Palatino Linotype"/>
        </w:rPr>
        <w:t xml:space="preserve">La Comunicación “A” 6804 establece como requisito de acceso al mercado de cambios para la compra de moneda extranjera en los términos arriba mencionados, que la persona humana no haya excedido en el mes calendario anterior el límite de US$ </w:t>
      </w:r>
      <w:r w:rsidR="00CC6CE1">
        <w:rPr>
          <w:rFonts w:ascii="Palatino Linotype" w:hAnsi="Palatino Linotype"/>
        </w:rPr>
        <w:t>200</w:t>
      </w:r>
      <w:r w:rsidRPr="00E461D0">
        <w:rPr>
          <w:rFonts w:ascii="Palatino Linotype" w:hAnsi="Palatino Linotype"/>
        </w:rPr>
        <w:t>. A estos efectos, el Banco Central informará periódicamente a las entidades autorizadas a operar en cambios el número de clave de identificación tributaria de las personas humanas que ya han alcanzado en ese mes calendario los límites previstos o que los hayan excedido en el mes calendario anterior. Las entidades autorizadas a operar en cambios no podrán dar acceso al mercado de cambios para la compra de moneda extranjera en el marco de las operaciones contempladas en el mencionado punto a quienes se encuentren incluidos en ese listado.</w:t>
      </w:r>
    </w:p>
    <w:p w14:paraId="237DD9E7" w14:textId="77777777" w:rsidR="000B136C" w:rsidRPr="00E461D0" w:rsidRDefault="000B136C" w:rsidP="000B136C">
      <w:pPr>
        <w:widowControl/>
        <w:jc w:val="both"/>
        <w:rPr>
          <w:rFonts w:ascii="Palatino Linotype" w:hAnsi="Palatino Linotype"/>
        </w:rPr>
      </w:pPr>
    </w:p>
    <w:p w14:paraId="09E5C7AB" w14:textId="1D8C1E94" w:rsidR="000B136C" w:rsidRPr="00E461D0" w:rsidRDefault="000B136C" w:rsidP="000B136C">
      <w:pPr>
        <w:widowControl/>
        <w:jc w:val="both"/>
        <w:rPr>
          <w:rFonts w:ascii="Palatino Linotype" w:hAnsi="Palatino Linotype"/>
        </w:rPr>
      </w:pPr>
      <w:r w:rsidRPr="00E461D0">
        <w:rPr>
          <w:rFonts w:ascii="Palatino Linotype" w:hAnsi="Palatino Linotype"/>
        </w:rPr>
        <w:t>Toda solicitud de rectificación o actualización de la información incluida en el listado informado deberá ser cursada a la Superintendencia de Entidades Financieras y Cambiarias a través de una entidad autorizada a operar en cambios mediante una nota suscripta por el interesado, explicando los motivos por los cuales entiende que es inadecuada su inclusión. Junto con esa presentación deberá acompañar todos los elementos demostrativos de las circunstancias invocadas.</w:t>
      </w:r>
    </w:p>
    <w:p w14:paraId="30F49CF0" w14:textId="77777777" w:rsidR="00F0333A" w:rsidRPr="00E461D0" w:rsidRDefault="00F0333A">
      <w:pPr>
        <w:widowControl/>
        <w:jc w:val="both"/>
        <w:rPr>
          <w:rFonts w:ascii="Palatino Linotype" w:hAnsi="Palatino Linotype"/>
        </w:rPr>
      </w:pPr>
    </w:p>
    <w:p w14:paraId="3EEC4365" w14:textId="77777777" w:rsidR="00F0333A" w:rsidRPr="00E461D0" w:rsidRDefault="00F0333A">
      <w:pPr>
        <w:widowControl/>
        <w:jc w:val="both"/>
        <w:rPr>
          <w:rFonts w:ascii="Palatino Linotype" w:hAnsi="Palatino Linotype"/>
        </w:rPr>
      </w:pPr>
      <w:r w:rsidRPr="00E461D0">
        <w:rPr>
          <w:rFonts w:ascii="Palatino Linotype" w:hAnsi="Palatino Linotype"/>
        </w:rPr>
        <w:t xml:space="preserve">Se establece como requisito para el acceso al mercado de cambios para la compra de moneda extranjera por parte de personas humanas residentes dentro de los limites mensuales establecidos en los párrafos precedentes, la presentación de una declaración jurada por parte del cliente respecto a que los fondos comprados no serán destinados a la compra en el mercado secundario de títulos valores dentro de los 5 (cinco) días hábiles a partir de la fecha de liquidación de dicha operación de cambio. </w:t>
      </w:r>
    </w:p>
    <w:p w14:paraId="24949807" w14:textId="77777777" w:rsidR="00F0333A" w:rsidRPr="00E461D0" w:rsidRDefault="00F0333A">
      <w:pPr>
        <w:widowControl/>
        <w:jc w:val="both"/>
        <w:rPr>
          <w:rFonts w:ascii="Palatino Linotype" w:hAnsi="Palatino Linotype"/>
        </w:rPr>
      </w:pPr>
    </w:p>
    <w:p w14:paraId="08E25F13" w14:textId="77777777" w:rsidR="00F0333A" w:rsidRPr="00E461D0" w:rsidRDefault="00F0333A">
      <w:pPr>
        <w:widowControl/>
        <w:jc w:val="both"/>
        <w:rPr>
          <w:rFonts w:ascii="Palatino Linotype" w:hAnsi="Palatino Linotype"/>
        </w:rPr>
      </w:pPr>
      <w:r w:rsidRPr="00E461D0">
        <w:rPr>
          <w:rFonts w:ascii="Palatino Linotype" w:hAnsi="Palatino Linotype"/>
        </w:rPr>
        <w:t>Por otro lado, se aclara que la conformidad previa para el acceso al mercado de cambios por parte de personas jurídicas para la formación de activos externos y para la constitución de todo tipo de garantías vinculadas a la concertación de operaciones de derivados, no alcanza a las entidades autorizadas a operar en cambios, cuyas tenencias en moneda extranjera se rigen por las normas específicas aplicables.</w:t>
      </w:r>
    </w:p>
    <w:p w14:paraId="73991C95" w14:textId="77777777" w:rsidR="00F0333A" w:rsidRPr="00E461D0" w:rsidRDefault="00F0333A">
      <w:pPr>
        <w:widowControl/>
        <w:jc w:val="both"/>
        <w:rPr>
          <w:rFonts w:ascii="Palatino Linotype" w:hAnsi="Palatino Linotype"/>
        </w:rPr>
      </w:pPr>
    </w:p>
    <w:p w14:paraId="6F660629" w14:textId="77777777" w:rsidR="00F0333A" w:rsidRDefault="00F0333A">
      <w:pPr>
        <w:widowControl/>
        <w:jc w:val="both"/>
        <w:rPr>
          <w:rFonts w:ascii="Palatino Linotype" w:hAnsi="Palatino Linotype"/>
        </w:rPr>
      </w:pPr>
      <w:r w:rsidRPr="00E461D0">
        <w:rPr>
          <w:rFonts w:ascii="Palatino Linotype" w:hAnsi="Palatino Linotype"/>
        </w:rPr>
        <w:t>Asimismo, se aclara que el requisito de conformidad previa establecido para las personas jurídicas, gobiernos locales, universalidades, FCI, fideicomisos y para las personas humanas para la constitución de todo tipo de garantías vinculadas a la concertación de operaciones de derivados, abarca a la totalidad de la operatoria de derivados (concepto A05): pago de primas, constitución de garantías y cancelaciones que correspondan de operaciones de futuros, forwards, opciones y otros derivados.</w:t>
      </w:r>
    </w:p>
    <w:p w14:paraId="77A8AABA" w14:textId="77777777" w:rsidR="00CC6CE1" w:rsidRDefault="00CC6CE1">
      <w:pPr>
        <w:widowControl/>
        <w:jc w:val="both"/>
        <w:rPr>
          <w:rFonts w:ascii="Palatino Linotype" w:hAnsi="Palatino Linotype"/>
        </w:rPr>
      </w:pPr>
    </w:p>
    <w:p w14:paraId="1CAAA8F8" w14:textId="363A7740" w:rsidR="00CC6CE1" w:rsidRDefault="00CC6CE1">
      <w:pPr>
        <w:widowControl/>
        <w:jc w:val="both"/>
        <w:rPr>
          <w:rFonts w:ascii="Palatino Linotype" w:hAnsi="Palatino Linotype"/>
        </w:rPr>
      </w:pPr>
      <w:r w:rsidRPr="00CC6CE1">
        <w:rPr>
          <w:rFonts w:ascii="Palatino Linotype" w:hAnsi="Palatino Linotype"/>
        </w:rPr>
        <w:t>Al respecto, la Comunicación “A” 6814 establece que se permite el acceso al mercado de cambios para el pago de primas, constitución de garantías y cancelaciones que correspondan a operaciones de contratos de cobertura de tasa de interés por las obligaciones de residentes con el exterior declaradas y validadas, en caso de corresponder, en el Relevamiento de Activos y Pasivos Externos, en tanto no se cubran riesgos superiores a los pasivos externos que efectivamente registre el deudor en la tasa de interés cuyo riesgo se está cubriendo con su celebración.</w:t>
      </w:r>
    </w:p>
    <w:p w14:paraId="4AF4003B" w14:textId="77777777" w:rsidR="00CC6CE1" w:rsidRDefault="00CC6CE1">
      <w:pPr>
        <w:widowControl/>
        <w:jc w:val="both"/>
        <w:rPr>
          <w:rFonts w:ascii="Palatino Linotype" w:hAnsi="Palatino Linotype"/>
        </w:rPr>
      </w:pPr>
    </w:p>
    <w:p w14:paraId="0DB9A73C" w14:textId="6E67C0C0" w:rsidR="00CC6CE1" w:rsidRPr="00E461D0" w:rsidRDefault="00CC6CE1">
      <w:pPr>
        <w:widowControl/>
        <w:jc w:val="both"/>
        <w:rPr>
          <w:rFonts w:ascii="Palatino Linotype" w:hAnsi="Palatino Linotype"/>
        </w:rPr>
      </w:pPr>
      <w:r w:rsidRPr="00CC6CE1">
        <w:rPr>
          <w:rFonts w:ascii="Palatino Linotype" w:hAnsi="Palatino Linotype"/>
        </w:rPr>
        <w:t>Se establece que el cliente que acceda al mercado de cambios usando este mecanismo deberá nominar a una entidad autorizada a operar en cambios para que realice el seguimiento de la operación y firmar una declaración jurada en la que se compromete a ingresar y liquidar los fondos que resulten a favor del cliente local como resultado de dicha operación, o como resultado de la liberación de los fondos de las garantías constituidas, dentro de los 5 días hábiles siguientes.</w:t>
      </w:r>
    </w:p>
    <w:p w14:paraId="53EA6A60" w14:textId="77777777" w:rsidR="00F0333A" w:rsidRPr="00E461D0" w:rsidRDefault="00F0333A">
      <w:pPr>
        <w:widowControl/>
        <w:jc w:val="both"/>
        <w:rPr>
          <w:rFonts w:ascii="Palatino Linotype" w:hAnsi="Palatino Linotype"/>
        </w:rPr>
      </w:pPr>
    </w:p>
    <w:p w14:paraId="38073DD1" w14:textId="44F5B517" w:rsidR="00F0333A" w:rsidRPr="00E461D0" w:rsidRDefault="00F0333A">
      <w:pPr>
        <w:widowControl/>
        <w:jc w:val="both"/>
        <w:rPr>
          <w:rFonts w:ascii="Palatino Linotype" w:hAnsi="Palatino Linotype"/>
        </w:rPr>
      </w:pPr>
      <w:r w:rsidRPr="00E461D0">
        <w:rPr>
          <w:rFonts w:ascii="Palatino Linotype" w:hAnsi="Palatino Linotype"/>
        </w:rPr>
        <w:t xml:space="preserve">Por otro lado, el artículo 1° de la Resolución General N° 808 de fecha 12 de septiembre de 2019 y en virtud de lo establecido en el punto 1.10 de la Comunicación “A” 6780, a efectos de cursar toda operación de compra de valores negociables en </w:t>
      </w:r>
      <w:r w:rsidR="00CE678E">
        <w:rPr>
          <w:rFonts w:ascii="Palatino Linotype" w:hAnsi="Palatino Linotype"/>
        </w:rPr>
        <w:t>D</w:t>
      </w:r>
      <w:r w:rsidRPr="00E461D0">
        <w:rPr>
          <w:rFonts w:ascii="Palatino Linotype" w:hAnsi="Palatino Linotype"/>
        </w:rPr>
        <w:t xml:space="preserve">ólares (especie D) por un monto de hasta US$ </w:t>
      </w:r>
      <w:r w:rsidR="00CC6CE1">
        <w:rPr>
          <w:rFonts w:ascii="Palatino Linotype" w:hAnsi="Palatino Linotype"/>
        </w:rPr>
        <w:t>200</w:t>
      </w:r>
      <w:r w:rsidRPr="00E461D0">
        <w:rPr>
          <w:rFonts w:ascii="Palatino Linotype" w:hAnsi="Palatino Linotype"/>
        </w:rPr>
        <w:t xml:space="preserve"> por parte de personas humanas, los Agentes de Liquidación y Compensación deberán contar previamente con una declaración jurada del titular que manifieste que los fondos en </w:t>
      </w:r>
      <w:r w:rsidR="00CE678E">
        <w:rPr>
          <w:rFonts w:ascii="Palatino Linotype" w:hAnsi="Palatino Linotype"/>
        </w:rPr>
        <w:t>D</w:t>
      </w:r>
      <w:r w:rsidRPr="00E461D0">
        <w:rPr>
          <w:rFonts w:ascii="Palatino Linotype" w:hAnsi="Palatino Linotype"/>
        </w:rPr>
        <w:t xml:space="preserve">ólares no provienen de una operación de MULC realizada en los últimos 5 (cinco) días hábiles. Asimismo, las operaciones de compra de valores negociables en </w:t>
      </w:r>
      <w:r w:rsidR="00CE678E">
        <w:rPr>
          <w:rFonts w:ascii="Palatino Linotype" w:hAnsi="Palatino Linotype"/>
        </w:rPr>
        <w:t>D</w:t>
      </w:r>
      <w:r w:rsidRPr="00E461D0">
        <w:rPr>
          <w:rFonts w:ascii="Palatino Linotype" w:hAnsi="Palatino Linotype"/>
        </w:rPr>
        <w:t xml:space="preserve">ólares (especie D) sólo podrán ser cursadas para ser liquidadas en el plazo de contado de 48 horas. Los valores negociables acreditados por dicha compra no podrán ser transferidos para cubrir la liquidación de una operación de venta en </w:t>
      </w:r>
      <w:r w:rsidR="00CE678E">
        <w:rPr>
          <w:rFonts w:ascii="Palatino Linotype" w:hAnsi="Palatino Linotype"/>
        </w:rPr>
        <w:t>P</w:t>
      </w:r>
      <w:r w:rsidRPr="00E461D0">
        <w:rPr>
          <w:rFonts w:ascii="Palatino Linotype" w:hAnsi="Palatino Linotype"/>
        </w:rPr>
        <w:t xml:space="preserve">esos hasta haber transcurrido. </w:t>
      </w:r>
    </w:p>
    <w:p w14:paraId="2E1D26FF" w14:textId="77777777" w:rsidR="000B136C" w:rsidRPr="00E461D0" w:rsidRDefault="000B136C">
      <w:pPr>
        <w:widowControl/>
        <w:jc w:val="both"/>
        <w:rPr>
          <w:rFonts w:ascii="Palatino Linotype" w:hAnsi="Palatino Linotype"/>
        </w:rPr>
      </w:pPr>
    </w:p>
    <w:p w14:paraId="2F6DC154" w14:textId="2C19402C" w:rsidR="000B136C" w:rsidRPr="00E461D0" w:rsidRDefault="000B136C">
      <w:pPr>
        <w:widowControl/>
        <w:jc w:val="both"/>
        <w:rPr>
          <w:rFonts w:ascii="Palatino Linotype" w:hAnsi="Palatino Linotype"/>
        </w:rPr>
      </w:pPr>
      <w:r w:rsidRPr="00E461D0">
        <w:rPr>
          <w:rFonts w:ascii="Palatino Linotype" w:hAnsi="Palatino Linotype"/>
        </w:rPr>
        <w:t>La Comunicación “A” 6787</w:t>
      </w:r>
      <w:r w:rsidR="00CC6CE1">
        <w:rPr>
          <w:rFonts w:ascii="Palatino Linotype" w:hAnsi="Palatino Linotype"/>
        </w:rPr>
        <w:t xml:space="preserve">, </w:t>
      </w:r>
      <w:r w:rsidR="00CC6CE1" w:rsidRPr="00CC6CE1">
        <w:rPr>
          <w:rFonts w:ascii="Palatino Linotype" w:hAnsi="Palatino Linotype"/>
        </w:rPr>
        <w:t xml:space="preserve">y las posteriores aclaraciones introducidas por la Comunicación “A” 6815 </w:t>
      </w:r>
      <w:r w:rsidRPr="00E461D0">
        <w:rPr>
          <w:rFonts w:ascii="Palatino Linotype" w:hAnsi="Palatino Linotype"/>
        </w:rPr>
        <w:t>establece que está permitido el acceso al mercado de cambios de las personas humanas para la compra de moneda extranjera a ser aplicados simultáneamente a la compra de inmuebles en el país destinados a vivienda única, familiar y de ocupación permanente, en la medida que: (i). se trate de fondos provenientes de préstamos hipotecarios otorgados por entidades financieras locales</w:t>
      </w:r>
      <w:r w:rsidR="00CC6CE1">
        <w:rPr>
          <w:rFonts w:ascii="Palatino Linotype" w:hAnsi="Palatino Linotype"/>
        </w:rPr>
        <w:t xml:space="preserve">. </w:t>
      </w:r>
      <w:r w:rsidR="00CC6CE1" w:rsidRPr="00CC6CE1">
        <w:rPr>
          <w:rFonts w:ascii="Palatino Linotype" w:hAnsi="Palatino Linotype"/>
        </w:rPr>
        <w:t>En el caso de que la operación de compra se concrete en el marco del Programa Procrear, también se podrán utilizar los fondos provenientes de subsidios de dicho Programa</w:t>
      </w:r>
      <w:r w:rsidRPr="00E461D0">
        <w:rPr>
          <w:rFonts w:ascii="Palatino Linotype" w:hAnsi="Palatino Linotype"/>
        </w:rPr>
        <w:t>; (ii) en caso de existir codeudores, el acceso se registre en forma individual a nombre de cada persona humana por hasta el monto prorrateado que les corresponda; (iii) considerando el total de los codeudores el acceso se realiza por hasta el monto del préstamo o el equivalente a US$ 100.000, el monto que resulte menor; (iv). cada codeudor firme una declaración jurada en la cual se compromete a no adquirir activos externos por los conceptos enunciados en el punto 6 de la Comunicación “A” 6770, dentro de los límites que le resulten aplicables, por el tiempo que resulte necesario hasta completar el monto adquirido bajo el presente régimen; (v) el total de los fondos destinados a la compra, tanto en moneda local como en moneda extranjera sean depositados o transferidos simultáneamente a una cuenta en una entidad financiera a nombre del vendedor de la propiedad</w:t>
      </w:r>
      <w:r w:rsidR="00CC6CE1">
        <w:rPr>
          <w:rFonts w:ascii="Palatino Linotype" w:hAnsi="Palatino Linotype"/>
        </w:rPr>
        <w:t>; y</w:t>
      </w:r>
      <w:r w:rsidRPr="00E461D0">
        <w:rPr>
          <w:rFonts w:ascii="Palatino Linotype" w:hAnsi="Palatino Linotype"/>
        </w:rPr>
        <w:t xml:space="preserve"> </w:t>
      </w:r>
      <w:r w:rsidR="00CC6CE1">
        <w:rPr>
          <w:rFonts w:ascii="Palatino Linotype" w:hAnsi="Palatino Linotype"/>
        </w:rPr>
        <w:t>(</w:t>
      </w:r>
      <w:r w:rsidRPr="00E461D0">
        <w:rPr>
          <w:rFonts w:ascii="Palatino Linotype" w:hAnsi="Palatino Linotype"/>
        </w:rPr>
        <w:t>vi</w:t>
      </w:r>
      <w:r w:rsidR="00CC6CE1">
        <w:rPr>
          <w:rFonts w:ascii="Palatino Linotype" w:hAnsi="Palatino Linotype"/>
        </w:rPr>
        <w:t>)</w:t>
      </w:r>
      <w:r w:rsidRPr="00E461D0">
        <w:rPr>
          <w:rFonts w:ascii="Palatino Linotype" w:hAnsi="Palatino Linotype"/>
        </w:rPr>
        <w:t xml:space="preserve">. se considerará cumplido el requisito previsto en el punto </w:t>
      </w:r>
      <w:r w:rsidR="00CC6CE1">
        <w:rPr>
          <w:rFonts w:ascii="Palatino Linotype" w:hAnsi="Palatino Linotype"/>
        </w:rPr>
        <w:t>(</w:t>
      </w:r>
      <w:r w:rsidRPr="00E461D0">
        <w:rPr>
          <w:rFonts w:ascii="Palatino Linotype" w:hAnsi="Palatino Linotype"/>
        </w:rPr>
        <w:t>v</w:t>
      </w:r>
      <w:r w:rsidR="00CC6CE1">
        <w:rPr>
          <w:rFonts w:ascii="Palatino Linotype" w:hAnsi="Palatino Linotype"/>
        </w:rPr>
        <w:t>)</w:t>
      </w:r>
      <w:r w:rsidRPr="00E461D0">
        <w:rPr>
          <w:rFonts w:ascii="Palatino Linotype" w:hAnsi="Palatino Linotype"/>
        </w:rPr>
        <w:t xml:space="preserve"> </w:t>
      </w:r>
      <w:r w:rsidR="00CC6CE1">
        <w:rPr>
          <w:rFonts w:ascii="Palatino Linotype" w:hAnsi="Palatino Linotype"/>
        </w:rPr>
        <w:t xml:space="preserve">precedente </w:t>
      </w:r>
      <w:r w:rsidRPr="00E461D0">
        <w:rPr>
          <w:rFonts w:ascii="Palatino Linotype" w:hAnsi="Palatino Linotype"/>
        </w:rPr>
        <w:t>para los pagos imputados a la compra que se demuestre que fueron realizados con anterioridad a la vigencia de esta disposición o que correspondan a pagos de hasta el equivalente a US$ 1.000 realizado en concepto de reserva de la propiedad.</w:t>
      </w:r>
    </w:p>
    <w:p w14:paraId="08DB5C90" w14:textId="77777777" w:rsidR="00F0333A" w:rsidRPr="00E461D0" w:rsidRDefault="00F0333A">
      <w:pPr>
        <w:widowControl/>
        <w:jc w:val="both"/>
        <w:rPr>
          <w:rFonts w:ascii="Palatino Linotype" w:hAnsi="Palatino Linotype"/>
        </w:rPr>
      </w:pPr>
    </w:p>
    <w:p w14:paraId="627AA76C" w14:textId="6FFF45E1" w:rsidR="00F0333A" w:rsidRPr="00E461D0" w:rsidRDefault="000B136C">
      <w:pPr>
        <w:widowControl/>
        <w:jc w:val="both"/>
        <w:rPr>
          <w:rFonts w:ascii="Palatino Linotype" w:hAnsi="Palatino Linotype"/>
        </w:rPr>
      </w:pPr>
      <w:r w:rsidRPr="00E461D0">
        <w:rPr>
          <w:rFonts w:ascii="Palatino Linotype" w:hAnsi="Palatino Linotype"/>
        </w:rPr>
        <w:t>La</w:t>
      </w:r>
      <w:r w:rsidR="00F0333A" w:rsidRPr="00E461D0">
        <w:rPr>
          <w:rFonts w:ascii="Palatino Linotype" w:hAnsi="Palatino Linotype"/>
        </w:rPr>
        <w:t xml:space="preserve"> Comunicación “A” 6799 del Banco Central estableció que, con vigencia a partir del 1 de octubre de 2019, cuando las personas humanas adquieran títulos valores mediante liquidación en moneda extranjera, los mismos deberán permanecer en la cartera del comprador por un período no menor a 5</w:t>
      </w:r>
      <w:r w:rsidRPr="00E461D0">
        <w:rPr>
          <w:rFonts w:ascii="Palatino Linotype" w:hAnsi="Palatino Linotype"/>
        </w:rPr>
        <w:t xml:space="preserve"> (cinco)</w:t>
      </w:r>
      <w:r w:rsidR="00F0333A" w:rsidRPr="00E461D0">
        <w:rPr>
          <w:rFonts w:ascii="Palatino Linotype" w:hAnsi="Palatino Linotype"/>
        </w:rPr>
        <w:t xml:space="preserve"> días hábiles a contar desde la fecha de liquidación de la operación, antes de ser vendidos o transferidos a otras entidades depositarias. Se aclara que este plazo mínimo de tenencia no será de aplicación cuando la venta de los títulos valores sea contra la misma jurisdicción de liquidación que la compra.</w:t>
      </w:r>
    </w:p>
    <w:p w14:paraId="62FFD497" w14:textId="77777777" w:rsidR="00F0333A" w:rsidRPr="00E461D0" w:rsidRDefault="00F0333A">
      <w:pPr>
        <w:widowControl/>
        <w:jc w:val="both"/>
        <w:rPr>
          <w:rFonts w:ascii="Palatino Linotype" w:hAnsi="Palatino Linotype"/>
        </w:rPr>
      </w:pPr>
    </w:p>
    <w:p w14:paraId="1675D365" w14:textId="7B63DD3A" w:rsidR="00F0333A" w:rsidRPr="00E461D0" w:rsidRDefault="00F0333A">
      <w:pPr>
        <w:widowControl/>
        <w:jc w:val="both"/>
        <w:rPr>
          <w:rFonts w:ascii="Palatino Linotype" w:hAnsi="Palatino Linotype"/>
        </w:rPr>
      </w:pPr>
      <w:r w:rsidRPr="00E461D0">
        <w:rPr>
          <w:rFonts w:ascii="Palatino Linotype" w:hAnsi="Palatino Linotype"/>
        </w:rPr>
        <w:t>Asimismo, se estableció que las personas humanas que transfieran divisas desde sus cuentas locales en moneda extranjera a cuentas bancarias propias en el exterior deben presentar una declaración jurada de que no han efectuado venta de títulos valores con liquidación local en moneda extranjera en los últimos 5</w:t>
      </w:r>
      <w:r w:rsidR="000B136C" w:rsidRPr="00E461D0">
        <w:rPr>
          <w:rFonts w:ascii="Palatino Linotype" w:hAnsi="Palatino Linotype"/>
        </w:rPr>
        <w:t xml:space="preserve"> (cinco)</w:t>
      </w:r>
      <w:r w:rsidRPr="00E461D0">
        <w:rPr>
          <w:rFonts w:ascii="Palatino Linotype" w:hAnsi="Palatino Linotype"/>
        </w:rPr>
        <w:t xml:space="preserve"> días hábiles.</w:t>
      </w:r>
    </w:p>
    <w:p w14:paraId="0B8B9E65" w14:textId="77777777" w:rsidR="00F0333A" w:rsidRPr="00E461D0" w:rsidRDefault="00F0333A">
      <w:pPr>
        <w:widowControl/>
        <w:jc w:val="both"/>
        <w:rPr>
          <w:rFonts w:ascii="Palatino Linotype" w:hAnsi="Palatino Linotype"/>
        </w:rPr>
      </w:pPr>
    </w:p>
    <w:p w14:paraId="413B9884" w14:textId="2F28CB1D" w:rsidR="00F0333A" w:rsidRDefault="00F0333A">
      <w:pPr>
        <w:widowControl/>
        <w:jc w:val="both"/>
        <w:rPr>
          <w:rFonts w:ascii="Palatino Linotype" w:hAnsi="Palatino Linotype"/>
        </w:rPr>
      </w:pPr>
      <w:r w:rsidRPr="00E461D0">
        <w:rPr>
          <w:rFonts w:ascii="Palatino Linotype" w:hAnsi="Palatino Linotype"/>
        </w:rPr>
        <w:t xml:space="preserve">Por último, la </w:t>
      </w:r>
      <w:r w:rsidR="000B136C" w:rsidRPr="00E461D0">
        <w:rPr>
          <w:rFonts w:ascii="Palatino Linotype" w:hAnsi="Palatino Linotype"/>
        </w:rPr>
        <w:t>mencionada norma</w:t>
      </w:r>
      <w:r w:rsidRPr="00E461D0">
        <w:rPr>
          <w:rFonts w:ascii="Palatino Linotype" w:hAnsi="Palatino Linotype"/>
        </w:rPr>
        <w:t xml:space="preserve"> aclaró que la transferencia de divisas de las personas humanas desde sus cuentas locales en moneda extranjera a cuentas bancarias propias en el exterior se puede efectuar sin restricciones, pero estableció que para transferir divisas al exterior para la formación de activos externos, el acceso de las personas humanas residentes al mercado de cambio, debe tener como destino cuentas bancarias de su titularidad en el exterior.</w:t>
      </w:r>
    </w:p>
    <w:p w14:paraId="7D73AD28" w14:textId="77777777" w:rsidR="00CC6CE1" w:rsidRDefault="00CC6CE1">
      <w:pPr>
        <w:widowControl/>
        <w:jc w:val="both"/>
        <w:rPr>
          <w:rFonts w:ascii="Palatino Linotype" w:hAnsi="Palatino Linotype"/>
        </w:rPr>
      </w:pPr>
    </w:p>
    <w:p w14:paraId="3BDBB6E5" w14:textId="77777777" w:rsidR="00CC6CE1" w:rsidRPr="00CC6CE1" w:rsidRDefault="00CC6CE1" w:rsidP="00CC6CE1">
      <w:pPr>
        <w:widowControl/>
        <w:jc w:val="both"/>
        <w:rPr>
          <w:rFonts w:ascii="Palatino Linotype" w:hAnsi="Palatino Linotype"/>
        </w:rPr>
      </w:pPr>
      <w:r w:rsidRPr="00CC6CE1">
        <w:rPr>
          <w:rFonts w:ascii="Palatino Linotype" w:hAnsi="Palatino Linotype"/>
        </w:rPr>
        <w:t>En relación a los retiros de efectivo en el exterior con tarjetas de débitos locales que se realicen a partir del 28 de octubre de 2019, la comunicación “A” 6815 dispone que sólo podrán ser efectuadas con débito en cuentas locales del cliente en moneda extranjera.</w:t>
      </w:r>
    </w:p>
    <w:p w14:paraId="4F28936D" w14:textId="77777777" w:rsidR="00CC6CE1" w:rsidRDefault="00CC6CE1" w:rsidP="00CC6CE1">
      <w:pPr>
        <w:widowControl/>
        <w:jc w:val="both"/>
        <w:rPr>
          <w:rFonts w:ascii="Palatino Linotype" w:hAnsi="Palatino Linotype"/>
        </w:rPr>
      </w:pPr>
    </w:p>
    <w:p w14:paraId="77043C70" w14:textId="77777777" w:rsidR="00CC6CE1" w:rsidRPr="00CC6CE1" w:rsidRDefault="00CC6CE1" w:rsidP="00CC6CE1">
      <w:pPr>
        <w:widowControl/>
        <w:jc w:val="both"/>
        <w:rPr>
          <w:rFonts w:ascii="Palatino Linotype" w:hAnsi="Palatino Linotype"/>
        </w:rPr>
      </w:pPr>
      <w:r w:rsidRPr="00CC6CE1">
        <w:rPr>
          <w:rFonts w:ascii="Palatino Linotype" w:hAnsi="Palatino Linotype"/>
        </w:rPr>
        <w:t>Por otro lado, establece que las agencias de cambio quedan alcanzadas por lo establecido en el punto 3.6. del texto ordenado de “Exterior y Cambios”; el punto 3.6 referido dispone respecto de las operaciones de cambio entre entidades financieras y/o casas de cambio locales que “Estas operaciones deberán ser realizadas a través del SIOPEL. Cuando una o ambas partes no se encuentren habilitadas para operar en este sistema, se admitirán compras y ventas de cambio entre las entidades fuera del SIOPEL por un monto diario que no supere al equivalente de USD 800.000 (dólares estadounidenses ochocientos mil), considerando la suma de ambos conceptos a nivel de cada entidad. Los movimientos en pesos resultantes de la liquidación de operaciones de compra-venta de cambio que se realicen entre las entidades deberán efectuarse obligatoriamente a través de cuentas abiertas en el BCRA o en entidades financieras locales.”</w:t>
      </w:r>
    </w:p>
    <w:p w14:paraId="62AC8F18" w14:textId="77777777" w:rsidR="00CC6CE1" w:rsidRDefault="00CC6CE1" w:rsidP="00CC6CE1">
      <w:pPr>
        <w:widowControl/>
        <w:jc w:val="both"/>
        <w:rPr>
          <w:rFonts w:ascii="Palatino Linotype" w:hAnsi="Palatino Linotype"/>
        </w:rPr>
      </w:pPr>
    </w:p>
    <w:p w14:paraId="788F9F4D" w14:textId="77777777" w:rsidR="00CC6CE1" w:rsidRPr="00CC6CE1" w:rsidRDefault="00CC6CE1" w:rsidP="00CC6CE1">
      <w:pPr>
        <w:widowControl/>
        <w:jc w:val="both"/>
        <w:rPr>
          <w:rFonts w:ascii="Palatino Linotype" w:hAnsi="Palatino Linotype"/>
        </w:rPr>
      </w:pPr>
      <w:r w:rsidRPr="00CC6CE1">
        <w:rPr>
          <w:rFonts w:ascii="Palatino Linotype" w:hAnsi="Palatino Linotype"/>
        </w:rPr>
        <w:t>En relación a las ventas de cambio, la Comunicación “A” 6815 dispone que las entidades autorizadas a operar en cambios deberán remitir al BCRA, al cierre de cada jornada y con una antelación de 2 días hábiles, la información sobre dichas ventas a realizarse por solicitud de clientes u operaciones propias de la entidad que impliquen un acceso al mercado de cambio por un monto diario que sea igual o superior al equivalente a US$ 2 millones, para cada uno de los 3 días hábiles contados a partir del primer día informado.</w:t>
      </w:r>
    </w:p>
    <w:p w14:paraId="10FA6509" w14:textId="77777777" w:rsidR="00CC6CE1" w:rsidRDefault="00CC6CE1" w:rsidP="00CC6CE1">
      <w:pPr>
        <w:widowControl/>
        <w:jc w:val="both"/>
        <w:rPr>
          <w:rFonts w:ascii="Palatino Linotype" w:hAnsi="Palatino Linotype"/>
        </w:rPr>
      </w:pPr>
    </w:p>
    <w:p w14:paraId="38DF4EAD" w14:textId="77777777" w:rsidR="00CC6CE1" w:rsidRPr="00CC6CE1" w:rsidRDefault="00CC6CE1" w:rsidP="00CC6CE1">
      <w:pPr>
        <w:widowControl/>
        <w:jc w:val="both"/>
        <w:rPr>
          <w:rFonts w:ascii="Palatino Linotype" w:hAnsi="Palatino Linotype"/>
        </w:rPr>
      </w:pPr>
      <w:r w:rsidRPr="00CC6CE1">
        <w:rPr>
          <w:rFonts w:ascii="Palatino Linotype" w:hAnsi="Palatino Linotype"/>
        </w:rPr>
        <w:t>En este sentido, a partir del 28.10.19 inclusive y hasta que esté implementado el Régimen Informativo correspondiente, las operaciones deben ser remitidas a la casilla anticipooperaciones@bcra.gob.ar, con el siguiente detalle: entidad que informa, CUIT y nombre del cliente (incluido las operaciones propias de las entidades), fecha de la operación, código de concepto y monto equivalente en dólares estadounidenses.</w:t>
      </w:r>
    </w:p>
    <w:p w14:paraId="69DA0681" w14:textId="77777777" w:rsidR="00CC6CE1" w:rsidRPr="00CC6CE1" w:rsidRDefault="00CC6CE1" w:rsidP="00CC6CE1">
      <w:pPr>
        <w:widowControl/>
        <w:jc w:val="both"/>
        <w:rPr>
          <w:rFonts w:ascii="Palatino Linotype" w:hAnsi="Palatino Linotype"/>
        </w:rPr>
      </w:pPr>
    </w:p>
    <w:p w14:paraId="59C6DE8D" w14:textId="6C3883E3" w:rsidR="00CC6CE1" w:rsidRPr="00E461D0" w:rsidRDefault="00CC6CE1" w:rsidP="00CC6CE1">
      <w:pPr>
        <w:widowControl/>
        <w:jc w:val="both"/>
        <w:rPr>
          <w:rFonts w:ascii="Palatino Linotype" w:hAnsi="Palatino Linotype"/>
        </w:rPr>
      </w:pPr>
      <w:r w:rsidRPr="00CC6CE1">
        <w:rPr>
          <w:rFonts w:ascii="Palatino Linotype" w:hAnsi="Palatino Linotype"/>
        </w:rPr>
        <w:t>De esta manera, los clientes de las entidades autorizadas deberán informar a las mismas con la antelación necesaria para que las entidades puedan dar cumplimiento al requisito mencionado en los párrafos anteriores, para que éstas puedan dar curso a la operación de cambio.</w:t>
      </w:r>
    </w:p>
    <w:p w14:paraId="06482DA3" w14:textId="77777777" w:rsidR="00F0333A" w:rsidRPr="00E461D0" w:rsidRDefault="00F0333A">
      <w:pPr>
        <w:widowControl/>
        <w:jc w:val="both"/>
        <w:rPr>
          <w:rFonts w:ascii="Palatino Linotype" w:hAnsi="Palatino Linotype"/>
        </w:rPr>
      </w:pPr>
    </w:p>
    <w:p w14:paraId="2656DD17" w14:textId="77777777" w:rsidR="00F0333A" w:rsidRDefault="00F0333A">
      <w:pPr>
        <w:widowControl/>
        <w:jc w:val="both"/>
        <w:rPr>
          <w:rFonts w:ascii="Palatino Linotype" w:hAnsi="Palatino Linotype"/>
          <w:i/>
        </w:rPr>
      </w:pPr>
      <w:r w:rsidRPr="00E461D0">
        <w:rPr>
          <w:rFonts w:ascii="Palatino Linotype" w:hAnsi="Palatino Linotype"/>
          <w:i/>
        </w:rPr>
        <w:t>No Residentes</w:t>
      </w:r>
    </w:p>
    <w:p w14:paraId="142CF7EB" w14:textId="77777777" w:rsidR="00CC6CE1" w:rsidRDefault="00CC6CE1">
      <w:pPr>
        <w:widowControl/>
        <w:jc w:val="both"/>
        <w:rPr>
          <w:rFonts w:ascii="Palatino Linotype" w:hAnsi="Palatino Linotype"/>
          <w:i/>
        </w:rPr>
      </w:pPr>
    </w:p>
    <w:p w14:paraId="6D6C8CBA" w14:textId="250CF91D" w:rsidR="00F0333A" w:rsidRPr="00E461D0" w:rsidRDefault="00CC6CE1">
      <w:pPr>
        <w:widowControl/>
        <w:jc w:val="both"/>
        <w:rPr>
          <w:rFonts w:ascii="Palatino Linotype" w:hAnsi="Palatino Linotype"/>
        </w:rPr>
      </w:pPr>
      <w:r w:rsidRPr="00CC6CE1">
        <w:rPr>
          <w:rFonts w:ascii="Palatino Linotype" w:hAnsi="Palatino Linotype"/>
          <w:i/>
        </w:rPr>
        <w:t>La comunicación “A” 6815 dispone que se</w:t>
      </w:r>
      <w:r w:rsidR="00F0333A" w:rsidRPr="00E461D0">
        <w:rPr>
          <w:rFonts w:ascii="Palatino Linotype" w:hAnsi="Palatino Linotype"/>
        </w:rPr>
        <w:t xml:space="preserve"> establece la conformidad previa del BCRA para el acceso al mercado de cambios por parte de no </w:t>
      </w:r>
      <w:r w:rsidR="00F0333A" w:rsidRPr="00435936">
        <w:rPr>
          <w:rFonts w:ascii="Palatino Linotype" w:hAnsi="Palatino Linotype"/>
        </w:rPr>
        <w:t>resident</w:t>
      </w:r>
      <w:r w:rsidR="00F0333A" w:rsidRPr="0009447F">
        <w:rPr>
          <w:rFonts w:ascii="Palatino Linotype" w:hAnsi="Palatino Linotype"/>
        </w:rPr>
        <w:t>es</w:t>
      </w:r>
      <w:r w:rsidRPr="0009447F">
        <w:rPr>
          <w:rFonts w:ascii="Palatino Linotype" w:hAnsi="Palatino Linotype"/>
        </w:rPr>
        <w:t xml:space="preserve"> para la compra de moneda extranjera</w:t>
      </w:r>
      <w:r w:rsidR="00F0333A" w:rsidRPr="0009447F">
        <w:rPr>
          <w:rFonts w:ascii="Palatino Linotype" w:hAnsi="Palatino Linotype"/>
        </w:rPr>
        <w:t xml:space="preserve"> por montos superiores al equivalente a US$ </w:t>
      </w:r>
      <w:r w:rsidRPr="0009447F">
        <w:rPr>
          <w:rFonts w:ascii="Palatino Linotype" w:hAnsi="Palatino Linotype"/>
        </w:rPr>
        <w:t>100</w:t>
      </w:r>
      <w:r w:rsidR="00F0333A" w:rsidRPr="0009447F">
        <w:rPr>
          <w:rFonts w:ascii="Palatino Linotype" w:hAnsi="Palatino Linotype"/>
        </w:rPr>
        <w:t xml:space="preserve"> mensuales</w:t>
      </w:r>
      <w:r w:rsidR="00F0333A" w:rsidRPr="00E461D0">
        <w:rPr>
          <w:rFonts w:ascii="Palatino Linotype" w:hAnsi="Palatino Linotype"/>
        </w:rPr>
        <w:t xml:space="preserve"> en el conjunto de entidades autorizadas a operar en cambios.</w:t>
      </w:r>
    </w:p>
    <w:p w14:paraId="0034391C" w14:textId="77777777" w:rsidR="00F0333A" w:rsidRPr="00E461D0" w:rsidRDefault="00F0333A">
      <w:pPr>
        <w:widowControl/>
        <w:jc w:val="both"/>
        <w:rPr>
          <w:rFonts w:ascii="Palatino Linotype" w:hAnsi="Palatino Linotype"/>
        </w:rPr>
      </w:pPr>
    </w:p>
    <w:p w14:paraId="785F9F72" w14:textId="6A308014" w:rsidR="00F0333A" w:rsidRPr="00E461D0" w:rsidRDefault="00F0333A">
      <w:pPr>
        <w:widowControl/>
        <w:jc w:val="both"/>
        <w:rPr>
          <w:rFonts w:ascii="Palatino Linotype" w:hAnsi="Palatino Linotype"/>
        </w:rPr>
      </w:pPr>
      <w:r w:rsidRPr="00E461D0">
        <w:rPr>
          <w:rFonts w:ascii="Palatino Linotype" w:hAnsi="Palatino Linotype"/>
        </w:rPr>
        <w:t>Se exceptúan del límite del párrafo precedente las operaciones de: (a) Organismos internacionales e instituciones que cumplan funciones de agencias oficiales de crédito a la exportación, (b) Representaciones diplomáticas y consulares y personal diplomático acreditado en el país por transferencias que efectúen en ejercicio de sus funciones, (c) Representaciones en el país de Tribunales, Autoridades u Oficinas, Misiones Especiales, Comisiones u Órganos Bilaterales establecidos por Tratados o Convenios Internacionales, en los cuales la República Argentina es parte, en la medida que las transferencias se realicen en ejercicio de sus funciones</w:t>
      </w:r>
      <w:r w:rsidR="00CC6CE1">
        <w:rPr>
          <w:rFonts w:ascii="Palatino Linotype" w:hAnsi="Palatino Linotype"/>
        </w:rPr>
        <w:t xml:space="preserve">; y (d) </w:t>
      </w:r>
      <w:r w:rsidR="00CC6CE1" w:rsidRPr="00CC6CE1">
        <w:rPr>
          <w:rFonts w:ascii="Palatino Linotype" w:hAnsi="Palatino Linotype"/>
        </w:rPr>
        <w:t>las transferencias al exterior a nombre de personas humanas que sean beneficiarias de jubilaciones y/o pensiones abonadas por la Administración Nacional de la Seguridad Social (ANSES), por hasta el monto abonado por dicho organismo en el mes calendario y en la medida que la transferencia se efectúe a una cuenta bancaria de titularidad del beneficiario en su país de residencia registrado.</w:t>
      </w:r>
    </w:p>
    <w:p w14:paraId="329929B2" w14:textId="77777777" w:rsidR="00F0333A" w:rsidRPr="00E461D0" w:rsidRDefault="00F0333A">
      <w:pPr>
        <w:widowControl/>
        <w:jc w:val="both"/>
        <w:rPr>
          <w:rFonts w:ascii="Palatino Linotype" w:hAnsi="Palatino Linotype"/>
        </w:rPr>
      </w:pPr>
    </w:p>
    <w:p w14:paraId="0774DD91" w14:textId="77777777" w:rsidR="00F0333A" w:rsidRPr="00E461D0" w:rsidRDefault="00F0333A">
      <w:pPr>
        <w:widowControl/>
        <w:jc w:val="both"/>
        <w:rPr>
          <w:rFonts w:ascii="Palatino Linotype" w:hAnsi="Palatino Linotype"/>
        </w:rPr>
      </w:pPr>
      <w:r w:rsidRPr="00E461D0">
        <w:rPr>
          <w:rFonts w:ascii="Palatino Linotype" w:hAnsi="Palatino Linotype"/>
        </w:rPr>
        <w:t>La Comunicación “A” 6776 aclara que las restricciones para el acceso al mercado de cambios por parte de no residentes establecidas por la Comunicación “A” 6770 solamente aplica para la compra de moneda extranjera.</w:t>
      </w:r>
    </w:p>
    <w:p w14:paraId="38E17060" w14:textId="77777777" w:rsidR="00F0333A" w:rsidRPr="00E461D0" w:rsidRDefault="00F0333A">
      <w:pPr>
        <w:widowControl/>
        <w:jc w:val="both"/>
        <w:rPr>
          <w:rFonts w:ascii="Palatino Linotype" w:hAnsi="Palatino Linotype"/>
        </w:rPr>
      </w:pPr>
    </w:p>
    <w:p w14:paraId="2964AE9D" w14:textId="77777777" w:rsidR="00F0333A" w:rsidRPr="00E461D0" w:rsidRDefault="00F0333A">
      <w:pPr>
        <w:widowControl/>
        <w:jc w:val="both"/>
        <w:rPr>
          <w:rFonts w:ascii="Palatino Linotype" w:hAnsi="Palatino Linotype"/>
          <w:i/>
        </w:rPr>
      </w:pPr>
      <w:r w:rsidRPr="00E461D0">
        <w:rPr>
          <w:rFonts w:ascii="Palatino Linotype" w:hAnsi="Palatino Linotype"/>
          <w:i/>
        </w:rPr>
        <w:t>Liquidación de Endeudamiento Con el Exterior - Obligación y requisitos para el acceso</w:t>
      </w:r>
    </w:p>
    <w:p w14:paraId="3BA0DD21" w14:textId="77777777" w:rsidR="00F0333A" w:rsidRPr="00E461D0" w:rsidRDefault="00F0333A">
      <w:pPr>
        <w:widowControl/>
        <w:jc w:val="both"/>
        <w:rPr>
          <w:rFonts w:ascii="Palatino Linotype" w:hAnsi="Palatino Linotype"/>
        </w:rPr>
      </w:pPr>
    </w:p>
    <w:p w14:paraId="168B7396" w14:textId="2550150E" w:rsidR="00F0333A" w:rsidRPr="00E461D0" w:rsidRDefault="00F0333A">
      <w:pPr>
        <w:widowControl/>
        <w:jc w:val="both"/>
        <w:rPr>
          <w:rFonts w:ascii="Palatino Linotype" w:hAnsi="Palatino Linotype"/>
        </w:rPr>
      </w:pPr>
      <w:r w:rsidRPr="00E461D0">
        <w:rPr>
          <w:rFonts w:ascii="Palatino Linotype" w:hAnsi="Palatino Linotype"/>
        </w:rPr>
        <w:t>Se establece la obligación de ingreso y liquidación en el mercado local de cambios de nuevas deudas de carácter financiero con el exterior que se desembolsen a partir de la fecha y la obligación de demostrar el cumplimiento de este requisito para el acceso al mercado de cambios para la atención de los servicios de capital e intereses de las mismas.</w:t>
      </w:r>
    </w:p>
    <w:p w14:paraId="0C447A4E" w14:textId="77777777" w:rsidR="00F0333A" w:rsidRPr="00E461D0" w:rsidRDefault="00F0333A">
      <w:pPr>
        <w:widowControl/>
        <w:jc w:val="both"/>
        <w:rPr>
          <w:rFonts w:ascii="Palatino Linotype" w:hAnsi="Palatino Linotype"/>
        </w:rPr>
      </w:pPr>
    </w:p>
    <w:p w14:paraId="7EDDFDF5" w14:textId="77777777" w:rsidR="00F0333A" w:rsidRPr="00E461D0" w:rsidRDefault="00F0333A">
      <w:pPr>
        <w:widowControl/>
        <w:jc w:val="both"/>
        <w:rPr>
          <w:rFonts w:ascii="Palatino Linotype" w:hAnsi="Palatino Linotype"/>
        </w:rPr>
      </w:pPr>
      <w:r w:rsidRPr="00E461D0">
        <w:rPr>
          <w:rFonts w:ascii="Palatino Linotype" w:hAnsi="Palatino Linotype"/>
        </w:rPr>
        <w:t>Se aclara que en el caso de las entidades autorizadas a operar en cambios, lo previsto en la Comunicación “A” 6770 acerca de la obligación de ingreso y liquidación en el mercado local de cambios de nuevas deudas de carácter financiero con el exterior, se considerará cumplido con el ingreso de los fondos a la Posición General de Cambios.</w:t>
      </w:r>
    </w:p>
    <w:p w14:paraId="3A14A900" w14:textId="77777777" w:rsidR="00F0333A" w:rsidRPr="00E461D0" w:rsidRDefault="00F0333A">
      <w:pPr>
        <w:widowControl/>
        <w:jc w:val="both"/>
        <w:rPr>
          <w:rFonts w:ascii="Palatino Linotype" w:hAnsi="Palatino Linotype"/>
        </w:rPr>
      </w:pPr>
    </w:p>
    <w:p w14:paraId="25649040" w14:textId="77777777" w:rsidR="00F0333A" w:rsidRPr="00E461D0" w:rsidRDefault="00F0333A">
      <w:pPr>
        <w:widowControl/>
        <w:jc w:val="both"/>
        <w:rPr>
          <w:rFonts w:ascii="Palatino Linotype" w:hAnsi="Palatino Linotype"/>
          <w:i/>
        </w:rPr>
      </w:pPr>
      <w:r w:rsidRPr="00E461D0">
        <w:rPr>
          <w:rFonts w:ascii="Palatino Linotype" w:hAnsi="Palatino Linotype"/>
          <w:i/>
        </w:rPr>
        <w:t>Prohibición del acceso para pago de deudas entre residentes – (excepciones)</w:t>
      </w:r>
    </w:p>
    <w:p w14:paraId="45A43459" w14:textId="77777777" w:rsidR="00F0333A" w:rsidRPr="00E461D0" w:rsidRDefault="00F0333A">
      <w:pPr>
        <w:widowControl/>
        <w:jc w:val="both"/>
        <w:rPr>
          <w:rFonts w:ascii="Palatino Linotype" w:hAnsi="Palatino Linotype"/>
        </w:rPr>
      </w:pPr>
    </w:p>
    <w:p w14:paraId="1DFE9EA0" w14:textId="477921E2" w:rsidR="00F0333A" w:rsidRPr="00E461D0" w:rsidRDefault="00F0333A">
      <w:pPr>
        <w:widowControl/>
        <w:jc w:val="both"/>
        <w:rPr>
          <w:rFonts w:ascii="Palatino Linotype" w:hAnsi="Palatino Linotype"/>
        </w:rPr>
      </w:pPr>
      <w:r w:rsidRPr="00E461D0">
        <w:rPr>
          <w:rFonts w:ascii="Palatino Linotype" w:hAnsi="Palatino Linotype"/>
        </w:rPr>
        <w:t>Se prohíbe el acceso al mercado de cambios para el pago de deudas y otras obligaciones en moneda extranjera entre residentes, concertadas a partir de la fecha. Para las obligaciones en moneda extranjera entre residentes instrumentadas mediante registros o escrituras públicos al 30.08.19, se podrá acceder a su vencimiento.</w:t>
      </w:r>
    </w:p>
    <w:p w14:paraId="0D15B5FE" w14:textId="77777777" w:rsidR="00F0333A" w:rsidRPr="00E461D0" w:rsidRDefault="00F0333A">
      <w:pPr>
        <w:widowControl/>
        <w:jc w:val="both"/>
        <w:rPr>
          <w:rFonts w:ascii="Palatino Linotype" w:hAnsi="Palatino Linotype"/>
        </w:rPr>
      </w:pPr>
    </w:p>
    <w:p w14:paraId="4C181C84" w14:textId="77777777" w:rsidR="00F0333A" w:rsidRPr="00E461D0" w:rsidRDefault="00F0333A">
      <w:pPr>
        <w:widowControl/>
        <w:jc w:val="both"/>
        <w:rPr>
          <w:rFonts w:ascii="Palatino Linotype" w:hAnsi="Palatino Linotype"/>
        </w:rPr>
      </w:pPr>
      <w:r w:rsidRPr="00E461D0">
        <w:rPr>
          <w:rFonts w:ascii="Palatino Linotype" w:hAnsi="Palatino Linotype"/>
        </w:rPr>
        <w:t>Se aclara que la prohibición del acceso al mercado de cambios para el pago de deudas y otras obligaciones en moneda extranjera entre residentes, no alcanza a los pagos de los clientes de las financiaciones en moneda extranjera otorgadas por entidades financieras locales, incluyendo los pagos por los consumos en moneda extranjera efectuados mediante tarjetas de crédito.</w:t>
      </w:r>
    </w:p>
    <w:p w14:paraId="14F3916A" w14:textId="77777777" w:rsidR="00F0333A" w:rsidRPr="00E461D0" w:rsidRDefault="00F0333A">
      <w:pPr>
        <w:widowControl/>
        <w:jc w:val="both"/>
        <w:rPr>
          <w:rFonts w:ascii="Palatino Linotype" w:hAnsi="Palatino Linotype"/>
        </w:rPr>
      </w:pPr>
    </w:p>
    <w:p w14:paraId="540ADD3A" w14:textId="77777777" w:rsidR="00F0333A" w:rsidRPr="00E461D0" w:rsidRDefault="00F0333A">
      <w:pPr>
        <w:widowControl/>
        <w:jc w:val="both"/>
        <w:rPr>
          <w:rFonts w:ascii="Palatino Linotype" w:hAnsi="Palatino Linotype"/>
        </w:rPr>
      </w:pPr>
      <w:r w:rsidRPr="00E461D0">
        <w:rPr>
          <w:rFonts w:ascii="Palatino Linotype" w:hAnsi="Palatino Linotype"/>
        </w:rPr>
        <w:t>Se podrá acceder al mercado de cambios para el pago, a su vencimiento de nuevas emisiones de títulos de deuda que se realicen con el objeto de refinanciar deudas que tuviesen acceso en virtud de lo dispuesto en este punto y conlleven un incremento de la vida promedio de las obligaciones.</w:t>
      </w:r>
    </w:p>
    <w:p w14:paraId="5F1E5590" w14:textId="77777777" w:rsidR="00F0333A" w:rsidRPr="00E461D0" w:rsidRDefault="00F0333A">
      <w:pPr>
        <w:widowControl/>
        <w:jc w:val="both"/>
        <w:rPr>
          <w:rFonts w:ascii="Palatino Linotype" w:hAnsi="Palatino Linotype"/>
        </w:rPr>
      </w:pPr>
    </w:p>
    <w:p w14:paraId="3FD5DBC7" w14:textId="77777777" w:rsidR="00F0333A" w:rsidRPr="00E461D0" w:rsidRDefault="00F0333A">
      <w:pPr>
        <w:widowControl/>
        <w:jc w:val="both"/>
        <w:rPr>
          <w:rFonts w:ascii="Palatino Linotype" w:hAnsi="Palatino Linotype"/>
          <w:i/>
        </w:rPr>
      </w:pPr>
      <w:r w:rsidRPr="00E461D0">
        <w:rPr>
          <w:rFonts w:ascii="Palatino Linotype" w:hAnsi="Palatino Linotype"/>
          <w:i/>
        </w:rPr>
        <w:t>Conformidad previa acceso para pago de utilidades y dividendos</w:t>
      </w:r>
    </w:p>
    <w:p w14:paraId="29C56F26" w14:textId="77777777" w:rsidR="00F0333A" w:rsidRPr="00E461D0" w:rsidRDefault="00F0333A">
      <w:pPr>
        <w:widowControl/>
        <w:jc w:val="both"/>
        <w:rPr>
          <w:rFonts w:ascii="Palatino Linotype" w:hAnsi="Palatino Linotype"/>
        </w:rPr>
      </w:pPr>
    </w:p>
    <w:p w14:paraId="0A5D35BE" w14:textId="1645C59F" w:rsidR="00F0333A" w:rsidRPr="00E461D0" w:rsidRDefault="00F0333A">
      <w:pPr>
        <w:widowControl/>
        <w:jc w:val="both"/>
        <w:rPr>
          <w:rFonts w:ascii="Palatino Linotype" w:hAnsi="Palatino Linotype"/>
        </w:rPr>
      </w:pPr>
      <w:r w:rsidRPr="00E461D0">
        <w:rPr>
          <w:rFonts w:ascii="Palatino Linotype" w:hAnsi="Palatino Linotype"/>
        </w:rPr>
        <w:t>Se establece el requisito de conformidad previa del BCRA para el acceso al mercado de cambios para el giro de utilidades y dividendos.</w:t>
      </w:r>
    </w:p>
    <w:p w14:paraId="0DBB1CD0" w14:textId="77777777" w:rsidR="00F0333A" w:rsidRPr="00E461D0" w:rsidRDefault="00F0333A">
      <w:pPr>
        <w:widowControl/>
        <w:jc w:val="both"/>
        <w:rPr>
          <w:rFonts w:ascii="Palatino Linotype" w:hAnsi="Palatino Linotype"/>
        </w:rPr>
      </w:pPr>
    </w:p>
    <w:p w14:paraId="34E36256" w14:textId="77777777" w:rsidR="00F0333A" w:rsidRPr="00E461D0" w:rsidRDefault="00F0333A">
      <w:pPr>
        <w:widowControl/>
        <w:jc w:val="both"/>
        <w:rPr>
          <w:rFonts w:ascii="Palatino Linotype" w:hAnsi="Palatino Linotype"/>
          <w:i/>
        </w:rPr>
      </w:pPr>
      <w:r w:rsidRPr="00E461D0">
        <w:rPr>
          <w:rFonts w:ascii="Palatino Linotype" w:hAnsi="Palatino Linotype"/>
          <w:i/>
        </w:rPr>
        <w:t>Conformidad previa para precancelar deudas financieras</w:t>
      </w:r>
    </w:p>
    <w:p w14:paraId="5E4D05F1" w14:textId="77777777" w:rsidR="00F0333A" w:rsidRPr="00E461D0" w:rsidRDefault="00F0333A">
      <w:pPr>
        <w:widowControl/>
        <w:jc w:val="both"/>
        <w:rPr>
          <w:rFonts w:ascii="Palatino Linotype" w:hAnsi="Palatino Linotype"/>
        </w:rPr>
      </w:pPr>
    </w:p>
    <w:p w14:paraId="12404C72" w14:textId="0F46F503" w:rsidR="00F0333A" w:rsidRDefault="00F0333A">
      <w:pPr>
        <w:widowControl/>
        <w:jc w:val="both"/>
        <w:rPr>
          <w:rFonts w:ascii="Palatino Linotype" w:hAnsi="Palatino Linotype"/>
        </w:rPr>
      </w:pPr>
      <w:r w:rsidRPr="00E461D0">
        <w:rPr>
          <w:rFonts w:ascii="Palatino Linotype" w:hAnsi="Palatino Linotype"/>
        </w:rPr>
        <w:t>Se requerirá la conformidad previa del BCRA para el acceso al mercado local de cambios para la precancelación con más de 3 días hábiles antes al vencimiento de servicios de capital e intereses de deudas financieras con el exterior.</w:t>
      </w:r>
    </w:p>
    <w:p w14:paraId="221C25CE" w14:textId="77777777" w:rsidR="00CC6CE1" w:rsidRDefault="00CC6CE1">
      <w:pPr>
        <w:widowControl/>
        <w:jc w:val="both"/>
        <w:rPr>
          <w:rFonts w:ascii="Palatino Linotype" w:hAnsi="Palatino Linotype"/>
        </w:rPr>
      </w:pPr>
    </w:p>
    <w:p w14:paraId="2CE30496" w14:textId="4F4F9BF1" w:rsidR="00CC6CE1" w:rsidRPr="00E461D0" w:rsidRDefault="00CC6CE1">
      <w:pPr>
        <w:widowControl/>
        <w:jc w:val="both"/>
        <w:rPr>
          <w:rFonts w:ascii="Palatino Linotype" w:hAnsi="Palatino Linotype"/>
        </w:rPr>
      </w:pPr>
      <w:r w:rsidRPr="00CC6CE1">
        <w:rPr>
          <w:rFonts w:ascii="Palatino Linotype" w:hAnsi="Palatino Linotype"/>
        </w:rPr>
        <w:t>Al respecto, la Comunicación “A” 6814 establece que no se requerirá conformidad previa del BCRA, en la medida que se verifiquen la totalidad de las siguientes condiciones: (i) La precancelación sea efectuada en manera simultánea con los fondos liquidados de un nuevo endeudamiento de carácter financiero desembolsado a partir del 17 de octubre; (ii) La vida promedio del nuevo endeudamiento sea mayor a la vida promedio remanente de la deuda que se precancela; (iii) El vencimiento del primer servicio de capital del nuevo endeudamiento no sea anterior al próximo vencimiento futuro previsto del servicio de capital de la deuda que se cancela; (iv) El monto del primer servicio de capital del nuevo endeudamiento no sea mayor al monto del próximo servicio de capital futuro previsto de la deuda que se cancela.</w:t>
      </w:r>
    </w:p>
    <w:p w14:paraId="4BE9D919" w14:textId="77777777" w:rsidR="00F0333A" w:rsidRPr="00E461D0" w:rsidRDefault="00F0333A">
      <w:pPr>
        <w:widowControl/>
        <w:jc w:val="both"/>
        <w:rPr>
          <w:rFonts w:ascii="Palatino Linotype" w:hAnsi="Palatino Linotype"/>
        </w:rPr>
      </w:pPr>
    </w:p>
    <w:p w14:paraId="47C164AA" w14:textId="77777777" w:rsidR="00F0333A" w:rsidRPr="00E461D0" w:rsidRDefault="00F0333A">
      <w:pPr>
        <w:widowControl/>
        <w:jc w:val="both"/>
        <w:rPr>
          <w:rFonts w:ascii="Palatino Linotype" w:hAnsi="Palatino Linotype"/>
          <w:i/>
        </w:rPr>
      </w:pPr>
      <w:r w:rsidRPr="00E461D0">
        <w:rPr>
          <w:rFonts w:ascii="Palatino Linotype" w:hAnsi="Palatino Linotype"/>
          <w:i/>
        </w:rPr>
        <w:t>Conformidad previa para precancelar deuda por importaciones</w:t>
      </w:r>
    </w:p>
    <w:p w14:paraId="653A7929" w14:textId="77777777" w:rsidR="00F0333A" w:rsidRPr="00E461D0" w:rsidRDefault="00F0333A">
      <w:pPr>
        <w:widowControl/>
        <w:jc w:val="both"/>
        <w:rPr>
          <w:rFonts w:ascii="Palatino Linotype" w:hAnsi="Palatino Linotype"/>
        </w:rPr>
      </w:pPr>
    </w:p>
    <w:p w14:paraId="613FB0E3" w14:textId="303222C5" w:rsidR="00F0333A" w:rsidRPr="00E461D0" w:rsidRDefault="00F0333A">
      <w:pPr>
        <w:widowControl/>
        <w:jc w:val="both"/>
        <w:rPr>
          <w:rFonts w:ascii="Palatino Linotype" w:hAnsi="Palatino Linotype"/>
        </w:rPr>
      </w:pPr>
      <w:r w:rsidRPr="00E461D0">
        <w:rPr>
          <w:rFonts w:ascii="Palatino Linotype" w:hAnsi="Palatino Linotype"/>
        </w:rPr>
        <w:t>Se establece el requisito de conformidad previa del BCRA para el acceso al mercado de cambios para la precancelación de deuda por importaciones de bienes y servicios.</w:t>
      </w:r>
    </w:p>
    <w:p w14:paraId="0E6CBFA1" w14:textId="77777777" w:rsidR="00F0333A" w:rsidRPr="00E461D0" w:rsidRDefault="00F0333A">
      <w:pPr>
        <w:widowControl/>
        <w:jc w:val="both"/>
        <w:rPr>
          <w:rFonts w:ascii="Palatino Linotype" w:hAnsi="Palatino Linotype"/>
        </w:rPr>
      </w:pPr>
    </w:p>
    <w:p w14:paraId="6371DA37" w14:textId="77777777" w:rsidR="00F0333A" w:rsidRPr="00E461D0" w:rsidRDefault="00F0333A">
      <w:pPr>
        <w:widowControl/>
        <w:jc w:val="both"/>
        <w:rPr>
          <w:rFonts w:ascii="Palatino Linotype" w:hAnsi="Palatino Linotype"/>
          <w:i/>
        </w:rPr>
      </w:pPr>
      <w:r w:rsidRPr="00E461D0">
        <w:rPr>
          <w:rFonts w:ascii="Palatino Linotype" w:hAnsi="Palatino Linotype"/>
          <w:i/>
        </w:rPr>
        <w:t>Conformidad previa para pagos de deudas por importación con empresas vinculadas del exterior hasta US$ 2 millones</w:t>
      </w:r>
    </w:p>
    <w:p w14:paraId="7D0031B7" w14:textId="77777777" w:rsidR="00F0333A" w:rsidRPr="00E461D0" w:rsidRDefault="00F0333A">
      <w:pPr>
        <w:widowControl/>
        <w:jc w:val="both"/>
        <w:rPr>
          <w:rFonts w:ascii="Palatino Linotype" w:hAnsi="Palatino Linotype"/>
        </w:rPr>
      </w:pPr>
    </w:p>
    <w:p w14:paraId="21CD6372" w14:textId="171AE9E5" w:rsidR="00F0333A" w:rsidRPr="00E461D0" w:rsidRDefault="00F0333A">
      <w:pPr>
        <w:widowControl/>
        <w:jc w:val="both"/>
        <w:rPr>
          <w:rFonts w:ascii="Palatino Linotype" w:hAnsi="Palatino Linotype"/>
        </w:rPr>
      </w:pPr>
      <w:r w:rsidRPr="00E461D0">
        <w:rPr>
          <w:rFonts w:ascii="Palatino Linotype" w:hAnsi="Palatino Linotype"/>
        </w:rPr>
        <w:t>Se establece el requisito de conformidad previa del BCRA para el acceso al mercado de cambios para pagos de deudas vencidas o a la vista por importaciones de bienes con empresas vinculadas del exterior cuando supere el equivalente a US$ 2 millones mensuales por cliente residente.</w:t>
      </w:r>
    </w:p>
    <w:p w14:paraId="7E8BA1DF" w14:textId="77777777" w:rsidR="003E5F8E" w:rsidRPr="00E461D0" w:rsidRDefault="003E5F8E">
      <w:pPr>
        <w:widowControl/>
        <w:jc w:val="both"/>
        <w:rPr>
          <w:rFonts w:ascii="Palatino Linotype" w:hAnsi="Palatino Linotype"/>
        </w:rPr>
      </w:pPr>
    </w:p>
    <w:p w14:paraId="5F6CE2BB" w14:textId="77777777" w:rsidR="00F0333A" w:rsidRPr="00E461D0" w:rsidRDefault="00F0333A">
      <w:pPr>
        <w:widowControl/>
        <w:jc w:val="both"/>
        <w:rPr>
          <w:rFonts w:ascii="Palatino Linotype" w:hAnsi="Palatino Linotype"/>
        </w:rPr>
      </w:pPr>
      <w:r w:rsidRPr="00E461D0">
        <w:rPr>
          <w:rFonts w:ascii="Palatino Linotype" w:hAnsi="Palatino Linotype"/>
        </w:rPr>
        <w:t>Se aclara que se consideran “deudas vencidas y a la vista de importaciones de bienes” a todas aquellas pendientes al 31.08.19, tanto aquéllas cuyo vencimiento hubiera operado con anterioridad a dicha fecha, como las que no tuvieran una fecha de vencimiento estipulada.</w:t>
      </w:r>
    </w:p>
    <w:p w14:paraId="4DCDE43E" w14:textId="77777777" w:rsidR="003E5F8E" w:rsidRPr="00E461D0" w:rsidRDefault="003E5F8E">
      <w:pPr>
        <w:widowControl/>
        <w:jc w:val="both"/>
        <w:rPr>
          <w:rFonts w:ascii="Palatino Linotype" w:hAnsi="Palatino Linotype"/>
        </w:rPr>
      </w:pPr>
    </w:p>
    <w:p w14:paraId="6F43035C" w14:textId="77777777" w:rsidR="00F0333A" w:rsidRPr="00E461D0" w:rsidRDefault="00F0333A">
      <w:pPr>
        <w:widowControl/>
        <w:jc w:val="both"/>
        <w:rPr>
          <w:rFonts w:ascii="Palatino Linotype" w:hAnsi="Palatino Linotype"/>
          <w:i/>
        </w:rPr>
      </w:pPr>
      <w:r w:rsidRPr="00E461D0">
        <w:rPr>
          <w:rFonts w:ascii="Palatino Linotype" w:hAnsi="Palatino Linotype"/>
          <w:i/>
        </w:rPr>
        <w:t>Conformidad previa para pagos de servicios con empresas vinculadas del exterior (con excepciones)</w:t>
      </w:r>
    </w:p>
    <w:p w14:paraId="6EB9FEA7" w14:textId="77777777" w:rsidR="003E5F8E" w:rsidRPr="00E461D0" w:rsidRDefault="003E5F8E">
      <w:pPr>
        <w:widowControl/>
        <w:jc w:val="both"/>
        <w:rPr>
          <w:rFonts w:ascii="Palatino Linotype" w:hAnsi="Palatino Linotype"/>
        </w:rPr>
      </w:pPr>
    </w:p>
    <w:p w14:paraId="78E4E20B" w14:textId="706B4E97" w:rsidR="00F0333A" w:rsidRPr="00E461D0" w:rsidRDefault="00F0333A">
      <w:pPr>
        <w:widowControl/>
        <w:jc w:val="both"/>
        <w:rPr>
          <w:rFonts w:ascii="Palatino Linotype" w:hAnsi="Palatino Linotype"/>
        </w:rPr>
      </w:pPr>
      <w:r w:rsidRPr="00E461D0">
        <w:rPr>
          <w:rFonts w:ascii="Palatino Linotype" w:hAnsi="Palatino Linotype"/>
        </w:rPr>
        <w:t>Se establece el requisito de conformidad previa del BCRA para el acceso al mercado de cambios para el pago de servicios con empresas vinculadas del exterior, excepto para las emisoras de tarjetas por los giros por turismo y viajes.</w:t>
      </w:r>
    </w:p>
    <w:p w14:paraId="5FB2F5DB" w14:textId="77777777" w:rsidR="003E5F8E" w:rsidRPr="00E461D0" w:rsidRDefault="003E5F8E">
      <w:pPr>
        <w:widowControl/>
        <w:jc w:val="both"/>
        <w:rPr>
          <w:rFonts w:ascii="Palatino Linotype" w:hAnsi="Palatino Linotype"/>
        </w:rPr>
      </w:pPr>
    </w:p>
    <w:p w14:paraId="7FC0C97C" w14:textId="77777777" w:rsidR="00F0333A" w:rsidRPr="00E461D0" w:rsidRDefault="00F0333A">
      <w:pPr>
        <w:widowControl/>
        <w:jc w:val="both"/>
        <w:rPr>
          <w:rFonts w:ascii="Palatino Linotype" w:hAnsi="Palatino Linotype"/>
        </w:rPr>
      </w:pPr>
      <w:r w:rsidRPr="00E461D0">
        <w:rPr>
          <w:rFonts w:ascii="Palatino Linotype" w:hAnsi="Palatino Linotype"/>
        </w:rPr>
        <w:t>Asimismo se establece que están exceptuados del requisito de conformidad previa del BCRA para el acceso al mercado de cambios para el pago de servicios con empresas vinculadas del exterior, aquellos agentes locales que recauden en el país los fondos correspondientes a servicios prestados por no residentes a residentes y las entidades por los gastos que abonen a entidades del exterior por su operatoria habitual.</w:t>
      </w:r>
    </w:p>
    <w:p w14:paraId="6F8ECE43" w14:textId="77777777" w:rsidR="003E5F8E" w:rsidRPr="00E461D0" w:rsidRDefault="003E5F8E">
      <w:pPr>
        <w:widowControl/>
        <w:jc w:val="both"/>
        <w:rPr>
          <w:rFonts w:ascii="Palatino Linotype" w:hAnsi="Palatino Linotype"/>
        </w:rPr>
      </w:pPr>
    </w:p>
    <w:p w14:paraId="21FEA63D" w14:textId="77777777" w:rsidR="00F0333A" w:rsidRPr="00E461D0" w:rsidRDefault="00F0333A">
      <w:pPr>
        <w:widowControl/>
        <w:jc w:val="both"/>
        <w:rPr>
          <w:rFonts w:ascii="Palatino Linotype" w:hAnsi="Palatino Linotype"/>
        </w:rPr>
      </w:pPr>
      <w:r w:rsidRPr="00E461D0">
        <w:rPr>
          <w:rFonts w:ascii="Palatino Linotype" w:hAnsi="Palatino Linotype"/>
        </w:rPr>
        <w:t>La Comunicación “A” 6780 aclara que no se aplica el requisito de conformidad previa para dar curso a transferencias al exterior en concepto de pagos de primas de reaseguros en el exterior. En estos casos, la transferencia al exterior debe ser realizada a nombre del beneficiario del exterior admitido por la Superintendencia de Seguros de la Nación.</w:t>
      </w:r>
    </w:p>
    <w:p w14:paraId="548BDC45" w14:textId="77777777" w:rsidR="003E5F8E" w:rsidRPr="00E461D0" w:rsidRDefault="003E5F8E">
      <w:pPr>
        <w:widowControl/>
        <w:jc w:val="both"/>
        <w:rPr>
          <w:rFonts w:ascii="Palatino Linotype" w:hAnsi="Palatino Linotype"/>
        </w:rPr>
      </w:pPr>
    </w:p>
    <w:p w14:paraId="413C464E" w14:textId="77777777" w:rsidR="00F0333A" w:rsidRPr="00E461D0" w:rsidRDefault="00F0333A">
      <w:pPr>
        <w:widowControl/>
        <w:jc w:val="both"/>
        <w:rPr>
          <w:rFonts w:ascii="Palatino Linotype" w:hAnsi="Palatino Linotype"/>
          <w:i/>
        </w:rPr>
      </w:pPr>
      <w:r w:rsidRPr="00E461D0">
        <w:rPr>
          <w:rFonts w:ascii="Palatino Linotype" w:hAnsi="Palatino Linotype"/>
          <w:i/>
        </w:rPr>
        <w:t>Operaciones de canje y arbitraje</w:t>
      </w:r>
    </w:p>
    <w:p w14:paraId="148E2DB1" w14:textId="77777777" w:rsidR="003E5F8E" w:rsidRPr="00E461D0" w:rsidRDefault="003E5F8E">
      <w:pPr>
        <w:widowControl/>
        <w:jc w:val="both"/>
        <w:rPr>
          <w:rFonts w:ascii="Palatino Linotype" w:hAnsi="Palatino Linotype"/>
        </w:rPr>
      </w:pPr>
    </w:p>
    <w:p w14:paraId="4061F780" w14:textId="3F326ECA" w:rsidR="00F0333A" w:rsidRPr="00E461D0" w:rsidRDefault="00F0333A">
      <w:pPr>
        <w:widowControl/>
        <w:jc w:val="both"/>
        <w:rPr>
          <w:rFonts w:ascii="Palatino Linotype" w:hAnsi="Palatino Linotype"/>
        </w:rPr>
      </w:pPr>
      <w:r w:rsidRPr="00E461D0">
        <w:rPr>
          <w:rFonts w:ascii="Palatino Linotype" w:hAnsi="Palatino Linotype"/>
        </w:rPr>
        <w:t xml:space="preserve">Las operaciones de canje y arbitraje podrán realizarse con clientes sin la conformidad previa del BCRA en la medida que de instrumentarse como operaciones individuales pasando por </w:t>
      </w:r>
      <w:r w:rsidR="00CE678E">
        <w:rPr>
          <w:rFonts w:ascii="Palatino Linotype" w:hAnsi="Palatino Linotype"/>
        </w:rPr>
        <w:t>P</w:t>
      </w:r>
      <w:r w:rsidRPr="00E461D0">
        <w:rPr>
          <w:rFonts w:ascii="Palatino Linotype" w:hAnsi="Palatino Linotype"/>
        </w:rPr>
        <w:t>esos puedan realizarse sin dicha conformidad de acuerdo con las normas de la presente.</w:t>
      </w:r>
    </w:p>
    <w:p w14:paraId="7B752E89" w14:textId="77777777" w:rsidR="003E5F8E" w:rsidRPr="00E461D0" w:rsidRDefault="003E5F8E">
      <w:pPr>
        <w:widowControl/>
        <w:jc w:val="both"/>
        <w:rPr>
          <w:rFonts w:ascii="Palatino Linotype" w:hAnsi="Palatino Linotype"/>
        </w:rPr>
      </w:pPr>
    </w:p>
    <w:p w14:paraId="0960C930" w14:textId="77777777" w:rsidR="00F0333A" w:rsidRPr="00E461D0" w:rsidRDefault="00F0333A">
      <w:pPr>
        <w:widowControl/>
        <w:jc w:val="both"/>
        <w:rPr>
          <w:rFonts w:ascii="Palatino Linotype" w:hAnsi="Palatino Linotype"/>
        </w:rPr>
      </w:pPr>
      <w:r w:rsidRPr="00E461D0">
        <w:rPr>
          <w:rFonts w:ascii="Palatino Linotype" w:hAnsi="Palatino Linotype"/>
        </w:rPr>
        <w:t>Se aclara que: (i) la transferencia de divisas de las personas humanas desde sus cuentas locales en moneda extranjera a cuentas propias en el exterior se puede efectuar sin restricciones; (ii) los canjes y arbitrajes que impliquen ingresos de divisas por operaciones no alcanzadas por la obligación de liquidación en el mercado de cambios pueden ser realizadas sin restricciones.</w:t>
      </w:r>
    </w:p>
    <w:p w14:paraId="5987398D" w14:textId="77777777" w:rsidR="003E5F8E" w:rsidRPr="00E461D0" w:rsidRDefault="003E5F8E">
      <w:pPr>
        <w:widowControl/>
        <w:jc w:val="both"/>
        <w:rPr>
          <w:rFonts w:ascii="Palatino Linotype" w:hAnsi="Palatino Linotype"/>
        </w:rPr>
      </w:pPr>
    </w:p>
    <w:p w14:paraId="6112E830" w14:textId="4A6D514B" w:rsidR="00F0333A" w:rsidRPr="00E461D0" w:rsidRDefault="00F0333A">
      <w:pPr>
        <w:widowControl/>
        <w:jc w:val="both"/>
        <w:rPr>
          <w:rFonts w:ascii="Palatino Linotype" w:hAnsi="Palatino Linotype"/>
        </w:rPr>
      </w:pPr>
      <w:r w:rsidRPr="00E461D0">
        <w:rPr>
          <w:rFonts w:ascii="Palatino Linotype" w:hAnsi="Palatino Linotype"/>
        </w:rPr>
        <w:t xml:space="preserve">La Comunicación “A” 6780 aclara lo dispuesto en el punto 15 de la Comunicación “A” 6770 estableciendo que las operaciones de canje y arbitraje podrán realizarse con clientes sin la conformidad previa del BCRA en la medida que de instrumentarse como operaciones individuales pasando por </w:t>
      </w:r>
      <w:r w:rsidR="00CE678E">
        <w:rPr>
          <w:rFonts w:ascii="Palatino Linotype" w:hAnsi="Palatino Linotype"/>
        </w:rPr>
        <w:t>P</w:t>
      </w:r>
      <w:r w:rsidRPr="00E461D0">
        <w:rPr>
          <w:rFonts w:ascii="Palatino Linotype" w:hAnsi="Palatino Linotype"/>
        </w:rPr>
        <w:t>esos, puedan realizarse sin dicha conformidad, también resulta de aplicación a las centrales locales de depósito colectivo de valores por los fondos percibidos en moneda extranjera por los servicios de capital y renta de títulos en moneda extranjera abonados en el país.</w:t>
      </w:r>
    </w:p>
    <w:p w14:paraId="33B7B2C3" w14:textId="77777777" w:rsidR="003E5F8E" w:rsidRPr="00E461D0" w:rsidRDefault="003E5F8E">
      <w:pPr>
        <w:widowControl/>
        <w:jc w:val="both"/>
        <w:rPr>
          <w:rFonts w:ascii="Palatino Linotype" w:hAnsi="Palatino Linotype"/>
        </w:rPr>
      </w:pPr>
    </w:p>
    <w:p w14:paraId="2D626AA8" w14:textId="77777777" w:rsidR="00F0333A" w:rsidRPr="00E461D0" w:rsidRDefault="00F0333A">
      <w:pPr>
        <w:widowControl/>
        <w:jc w:val="both"/>
        <w:rPr>
          <w:rFonts w:ascii="Palatino Linotype" w:hAnsi="Palatino Linotype"/>
          <w:i/>
        </w:rPr>
      </w:pPr>
      <w:r w:rsidRPr="00E461D0">
        <w:rPr>
          <w:rFonts w:ascii="Palatino Linotype" w:hAnsi="Palatino Linotype"/>
          <w:i/>
        </w:rPr>
        <w:t>Contado con liquidación</w:t>
      </w:r>
    </w:p>
    <w:p w14:paraId="2951A2D5" w14:textId="77777777" w:rsidR="003E5F8E" w:rsidRPr="00E461D0" w:rsidRDefault="003E5F8E">
      <w:pPr>
        <w:widowControl/>
        <w:jc w:val="both"/>
        <w:rPr>
          <w:rFonts w:ascii="Palatino Linotype" w:hAnsi="Palatino Linotype"/>
        </w:rPr>
      </w:pPr>
    </w:p>
    <w:p w14:paraId="33A2741E" w14:textId="3BE07D80" w:rsidR="00F0333A" w:rsidRPr="00E461D0" w:rsidRDefault="00F0333A">
      <w:pPr>
        <w:widowControl/>
        <w:jc w:val="both"/>
        <w:rPr>
          <w:rFonts w:ascii="Palatino Linotype" w:hAnsi="Palatino Linotype"/>
        </w:rPr>
      </w:pPr>
      <w:r w:rsidRPr="00E461D0">
        <w:rPr>
          <w:rFonts w:ascii="Palatino Linotype" w:hAnsi="Palatino Linotype"/>
        </w:rPr>
        <w:t>Las entidades autorizadas a operar en cambios no podrán comprar con liquidación en moneda extranjera títulos valores en el mercado secundario ni utilizar tenencias de su posición general de cambios para pagos a proveedores locales.</w:t>
      </w:r>
    </w:p>
    <w:p w14:paraId="2E3B7337" w14:textId="77777777" w:rsidR="003E5F8E" w:rsidRPr="00E461D0" w:rsidRDefault="003E5F8E">
      <w:pPr>
        <w:widowControl/>
        <w:jc w:val="both"/>
        <w:rPr>
          <w:rFonts w:ascii="Palatino Linotype" w:hAnsi="Palatino Linotype"/>
        </w:rPr>
      </w:pPr>
    </w:p>
    <w:p w14:paraId="7A4D6881" w14:textId="77777777" w:rsidR="00F0333A" w:rsidRPr="00E461D0" w:rsidRDefault="00F0333A">
      <w:pPr>
        <w:widowControl/>
        <w:jc w:val="both"/>
        <w:rPr>
          <w:rFonts w:ascii="Palatino Linotype" w:hAnsi="Palatino Linotype"/>
          <w:i/>
        </w:rPr>
      </w:pPr>
      <w:r w:rsidRPr="00E461D0">
        <w:rPr>
          <w:rFonts w:ascii="Palatino Linotype" w:hAnsi="Palatino Linotype"/>
          <w:i/>
        </w:rPr>
        <w:t>Casas y agencias de cambio – Tenencia de moneda extranjera</w:t>
      </w:r>
    </w:p>
    <w:p w14:paraId="39BFC50B" w14:textId="77777777" w:rsidR="003E5F8E" w:rsidRPr="00E461D0" w:rsidRDefault="003E5F8E">
      <w:pPr>
        <w:widowControl/>
        <w:jc w:val="both"/>
        <w:rPr>
          <w:rFonts w:ascii="Palatino Linotype" w:hAnsi="Palatino Linotype"/>
        </w:rPr>
      </w:pPr>
    </w:p>
    <w:p w14:paraId="06AF1341" w14:textId="0CF71C74" w:rsidR="00F0333A" w:rsidRPr="00E461D0" w:rsidRDefault="00F0333A">
      <w:pPr>
        <w:widowControl/>
        <w:jc w:val="both"/>
        <w:rPr>
          <w:rFonts w:ascii="Palatino Linotype" w:hAnsi="Palatino Linotype"/>
        </w:rPr>
      </w:pPr>
      <w:r w:rsidRPr="00E461D0">
        <w:rPr>
          <w:rFonts w:ascii="Palatino Linotype" w:hAnsi="Palatino Linotype"/>
        </w:rPr>
        <w:t>Las Casas y Agencias de Cambio no podrán incrementar, sin conformidad previa del BCRA, sus tenencias en moneda extranjera respecto al promedio de sus tenencias de agosto de 2019 o el stock al cierre del día anterior a la entrada en vigencia de la presente, el máximo de los dos.</w:t>
      </w:r>
    </w:p>
    <w:p w14:paraId="058257CB" w14:textId="77777777" w:rsidR="00F0333A" w:rsidRPr="00E461D0" w:rsidRDefault="00F0333A">
      <w:pPr>
        <w:widowControl/>
        <w:jc w:val="both"/>
        <w:rPr>
          <w:rFonts w:ascii="Palatino Linotype" w:hAnsi="Palatino Linotype"/>
        </w:rPr>
      </w:pPr>
      <w:r w:rsidRPr="00E461D0">
        <w:rPr>
          <w:rFonts w:ascii="Palatino Linotype" w:hAnsi="Palatino Linotype"/>
        </w:rPr>
        <w:t xml:space="preserve">Se dispone que las autorizaciones otorgadas a casas y agencias de cambio antes del 01.09.19 que no inicien actividades antes del 30.09.19, caducarán a partir de esta última fecha, procediéndose a darlas de baja del registro correspondiente. </w:t>
      </w:r>
    </w:p>
    <w:p w14:paraId="7F0B3F5D" w14:textId="77777777" w:rsidR="003E5F8E" w:rsidRPr="00E461D0" w:rsidRDefault="003E5F8E">
      <w:pPr>
        <w:widowControl/>
        <w:jc w:val="both"/>
        <w:rPr>
          <w:rFonts w:ascii="Palatino Linotype" w:hAnsi="Palatino Linotype"/>
        </w:rPr>
      </w:pPr>
    </w:p>
    <w:p w14:paraId="746EBC8B" w14:textId="77777777" w:rsidR="00F0333A" w:rsidRPr="00E461D0" w:rsidRDefault="00F0333A">
      <w:pPr>
        <w:widowControl/>
        <w:jc w:val="both"/>
        <w:rPr>
          <w:rFonts w:ascii="Palatino Linotype" w:hAnsi="Palatino Linotype"/>
        </w:rPr>
      </w:pPr>
      <w:r w:rsidRPr="00E461D0">
        <w:rPr>
          <w:rFonts w:ascii="Palatino Linotype" w:hAnsi="Palatino Linotype"/>
        </w:rPr>
        <w:t>Asimismo, se dispone que las casas y agencias de cambios inscriptas antes del 01.09.19 y que no hubieran operado hasta esa fecha, a los efectos de determinar la posibilidad de incrementar sin conformidad previa del BCRA sus tenencias en moneda extranjera respecto del promedio de sus tenencias de agosto de 2019, o el stock al cierre del día anterior a la entrada en vigencia de la Comunicación “A” 6770, el máximo de los dos, deberán considerar las tenencias de moneda extranjera registradas al inicio del día en que comiencen su operatoria.</w:t>
      </w:r>
    </w:p>
    <w:p w14:paraId="6D8ADFF3" w14:textId="77777777" w:rsidR="003E5F8E" w:rsidRPr="00E461D0" w:rsidRDefault="003E5F8E">
      <w:pPr>
        <w:widowControl/>
        <w:jc w:val="both"/>
        <w:rPr>
          <w:rFonts w:ascii="Palatino Linotype" w:hAnsi="Palatino Linotype"/>
        </w:rPr>
      </w:pPr>
    </w:p>
    <w:p w14:paraId="57440A5E" w14:textId="77777777" w:rsidR="00F0333A" w:rsidRPr="00E461D0" w:rsidRDefault="00F0333A">
      <w:pPr>
        <w:widowControl/>
        <w:jc w:val="both"/>
        <w:rPr>
          <w:rFonts w:ascii="Palatino Linotype" w:hAnsi="Palatino Linotype"/>
          <w:i/>
        </w:rPr>
      </w:pPr>
      <w:r w:rsidRPr="00E461D0">
        <w:rPr>
          <w:rFonts w:ascii="Palatino Linotype" w:hAnsi="Palatino Linotype"/>
          <w:i/>
        </w:rPr>
        <w:t>Boletos de compra y venta de Cambio</w:t>
      </w:r>
    </w:p>
    <w:p w14:paraId="03BE4F36" w14:textId="77777777" w:rsidR="003E5F8E" w:rsidRPr="00E461D0" w:rsidRDefault="003E5F8E">
      <w:pPr>
        <w:widowControl/>
        <w:jc w:val="both"/>
        <w:rPr>
          <w:rFonts w:ascii="Palatino Linotype" w:hAnsi="Palatino Linotype"/>
        </w:rPr>
      </w:pPr>
    </w:p>
    <w:p w14:paraId="684EAB50" w14:textId="36F18DAE" w:rsidR="00F0333A" w:rsidRPr="00E461D0" w:rsidRDefault="00F0333A">
      <w:pPr>
        <w:widowControl/>
        <w:jc w:val="both"/>
        <w:rPr>
          <w:rFonts w:ascii="Palatino Linotype" w:hAnsi="Palatino Linotype"/>
        </w:rPr>
      </w:pPr>
      <w:r w:rsidRPr="00E461D0">
        <w:rPr>
          <w:rFonts w:ascii="Palatino Linotype" w:hAnsi="Palatino Linotype"/>
        </w:rPr>
        <w:t>Por cada operación de cambio, se debe realizar un boleto de compra o venta de cambio, según corresponda. En el boleto de cambio debe constar el carácter de declaración jurada del ordenante de la operación de cambio sobre todos los datos contenidos en el mismo, incluyendo el concepto de la operación y el cumplimiento de los límites y requisitos establecidos en la Comunicación “A” 6770. La entidad interviniente deberá constatar la razonabilidad de la operación y el cumplimiento de los límites.</w:t>
      </w:r>
    </w:p>
    <w:p w14:paraId="6BD5157D" w14:textId="77777777" w:rsidR="003E5F8E" w:rsidRPr="00E461D0" w:rsidRDefault="003E5F8E">
      <w:pPr>
        <w:widowControl/>
        <w:jc w:val="both"/>
        <w:rPr>
          <w:rFonts w:ascii="Palatino Linotype" w:hAnsi="Palatino Linotype"/>
        </w:rPr>
      </w:pPr>
    </w:p>
    <w:p w14:paraId="2D0EFCDF" w14:textId="77777777" w:rsidR="00F0333A" w:rsidRPr="00E461D0" w:rsidRDefault="00F0333A">
      <w:pPr>
        <w:widowControl/>
        <w:jc w:val="both"/>
        <w:rPr>
          <w:rFonts w:ascii="Palatino Linotype" w:hAnsi="Palatino Linotype"/>
        </w:rPr>
      </w:pPr>
      <w:r w:rsidRPr="00E461D0">
        <w:rPr>
          <w:rFonts w:ascii="Palatino Linotype" w:hAnsi="Palatino Linotype"/>
        </w:rPr>
        <w:t>En los boletos de compra y de venta de moneda extranjera, debe constar la firma del cliente que realiza la operación de cambio, quien debe presentar documento de identificación admitido para operar con entidades financieras de acuerdo al punto 3.1.1 del Texto Ordenado de “Exterior y Cambios”.</w:t>
      </w:r>
    </w:p>
    <w:p w14:paraId="68A64EF9" w14:textId="77777777" w:rsidR="003E5F8E" w:rsidRPr="00E461D0" w:rsidRDefault="003E5F8E">
      <w:pPr>
        <w:widowControl/>
        <w:jc w:val="both"/>
        <w:rPr>
          <w:rFonts w:ascii="Palatino Linotype" w:hAnsi="Palatino Linotype"/>
        </w:rPr>
      </w:pPr>
    </w:p>
    <w:p w14:paraId="3307C490" w14:textId="77777777" w:rsidR="00F0333A" w:rsidRPr="00E461D0" w:rsidRDefault="00F0333A">
      <w:pPr>
        <w:widowControl/>
        <w:jc w:val="both"/>
        <w:rPr>
          <w:rFonts w:ascii="Palatino Linotype" w:hAnsi="Palatino Linotype"/>
        </w:rPr>
      </w:pPr>
      <w:r w:rsidRPr="00E461D0">
        <w:rPr>
          <w:rFonts w:ascii="Palatino Linotype" w:hAnsi="Palatino Linotype"/>
        </w:rPr>
        <w:t>En el caso de operaciones por canales electrónicos y/o firma electrónica o digital, se aplica el punto 3.1.2 del referido Texto Ordenado.</w:t>
      </w:r>
    </w:p>
    <w:p w14:paraId="4F309C52" w14:textId="77777777" w:rsidR="003E5F8E" w:rsidRPr="00E461D0" w:rsidRDefault="003E5F8E">
      <w:pPr>
        <w:widowControl/>
        <w:jc w:val="both"/>
        <w:rPr>
          <w:rFonts w:ascii="Palatino Linotype" w:hAnsi="Palatino Linotype"/>
        </w:rPr>
      </w:pPr>
    </w:p>
    <w:p w14:paraId="4C0CA214" w14:textId="77777777" w:rsidR="00F0333A" w:rsidRPr="00E461D0" w:rsidRDefault="00F0333A">
      <w:pPr>
        <w:widowControl/>
        <w:jc w:val="both"/>
        <w:rPr>
          <w:rFonts w:ascii="Palatino Linotype" w:hAnsi="Palatino Linotype"/>
          <w:i/>
        </w:rPr>
      </w:pPr>
      <w:r w:rsidRPr="00E461D0">
        <w:rPr>
          <w:rFonts w:ascii="Palatino Linotype" w:hAnsi="Palatino Linotype"/>
          <w:i/>
        </w:rPr>
        <w:t>Requisitos previos para el acceso para pago de deudas financieras o comerciales y para pago anticipado de importaciones</w:t>
      </w:r>
    </w:p>
    <w:p w14:paraId="16E9C4EB" w14:textId="77777777" w:rsidR="003E5F8E" w:rsidRPr="00E461D0" w:rsidRDefault="003E5F8E">
      <w:pPr>
        <w:widowControl/>
        <w:jc w:val="both"/>
        <w:rPr>
          <w:rFonts w:ascii="Palatino Linotype" w:hAnsi="Palatino Linotype"/>
        </w:rPr>
      </w:pPr>
    </w:p>
    <w:p w14:paraId="1BB2A3F9" w14:textId="1D678ACA" w:rsidR="00F0333A" w:rsidRPr="00E461D0" w:rsidRDefault="00F0333A">
      <w:pPr>
        <w:widowControl/>
        <w:jc w:val="both"/>
        <w:rPr>
          <w:rFonts w:ascii="Palatino Linotype" w:hAnsi="Palatino Linotype"/>
        </w:rPr>
      </w:pPr>
      <w:r w:rsidRPr="00E461D0">
        <w:rPr>
          <w:rFonts w:ascii="Palatino Linotype" w:hAnsi="Palatino Linotype"/>
        </w:rPr>
        <w:t>En el caso de acceso al mercado local de cambios para el pago de deudas financieras o comerciales con el exterior de acuerdo a las normas establecidas en la Comunicación “A” 6770 deberá demostrarse, en caso de corresponder, que la operación se encuentra declarada en la última presentación vencida del Relevamiento de activos y pasivos externos. En el caso de pagos anticipados de importaciones</w:t>
      </w:r>
      <w:r w:rsidR="00CC6CE1">
        <w:rPr>
          <w:rFonts w:ascii="Palatino Linotype" w:hAnsi="Palatino Linotype"/>
        </w:rPr>
        <w:t xml:space="preserve"> </w:t>
      </w:r>
      <w:r w:rsidR="00CC6CE1" w:rsidRPr="00CC6CE1">
        <w:rPr>
          <w:rFonts w:ascii="Palatino Linotype" w:hAnsi="Palatino Linotype"/>
        </w:rPr>
        <w:t>la Comunicación “A” 6815 establece que</w:t>
      </w:r>
      <w:r w:rsidRPr="00E461D0">
        <w:rPr>
          <w:rFonts w:ascii="Palatino Linotype" w:hAnsi="Palatino Linotype"/>
        </w:rPr>
        <w:t xml:space="preserve">, deberá presentarse la documentación respaldatoria, se deberá demostrar el registro de ingreso aduanero de los bienes dentro de los </w:t>
      </w:r>
      <w:r w:rsidR="00CC6CE1">
        <w:rPr>
          <w:rFonts w:ascii="Palatino Linotype" w:hAnsi="Palatino Linotype"/>
        </w:rPr>
        <w:t>90</w:t>
      </w:r>
      <w:r w:rsidRPr="00E461D0">
        <w:rPr>
          <w:rFonts w:ascii="Palatino Linotype" w:hAnsi="Palatino Linotype"/>
        </w:rPr>
        <w:t xml:space="preserve"> días corridos desde su acceso al mercado de cambios </w:t>
      </w:r>
      <w:r w:rsidR="00CC6CE1">
        <w:rPr>
          <w:rFonts w:ascii="Palatino Linotype" w:hAnsi="Palatino Linotype"/>
        </w:rPr>
        <w:t>en</w:t>
      </w:r>
      <w:r w:rsidRPr="00E461D0">
        <w:rPr>
          <w:rFonts w:ascii="Palatino Linotype" w:hAnsi="Palatino Linotype"/>
        </w:rPr>
        <w:t xml:space="preserve"> el </w:t>
      </w:r>
      <w:r w:rsidR="00CC6CE1">
        <w:rPr>
          <w:rFonts w:ascii="Palatino Linotype" w:hAnsi="Palatino Linotype"/>
        </w:rPr>
        <w:t xml:space="preserve">caso de los </w:t>
      </w:r>
      <w:r w:rsidR="00CC6CE1" w:rsidRPr="0009447F">
        <w:rPr>
          <w:rFonts w:ascii="Palatino Linotype" w:hAnsi="Palatino Linotype"/>
        </w:rPr>
        <w:t>pagos anticipados de importaciones a proveedores no vinculados</w:t>
      </w:r>
      <w:r w:rsidRPr="00E461D0">
        <w:rPr>
          <w:rFonts w:ascii="Palatino Linotype" w:hAnsi="Palatino Linotype"/>
        </w:rPr>
        <w:t xml:space="preserve"> </w:t>
      </w:r>
      <w:r w:rsidR="00CC6CE1">
        <w:rPr>
          <w:rFonts w:ascii="Palatino Linotype" w:hAnsi="Palatino Linotype"/>
        </w:rPr>
        <w:t>con</w:t>
      </w:r>
      <w:r w:rsidRPr="00E461D0">
        <w:rPr>
          <w:rFonts w:ascii="Palatino Linotype" w:hAnsi="Palatino Linotype"/>
        </w:rPr>
        <w:t xml:space="preserve"> el </w:t>
      </w:r>
      <w:r w:rsidR="00CC6CE1" w:rsidRPr="00CC6CE1">
        <w:rPr>
          <w:rFonts w:ascii="Palatino Linotype" w:hAnsi="Palatino Linotype"/>
        </w:rPr>
        <w:t>importador y la conformidad previa del</w:t>
      </w:r>
      <w:r w:rsidR="00CC6CE1">
        <w:rPr>
          <w:rFonts w:ascii="Palatino Linotype" w:hAnsi="Palatino Linotype"/>
        </w:rPr>
        <w:t xml:space="preserve"> </w:t>
      </w:r>
      <w:r w:rsidR="00CC6CE1" w:rsidRPr="00435936">
        <w:rPr>
          <w:rFonts w:ascii="Palatino Linotype" w:hAnsi="Palatino Linotype"/>
        </w:rPr>
        <w:t>BCRA para los pagos anticipados de importaciones a proveedores vinculados con el importador</w:t>
      </w:r>
      <w:r w:rsidRPr="00E461D0">
        <w:rPr>
          <w:rFonts w:ascii="Palatino Linotype" w:hAnsi="Palatino Linotype"/>
        </w:rPr>
        <w:t>.</w:t>
      </w:r>
    </w:p>
    <w:p w14:paraId="667C48EB" w14:textId="77777777" w:rsidR="003E5F8E" w:rsidRPr="00E461D0" w:rsidRDefault="003E5F8E">
      <w:pPr>
        <w:widowControl/>
        <w:jc w:val="both"/>
        <w:rPr>
          <w:rFonts w:ascii="Palatino Linotype" w:hAnsi="Palatino Linotype"/>
        </w:rPr>
      </w:pPr>
    </w:p>
    <w:p w14:paraId="2F493E9B" w14:textId="77777777" w:rsidR="00F0333A" w:rsidRPr="00E461D0" w:rsidRDefault="00F0333A">
      <w:pPr>
        <w:widowControl/>
        <w:jc w:val="both"/>
        <w:rPr>
          <w:rFonts w:ascii="Palatino Linotype" w:hAnsi="Palatino Linotype"/>
          <w:i/>
        </w:rPr>
      </w:pPr>
      <w:r w:rsidRPr="00E461D0">
        <w:rPr>
          <w:rFonts w:ascii="Palatino Linotype" w:hAnsi="Palatino Linotype"/>
          <w:i/>
        </w:rPr>
        <w:t>Régimen Penal Cambiario</w:t>
      </w:r>
    </w:p>
    <w:p w14:paraId="490644C0" w14:textId="77777777" w:rsidR="003E5F8E" w:rsidRPr="00E461D0" w:rsidRDefault="003E5F8E">
      <w:pPr>
        <w:widowControl/>
        <w:jc w:val="both"/>
        <w:rPr>
          <w:rFonts w:ascii="Palatino Linotype" w:hAnsi="Palatino Linotype"/>
        </w:rPr>
      </w:pPr>
    </w:p>
    <w:p w14:paraId="27F38E29" w14:textId="10884A60" w:rsidR="00F0333A" w:rsidRPr="00E461D0" w:rsidRDefault="00F0333A">
      <w:pPr>
        <w:widowControl/>
        <w:jc w:val="both"/>
        <w:rPr>
          <w:rFonts w:ascii="Palatino Linotype" w:hAnsi="Palatino Linotype"/>
        </w:rPr>
      </w:pPr>
      <w:r w:rsidRPr="00E461D0">
        <w:rPr>
          <w:rFonts w:ascii="Palatino Linotype" w:hAnsi="Palatino Linotype"/>
        </w:rPr>
        <w:t>Todas las operaciones que no se ajusten a lo dispuesto en la normativa cambiaria, se encuentran alcanzadas por el Régimen Penal Cambiario.</w:t>
      </w:r>
    </w:p>
    <w:p w14:paraId="579A096F" w14:textId="77777777" w:rsidR="003E5F8E" w:rsidRPr="00E461D0" w:rsidRDefault="003E5F8E">
      <w:pPr>
        <w:widowControl/>
        <w:jc w:val="both"/>
        <w:rPr>
          <w:rFonts w:ascii="Palatino Linotype" w:hAnsi="Palatino Linotype"/>
        </w:rPr>
      </w:pPr>
    </w:p>
    <w:p w14:paraId="45A18A2B" w14:textId="77777777" w:rsidR="00F0333A" w:rsidRPr="00E461D0" w:rsidRDefault="00F0333A">
      <w:pPr>
        <w:widowControl/>
        <w:jc w:val="both"/>
        <w:rPr>
          <w:rFonts w:ascii="Palatino Linotype" w:hAnsi="Palatino Linotype"/>
          <w:i/>
        </w:rPr>
      </w:pPr>
      <w:r w:rsidRPr="00E461D0">
        <w:rPr>
          <w:rFonts w:ascii="Palatino Linotype" w:hAnsi="Palatino Linotype"/>
          <w:i/>
        </w:rPr>
        <w:t>Entidades Autorizadas</w:t>
      </w:r>
    </w:p>
    <w:p w14:paraId="4B68C8E1" w14:textId="77777777" w:rsidR="003E5F8E" w:rsidRPr="00E461D0" w:rsidRDefault="003E5F8E">
      <w:pPr>
        <w:widowControl/>
        <w:jc w:val="both"/>
        <w:rPr>
          <w:rFonts w:ascii="Palatino Linotype" w:hAnsi="Palatino Linotype"/>
        </w:rPr>
      </w:pPr>
    </w:p>
    <w:p w14:paraId="613E7434" w14:textId="0DEF4C9D" w:rsidR="00F0333A" w:rsidRPr="00E461D0" w:rsidRDefault="00F0333A">
      <w:pPr>
        <w:widowControl/>
        <w:jc w:val="both"/>
        <w:rPr>
          <w:rFonts w:ascii="Palatino Linotype" w:hAnsi="Palatino Linotype"/>
        </w:rPr>
      </w:pPr>
      <w:r w:rsidRPr="00E461D0">
        <w:rPr>
          <w:rFonts w:ascii="Palatino Linotype" w:hAnsi="Palatino Linotype"/>
        </w:rPr>
        <w:t>Las distintas presentaciones que realicen los clientes por operaciones a cursar en el mercado de cambios deberán indefectiblemente cursarse a través de una entidad que esté autorizada a cursar el tipo de operación contenida en la consulta o pedido de conformidad.</w:t>
      </w:r>
    </w:p>
    <w:p w14:paraId="305AD397" w14:textId="77777777" w:rsidR="003E5F8E" w:rsidRPr="00E461D0" w:rsidRDefault="003E5F8E">
      <w:pPr>
        <w:widowControl/>
        <w:jc w:val="both"/>
        <w:rPr>
          <w:rFonts w:ascii="Palatino Linotype" w:hAnsi="Palatino Linotype"/>
        </w:rPr>
      </w:pPr>
    </w:p>
    <w:p w14:paraId="33FCCDE7" w14:textId="77777777" w:rsidR="00F0333A" w:rsidRPr="00E461D0" w:rsidRDefault="00F0333A">
      <w:pPr>
        <w:widowControl/>
        <w:jc w:val="both"/>
        <w:rPr>
          <w:rFonts w:ascii="Palatino Linotype" w:hAnsi="Palatino Linotype"/>
          <w:i/>
        </w:rPr>
      </w:pPr>
      <w:r w:rsidRPr="00E461D0">
        <w:rPr>
          <w:rFonts w:ascii="Palatino Linotype" w:hAnsi="Palatino Linotype"/>
          <w:i/>
        </w:rPr>
        <w:t>Suspensión del Registro de Operadores de Cambio para el futuro</w:t>
      </w:r>
    </w:p>
    <w:p w14:paraId="2774164F" w14:textId="77777777" w:rsidR="003E5F8E" w:rsidRPr="00E461D0" w:rsidRDefault="003E5F8E">
      <w:pPr>
        <w:widowControl/>
        <w:jc w:val="both"/>
        <w:rPr>
          <w:rFonts w:ascii="Palatino Linotype" w:hAnsi="Palatino Linotype"/>
        </w:rPr>
      </w:pPr>
    </w:p>
    <w:p w14:paraId="0473D6B0" w14:textId="24D49C97" w:rsidR="00F0333A" w:rsidRPr="00E461D0" w:rsidRDefault="00F0333A">
      <w:pPr>
        <w:widowControl/>
        <w:jc w:val="both"/>
        <w:rPr>
          <w:rFonts w:ascii="Palatino Linotype" w:hAnsi="Palatino Linotype"/>
        </w:rPr>
      </w:pPr>
      <w:r w:rsidRPr="00E461D0">
        <w:rPr>
          <w:rFonts w:ascii="Palatino Linotype" w:hAnsi="Palatino Linotype"/>
        </w:rPr>
        <w:t>Se resolvió suspender el “Registro de Operadores de Cambio” para Personas Jurídicas que soliciten la autorización a partir de la fecha.</w:t>
      </w:r>
    </w:p>
    <w:p w14:paraId="0B88044E" w14:textId="77777777" w:rsidR="003E5F8E" w:rsidRPr="00E461D0" w:rsidRDefault="003E5F8E">
      <w:pPr>
        <w:widowControl/>
        <w:jc w:val="both"/>
        <w:rPr>
          <w:rFonts w:ascii="Palatino Linotype" w:hAnsi="Palatino Linotype"/>
        </w:rPr>
      </w:pPr>
    </w:p>
    <w:p w14:paraId="6AFFC127" w14:textId="77777777" w:rsidR="00F0333A" w:rsidRPr="00E461D0" w:rsidRDefault="00F0333A">
      <w:pPr>
        <w:widowControl/>
        <w:jc w:val="both"/>
        <w:rPr>
          <w:rFonts w:ascii="Palatino Linotype" w:hAnsi="Palatino Linotype"/>
          <w:i/>
        </w:rPr>
      </w:pPr>
      <w:r w:rsidRPr="00E461D0">
        <w:rPr>
          <w:rFonts w:ascii="Palatino Linotype" w:hAnsi="Palatino Linotype"/>
          <w:i/>
        </w:rPr>
        <w:t>Compensación en la Posición Global Neta de moneda extranjera.</w:t>
      </w:r>
    </w:p>
    <w:p w14:paraId="7C19E7B1" w14:textId="77777777" w:rsidR="003E5F8E" w:rsidRPr="00E461D0" w:rsidRDefault="003E5F8E">
      <w:pPr>
        <w:widowControl/>
        <w:jc w:val="both"/>
        <w:rPr>
          <w:rFonts w:ascii="Palatino Linotype" w:hAnsi="Palatino Linotype"/>
        </w:rPr>
      </w:pPr>
    </w:p>
    <w:p w14:paraId="70A1DD3E" w14:textId="77777777" w:rsidR="00F0333A" w:rsidRPr="00E461D0" w:rsidRDefault="00F0333A">
      <w:pPr>
        <w:widowControl/>
        <w:jc w:val="both"/>
        <w:rPr>
          <w:rFonts w:ascii="Palatino Linotype" w:hAnsi="Palatino Linotype"/>
        </w:rPr>
      </w:pPr>
      <w:r w:rsidRPr="00E461D0">
        <w:rPr>
          <w:rFonts w:ascii="Palatino Linotype" w:hAnsi="Palatino Linotype"/>
        </w:rPr>
        <w:t xml:space="preserve">Se dispone que, a partir del 5 de septiembre de 2019, la disminución de activos en moneda extranjera por las precancelaciones de financiaciones locales a clientes del sector privado, sólo podrán compensarse en la posición global neta de moneda extranjera (“PGNME”) hasta el plazo original de su vencimiento, con el aumento neto de tenencias de títulos valores del Tesoro Nacional en moneda extranjera. </w:t>
      </w:r>
    </w:p>
    <w:p w14:paraId="08DA7CD2" w14:textId="77777777" w:rsidR="003E5F8E" w:rsidRPr="00E461D0" w:rsidRDefault="003E5F8E">
      <w:pPr>
        <w:widowControl/>
        <w:jc w:val="both"/>
        <w:rPr>
          <w:rFonts w:ascii="Palatino Linotype" w:hAnsi="Palatino Linotype"/>
        </w:rPr>
      </w:pPr>
    </w:p>
    <w:p w14:paraId="0CB178E8" w14:textId="77777777" w:rsidR="00F0333A" w:rsidRPr="00E461D0" w:rsidRDefault="00F0333A">
      <w:pPr>
        <w:widowControl/>
        <w:jc w:val="both"/>
        <w:rPr>
          <w:rFonts w:ascii="Palatino Linotype" w:hAnsi="Palatino Linotype"/>
        </w:rPr>
      </w:pPr>
      <w:r w:rsidRPr="00E461D0">
        <w:rPr>
          <w:rFonts w:ascii="Palatino Linotype" w:hAnsi="Palatino Linotype"/>
        </w:rPr>
        <w:t>Al vencimiento original de la financiación local en moneda extranjera al 5 de septiembre de 2019, podrán ser compensados con la compra de cualquier activo en moneda extranjera computable en la PGNME.</w:t>
      </w:r>
    </w:p>
    <w:p w14:paraId="40F34028" w14:textId="77777777" w:rsidR="003E5F8E" w:rsidRPr="00E461D0" w:rsidRDefault="003E5F8E">
      <w:pPr>
        <w:widowControl/>
        <w:jc w:val="both"/>
        <w:rPr>
          <w:rFonts w:ascii="Palatino Linotype" w:hAnsi="Palatino Linotype"/>
        </w:rPr>
      </w:pPr>
    </w:p>
    <w:p w14:paraId="0F78069E" w14:textId="77777777" w:rsidR="00F0333A" w:rsidRPr="00E461D0" w:rsidRDefault="00F0333A">
      <w:pPr>
        <w:widowControl/>
        <w:jc w:val="both"/>
        <w:rPr>
          <w:rFonts w:ascii="Palatino Linotype" w:hAnsi="Palatino Linotype"/>
        </w:rPr>
      </w:pPr>
      <w:r w:rsidRPr="00E461D0">
        <w:rPr>
          <w:rFonts w:ascii="Palatino Linotype" w:hAnsi="Palatino Linotype"/>
        </w:rPr>
        <w:t>Se dispone, con vigencia septiembre de 2019, que la tasa de exigencia de efectivo mínimo aplicable a las obligaciones por líneas financieras del exterior sea 0%.</w:t>
      </w:r>
    </w:p>
    <w:p w14:paraId="4EF11D64" w14:textId="77777777" w:rsidR="003E5F8E" w:rsidRPr="00E461D0" w:rsidRDefault="003E5F8E">
      <w:pPr>
        <w:widowControl/>
        <w:jc w:val="both"/>
        <w:rPr>
          <w:rFonts w:ascii="Palatino Linotype" w:hAnsi="Palatino Linotype"/>
        </w:rPr>
      </w:pPr>
    </w:p>
    <w:p w14:paraId="0AA2A6EE" w14:textId="77777777" w:rsidR="00F0333A" w:rsidRPr="00E461D0" w:rsidRDefault="00F0333A">
      <w:pPr>
        <w:widowControl/>
        <w:jc w:val="both"/>
        <w:rPr>
          <w:rFonts w:ascii="Palatino Linotype" w:hAnsi="Palatino Linotype"/>
        </w:rPr>
      </w:pPr>
      <w:r w:rsidRPr="00E461D0">
        <w:rPr>
          <w:rFonts w:ascii="Palatino Linotype" w:hAnsi="Palatino Linotype"/>
        </w:rPr>
        <w:t>Financiaciones en moneda extranjera otorgadas por entidades financieras locales.</w:t>
      </w:r>
    </w:p>
    <w:p w14:paraId="13015D86" w14:textId="77777777" w:rsidR="003E5F8E" w:rsidRPr="00E461D0" w:rsidRDefault="003E5F8E">
      <w:pPr>
        <w:widowControl/>
        <w:jc w:val="both"/>
        <w:rPr>
          <w:rFonts w:ascii="Palatino Linotype" w:hAnsi="Palatino Linotype"/>
        </w:rPr>
      </w:pPr>
    </w:p>
    <w:p w14:paraId="1CEAAF89" w14:textId="77777777" w:rsidR="00F0333A" w:rsidRPr="00E461D0" w:rsidRDefault="00F0333A">
      <w:pPr>
        <w:widowControl/>
        <w:jc w:val="both"/>
        <w:rPr>
          <w:rFonts w:ascii="Palatino Linotype" w:hAnsi="Palatino Linotype"/>
        </w:rPr>
      </w:pPr>
      <w:r w:rsidRPr="00E461D0">
        <w:rPr>
          <w:rFonts w:ascii="Palatino Linotype" w:hAnsi="Palatino Linotype"/>
        </w:rPr>
        <w:t>Se establece que las financiaciones que otorguen las entidades financieras en moneda extranjera a clientes del sector privado no financiero deben ser liquidadas en el mercado local de cambios al momento de su desembolso.</w:t>
      </w:r>
    </w:p>
    <w:p w14:paraId="366D8924" w14:textId="77777777" w:rsidR="003E5F8E" w:rsidRPr="00E461D0" w:rsidRDefault="003E5F8E">
      <w:pPr>
        <w:widowControl/>
        <w:jc w:val="both"/>
        <w:rPr>
          <w:rFonts w:ascii="Palatino Linotype" w:hAnsi="Palatino Linotype"/>
        </w:rPr>
      </w:pPr>
    </w:p>
    <w:p w14:paraId="725CE1A6" w14:textId="77777777" w:rsidR="00F0333A" w:rsidRPr="00E461D0" w:rsidRDefault="00F0333A">
      <w:pPr>
        <w:widowControl/>
        <w:jc w:val="both"/>
        <w:rPr>
          <w:rFonts w:ascii="Palatino Linotype" w:hAnsi="Palatino Linotype"/>
          <w:i/>
        </w:rPr>
      </w:pPr>
      <w:r w:rsidRPr="00E461D0">
        <w:rPr>
          <w:rFonts w:ascii="Palatino Linotype" w:hAnsi="Palatino Linotype"/>
          <w:i/>
        </w:rPr>
        <w:t>Enajenación de activos por parte de residentes</w:t>
      </w:r>
    </w:p>
    <w:p w14:paraId="2332EB0B" w14:textId="77777777" w:rsidR="003E5F8E" w:rsidRPr="00E461D0" w:rsidRDefault="003E5F8E">
      <w:pPr>
        <w:widowControl/>
        <w:jc w:val="both"/>
        <w:rPr>
          <w:rFonts w:ascii="Palatino Linotype" w:hAnsi="Palatino Linotype"/>
        </w:rPr>
      </w:pPr>
    </w:p>
    <w:p w14:paraId="229B0531" w14:textId="7049970F" w:rsidR="00F0333A" w:rsidRDefault="00F0333A">
      <w:pPr>
        <w:widowControl/>
        <w:jc w:val="both"/>
        <w:rPr>
          <w:rFonts w:ascii="Palatino Linotype" w:hAnsi="Palatino Linotype"/>
        </w:rPr>
      </w:pPr>
      <w:r w:rsidRPr="00E461D0">
        <w:rPr>
          <w:rFonts w:ascii="Palatino Linotype" w:hAnsi="Palatino Linotype"/>
        </w:rPr>
        <w:t>Se dispone que la percepción por parte de residentes de montos en moneda extranjera por la enajenación de activos no financieros no producidos deberán ingresarse y liquidarse en el mercado de cambios dentro de los 5 días hábiles de la fecha de percepción de los fondos en el país o en el exterior o de su acreditación en cuentas del exterior.</w:t>
      </w:r>
    </w:p>
    <w:p w14:paraId="3F1928D5" w14:textId="77777777" w:rsidR="00CC6CE1" w:rsidRPr="00CC6CE1" w:rsidRDefault="00CC6CE1" w:rsidP="00CC6CE1">
      <w:pPr>
        <w:widowControl/>
        <w:jc w:val="both"/>
        <w:rPr>
          <w:rFonts w:ascii="Palatino Linotype" w:hAnsi="Palatino Linotype"/>
        </w:rPr>
      </w:pPr>
    </w:p>
    <w:p w14:paraId="43404F8A" w14:textId="77777777" w:rsidR="00CC6CE1" w:rsidRPr="00CC6CE1" w:rsidRDefault="00CC6CE1" w:rsidP="00CC6CE1">
      <w:pPr>
        <w:widowControl/>
        <w:jc w:val="both"/>
        <w:rPr>
          <w:rFonts w:ascii="Palatino Linotype" w:hAnsi="Palatino Linotype"/>
        </w:rPr>
      </w:pPr>
      <w:r w:rsidRPr="00CC6CE1">
        <w:rPr>
          <w:rFonts w:ascii="Palatino Linotype" w:hAnsi="Palatino Linotype"/>
        </w:rPr>
        <w:t>La Comunicación “A” 6814 dispone que no resultará exigible la liquidación en el mercado local de cambios de las divisas en moneda extranjera que reciban los residentes por exportaciones de bienes y servicios y por la enajenación de activos no financieros no producidos, ni como condición para su repago en los casos de endeudamientos con el exterior, en la medida que se cumplan la totalidad de las siguientes condiciones:</w:t>
      </w:r>
    </w:p>
    <w:p w14:paraId="15384B02" w14:textId="77777777" w:rsidR="00CC6CE1" w:rsidRPr="00CC6CE1" w:rsidRDefault="00CC6CE1" w:rsidP="00CC6CE1">
      <w:pPr>
        <w:widowControl/>
        <w:jc w:val="both"/>
        <w:rPr>
          <w:rFonts w:ascii="Palatino Linotype" w:hAnsi="Palatino Linotype"/>
        </w:rPr>
      </w:pPr>
    </w:p>
    <w:p w14:paraId="2BA25874" w14:textId="004C8BFA" w:rsidR="00CC6CE1" w:rsidRPr="00CC6CE1" w:rsidRDefault="00E5476E" w:rsidP="00CC6CE1">
      <w:pPr>
        <w:widowControl/>
        <w:jc w:val="both"/>
        <w:rPr>
          <w:rFonts w:ascii="Palatino Linotype" w:hAnsi="Palatino Linotype"/>
        </w:rPr>
      </w:pPr>
      <w:r>
        <w:rPr>
          <w:rFonts w:ascii="Palatino Linotype" w:hAnsi="Palatino Linotype"/>
        </w:rPr>
        <w:t>A</w:t>
      </w:r>
      <w:r w:rsidR="00CC6CE1" w:rsidRPr="00CC6CE1">
        <w:rPr>
          <w:rFonts w:ascii="Palatino Linotype" w:hAnsi="Palatino Linotype"/>
        </w:rPr>
        <w:t>) Los fondos ingresen al país para su acreditación en cuentas en moneda extranjera de titularidad del cliente en entidades financieras locales.</w:t>
      </w:r>
    </w:p>
    <w:p w14:paraId="0E2833FC" w14:textId="34EBDCEC" w:rsidR="00CC6CE1" w:rsidRPr="00CC6CE1" w:rsidRDefault="00CC6CE1" w:rsidP="00CC6CE1">
      <w:pPr>
        <w:widowControl/>
        <w:jc w:val="both"/>
        <w:rPr>
          <w:rFonts w:ascii="Palatino Linotype" w:hAnsi="Palatino Linotype"/>
        </w:rPr>
      </w:pPr>
    </w:p>
    <w:p w14:paraId="375EF5DB" w14:textId="647BEC4D" w:rsidR="00CC6CE1" w:rsidRPr="00CC6CE1" w:rsidRDefault="00E5476E" w:rsidP="00CC6CE1">
      <w:pPr>
        <w:widowControl/>
        <w:jc w:val="both"/>
        <w:rPr>
          <w:rFonts w:ascii="Palatino Linotype" w:hAnsi="Palatino Linotype"/>
        </w:rPr>
      </w:pPr>
      <w:r>
        <w:rPr>
          <w:rFonts w:ascii="Palatino Linotype" w:hAnsi="Palatino Linotype"/>
        </w:rPr>
        <w:t>B</w:t>
      </w:r>
      <w:r w:rsidR="00CC6CE1" w:rsidRPr="00CC6CE1">
        <w:rPr>
          <w:rFonts w:ascii="Palatino Linotype" w:hAnsi="Palatino Linotype"/>
        </w:rPr>
        <w:t>) El ingreso se efectúe dentro del plazo para la liquidación de los fondos en el mercado de cambios que pueda ser aplicable a la operación.</w:t>
      </w:r>
    </w:p>
    <w:p w14:paraId="510AABF3" w14:textId="57870D22" w:rsidR="00CC6CE1" w:rsidRPr="00CC6CE1" w:rsidRDefault="00CC6CE1" w:rsidP="00CC6CE1">
      <w:pPr>
        <w:widowControl/>
        <w:jc w:val="both"/>
        <w:rPr>
          <w:rFonts w:ascii="Palatino Linotype" w:hAnsi="Palatino Linotype"/>
        </w:rPr>
      </w:pPr>
    </w:p>
    <w:p w14:paraId="21735781" w14:textId="0C3052F9" w:rsidR="00CC6CE1" w:rsidRPr="00CC6CE1" w:rsidRDefault="00E5476E" w:rsidP="00CC6CE1">
      <w:pPr>
        <w:widowControl/>
        <w:jc w:val="both"/>
        <w:rPr>
          <w:rFonts w:ascii="Palatino Linotype" w:hAnsi="Palatino Linotype"/>
        </w:rPr>
      </w:pPr>
      <w:r>
        <w:rPr>
          <w:rFonts w:ascii="Palatino Linotype" w:hAnsi="Palatino Linotype"/>
        </w:rPr>
        <w:t>C</w:t>
      </w:r>
      <w:r w:rsidR="00CC6CE1" w:rsidRPr="00CC6CE1">
        <w:rPr>
          <w:rFonts w:ascii="Palatino Linotype" w:hAnsi="Palatino Linotype"/>
        </w:rPr>
        <w:t>) Los fondos en moneda extranjera se apliquen de manera simultánea a operaciones por las cuales la normativa cambiaria vigente permite el acceso al mercado local de cambios contra moneda local, considerando los límites previstos para cada concepto involucrado.</w:t>
      </w:r>
    </w:p>
    <w:p w14:paraId="60F0BB9D" w14:textId="730FA6CE" w:rsidR="00CC6CE1" w:rsidRPr="00CC6CE1" w:rsidRDefault="00CC6CE1" w:rsidP="00CC6CE1">
      <w:pPr>
        <w:widowControl/>
        <w:jc w:val="both"/>
        <w:rPr>
          <w:rFonts w:ascii="Palatino Linotype" w:hAnsi="Palatino Linotype"/>
        </w:rPr>
      </w:pPr>
    </w:p>
    <w:p w14:paraId="0E5A6861" w14:textId="77777777" w:rsidR="00CC6CE1" w:rsidRPr="00CC6CE1" w:rsidRDefault="00CC6CE1" w:rsidP="00CC6CE1">
      <w:pPr>
        <w:widowControl/>
        <w:jc w:val="both"/>
        <w:rPr>
          <w:rFonts w:ascii="Palatino Linotype" w:hAnsi="Palatino Linotype"/>
        </w:rPr>
      </w:pPr>
      <w:r w:rsidRPr="00CC6CE1">
        <w:rPr>
          <w:rFonts w:ascii="Palatino Linotype" w:hAnsi="Palatino Linotype"/>
        </w:rPr>
        <w:t>Si el ingreso correspondiese a nueva deuda financiera con el exterior y el destino fuese la precancelación de deuda local en moneda extranjera con una entidad financiera, la nueva deuda con el exterior deberá tener una vida promedio mayor a la que se precancela con la entidad local.</w:t>
      </w:r>
    </w:p>
    <w:p w14:paraId="3D630BC2" w14:textId="0516AA0E" w:rsidR="00CC6CE1" w:rsidRPr="00CC6CE1" w:rsidRDefault="00CC6CE1" w:rsidP="00CC6CE1">
      <w:pPr>
        <w:widowControl/>
        <w:jc w:val="both"/>
        <w:rPr>
          <w:rFonts w:ascii="Palatino Linotype" w:hAnsi="Palatino Linotype"/>
        </w:rPr>
      </w:pPr>
    </w:p>
    <w:p w14:paraId="1BC6E600" w14:textId="39FE60D4" w:rsidR="00CC6CE1" w:rsidRPr="00CC6CE1" w:rsidRDefault="00E5476E" w:rsidP="00CC6CE1">
      <w:pPr>
        <w:widowControl/>
        <w:jc w:val="both"/>
        <w:rPr>
          <w:rFonts w:ascii="Palatino Linotype" w:hAnsi="Palatino Linotype"/>
        </w:rPr>
      </w:pPr>
      <w:r>
        <w:rPr>
          <w:rFonts w:ascii="Palatino Linotype" w:hAnsi="Palatino Linotype"/>
        </w:rPr>
        <w:t>D</w:t>
      </w:r>
      <w:r w:rsidR="00CC6CE1" w:rsidRPr="00CC6CE1">
        <w:rPr>
          <w:rFonts w:ascii="Palatino Linotype" w:hAnsi="Palatino Linotype"/>
        </w:rPr>
        <w:t>) La utilización de este mecanismo resulte neutro en materia fiscal.</w:t>
      </w:r>
    </w:p>
    <w:p w14:paraId="38723D48" w14:textId="51868CC3" w:rsidR="00CC6CE1" w:rsidRPr="00CC6CE1" w:rsidRDefault="00CC6CE1" w:rsidP="00CC6CE1">
      <w:pPr>
        <w:widowControl/>
        <w:jc w:val="both"/>
        <w:rPr>
          <w:rFonts w:ascii="Palatino Linotype" w:hAnsi="Palatino Linotype"/>
        </w:rPr>
      </w:pPr>
    </w:p>
    <w:p w14:paraId="11A5BE3D" w14:textId="77777777" w:rsidR="00CC6CE1" w:rsidRPr="00CC6CE1" w:rsidRDefault="00CC6CE1" w:rsidP="00CC6CE1">
      <w:pPr>
        <w:widowControl/>
        <w:jc w:val="both"/>
        <w:rPr>
          <w:rFonts w:ascii="Palatino Linotype" w:hAnsi="Palatino Linotype"/>
        </w:rPr>
      </w:pPr>
      <w:r w:rsidRPr="00CC6CE1">
        <w:rPr>
          <w:rFonts w:ascii="Palatino Linotype" w:hAnsi="Palatino Linotype"/>
        </w:rPr>
        <w:t>A los efectos del registro de estas operaciones se deberán confeccionar dos boletos sin movimiento de pesos, por los conceptos de compra y venta que correspondan, computándose el monto por el cual se utiliza este mecanismo a los efectos de los límites mensuales que pudieran ser aplicables según el caso.</w:t>
      </w:r>
    </w:p>
    <w:p w14:paraId="1E7FDDCA" w14:textId="31D2FF17" w:rsidR="00CC6CE1" w:rsidRPr="00CC6CE1" w:rsidRDefault="00CC6CE1" w:rsidP="00CC6CE1">
      <w:pPr>
        <w:widowControl/>
        <w:jc w:val="both"/>
        <w:rPr>
          <w:rFonts w:ascii="Palatino Linotype" w:hAnsi="Palatino Linotype"/>
        </w:rPr>
      </w:pPr>
    </w:p>
    <w:p w14:paraId="2A6C47A1" w14:textId="77777777" w:rsidR="00CC6CE1" w:rsidRPr="00CC6CE1" w:rsidRDefault="00CC6CE1" w:rsidP="00CC6CE1">
      <w:pPr>
        <w:widowControl/>
        <w:jc w:val="both"/>
        <w:rPr>
          <w:rFonts w:ascii="Palatino Linotype" w:hAnsi="Palatino Linotype"/>
        </w:rPr>
      </w:pPr>
      <w:r w:rsidRPr="00CC6CE1">
        <w:rPr>
          <w:rFonts w:ascii="Palatino Linotype" w:hAnsi="Palatino Linotype"/>
        </w:rPr>
        <w:t>En todos los casos se debe contar con una declaración jurada del cliente en la que deja constancia de tener conocimiento de que los fondos que se aplican bajo esta modalidad serán computados a los efectos del cálculo de los límites que normativamente correspondan al concepto de venta de cambio que corresponda y que no los excede.</w:t>
      </w:r>
    </w:p>
    <w:p w14:paraId="1704BCA3" w14:textId="0690DE90" w:rsidR="00CC6CE1" w:rsidRPr="00CC6CE1" w:rsidRDefault="00CC6CE1" w:rsidP="00CC6CE1">
      <w:pPr>
        <w:widowControl/>
        <w:jc w:val="both"/>
        <w:rPr>
          <w:rFonts w:ascii="Palatino Linotype" w:hAnsi="Palatino Linotype"/>
        </w:rPr>
      </w:pPr>
    </w:p>
    <w:p w14:paraId="2BC58831" w14:textId="77777777" w:rsidR="00CC6CE1" w:rsidRPr="00CC6CE1" w:rsidRDefault="00CC6CE1" w:rsidP="00CC6CE1">
      <w:pPr>
        <w:widowControl/>
        <w:jc w:val="both"/>
        <w:rPr>
          <w:rFonts w:ascii="Palatino Linotype" w:hAnsi="Palatino Linotype"/>
        </w:rPr>
      </w:pPr>
      <w:r w:rsidRPr="00CC6CE1">
        <w:rPr>
          <w:rFonts w:ascii="Palatino Linotype" w:hAnsi="Palatino Linotype"/>
        </w:rPr>
        <w:t>La entidad interviniente deberá evaluar la razonabilidad y los requisitos normativos de la operatoria.</w:t>
      </w:r>
    </w:p>
    <w:p w14:paraId="4927CAE4" w14:textId="54068482" w:rsidR="00CC6CE1" w:rsidRDefault="00CC6CE1" w:rsidP="00CC6CE1">
      <w:pPr>
        <w:widowControl/>
        <w:jc w:val="both"/>
        <w:rPr>
          <w:rFonts w:ascii="Palatino Linotype" w:hAnsi="Palatino Linotype"/>
        </w:rPr>
      </w:pPr>
      <w:r w:rsidRPr="00CC6CE1">
        <w:rPr>
          <w:rFonts w:ascii="Palatino Linotype" w:hAnsi="Palatino Linotype"/>
        </w:rPr>
        <w:t>De esta manera se permite evitar la diferencia de tipos de cambios entre el egreso y el egreso de divisas de operaciones que, normativamente tienen la obligación de ser liquidadas por un lado, y operaciones que tienen acceso al mercado de cambios para la compra de divisas, por el otro.</w:t>
      </w:r>
    </w:p>
    <w:p w14:paraId="4972BCEF" w14:textId="77777777" w:rsidR="00B273AF" w:rsidRDefault="00B273AF" w:rsidP="00CC6CE1">
      <w:pPr>
        <w:widowControl/>
        <w:jc w:val="both"/>
        <w:rPr>
          <w:rFonts w:ascii="Palatino Linotype" w:hAnsi="Palatino Linotype"/>
        </w:rPr>
      </w:pPr>
    </w:p>
    <w:p w14:paraId="51C6F769" w14:textId="46DDFEF3" w:rsidR="00B273AF" w:rsidRDefault="00B273AF" w:rsidP="00CC6CE1">
      <w:pPr>
        <w:widowControl/>
        <w:jc w:val="both"/>
        <w:rPr>
          <w:rFonts w:ascii="Palatino Linotype" w:hAnsi="Palatino Linotype"/>
          <w:i/>
        </w:rPr>
      </w:pPr>
      <w:r w:rsidRPr="00435936">
        <w:rPr>
          <w:rFonts w:ascii="Palatino Linotype" w:hAnsi="Palatino Linotype"/>
          <w:i/>
        </w:rPr>
        <w:t>Pagos de importaciones y otras compras de bienes en el exterior</w:t>
      </w:r>
    </w:p>
    <w:p w14:paraId="72FDA094" w14:textId="5A8776B2" w:rsidR="00B273AF" w:rsidRDefault="00B273AF" w:rsidP="00435936">
      <w:pPr>
        <w:jc w:val="both"/>
        <w:rPr>
          <w:rFonts w:ascii="Palatino Linotype" w:hAnsi="Palatino Linotype"/>
          <w:i/>
        </w:rPr>
      </w:pPr>
    </w:p>
    <w:p w14:paraId="267F8FA9" w14:textId="1A9ABECA" w:rsidR="00975A11" w:rsidRPr="00435936" w:rsidRDefault="00975A11" w:rsidP="00435936">
      <w:pPr>
        <w:jc w:val="both"/>
        <w:rPr>
          <w:rFonts w:ascii="Palatino Linotype" w:hAnsi="Palatino Linotype"/>
        </w:rPr>
      </w:pPr>
      <w:r w:rsidRPr="00435936">
        <w:rPr>
          <w:rFonts w:ascii="Palatino Linotype" w:hAnsi="Palatino Linotype"/>
        </w:rPr>
        <w:t xml:space="preserve">La Comunicación “A” 6818 regula de manera integral los pagos de importaciones y otras compras de bienes en el exterior. </w:t>
      </w:r>
    </w:p>
    <w:p w14:paraId="3B390741" w14:textId="77777777" w:rsidR="00975A11" w:rsidRPr="00975A11" w:rsidRDefault="00975A11" w:rsidP="00435936">
      <w:pPr>
        <w:jc w:val="both"/>
        <w:rPr>
          <w:rFonts w:ascii="Palatino Linotype" w:hAnsi="Palatino Linotype"/>
        </w:rPr>
      </w:pPr>
    </w:p>
    <w:p w14:paraId="5F04D4BF" w14:textId="77777777" w:rsidR="00E461D0" w:rsidRPr="00E461D0" w:rsidRDefault="00E461D0" w:rsidP="003C15F8">
      <w:pPr>
        <w:pStyle w:val="Textoindependiente"/>
        <w:jc w:val="both"/>
        <w:rPr>
          <w:rFonts w:ascii="Palatino Linotype" w:hAnsi="Palatino Linotype"/>
          <w:b/>
        </w:rPr>
        <w:sectPr w:rsidR="00E461D0" w:rsidRPr="00E461D0">
          <w:pgSz w:w="12240" w:h="15840"/>
          <w:pgMar w:top="1417" w:right="1701" w:bottom="1417" w:left="1701" w:header="708" w:footer="708" w:gutter="0"/>
          <w:cols w:space="708"/>
          <w:docGrid w:linePitch="360"/>
        </w:sectPr>
      </w:pPr>
    </w:p>
    <w:p w14:paraId="12CF04DB" w14:textId="77777777" w:rsidR="00487404" w:rsidRPr="00E461D0" w:rsidRDefault="00487404" w:rsidP="003C15F8">
      <w:pPr>
        <w:widowControl/>
        <w:jc w:val="both"/>
        <w:rPr>
          <w:rFonts w:ascii="Palatino Linotype" w:hAnsi="Palatino Linotype"/>
          <w:b/>
        </w:rPr>
      </w:pPr>
      <w:r w:rsidRPr="00E461D0">
        <w:rPr>
          <w:rFonts w:ascii="Palatino Linotype" w:hAnsi="Palatino Linotype"/>
          <w:b/>
        </w:rPr>
        <w:t>Documentos a disposición:</w:t>
      </w:r>
    </w:p>
    <w:p w14:paraId="2AF9F849" w14:textId="77777777" w:rsidR="005A02F0" w:rsidRPr="00E461D0" w:rsidRDefault="005A02F0" w:rsidP="003C15F8">
      <w:pPr>
        <w:widowControl/>
        <w:jc w:val="both"/>
        <w:rPr>
          <w:rFonts w:ascii="Palatino Linotype" w:hAnsi="Palatino Linotype"/>
        </w:rPr>
      </w:pPr>
    </w:p>
    <w:p w14:paraId="52B6E13C" w14:textId="4FBCD38E" w:rsidR="00487404" w:rsidRPr="00E461D0" w:rsidRDefault="00487404" w:rsidP="00B11A87">
      <w:pPr>
        <w:rPr>
          <w:rFonts w:ascii="Palatino Linotype" w:hAnsi="Palatino Linotype"/>
        </w:rPr>
      </w:pPr>
      <w:r w:rsidRPr="00E461D0">
        <w:rPr>
          <w:rFonts w:ascii="Palatino Linotype" w:hAnsi="Palatino Linotype"/>
        </w:rPr>
        <w:t xml:space="preserve">Podrán solicitarse copias del Prospecto y de los estados contables anuales al </w:t>
      </w:r>
      <w:r w:rsidR="005A02F0" w:rsidRPr="00E461D0">
        <w:rPr>
          <w:rFonts w:ascii="Palatino Linotype" w:hAnsi="Palatino Linotype"/>
        </w:rPr>
        <w:t>31</w:t>
      </w:r>
      <w:r w:rsidRPr="00E461D0">
        <w:rPr>
          <w:rFonts w:ascii="Palatino Linotype" w:hAnsi="Palatino Linotype"/>
        </w:rPr>
        <w:t xml:space="preserve"> de </w:t>
      </w:r>
      <w:r w:rsidR="005A02F0" w:rsidRPr="00E461D0">
        <w:rPr>
          <w:rFonts w:ascii="Palatino Linotype" w:hAnsi="Palatino Linotype"/>
        </w:rPr>
        <w:t>diciembre</w:t>
      </w:r>
      <w:r w:rsidRPr="00E461D0">
        <w:rPr>
          <w:rFonts w:ascii="Palatino Linotype" w:hAnsi="Palatino Linotype"/>
        </w:rPr>
        <w:t xml:space="preserve"> de 2016, 2017 y 2018 de la Sociedad, en la sede social de la Sociedad</w:t>
      </w:r>
      <w:r w:rsidRPr="00E461D0" w:rsidDel="00E9702E">
        <w:rPr>
          <w:rFonts w:ascii="Palatino Linotype" w:hAnsi="Palatino Linotype"/>
        </w:rPr>
        <w:t xml:space="preserve"> </w:t>
      </w:r>
      <w:r w:rsidRPr="00E461D0">
        <w:rPr>
          <w:rFonts w:ascii="Palatino Linotype" w:hAnsi="Palatino Linotype"/>
        </w:rPr>
        <w:t xml:space="preserve">sita en </w:t>
      </w:r>
      <w:r w:rsidR="005A02F0" w:rsidRPr="00E461D0">
        <w:rPr>
          <w:rFonts w:ascii="Palatino Linotype" w:hAnsi="Palatino Linotype"/>
        </w:rPr>
        <w:t>Ortiz de Ocampo 3302, Módulo 1, Piso 5to (C1425DSV), Ciudad de Buenos Aires, Argentina</w:t>
      </w:r>
      <w:r w:rsidRPr="00E461D0">
        <w:rPr>
          <w:rFonts w:ascii="Palatino Linotype" w:hAnsi="Palatino Linotype"/>
        </w:rPr>
        <w:t xml:space="preserve">, </w:t>
      </w:r>
      <w:r w:rsidR="005A02F0" w:rsidRPr="00E461D0">
        <w:rPr>
          <w:rFonts w:ascii="Palatino Linotype" w:hAnsi="Palatino Linotype"/>
        </w:rPr>
        <w:t xml:space="preserve">los días hábiles en el horario </w:t>
      </w:r>
      <w:r w:rsidRPr="00E461D0">
        <w:rPr>
          <w:rFonts w:ascii="Palatino Linotype" w:hAnsi="Palatino Linotype"/>
        </w:rPr>
        <w:t>de 10</w:t>
      </w:r>
      <w:r w:rsidR="005A02F0" w:rsidRPr="00E461D0">
        <w:rPr>
          <w:rFonts w:ascii="Palatino Linotype" w:hAnsi="Palatino Linotype"/>
        </w:rPr>
        <w:t>:00</w:t>
      </w:r>
      <w:r w:rsidRPr="00E461D0">
        <w:rPr>
          <w:rFonts w:ascii="Palatino Linotype" w:hAnsi="Palatino Linotype"/>
        </w:rPr>
        <w:t xml:space="preserve"> a 17</w:t>
      </w:r>
      <w:r w:rsidR="005A02F0" w:rsidRPr="00E461D0">
        <w:rPr>
          <w:rFonts w:ascii="Palatino Linotype" w:hAnsi="Palatino Linotype"/>
        </w:rPr>
        <w:t>:00</w:t>
      </w:r>
      <w:r w:rsidRPr="00E461D0">
        <w:rPr>
          <w:rFonts w:ascii="Palatino Linotype" w:hAnsi="Palatino Linotype"/>
        </w:rPr>
        <w:t xml:space="preserve"> hs., teléfono </w:t>
      </w:r>
      <w:r w:rsidR="00DB40C1" w:rsidRPr="00E461D0">
        <w:rPr>
          <w:rFonts w:ascii="Palatino Linotype" w:hAnsi="Palatino Linotype"/>
        </w:rPr>
        <w:t>(+5411) 5235 1200</w:t>
      </w:r>
      <w:r w:rsidRPr="00E461D0">
        <w:rPr>
          <w:rFonts w:ascii="Palatino Linotype" w:hAnsi="Palatino Linotype"/>
        </w:rPr>
        <w:t>,</w:t>
      </w:r>
      <w:r w:rsidR="00DB40C1" w:rsidRPr="00E461D0">
        <w:rPr>
          <w:rFonts w:ascii="Palatino Linotype" w:hAnsi="Palatino Linotype"/>
        </w:rPr>
        <w:t xml:space="preserve"> fax (+5411) </w:t>
      </w:r>
      <w:r w:rsidR="00B11A87">
        <w:rPr>
          <w:rFonts w:ascii="Palatino Linotype" w:hAnsi="Palatino Linotype"/>
        </w:rPr>
        <w:t xml:space="preserve">3986 </w:t>
      </w:r>
      <w:r w:rsidR="00B11A87" w:rsidRPr="00B11A87">
        <w:rPr>
          <w:rFonts w:ascii="Palatino Linotype" w:hAnsi="Palatino Linotype"/>
        </w:rPr>
        <w:t>5688</w:t>
      </w:r>
      <w:r w:rsidR="00DB40C1" w:rsidRPr="00E461D0">
        <w:rPr>
          <w:rFonts w:ascii="Palatino Linotype" w:hAnsi="Palatino Linotype"/>
        </w:rPr>
        <w:t>,</w:t>
      </w:r>
      <w:r w:rsidRPr="00E461D0">
        <w:rPr>
          <w:rFonts w:ascii="Palatino Linotype" w:hAnsi="Palatino Linotype"/>
        </w:rPr>
        <w:t xml:space="preserve"> correo electrónico </w:t>
      </w:r>
      <w:r w:rsidR="00A146A4" w:rsidRPr="00E461D0">
        <w:rPr>
          <w:rFonts w:ascii="Palatino Linotype" w:hAnsi="Palatino Linotype"/>
        </w:rPr>
        <w:t>(</w:t>
      </w:r>
      <w:hyperlink r:id="rId16" w:history="1">
        <w:r w:rsidR="00A146A4" w:rsidRPr="00E461D0">
          <w:rPr>
            <w:rStyle w:val="Hipervnculo"/>
            <w:rFonts w:ascii="Palatino Linotype" w:hAnsi="Palatino Linotype"/>
          </w:rPr>
          <w:t>info@globalvalores.com.ar</w:t>
        </w:r>
      </w:hyperlink>
      <w:r w:rsidRPr="00E461D0">
        <w:rPr>
          <w:rFonts w:ascii="Palatino Linotype" w:hAnsi="Palatino Linotype"/>
        </w:rPr>
        <w:t>), y página web: www.</w:t>
      </w:r>
      <w:r w:rsidR="005A02F0" w:rsidRPr="00E461D0">
        <w:rPr>
          <w:rFonts w:ascii="Palatino Linotype" w:hAnsi="Palatino Linotype"/>
        </w:rPr>
        <w:t>globalvalores</w:t>
      </w:r>
      <w:r w:rsidRPr="00E461D0">
        <w:rPr>
          <w:rFonts w:ascii="Palatino Linotype" w:hAnsi="Palatino Linotype"/>
        </w:rPr>
        <w:t>.com.ar. Asimismo, el Prospecto definitivo y los estados contables arriba referidos estarán disponibles en la página web de la CNV: www.cnv.gov.ar, y en los sistemas de información dispuestos por los mercados autorizados en que vayan a listarse y/o negociarse las Obligaciones Negociables Py</w:t>
      </w:r>
      <w:r w:rsidR="005A02F0" w:rsidRPr="00E461D0">
        <w:rPr>
          <w:rFonts w:ascii="Palatino Linotype" w:hAnsi="Palatino Linotype"/>
        </w:rPr>
        <w:t>ME</w:t>
      </w:r>
      <w:r w:rsidRPr="00E461D0">
        <w:rPr>
          <w:rFonts w:ascii="Palatino Linotype" w:hAnsi="Palatino Linotype"/>
        </w:rPr>
        <w:t>.</w:t>
      </w:r>
    </w:p>
    <w:p w14:paraId="4CEB9708" w14:textId="77777777" w:rsidR="00641325" w:rsidRPr="00E461D0" w:rsidRDefault="00641325" w:rsidP="00641325">
      <w:pPr>
        <w:widowControl/>
        <w:autoSpaceDE/>
        <w:autoSpaceDN/>
        <w:adjustRightInd/>
        <w:spacing w:after="160" w:line="259" w:lineRule="auto"/>
        <w:jc w:val="both"/>
        <w:rPr>
          <w:rFonts w:ascii="Palatino Linotype" w:hAnsi="Palatino Linotype"/>
        </w:rPr>
      </w:pPr>
      <w:r w:rsidRPr="00E461D0">
        <w:rPr>
          <w:rFonts w:ascii="Palatino Linotype" w:hAnsi="Palatino Linotype"/>
        </w:rPr>
        <w:br w:type="page"/>
      </w:r>
    </w:p>
    <w:p w14:paraId="050DFEC1" w14:textId="77777777" w:rsidR="00641325" w:rsidRPr="00E461D0" w:rsidRDefault="00641325" w:rsidP="00641325">
      <w:pPr>
        <w:jc w:val="both"/>
        <w:rPr>
          <w:rFonts w:ascii="Palatino Linotype" w:hAnsi="Palatino Linotype"/>
        </w:rPr>
      </w:pPr>
    </w:p>
    <w:p w14:paraId="04F2D45C" w14:textId="77777777" w:rsidR="003F1CB3" w:rsidRPr="00E461D0" w:rsidRDefault="003F1CB3" w:rsidP="003F1CB3">
      <w:pPr>
        <w:widowControl/>
        <w:suppressAutoHyphens/>
        <w:jc w:val="center"/>
        <w:rPr>
          <w:rFonts w:ascii="Palatino Linotype" w:hAnsi="Palatino Linotype"/>
          <w:b/>
          <w:bCs/>
          <w:lang w:eastAsia="ar-SA"/>
        </w:rPr>
      </w:pPr>
      <w:r w:rsidRPr="00E461D0">
        <w:rPr>
          <w:rFonts w:ascii="Palatino Linotype" w:hAnsi="Palatino Linotype"/>
          <w:b/>
          <w:bCs/>
          <w:lang w:eastAsia="ar-SA"/>
        </w:rPr>
        <w:t>EMISOR</w:t>
      </w:r>
      <w:r w:rsidR="00BE2390" w:rsidRPr="00E461D0">
        <w:rPr>
          <w:rFonts w:ascii="Palatino Linotype" w:hAnsi="Palatino Linotype"/>
          <w:b/>
          <w:bCs/>
          <w:lang w:eastAsia="ar-SA"/>
        </w:rPr>
        <w:t>A</w:t>
      </w:r>
    </w:p>
    <w:p w14:paraId="72C98145" w14:textId="77777777" w:rsidR="003F1CB3" w:rsidRPr="00E461D0" w:rsidRDefault="003F1CB3" w:rsidP="003F1CB3">
      <w:pPr>
        <w:widowControl/>
        <w:suppressAutoHyphens/>
        <w:jc w:val="center"/>
        <w:rPr>
          <w:rFonts w:ascii="Palatino Linotype" w:hAnsi="Palatino Linotype"/>
          <w:b/>
          <w:bCs/>
          <w:lang w:eastAsia="ar-SA"/>
        </w:rPr>
      </w:pPr>
    </w:p>
    <w:p w14:paraId="37712895" w14:textId="77777777" w:rsidR="003F1CB3" w:rsidRPr="00E461D0" w:rsidRDefault="00BE2390" w:rsidP="003F1CB3">
      <w:pPr>
        <w:widowControl/>
        <w:suppressAutoHyphens/>
        <w:jc w:val="center"/>
        <w:rPr>
          <w:rFonts w:ascii="Palatino Linotype" w:hAnsi="Palatino Linotype"/>
          <w:b/>
          <w:bCs/>
          <w:lang w:eastAsia="ar-SA"/>
        </w:rPr>
      </w:pPr>
      <w:r w:rsidRPr="00CE678E">
        <w:rPr>
          <w:rFonts w:ascii="Times New Roman" w:hAnsi="Times New Roman"/>
          <w:noProof/>
          <w:lang w:eastAsia="es-AR"/>
        </w:rPr>
        <w:drawing>
          <wp:inline distT="0" distB="0" distL="0" distR="0" wp14:anchorId="7BC125F8" wp14:editId="3BDA89EA">
            <wp:extent cx="1962150" cy="71377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lobal_RGB_fondo_blanco_72dpi.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04731" cy="729262"/>
                    </a:xfrm>
                    <a:prstGeom prst="rect">
                      <a:avLst/>
                    </a:prstGeom>
                  </pic:spPr>
                </pic:pic>
              </a:graphicData>
            </a:graphic>
          </wp:inline>
        </w:drawing>
      </w:r>
      <w:r w:rsidRPr="00E461D0" w:rsidDel="00BE2390">
        <w:rPr>
          <w:rFonts w:ascii="Palatino Linotype" w:hAnsi="Palatino Linotype"/>
          <w:b/>
          <w:bCs/>
          <w:lang w:eastAsia="ar-SA"/>
        </w:rPr>
        <w:t xml:space="preserve"> </w:t>
      </w:r>
    </w:p>
    <w:p w14:paraId="0B2EA0FE" w14:textId="77777777" w:rsidR="003F1CB3" w:rsidRPr="00E461D0" w:rsidRDefault="003F1CB3" w:rsidP="003F1CB3">
      <w:pPr>
        <w:widowControl/>
        <w:suppressAutoHyphens/>
        <w:jc w:val="center"/>
        <w:rPr>
          <w:rFonts w:ascii="Palatino Linotype" w:hAnsi="Palatino Linotype"/>
          <w:b/>
          <w:bCs/>
          <w:lang w:eastAsia="ar-SA"/>
        </w:rPr>
      </w:pPr>
    </w:p>
    <w:p w14:paraId="16E2E0FB" w14:textId="77777777" w:rsidR="003F1CB3" w:rsidRPr="00E461D0" w:rsidRDefault="003F1CB3" w:rsidP="003F1CB3">
      <w:pPr>
        <w:widowControl/>
        <w:suppressAutoHyphens/>
        <w:jc w:val="center"/>
        <w:rPr>
          <w:rFonts w:ascii="Palatino Linotype" w:hAnsi="Palatino Linotype"/>
          <w:b/>
          <w:bCs/>
          <w:lang w:eastAsia="ar-SA"/>
        </w:rPr>
      </w:pPr>
      <w:r w:rsidRPr="00E461D0">
        <w:rPr>
          <w:rFonts w:ascii="Palatino Linotype" w:hAnsi="Palatino Linotype"/>
          <w:b/>
          <w:bCs/>
          <w:lang w:eastAsia="ar-SA"/>
        </w:rPr>
        <w:t>Ortiz de Ocampo 3302 | Módulo 1 | Piso 5to</w:t>
      </w:r>
    </w:p>
    <w:p w14:paraId="18DDB336" w14:textId="77777777" w:rsidR="003F1CB3" w:rsidRPr="00E461D0" w:rsidRDefault="003F1CB3" w:rsidP="003F1CB3">
      <w:pPr>
        <w:widowControl/>
        <w:suppressAutoHyphens/>
        <w:jc w:val="center"/>
        <w:rPr>
          <w:rFonts w:ascii="Palatino Linotype" w:hAnsi="Palatino Linotype"/>
          <w:b/>
          <w:bCs/>
          <w:lang w:eastAsia="ar-SA"/>
        </w:rPr>
      </w:pPr>
      <w:r w:rsidRPr="00E461D0">
        <w:rPr>
          <w:rFonts w:ascii="Palatino Linotype" w:hAnsi="Palatino Linotype"/>
          <w:b/>
          <w:bCs/>
          <w:lang w:eastAsia="ar-SA"/>
        </w:rPr>
        <w:t xml:space="preserve">C1425DSV </w:t>
      </w:r>
    </w:p>
    <w:p w14:paraId="0C30D0AC" w14:textId="77777777" w:rsidR="003F1CB3" w:rsidRPr="00E461D0" w:rsidRDefault="003F1CB3" w:rsidP="003F1CB3">
      <w:pPr>
        <w:widowControl/>
        <w:suppressAutoHyphens/>
        <w:jc w:val="center"/>
        <w:rPr>
          <w:rFonts w:ascii="Palatino Linotype" w:hAnsi="Palatino Linotype"/>
          <w:b/>
          <w:bCs/>
          <w:lang w:eastAsia="ar-SA"/>
        </w:rPr>
      </w:pPr>
      <w:r w:rsidRPr="00E461D0">
        <w:rPr>
          <w:rFonts w:ascii="Palatino Linotype" w:hAnsi="Palatino Linotype"/>
          <w:b/>
          <w:bCs/>
          <w:lang w:eastAsia="ar-SA"/>
        </w:rPr>
        <w:t>Ciudad de Buenos Aires, Argentina</w:t>
      </w:r>
    </w:p>
    <w:p w14:paraId="47C216D9" w14:textId="77777777" w:rsidR="003F1CB3" w:rsidRPr="00E461D0" w:rsidRDefault="0089034B" w:rsidP="003F1CB3">
      <w:pPr>
        <w:widowControl/>
        <w:suppressAutoHyphens/>
        <w:jc w:val="center"/>
        <w:rPr>
          <w:rFonts w:ascii="Palatino Linotype" w:hAnsi="Palatino Linotype"/>
          <w:bCs/>
          <w:lang w:eastAsia="ar-SA"/>
        </w:rPr>
      </w:pPr>
      <w:hyperlink r:id="rId17" w:history="1">
        <w:r w:rsidR="003F1CB3" w:rsidRPr="00E461D0">
          <w:rPr>
            <w:rStyle w:val="Hipervnculo"/>
            <w:rFonts w:ascii="Palatino Linotype" w:hAnsi="Palatino Linotype"/>
            <w:bCs/>
            <w:u w:val="none"/>
            <w:lang w:eastAsia="ar-SA"/>
          </w:rPr>
          <w:t>www.globalvalores.com.ar</w:t>
        </w:r>
      </w:hyperlink>
    </w:p>
    <w:p w14:paraId="7BF35DCB" w14:textId="77777777" w:rsidR="003F1CB3" w:rsidRPr="00E461D0" w:rsidRDefault="003F1CB3" w:rsidP="003F1CB3">
      <w:pPr>
        <w:widowControl/>
        <w:suppressAutoHyphens/>
        <w:jc w:val="center"/>
        <w:rPr>
          <w:rFonts w:ascii="Palatino Linotype" w:hAnsi="Palatino Linotype"/>
          <w:b/>
          <w:bCs/>
          <w:lang w:eastAsia="ar-SA"/>
        </w:rPr>
      </w:pPr>
    </w:p>
    <w:p w14:paraId="42622237" w14:textId="77777777" w:rsidR="003F1CB3" w:rsidRPr="00E461D0" w:rsidRDefault="003F1CB3" w:rsidP="003F1CB3">
      <w:pPr>
        <w:widowControl/>
        <w:suppressAutoHyphens/>
        <w:jc w:val="center"/>
        <w:rPr>
          <w:rFonts w:ascii="Palatino Linotype" w:hAnsi="Palatino Linotype"/>
          <w:b/>
          <w:bCs/>
          <w:lang w:eastAsia="ar-SA"/>
        </w:rPr>
      </w:pPr>
    </w:p>
    <w:p w14:paraId="49C7805B" w14:textId="77777777" w:rsidR="003F1CB3" w:rsidRPr="00E461D0" w:rsidRDefault="003F1CB3" w:rsidP="003F1CB3">
      <w:pPr>
        <w:pStyle w:val="textonotajustificado"/>
        <w:jc w:val="center"/>
        <w:rPr>
          <w:rFonts w:ascii="Palatino Linotype" w:hAnsi="Palatino Linotype"/>
          <w:b/>
          <w:lang w:eastAsia="es-ES"/>
        </w:rPr>
      </w:pPr>
    </w:p>
    <w:p w14:paraId="0593FDE0" w14:textId="77777777" w:rsidR="003F1CB3" w:rsidRPr="00E461D0" w:rsidRDefault="003F1CB3" w:rsidP="003F1CB3">
      <w:pPr>
        <w:jc w:val="center"/>
      </w:pPr>
      <w:r w:rsidRPr="00E461D0">
        <w:rPr>
          <w:rFonts w:ascii="Palatino Linotype" w:hAnsi="Palatino Linotype"/>
          <w:b/>
          <w:lang w:eastAsia="es-ES"/>
        </w:rPr>
        <w:t>ASESORES LEGALES DE LA TRANSACCIÓN</w:t>
      </w:r>
    </w:p>
    <w:p w14:paraId="197F338C" w14:textId="77777777" w:rsidR="003F1CB3" w:rsidRPr="00E461D0" w:rsidRDefault="003F1CB3" w:rsidP="003F1CB3">
      <w:pPr>
        <w:jc w:val="center"/>
        <w:rPr>
          <w:rFonts w:ascii="Palatino Linotype" w:hAnsi="Palatino Linotype"/>
        </w:rPr>
      </w:pPr>
      <w:r w:rsidRPr="00CE678E">
        <w:rPr>
          <w:rFonts w:ascii="Palatino Linotype" w:hAnsi="Palatino Linotype"/>
          <w:noProof/>
          <w:lang w:eastAsia="es-AR"/>
        </w:rPr>
        <w:drawing>
          <wp:inline distT="0" distB="0" distL="0" distR="0" wp14:anchorId="49E9A25C" wp14:editId="230680C9">
            <wp:extent cx="1511935" cy="86550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11935" cy="865505"/>
                    </a:xfrm>
                    <a:prstGeom prst="rect">
                      <a:avLst/>
                    </a:prstGeom>
                    <a:noFill/>
                  </pic:spPr>
                </pic:pic>
              </a:graphicData>
            </a:graphic>
          </wp:inline>
        </w:drawing>
      </w:r>
    </w:p>
    <w:p w14:paraId="3FE94C0A" w14:textId="77777777" w:rsidR="003F1CB3" w:rsidRPr="00E461D0" w:rsidRDefault="003F1CB3" w:rsidP="003F1CB3">
      <w:pPr>
        <w:widowControl/>
        <w:suppressLineNumbers/>
        <w:jc w:val="center"/>
        <w:rPr>
          <w:rFonts w:ascii="Palatino Linotype" w:hAnsi="Palatino Linotype"/>
          <w:b/>
          <w:lang w:eastAsia="es-ES"/>
        </w:rPr>
      </w:pPr>
      <w:r w:rsidRPr="00E461D0">
        <w:rPr>
          <w:rFonts w:ascii="Palatino Linotype" w:hAnsi="Palatino Linotype"/>
          <w:b/>
          <w:lang w:eastAsia="es-ES"/>
        </w:rPr>
        <w:t>TANOIRA &amp; CASSAGNE ABOGADOS</w:t>
      </w:r>
    </w:p>
    <w:p w14:paraId="7416EEBA" w14:textId="77777777" w:rsidR="003F1CB3" w:rsidRPr="00E461D0" w:rsidRDefault="003F1CB3" w:rsidP="003F1CB3">
      <w:pPr>
        <w:ind w:right="49"/>
        <w:jc w:val="center"/>
        <w:rPr>
          <w:rFonts w:ascii="Palatino Linotype" w:hAnsi="Palatino Linotype"/>
          <w:lang w:eastAsia="es-ES"/>
        </w:rPr>
      </w:pPr>
      <w:r w:rsidRPr="00E461D0">
        <w:rPr>
          <w:rFonts w:ascii="Palatino Linotype" w:hAnsi="Palatino Linotype"/>
        </w:rPr>
        <w:t>Juana Manso 205, 7mo. Piso,</w:t>
      </w:r>
    </w:p>
    <w:p w14:paraId="2ED14045" w14:textId="77777777" w:rsidR="003F1CB3" w:rsidRPr="00E461D0" w:rsidRDefault="003F1CB3" w:rsidP="003F1CB3">
      <w:pPr>
        <w:ind w:right="51"/>
        <w:jc w:val="center"/>
        <w:rPr>
          <w:rFonts w:ascii="Palatino Linotype" w:hAnsi="Palatino Linotype"/>
        </w:rPr>
      </w:pPr>
      <w:r w:rsidRPr="00E461D0">
        <w:rPr>
          <w:rFonts w:ascii="Palatino Linotype" w:hAnsi="Palatino Linotype"/>
        </w:rPr>
        <w:t>Puerto Madero (C1107CBE)</w:t>
      </w:r>
    </w:p>
    <w:p w14:paraId="2C9B63B8" w14:textId="77777777" w:rsidR="003F1CB3" w:rsidRPr="00E461D0" w:rsidRDefault="003F1CB3" w:rsidP="003F1CB3">
      <w:pPr>
        <w:ind w:right="51"/>
        <w:jc w:val="center"/>
        <w:rPr>
          <w:rFonts w:ascii="Palatino Linotype" w:hAnsi="Palatino Linotype"/>
        </w:rPr>
      </w:pPr>
      <w:r w:rsidRPr="00E461D0">
        <w:rPr>
          <w:rFonts w:ascii="Palatino Linotype" w:hAnsi="Palatino Linotype"/>
        </w:rPr>
        <w:t>Ciudad Autónoma de Buenos Aires</w:t>
      </w:r>
    </w:p>
    <w:p w14:paraId="604D5CB6" w14:textId="77777777" w:rsidR="003F1CB3" w:rsidRPr="00E461D0" w:rsidRDefault="003F1CB3" w:rsidP="003F1CB3">
      <w:pPr>
        <w:jc w:val="center"/>
        <w:rPr>
          <w:rFonts w:ascii="Palatino Linotype" w:hAnsi="Palatino Linotype"/>
        </w:rPr>
      </w:pPr>
      <w:r w:rsidRPr="00E461D0">
        <w:rPr>
          <w:rFonts w:ascii="Palatino Linotype" w:hAnsi="Palatino Linotype"/>
        </w:rPr>
        <w:t>Tel/Fax: (5411) 5272-5300</w:t>
      </w:r>
    </w:p>
    <w:p w14:paraId="12EAAE47" w14:textId="77777777" w:rsidR="003F1CB3" w:rsidRPr="00E461D0" w:rsidRDefault="0089034B" w:rsidP="003F1CB3">
      <w:pPr>
        <w:jc w:val="center"/>
        <w:rPr>
          <w:rFonts w:ascii="Palatino Linotype" w:hAnsi="Palatino Linotype"/>
        </w:rPr>
      </w:pPr>
      <w:hyperlink r:id="rId19" w:history="1">
        <w:r w:rsidR="003F1CB3" w:rsidRPr="00E461D0">
          <w:rPr>
            <w:rStyle w:val="Hipervnculo"/>
            <w:rFonts w:ascii="Palatino Linotype" w:hAnsi="Palatino Linotype"/>
            <w:u w:val="none"/>
          </w:rPr>
          <w:t>www.tanoiracassagne.com</w:t>
        </w:r>
      </w:hyperlink>
    </w:p>
    <w:sectPr w:rsidR="003F1CB3" w:rsidRPr="00E461D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ABAAAD" w14:textId="77777777" w:rsidR="00622C0D" w:rsidRDefault="00622C0D" w:rsidP="00B3792D">
      <w:r>
        <w:separator/>
      </w:r>
    </w:p>
  </w:endnote>
  <w:endnote w:type="continuationSeparator" w:id="0">
    <w:p w14:paraId="5A4CFE31" w14:textId="77777777" w:rsidR="00622C0D" w:rsidRDefault="00622C0D" w:rsidP="00B3792D">
      <w:r>
        <w:continuationSeparator/>
      </w:r>
    </w:p>
  </w:endnote>
  <w:endnote w:type="continuationNotice" w:id="1">
    <w:p w14:paraId="31F6D206" w14:textId="77777777" w:rsidR="00622C0D" w:rsidRDefault="00622C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Palatino Linotype" w:hAnsi="Palatino Linotype"/>
      </w:rPr>
      <w:id w:val="1870728318"/>
      <w:docPartObj>
        <w:docPartGallery w:val="Page Numbers (Bottom of Page)"/>
        <w:docPartUnique/>
      </w:docPartObj>
    </w:sdtPr>
    <w:sdtEndPr/>
    <w:sdtContent>
      <w:p w14:paraId="2520562D" w14:textId="5879DC11" w:rsidR="007C1597" w:rsidRPr="003C15F8" w:rsidRDefault="007C1597">
        <w:pPr>
          <w:pStyle w:val="Piedepgina"/>
          <w:jc w:val="center"/>
          <w:rPr>
            <w:rFonts w:ascii="Palatino Linotype" w:hAnsi="Palatino Linotype"/>
          </w:rPr>
        </w:pPr>
        <w:r w:rsidRPr="003C15F8">
          <w:rPr>
            <w:rFonts w:ascii="Palatino Linotype" w:hAnsi="Palatino Linotype"/>
          </w:rPr>
          <w:fldChar w:fldCharType="begin"/>
        </w:r>
        <w:r w:rsidRPr="003C15F8">
          <w:rPr>
            <w:rFonts w:ascii="Palatino Linotype" w:hAnsi="Palatino Linotype"/>
          </w:rPr>
          <w:instrText>PAGE   \* MERGEFORMAT</w:instrText>
        </w:r>
        <w:r w:rsidRPr="003C15F8">
          <w:rPr>
            <w:rFonts w:ascii="Palatino Linotype" w:hAnsi="Palatino Linotype"/>
          </w:rPr>
          <w:fldChar w:fldCharType="separate"/>
        </w:r>
        <w:r w:rsidR="0089034B" w:rsidRPr="0089034B">
          <w:rPr>
            <w:rFonts w:ascii="Palatino Linotype" w:hAnsi="Palatino Linotype"/>
            <w:noProof/>
            <w:lang w:val="es-ES"/>
          </w:rPr>
          <w:t>1</w:t>
        </w:r>
        <w:r w:rsidRPr="003C15F8">
          <w:rPr>
            <w:rFonts w:ascii="Palatino Linotype" w:hAnsi="Palatino Linotype"/>
          </w:rPr>
          <w:fldChar w:fldCharType="end"/>
        </w:r>
      </w:p>
    </w:sdtContent>
  </w:sdt>
  <w:p w14:paraId="6496C853" w14:textId="77777777" w:rsidR="007C1597" w:rsidRDefault="007C15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099C8C" w14:textId="77777777" w:rsidR="00622C0D" w:rsidRDefault="00622C0D" w:rsidP="00B3792D">
      <w:r>
        <w:separator/>
      </w:r>
    </w:p>
  </w:footnote>
  <w:footnote w:type="continuationSeparator" w:id="0">
    <w:p w14:paraId="777C48E8" w14:textId="77777777" w:rsidR="00622C0D" w:rsidRDefault="00622C0D" w:rsidP="00B3792D">
      <w:r>
        <w:continuationSeparator/>
      </w:r>
    </w:p>
  </w:footnote>
  <w:footnote w:type="continuationNotice" w:id="1">
    <w:p w14:paraId="5CAFDE65" w14:textId="77777777" w:rsidR="00622C0D" w:rsidRDefault="00622C0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C8D8A" w14:textId="63A0C9F3" w:rsidR="007C1597" w:rsidRPr="003C15F8" w:rsidRDefault="007C1597" w:rsidP="003C15F8">
    <w:pPr>
      <w:pStyle w:val="Encabezado"/>
      <w:jc w:val="right"/>
      <w:rPr>
        <w:rFonts w:ascii="Palatino Linotype" w:hAnsi="Palatino Linotype"/>
        <w:b/>
        <w:lang w:val="es-MX"/>
      </w:rPr>
    </w:pPr>
    <w:r w:rsidRPr="003C15F8">
      <w:rPr>
        <w:rFonts w:ascii="Palatino Linotype" w:hAnsi="Palatino Linotype"/>
        <w:b/>
        <w:lang w:val="es-MX"/>
      </w:rPr>
      <w:t>PROSPECTO</w:t>
    </w:r>
    <w:r w:rsidR="00622C0D">
      <w:rPr>
        <w:rFonts w:ascii="Palatino Linotype" w:hAnsi="Palatino Linotype"/>
        <w:b/>
        <w:lang w:val="es-MX"/>
      </w:rPr>
      <w:t xml:space="preserve"> DE EMISIÓN</w:t>
    </w:r>
    <w:r w:rsidR="00655ECB">
      <w:rPr>
        <w:rFonts w:ascii="Palatino Linotype" w:hAnsi="Palatino Linotype"/>
        <w:b/>
        <w:lang w:val="es-MX"/>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14BA1"/>
    <w:multiLevelType w:val="hybridMultilevel"/>
    <w:tmpl w:val="D0CA5A04"/>
    <w:name w:val="add222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
    <w:nsid w:val="0F3F0770"/>
    <w:multiLevelType w:val="hybridMultilevel"/>
    <w:tmpl w:val="5A0AA5AE"/>
    <w:lvl w:ilvl="0" w:tplc="2C0A0015">
      <w:start w:val="1"/>
      <w:numFmt w:val="upperLetter"/>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11BB73AD"/>
    <w:multiLevelType w:val="hybridMultilevel"/>
    <w:tmpl w:val="4858D0FA"/>
    <w:lvl w:ilvl="0" w:tplc="38DE1210">
      <w:start w:val="1"/>
      <w:numFmt w:val="upperLetter"/>
      <w:lvlText w:val="%1)"/>
      <w:lvlJc w:val="left"/>
      <w:pPr>
        <w:ind w:left="720" w:hanging="360"/>
      </w:pPr>
      <w:rPr>
        <w:rFonts w:cs="Times New Roman" w:hint="default"/>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13AF5A01"/>
    <w:multiLevelType w:val="hybridMultilevel"/>
    <w:tmpl w:val="3BB8750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4553BBE"/>
    <w:multiLevelType w:val="hybridMultilevel"/>
    <w:tmpl w:val="EA6A628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1B4E3CA2"/>
    <w:multiLevelType w:val="hybridMultilevel"/>
    <w:tmpl w:val="A70E766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1ED757C8"/>
    <w:multiLevelType w:val="hybridMultilevel"/>
    <w:tmpl w:val="BFF80D6A"/>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CBC63B7"/>
    <w:multiLevelType w:val="singleLevel"/>
    <w:tmpl w:val="46F8F2DE"/>
    <w:lvl w:ilvl="0">
      <w:start w:val="1"/>
      <w:numFmt w:val="lowerLetter"/>
      <w:lvlText w:val="(%1)"/>
      <w:lvlJc w:val="left"/>
      <w:pPr>
        <w:tabs>
          <w:tab w:val="num" w:pos="1065"/>
        </w:tabs>
        <w:ind w:left="1065" w:hanging="360"/>
      </w:pPr>
      <w:rPr>
        <w:rFonts w:cs="Times New Roman" w:hint="default"/>
      </w:rPr>
    </w:lvl>
  </w:abstractNum>
  <w:abstractNum w:abstractNumId="8">
    <w:nsid w:val="4DD53120"/>
    <w:multiLevelType w:val="singleLevel"/>
    <w:tmpl w:val="3FF88112"/>
    <w:lvl w:ilvl="0">
      <w:start w:val="1"/>
      <w:numFmt w:val="lowerLetter"/>
      <w:lvlText w:val="(%1)"/>
      <w:lvlJc w:val="left"/>
      <w:pPr>
        <w:tabs>
          <w:tab w:val="num" w:pos="360"/>
        </w:tabs>
        <w:ind w:left="357" w:hanging="357"/>
      </w:pPr>
      <w:rPr>
        <w:rFonts w:cs="Times New Roman" w:hint="default"/>
      </w:rPr>
    </w:lvl>
  </w:abstractNum>
  <w:abstractNum w:abstractNumId="9">
    <w:nsid w:val="50AE7C39"/>
    <w:multiLevelType w:val="hybridMultilevel"/>
    <w:tmpl w:val="F38CC2C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51131318"/>
    <w:multiLevelType w:val="hybridMultilevel"/>
    <w:tmpl w:val="5808957E"/>
    <w:lvl w:ilvl="0" w:tplc="8AECE81E">
      <w:start w:val="5"/>
      <w:numFmt w:val="bullet"/>
      <w:lvlText w:val="-"/>
      <w:lvlJc w:val="left"/>
      <w:pPr>
        <w:ind w:left="720" w:hanging="360"/>
      </w:pPr>
      <w:rPr>
        <w:rFonts w:ascii="Palatino Linotype" w:eastAsiaTheme="minorEastAsia" w:hAnsi="Palatino Linotype"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5CBA09D3"/>
    <w:multiLevelType w:val="hybridMultilevel"/>
    <w:tmpl w:val="D700CF18"/>
    <w:lvl w:ilvl="0" w:tplc="37CE388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5E59546D"/>
    <w:multiLevelType w:val="hybridMultilevel"/>
    <w:tmpl w:val="5E6EFC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5F377F5F"/>
    <w:multiLevelType w:val="hybridMultilevel"/>
    <w:tmpl w:val="4E1AC49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66976A3E"/>
    <w:multiLevelType w:val="hybridMultilevel"/>
    <w:tmpl w:val="3296EA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8BB6BEF"/>
    <w:multiLevelType w:val="hybridMultilevel"/>
    <w:tmpl w:val="21FE6410"/>
    <w:lvl w:ilvl="0" w:tplc="953A6ED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1"/>
  </w:num>
  <w:num w:numId="3">
    <w:abstractNumId w:val="6"/>
  </w:num>
  <w:num w:numId="4">
    <w:abstractNumId w:val="3"/>
  </w:num>
  <w:num w:numId="5">
    <w:abstractNumId w:val="13"/>
  </w:num>
  <w:num w:numId="6">
    <w:abstractNumId w:val="8"/>
    <w:lvlOverride w:ilvl="0">
      <w:startOverride w:val="1"/>
    </w:lvlOverride>
  </w:num>
  <w:num w:numId="7">
    <w:abstractNumId w:val="7"/>
    <w:lvlOverride w:ilvl="0">
      <w:startOverride w:val="1"/>
    </w:lvlOverride>
  </w:num>
  <w:num w:numId="8">
    <w:abstractNumId w:val="0"/>
  </w:num>
  <w:num w:numId="9">
    <w:abstractNumId w:val="12"/>
  </w:num>
  <w:num w:numId="10">
    <w:abstractNumId w:val="9"/>
  </w:num>
  <w:num w:numId="11">
    <w:abstractNumId w:val="14"/>
  </w:num>
  <w:num w:numId="12">
    <w:abstractNumId w:val="5"/>
  </w:num>
  <w:num w:numId="13">
    <w:abstractNumId w:val="10"/>
  </w:num>
  <w:num w:numId="14">
    <w:abstractNumId w:val="4"/>
  </w:num>
  <w:num w:numId="15">
    <w:abstractNumId w:val="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325"/>
    <w:rsid w:val="00004268"/>
    <w:rsid w:val="000074C4"/>
    <w:rsid w:val="000263AA"/>
    <w:rsid w:val="00034CA7"/>
    <w:rsid w:val="00060029"/>
    <w:rsid w:val="00061A86"/>
    <w:rsid w:val="000620EE"/>
    <w:rsid w:val="00063EB4"/>
    <w:rsid w:val="000735C1"/>
    <w:rsid w:val="00077984"/>
    <w:rsid w:val="00087602"/>
    <w:rsid w:val="0009447F"/>
    <w:rsid w:val="000B136C"/>
    <w:rsid w:val="000B5773"/>
    <w:rsid w:val="000D32DF"/>
    <w:rsid w:val="000D3B61"/>
    <w:rsid w:val="000D4A56"/>
    <w:rsid w:val="000D59C6"/>
    <w:rsid w:val="00104A68"/>
    <w:rsid w:val="00106843"/>
    <w:rsid w:val="0012089C"/>
    <w:rsid w:val="0014604A"/>
    <w:rsid w:val="00180AEA"/>
    <w:rsid w:val="0018371E"/>
    <w:rsid w:val="001A771B"/>
    <w:rsid w:val="001B35D4"/>
    <w:rsid w:val="001C064A"/>
    <w:rsid w:val="001C197F"/>
    <w:rsid w:val="001C52F0"/>
    <w:rsid w:val="001D4A5C"/>
    <w:rsid w:val="001E1DB8"/>
    <w:rsid w:val="0023008A"/>
    <w:rsid w:val="00240328"/>
    <w:rsid w:val="00240617"/>
    <w:rsid w:val="00254EE7"/>
    <w:rsid w:val="00276B99"/>
    <w:rsid w:val="002774AC"/>
    <w:rsid w:val="0028080C"/>
    <w:rsid w:val="00282755"/>
    <w:rsid w:val="002A3B3C"/>
    <w:rsid w:val="002B4F19"/>
    <w:rsid w:val="002B7C90"/>
    <w:rsid w:val="002C56C1"/>
    <w:rsid w:val="00315EF4"/>
    <w:rsid w:val="003219BD"/>
    <w:rsid w:val="003467D9"/>
    <w:rsid w:val="003476CC"/>
    <w:rsid w:val="00360CE6"/>
    <w:rsid w:val="00386CA1"/>
    <w:rsid w:val="0039525E"/>
    <w:rsid w:val="003B4A79"/>
    <w:rsid w:val="003C15F8"/>
    <w:rsid w:val="003E2CE7"/>
    <w:rsid w:val="003E5F8E"/>
    <w:rsid w:val="003F1CB3"/>
    <w:rsid w:val="0041354D"/>
    <w:rsid w:val="00415494"/>
    <w:rsid w:val="00425737"/>
    <w:rsid w:val="00435936"/>
    <w:rsid w:val="00461F72"/>
    <w:rsid w:val="00473ED5"/>
    <w:rsid w:val="00476F59"/>
    <w:rsid w:val="00477A98"/>
    <w:rsid w:val="00487404"/>
    <w:rsid w:val="00487CC9"/>
    <w:rsid w:val="00490DB3"/>
    <w:rsid w:val="0049617D"/>
    <w:rsid w:val="004B4D6A"/>
    <w:rsid w:val="004C0A7B"/>
    <w:rsid w:val="004C54BB"/>
    <w:rsid w:val="004E7B3C"/>
    <w:rsid w:val="004F042C"/>
    <w:rsid w:val="0050358E"/>
    <w:rsid w:val="00512563"/>
    <w:rsid w:val="00513D93"/>
    <w:rsid w:val="0054314F"/>
    <w:rsid w:val="00546B9D"/>
    <w:rsid w:val="005A02F0"/>
    <w:rsid w:val="005B137B"/>
    <w:rsid w:val="005C4B48"/>
    <w:rsid w:val="005D4234"/>
    <w:rsid w:val="005E2601"/>
    <w:rsid w:val="0060286B"/>
    <w:rsid w:val="0061290A"/>
    <w:rsid w:val="00622C0D"/>
    <w:rsid w:val="00624A11"/>
    <w:rsid w:val="00633914"/>
    <w:rsid w:val="006363C1"/>
    <w:rsid w:val="00641325"/>
    <w:rsid w:val="00655ECB"/>
    <w:rsid w:val="00661772"/>
    <w:rsid w:val="00665062"/>
    <w:rsid w:val="0067076D"/>
    <w:rsid w:val="0068601C"/>
    <w:rsid w:val="00696AD5"/>
    <w:rsid w:val="006A5D81"/>
    <w:rsid w:val="006B2960"/>
    <w:rsid w:val="006C2553"/>
    <w:rsid w:val="006C2FCA"/>
    <w:rsid w:val="006E7E4B"/>
    <w:rsid w:val="006F62C0"/>
    <w:rsid w:val="00701D94"/>
    <w:rsid w:val="00725319"/>
    <w:rsid w:val="0073289A"/>
    <w:rsid w:val="007527F9"/>
    <w:rsid w:val="00772A03"/>
    <w:rsid w:val="00775D2D"/>
    <w:rsid w:val="00780FFC"/>
    <w:rsid w:val="00782329"/>
    <w:rsid w:val="00785BA4"/>
    <w:rsid w:val="007905E8"/>
    <w:rsid w:val="007906DA"/>
    <w:rsid w:val="007A2C57"/>
    <w:rsid w:val="007A535B"/>
    <w:rsid w:val="007A787C"/>
    <w:rsid w:val="007A78A5"/>
    <w:rsid w:val="007C1597"/>
    <w:rsid w:val="007D7585"/>
    <w:rsid w:val="007F232E"/>
    <w:rsid w:val="00831682"/>
    <w:rsid w:val="00835ED9"/>
    <w:rsid w:val="00852E38"/>
    <w:rsid w:val="0089034B"/>
    <w:rsid w:val="008913D0"/>
    <w:rsid w:val="00893D82"/>
    <w:rsid w:val="008E0DC4"/>
    <w:rsid w:val="00902AA0"/>
    <w:rsid w:val="00904C90"/>
    <w:rsid w:val="00904F57"/>
    <w:rsid w:val="0091601E"/>
    <w:rsid w:val="009323D3"/>
    <w:rsid w:val="00932768"/>
    <w:rsid w:val="0094256F"/>
    <w:rsid w:val="00945774"/>
    <w:rsid w:val="00975A11"/>
    <w:rsid w:val="00991679"/>
    <w:rsid w:val="00995B08"/>
    <w:rsid w:val="0099761C"/>
    <w:rsid w:val="009A0BA5"/>
    <w:rsid w:val="009A1971"/>
    <w:rsid w:val="009A4261"/>
    <w:rsid w:val="009C40AC"/>
    <w:rsid w:val="009D3D7C"/>
    <w:rsid w:val="009D6A53"/>
    <w:rsid w:val="009F1D68"/>
    <w:rsid w:val="009F2F8F"/>
    <w:rsid w:val="009F4782"/>
    <w:rsid w:val="00A11481"/>
    <w:rsid w:val="00A146A4"/>
    <w:rsid w:val="00A217C8"/>
    <w:rsid w:val="00A2331A"/>
    <w:rsid w:val="00A234D9"/>
    <w:rsid w:val="00A31A92"/>
    <w:rsid w:val="00A94FEE"/>
    <w:rsid w:val="00AA0CED"/>
    <w:rsid w:val="00AE5F6E"/>
    <w:rsid w:val="00B11A87"/>
    <w:rsid w:val="00B273AF"/>
    <w:rsid w:val="00B3792D"/>
    <w:rsid w:val="00B56846"/>
    <w:rsid w:val="00B74336"/>
    <w:rsid w:val="00B8528C"/>
    <w:rsid w:val="00BA12B6"/>
    <w:rsid w:val="00BC3421"/>
    <w:rsid w:val="00BD3832"/>
    <w:rsid w:val="00BE2390"/>
    <w:rsid w:val="00BF425E"/>
    <w:rsid w:val="00C02017"/>
    <w:rsid w:val="00C12059"/>
    <w:rsid w:val="00C22F9B"/>
    <w:rsid w:val="00C3657D"/>
    <w:rsid w:val="00C45D67"/>
    <w:rsid w:val="00C52233"/>
    <w:rsid w:val="00C62F8B"/>
    <w:rsid w:val="00C66C22"/>
    <w:rsid w:val="00C70801"/>
    <w:rsid w:val="00C82F4F"/>
    <w:rsid w:val="00C8658C"/>
    <w:rsid w:val="00C87736"/>
    <w:rsid w:val="00C959FA"/>
    <w:rsid w:val="00C97B2A"/>
    <w:rsid w:val="00CA4202"/>
    <w:rsid w:val="00CC0E9F"/>
    <w:rsid w:val="00CC6CE1"/>
    <w:rsid w:val="00CE678E"/>
    <w:rsid w:val="00D34ADF"/>
    <w:rsid w:val="00D61D64"/>
    <w:rsid w:val="00DA0DDE"/>
    <w:rsid w:val="00DB3C08"/>
    <w:rsid w:val="00DB40C1"/>
    <w:rsid w:val="00DC51FD"/>
    <w:rsid w:val="00DF0794"/>
    <w:rsid w:val="00E23A31"/>
    <w:rsid w:val="00E3543E"/>
    <w:rsid w:val="00E403E5"/>
    <w:rsid w:val="00E461D0"/>
    <w:rsid w:val="00E5476E"/>
    <w:rsid w:val="00E60E20"/>
    <w:rsid w:val="00E61293"/>
    <w:rsid w:val="00E6273C"/>
    <w:rsid w:val="00E64BE1"/>
    <w:rsid w:val="00E9735A"/>
    <w:rsid w:val="00F0094D"/>
    <w:rsid w:val="00F01F6F"/>
    <w:rsid w:val="00F0333A"/>
    <w:rsid w:val="00F03F2B"/>
    <w:rsid w:val="00F23361"/>
    <w:rsid w:val="00F335FC"/>
    <w:rsid w:val="00F37F23"/>
    <w:rsid w:val="00F423BC"/>
    <w:rsid w:val="00F61D28"/>
    <w:rsid w:val="00F80CFD"/>
    <w:rsid w:val="00F83FC9"/>
    <w:rsid w:val="00F92770"/>
    <w:rsid w:val="00F95FA9"/>
    <w:rsid w:val="00FA0E51"/>
    <w:rsid w:val="00FA6FBF"/>
    <w:rsid w:val="00FE5C1D"/>
    <w:rsid w:val="00FE7D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AD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325"/>
    <w:pPr>
      <w:widowControl w:val="0"/>
      <w:autoSpaceDE w:val="0"/>
      <w:autoSpaceDN w:val="0"/>
      <w:adjustRightInd w:val="0"/>
      <w:spacing w:after="0" w:line="240" w:lineRule="auto"/>
    </w:pPr>
    <w:rPr>
      <w:rFonts w:ascii="Arial" w:eastAsiaTheme="minorEastAsia" w:hAnsi="Arial" w:cs="Arial"/>
      <w:color w:val="000000"/>
      <w:sz w:val="20"/>
      <w:szCs w:val="20"/>
      <w:u w:color="000000"/>
      <w:lang w:val="es-AR" w:eastAsia="es-MX"/>
    </w:rPr>
  </w:style>
  <w:style w:type="paragraph" w:styleId="Ttulo1">
    <w:name w:val="heading 1"/>
    <w:basedOn w:val="Normal"/>
    <w:next w:val="Normal"/>
    <w:link w:val="Ttulo1Car"/>
    <w:uiPriority w:val="9"/>
    <w:qFormat/>
    <w:rsid w:val="00B8528C"/>
    <w:pPr>
      <w:keepNext/>
      <w:keepLines/>
      <w:spacing w:before="240"/>
      <w:jc w:val="center"/>
      <w:outlineLvl w:val="0"/>
    </w:pPr>
    <w:rPr>
      <w:rFonts w:ascii="Palatino Linotype" w:eastAsiaTheme="majorEastAsia" w:hAnsi="Palatino Linotype" w:cstheme="majorBidi"/>
      <w:b/>
      <w:color w:val="auto"/>
      <w:sz w:val="24"/>
      <w:szCs w:val="32"/>
    </w:rPr>
  </w:style>
  <w:style w:type="paragraph" w:styleId="Ttulo2">
    <w:name w:val="heading 2"/>
    <w:basedOn w:val="Normal"/>
    <w:next w:val="Normal"/>
    <w:link w:val="Ttulo2Car"/>
    <w:uiPriority w:val="9"/>
    <w:unhideWhenUsed/>
    <w:qFormat/>
    <w:rsid w:val="00FE7D0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48740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41325"/>
    <w:pPr>
      <w:ind w:left="720"/>
      <w:contextualSpacing/>
    </w:pPr>
  </w:style>
  <w:style w:type="character" w:styleId="Hipervnculo">
    <w:name w:val="Hyperlink"/>
    <w:uiPriority w:val="99"/>
    <w:rsid w:val="00641325"/>
    <w:rPr>
      <w:color w:val="0000FF"/>
      <w:u w:val="single"/>
    </w:rPr>
  </w:style>
  <w:style w:type="table" w:styleId="Tablaconcuadrcula">
    <w:name w:val="Table Grid"/>
    <w:basedOn w:val="Tablanormal"/>
    <w:rsid w:val="00641325"/>
    <w:pPr>
      <w:widowControl w:val="0"/>
      <w:tabs>
        <w:tab w:val="left" w:pos="664"/>
      </w:tabs>
      <w:spacing w:before="120" w:after="60" w:line="240" w:lineRule="auto"/>
      <w:ind w:right="357"/>
      <w:jc w:val="both"/>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notajustificado">
    <w:name w:val="texto nota justificado"/>
    <w:basedOn w:val="Normal"/>
    <w:qFormat/>
    <w:rsid w:val="00641325"/>
    <w:pPr>
      <w:widowControl/>
      <w:autoSpaceDE/>
      <w:autoSpaceDN/>
      <w:adjustRightInd/>
      <w:jc w:val="both"/>
    </w:pPr>
    <w:rPr>
      <w:rFonts w:eastAsia="Times New Roman" w:cs="Times New Roman"/>
      <w:color w:val="auto"/>
      <w:lang w:eastAsia="en-US"/>
    </w:rPr>
  </w:style>
  <w:style w:type="character" w:customStyle="1" w:styleId="Ttulo1Car">
    <w:name w:val="Título 1 Car"/>
    <w:basedOn w:val="Fuentedeprrafopredeter"/>
    <w:link w:val="Ttulo1"/>
    <w:uiPriority w:val="9"/>
    <w:rsid w:val="00B8528C"/>
    <w:rPr>
      <w:rFonts w:ascii="Palatino Linotype" w:eastAsiaTheme="majorEastAsia" w:hAnsi="Palatino Linotype" w:cstheme="majorBidi"/>
      <w:b/>
      <w:sz w:val="24"/>
      <w:szCs w:val="32"/>
      <w:u w:color="000000"/>
      <w:lang w:val="es-AR" w:eastAsia="es-MX"/>
    </w:rPr>
  </w:style>
  <w:style w:type="paragraph" w:styleId="Textodeglobo">
    <w:name w:val="Balloon Text"/>
    <w:basedOn w:val="Normal"/>
    <w:link w:val="TextodegloboCar"/>
    <w:uiPriority w:val="99"/>
    <w:semiHidden/>
    <w:unhideWhenUsed/>
    <w:rsid w:val="00F335F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35FC"/>
    <w:rPr>
      <w:rFonts w:ascii="Segoe UI" w:eastAsiaTheme="minorEastAsia" w:hAnsi="Segoe UI" w:cs="Segoe UI"/>
      <w:color w:val="000000"/>
      <w:sz w:val="18"/>
      <w:szCs w:val="18"/>
      <w:u w:color="000000"/>
      <w:lang w:val="es-AR" w:eastAsia="es-MX"/>
    </w:rPr>
  </w:style>
  <w:style w:type="character" w:customStyle="1" w:styleId="Ttulo2Car">
    <w:name w:val="Título 2 Car"/>
    <w:basedOn w:val="Fuentedeprrafopredeter"/>
    <w:link w:val="Ttulo2"/>
    <w:uiPriority w:val="9"/>
    <w:rsid w:val="00FE7D09"/>
    <w:rPr>
      <w:rFonts w:asciiTheme="majorHAnsi" w:eastAsiaTheme="majorEastAsia" w:hAnsiTheme="majorHAnsi" w:cstheme="majorBidi"/>
      <w:color w:val="2E74B5" w:themeColor="accent1" w:themeShade="BF"/>
      <w:sz w:val="26"/>
      <w:szCs w:val="26"/>
      <w:u w:color="000000"/>
      <w:lang w:val="es-AR" w:eastAsia="es-MX"/>
    </w:rPr>
  </w:style>
  <w:style w:type="paragraph" w:customStyle="1" w:styleId="bti">
    <w:name w:val="bti"/>
    <w:aliases w:val="BodyTextInd"/>
    <w:basedOn w:val="Sangradetextonormal"/>
    <w:rsid w:val="00FE7D09"/>
    <w:pPr>
      <w:widowControl/>
      <w:spacing w:after="240"/>
      <w:ind w:left="0" w:firstLine="360"/>
      <w:jc w:val="both"/>
    </w:pPr>
    <w:rPr>
      <w:rFonts w:ascii="Times New Roman" w:eastAsia="Times New Roman" w:hAnsi="Times New Roman" w:cs="Times New Roman"/>
      <w:szCs w:val="18"/>
      <w:lang w:val="en-US" w:eastAsia="pt-BR"/>
    </w:rPr>
  </w:style>
  <w:style w:type="paragraph" w:styleId="Sangradetextonormal">
    <w:name w:val="Body Text Indent"/>
    <w:basedOn w:val="Normal"/>
    <w:link w:val="SangradetextonormalCar"/>
    <w:uiPriority w:val="99"/>
    <w:semiHidden/>
    <w:unhideWhenUsed/>
    <w:rsid w:val="00FE7D09"/>
    <w:pPr>
      <w:spacing w:after="120"/>
      <w:ind w:left="283"/>
    </w:pPr>
  </w:style>
  <w:style w:type="character" w:customStyle="1" w:styleId="SangradetextonormalCar">
    <w:name w:val="Sangría de texto normal Car"/>
    <w:basedOn w:val="Fuentedeprrafopredeter"/>
    <w:link w:val="Sangradetextonormal"/>
    <w:uiPriority w:val="99"/>
    <w:semiHidden/>
    <w:rsid w:val="00FE7D09"/>
    <w:rPr>
      <w:rFonts w:ascii="Arial" w:eastAsiaTheme="minorEastAsia" w:hAnsi="Arial" w:cs="Arial"/>
      <w:color w:val="000000"/>
      <w:sz w:val="20"/>
      <w:szCs w:val="20"/>
      <w:u w:color="000000"/>
      <w:lang w:val="es-AR" w:eastAsia="es-MX"/>
    </w:rPr>
  </w:style>
  <w:style w:type="paragraph" w:styleId="TtulodeTDC">
    <w:name w:val="TOC Heading"/>
    <w:basedOn w:val="Ttulo1"/>
    <w:next w:val="Normal"/>
    <w:uiPriority w:val="39"/>
    <w:unhideWhenUsed/>
    <w:qFormat/>
    <w:rsid w:val="00B3792D"/>
    <w:pPr>
      <w:widowControl/>
      <w:autoSpaceDE/>
      <w:autoSpaceDN/>
      <w:adjustRightInd/>
      <w:spacing w:line="259" w:lineRule="auto"/>
      <w:jc w:val="left"/>
      <w:outlineLvl w:val="9"/>
    </w:pPr>
    <w:rPr>
      <w:rFonts w:asciiTheme="majorHAnsi" w:hAnsiTheme="majorHAnsi"/>
      <w:b w:val="0"/>
      <w:color w:val="2E74B5" w:themeColor="accent1" w:themeShade="BF"/>
      <w:sz w:val="32"/>
      <w:lang w:val="es-MX"/>
    </w:rPr>
  </w:style>
  <w:style w:type="paragraph" w:styleId="TDC1">
    <w:name w:val="toc 1"/>
    <w:basedOn w:val="Normal"/>
    <w:next w:val="Normal"/>
    <w:autoRedefine/>
    <w:uiPriority w:val="39"/>
    <w:unhideWhenUsed/>
    <w:rsid w:val="00C8658C"/>
    <w:pPr>
      <w:tabs>
        <w:tab w:val="right" w:leader="dot" w:pos="8828"/>
      </w:tabs>
      <w:spacing w:after="100"/>
    </w:pPr>
  </w:style>
  <w:style w:type="paragraph" w:styleId="Encabezado">
    <w:name w:val="header"/>
    <w:basedOn w:val="Normal"/>
    <w:link w:val="EncabezadoCar"/>
    <w:uiPriority w:val="99"/>
    <w:unhideWhenUsed/>
    <w:rsid w:val="00B3792D"/>
    <w:pPr>
      <w:tabs>
        <w:tab w:val="center" w:pos="4419"/>
        <w:tab w:val="right" w:pos="8838"/>
      </w:tabs>
    </w:pPr>
  </w:style>
  <w:style w:type="character" w:customStyle="1" w:styleId="EncabezadoCar">
    <w:name w:val="Encabezado Car"/>
    <w:basedOn w:val="Fuentedeprrafopredeter"/>
    <w:link w:val="Encabezado"/>
    <w:uiPriority w:val="99"/>
    <w:rsid w:val="00B3792D"/>
    <w:rPr>
      <w:rFonts w:ascii="Arial" w:eastAsiaTheme="minorEastAsia" w:hAnsi="Arial" w:cs="Arial"/>
      <w:color w:val="000000"/>
      <w:sz w:val="20"/>
      <w:szCs w:val="20"/>
      <w:u w:color="000000"/>
      <w:lang w:val="es-AR" w:eastAsia="es-MX"/>
    </w:rPr>
  </w:style>
  <w:style w:type="paragraph" w:styleId="Piedepgina">
    <w:name w:val="footer"/>
    <w:basedOn w:val="Normal"/>
    <w:link w:val="PiedepginaCar"/>
    <w:uiPriority w:val="99"/>
    <w:unhideWhenUsed/>
    <w:rsid w:val="00B3792D"/>
    <w:pPr>
      <w:tabs>
        <w:tab w:val="center" w:pos="4419"/>
        <w:tab w:val="right" w:pos="8838"/>
      </w:tabs>
    </w:pPr>
  </w:style>
  <w:style w:type="character" w:customStyle="1" w:styleId="PiedepginaCar">
    <w:name w:val="Pie de página Car"/>
    <w:basedOn w:val="Fuentedeprrafopredeter"/>
    <w:link w:val="Piedepgina"/>
    <w:uiPriority w:val="99"/>
    <w:rsid w:val="00B3792D"/>
    <w:rPr>
      <w:rFonts w:ascii="Arial" w:eastAsiaTheme="minorEastAsia" w:hAnsi="Arial" w:cs="Arial"/>
      <w:color w:val="000000"/>
      <w:sz w:val="20"/>
      <w:szCs w:val="20"/>
      <w:u w:color="000000"/>
      <w:lang w:val="es-AR" w:eastAsia="es-MX"/>
    </w:rPr>
  </w:style>
  <w:style w:type="paragraph" w:styleId="Revisin">
    <w:name w:val="Revision"/>
    <w:hidden/>
    <w:uiPriority w:val="99"/>
    <w:semiHidden/>
    <w:rsid w:val="00B3792D"/>
    <w:pPr>
      <w:spacing w:after="0" w:line="240" w:lineRule="auto"/>
    </w:pPr>
    <w:rPr>
      <w:rFonts w:ascii="Arial" w:eastAsiaTheme="minorEastAsia" w:hAnsi="Arial" w:cs="Arial"/>
      <w:color w:val="000000"/>
      <w:sz w:val="20"/>
      <w:szCs w:val="20"/>
      <w:u w:color="000000"/>
      <w:lang w:val="es-AR" w:eastAsia="es-MX"/>
    </w:rPr>
  </w:style>
  <w:style w:type="character" w:styleId="Hipervnculovisitado">
    <w:name w:val="FollowedHyperlink"/>
    <w:basedOn w:val="Fuentedeprrafopredeter"/>
    <w:uiPriority w:val="99"/>
    <w:semiHidden/>
    <w:unhideWhenUsed/>
    <w:rsid w:val="00487404"/>
    <w:rPr>
      <w:color w:val="954F72" w:themeColor="followedHyperlink"/>
      <w:u w:val="single"/>
    </w:rPr>
  </w:style>
  <w:style w:type="character" w:customStyle="1" w:styleId="Ttulo3Car">
    <w:name w:val="Título 3 Car"/>
    <w:basedOn w:val="Fuentedeprrafopredeter"/>
    <w:link w:val="Ttulo3"/>
    <w:uiPriority w:val="9"/>
    <w:semiHidden/>
    <w:rsid w:val="00487404"/>
    <w:rPr>
      <w:rFonts w:asciiTheme="majorHAnsi" w:eastAsiaTheme="majorEastAsia" w:hAnsiTheme="majorHAnsi" w:cstheme="majorBidi"/>
      <w:color w:val="1F4D78" w:themeColor="accent1" w:themeShade="7F"/>
      <w:sz w:val="24"/>
      <w:szCs w:val="24"/>
      <w:u w:color="000000"/>
      <w:lang w:val="es-AR" w:eastAsia="es-MX"/>
    </w:rPr>
  </w:style>
  <w:style w:type="paragraph" w:styleId="Textoindependiente">
    <w:name w:val="Body Text"/>
    <w:basedOn w:val="Normal"/>
    <w:link w:val="TextoindependienteCar"/>
    <w:uiPriority w:val="99"/>
    <w:semiHidden/>
    <w:unhideWhenUsed/>
    <w:rsid w:val="00487404"/>
    <w:pPr>
      <w:spacing w:after="120"/>
    </w:pPr>
  </w:style>
  <w:style w:type="character" w:customStyle="1" w:styleId="TextoindependienteCar">
    <w:name w:val="Texto independiente Car"/>
    <w:basedOn w:val="Fuentedeprrafopredeter"/>
    <w:link w:val="Textoindependiente"/>
    <w:uiPriority w:val="99"/>
    <w:semiHidden/>
    <w:rsid w:val="00487404"/>
    <w:rPr>
      <w:rFonts w:ascii="Arial" w:eastAsiaTheme="minorEastAsia" w:hAnsi="Arial" w:cs="Arial"/>
      <w:color w:val="000000"/>
      <w:sz w:val="20"/>
      <w:szCs w:val="20"/>
      <w:u w:color="000000"/>
      <w:lang w:val="es-AR" w:eastAsia="es-MX"/>
    </w:rPr>
  </w:style>
  <w:style w:type="character" w:customStyle="1" w:styleId="a1">
    <w:name w:val="a1"/>
    <w:rsid w:val="00487404"/>
  </w:style>
  <w:style w:type="character" w:styleId="nfasis">
    <w:name w:val="Emphasis"/>
    <w:qFormat/>
    <w:rsid w:val="00487404"/>
    <w:rPr>
      <w:i/>
      <w:iCs/>
    </w:rPr>
  </w:style>
  <w:style w:type="paragraph" w:customStyle="1" w:styleId="Default">
    <w:name w:val="Default"/>
    <w:rsid w:val="00487404"/>
    <w:pPr>
      <w:autoSpaceDE w:val="0"/>
      <w:autoSpaceDN w:val="0"/>
      <w:adjustRightInd w:val="0"/>
      <w:spacing w:after="0" w:line="240" w:lineRule="auto"/>
    </w:pPr>
    <w:rPr>
      <w:rFonts w:ascii="Arial" w:eastAsia="Times New Roman" w:hAnsi="Arial" w:cs="Arial"/>
      <w:color w:val="000000"/>
      <w:sz w:val="24"/>
      <w:szCs w:val="24"/>
      <w:lang w:val="es-AR" w:eastAsia="es-AR"/>
    </w:rPr>
  </w:style>
  <w:style w:type="character" w:styleId="Refdecomentario">
    <w:name w:val="annotation reference"/>
    <w:basedOn w:val="Fuentedeprrafopredeter"/>
    <w:uiPriority w:val="99"/>
    <w:semiHidden/>
    <w:unhideWhenUsed/>
    <w:rsid w:val="009A4261"/>
    <w:rPr>
      <w:sz w:val="16"/>
      <w:szCs w:val="16"/>
    </w:rPr>
  </w:style>
  <w:style w:type="paragraph" w:styleId="Textocomentario">
    <w:name w:val="annotation text"/>
    <w:basedOn w:val="Normal"/>
    <w:link w:val="TextocomentarioCar"/>
    <w:uiPriority w:val="99"/>
    <w:semiHidden/>
    <w:unhideWhenUsed/>
    <w:rsid w:val="009A4261"/>
  </w:style>
  <w:style w:type="character" w:customStyle="1" w:styleId="TextocomentarioCar">
    <w:name w:val="Texto comentario Car"/>
    <w:basedOn w:val="Fuentedeprrafopredeter"/>
    <w:link w:val="Textocomentario"/>
    <w:uiPriority w:val="99"/>
    <w:semiHidden/>
    <w:rsid w:val="009A4261"/>
    <w:rPr>
      <w:rFonts w:ascii="Arial" w:eastAsiaTheme="minorEastAsia" w:hAnsi="Arial" w:cs="Arial"/>
      <w:color w:val="000000"/>
      <w:sz w:val="20"/>
      <w:szCs w:val="20"/>
      <w:u w:color="000000"/>
      <w:lang w:val="es-AR" w:eastAsia="es-MX"/>
    </w:rPr>
  </w:style>
  <w:style w:type="paragraph" w:styleId="Asuntodelcomentario">
    <w:name w:val="annotation subject"/>
    <w:basedOn w:val="Textocomentario"/>
    <w:next w:val="Textocomentario"/>
    <w:link w:val="AsuntodelcomentarioCar"/>
    <w:uiPriority w:val="99"/>
    <w:semiHidden/>
    <w:unhideWhenUsed/>
    <w:rsid w:val="009A4261"/>
    <w:rPr>
      <w:b/>
      <w:bCs/>
    </w:rPr>
  </w:style>
  <w:style w:type="character" w:customStyle="1" w:styleId="AsuntodelcomentarioCar">
    <w:name w:val="Asunto del comentario Car"/>
    <w:basedOn w:val="TextocomentarioCar"/>
    <w:link w:val="Asuntodelcomentario"/>
    <w:uiPriority w:val="99"/>
    <w:semiHidden/>
    <w:rsid w:val="009A4261"/>
    <w:rPr>
      <w:rFonts w:ascii="Arial" w:eastAsiaTheme="minorEastAsia" w:hAnsi="Arial" w:cs="Arial"/>
      <w:b/>
      <w:bCs/>
      <w:color w:val="000000"/>
      <w:sz w:val="20"/>
      <w:szCs w:val="20"/>
      <w:u w:color="000000"/>
      <w:lang w:val="es-AR"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325"/>
    <w:pPr>
      <w:widowControl w:val="0"/>
      <w:autoSpaceDE w:val="0"/>
      <w:autoSpaceDN w:val="0"/>
      <w:adjustRightInd w:val="0"/>
      <w:spacing w:after="0" w:line="240" w:lineRule="auto"/>
    </w:pPr>
    <w:rPr>
      <w:rFonts w:ascii="Arial" w:eastAsiaTheme="minorEastAsia" w:hAnsi="Arial" w:cs="Arial"/>
      <w:color w:val="000000"/>
      <w:sz w:val="20"/>
      <w:szCs w:val="20"/>
      <w:u w:color="000000"/>
      <w:lang w:val="es-AR" w:eastAsia="es-MX"/>
    </w:rPr>
  </w:style>
  <w:style w:type="paragraph" w:styleId="Ttulo1">
    <w:name w:val="heading 1"/>
    <w:basedOn w:val="Normal"/>
    <w:next w:val="Normal"/>
    <w:link w:val="Ttulo1Car"/>
    <w:uiPriority w:val="9"/>
    <w:qFormat/>
    <w:rsid w:val="00B8528C"/>
    <w:pPr>
      <w:keepNext/>
      <w:keepLines/>
      <w:spacing w:before="240"/>
      <w:jc w:val="center"/>
      <w:outlineLvl w:val="0"/>
    </w:pPr>
    <w:rPr>
      <w:rFonts w:ascii="Palatino Linotype" w:eastAsiaTheme="majorEastAsia" w:hAnsi="Palatino Linotype" w:cstheme="majorBidi"/>
      <w:b/>
      <w:color w:val="auto"/>
      <w:sz w:val="24"/>
      <w:szCs w:val="32"/>
    </w:rPr>
  </w:style>
  <w:style w:type="paragraph" w:styleId="Ttulo2">
    <w:name w:val="heading 2"/>
    <w:basedOn w:val="Normal"/>
    <w:next w:val="Normal"/>
    <w:link w:val="Ttulo2Car"/>
    <w:uiPriority w:val="9"/>
    <w:unhideWhenUsed/>
    <w:qFormat/>
    <w:rsid w:val="00FE7D0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48740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41325"/>
    <w:pPr>
      <w:ind w:left="720"/>
      <w:contextualSpacing/>
    </w:pPr>
  </w:style>
  <w:style w:type="character" w:styleId="Hipervnculo">
    <w:name w:val="Hyperlink"/>
    <w:uiPriority w:val="99"/>
    <w:rsid w:val="00641325"/>
    <w:rPr>
      <w:color w:val="0000FF"/>
      <w:u w:val="single"/>
    </w:rPr>
  </w:style>
  <w:style w:type="table" w:styleId="Tablaconcuadrcula">
    <w:name w:val="Table Grid"/>
    <w:basedOn w:val="Tablanormal"/>
    <w:rsid w:val="00641325"/>
    <w:pPr>
      <w:widowControl w:val="0"/>
      <w:tabs>
        <w:tab w:val="left" w:pos="664"/>
      </w:tabs>
      <w:spacing w:before="120" w:after="60" w:line="240" w:lineRule="auto"/>
      <w:ind w:right="357"/>
      <w:jc w:val="both"/>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notajustificado">
    <w:name w:val="texto nota justificado"/>
    <w:basedOn w:val="Normal"/>
    <w:qFormat/>
    <w:rsid w:val="00641325"/>
    <w:pPr>
      <w:widowControl/>
      <w:autoSpaceDE/>
      <w:autoSpaceDN/>
      <w:adjustRightInd/>
      <w:jc w:val="both"/>
    </w:pPr>
    <w:rPr>
      <w:rFonts w:eastAsia="Times New Roman" w:cs="Times New Roman"/>
      <w:color w:val="auto"/>
      <w:lang w:eastAsia="en-US"/>
    </w:rPr>
  </w:style>
  <w:style w:type="character" w:customStyle="1" w:styleId="Ttulo1Car">
    <w:name w:val="Título 1 Car"/>
    <w:basedOn w:val="Fuentedeprrafopredeter"/>
    <w:link w:val="Ttulo1"/>
    <w:uiPriority w:val="9"/>
    <w:rsid w:val="00B8528C"/>
    <w:rPr>
      <w:rFonts w:ascii="Palatino Linotype" w:eastAsiaTheme="majorEastAsia" w:hAnsi="Palatino Linotype" w:cstheme="majorBidi"/>
      <w:b/>
      <w:sz w:val="24"/>
      <w:szCs w:val="32"/>
      <w:u w:color="000000"/>
      <w:lang w:val="es-AR" w:eastAsia="es-MX"/>
    </w:rPr>
  </w:style>
  <w:style w:type="paragraph" w:styleId="Textodeglobo">
    <w:name w:val="Balloon Text"/>
    <w:basedOn w:val="Normal"/>
    <w:link w:val="TextodegloboCar"/>
    <w:uiPriority w:val="99"/>
    <w:semiHidden/>
    <w:unhideWhenUsed/>
    <w:rsid w:val="00F335F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35FC"/>
    <w:rPr>
      <w:rFonts w:ascii="Segoe UI" w:eastAsiaTheme="minorEastAsia" w:hAnsi="Segoe UI" w:cs="Segoe UI"/>
      <w:color w:val="000000"/>
      <w:sz w:val="18"/>
      <w:szCs w:val="18"/>
      <w:u w:color="000000"/>
      <w:lang w:val="es-AR" w:eastAsia="es-MX"/>
    </w:rPr>
  </w:style>
  <w:style w:type="character" w:customStyle="1" w:styleId="Ttulo2Car">
    <w:name w:val="Título 2 Car"/>
    <w:basedOn w:val="Fuentedeprrafopredeter"/>
    <w:link w:val="Ttulo2"/>
    <w:uiPriority w:val="9"/>
    <w:rsid w:val="00FE7D09"/>
    <w:rPr>
      <w:rFonts w:asciiTheme="majorHAnsi" w:eastAsiaTheme="majorEastAsia" w:hAnsiTheme="majorHAnsi" w:cstheme="majorBidi"/>
      <w:color w:val="2E74B5" w:themeColor="accent1" w:themeShade="BF"/>
      <w:sz w:val="26"/>
      <w:szCs w:val="26"/>
      <w:u w:color="000000"/>
      <w:lang w:val="es-AR" w:eastAsia="es-MX"/>
    </w:rPr>
  </w:style>
  <w:style w:type="paragraph" w:customStyle="1" w:styleId="bti">
    <w:name w:val="bti"/>
    <w:aliases w:val="BodyTextInd"/>
    <w:basedOn w:val="Sangradetextonormal"/>
    <w:rsid w:val="00FE7D09"/>
    <w:pPr>
      <w:widowControl/>
      <w:spacing w:after="240"/>
      <w:ind w:left="0" w:firstLine="360"/>
      <w:jc w:val="both"/>
    </w:pPr>
    <w:rPr>
      <w:rFonts w:ascii="Times New Roman" w:eastAsia="Times New Roman" w:hAnsi="Times New Roman" w:cs="Times New Roman"/>
      <w:szCs w:val="18"/>
      <w:lang w:val="en-US" w:eastAsia="pt-BR"/>
    </w:rPr>
  </w:style>
  <w:style w:type="paragraph" w:styleId="Sangradetextonormal">
    <w:name w:val="Body Text Indent"/>
    <w:basedOn w:val="Normal"/>
    <w:link w:val="SangradetextonormalCar"/>
    <w:uiPriority w:val="99"/>
    <w:semiHidden/>
    <w:unhideWhenUsed/>
    <w:rsid w:val="00FE7D09"/>
    <w:pPr>
      <w:spacing w:after="120"/>
      <w:ind w:left="283"/>
    </w:pPr>
  </w:style>
  <w:style w:type="character" w:customStyle="1" w:styleId="SangradetextonormalCar">
    <w:name w:val="Sangría de texto normal Car"/>
    <w:basedOn w:val="Fuentedeprrafopredeter"/>
    <w:link w:val="Sangradetextonormal"/>
    <w:uiPriority w:val="99"/>
    <w:semiHidden/>
    <w:rsid w:val="00FE7D09"/>
    <w:rPr>
      <w:rFonts w:ascii="Arial" w:eastAsiaTheme="minorEastAsia" w:hAnsi="Arial" w:cs="Arial"/>
      <w:color w:val="000000"/>
      <w:sz w:val="20"/>
      <w:szCs w:val="20"/>
      <w:u w:color="000000"/>
      <w:lang w:val="es-AR" w:eastAsia="es-MX"/>
    </w:rPr>
  </w:style>
  <w:style w:type="paragraph" w:styleId="TtulodeTDC">
    <w:name w:val="TOC Heading"/>
    <w:basedOn w:val="Ttulo1"/>
    <w:next w:val="Normal"/>
    <w:uiPriority w:val="39"/>
    <w:unhideWhenUsed/>
    <w:qFormat/>
    <w:rsid w:val="00B3792D"/>
    <w:pPr>
      <w:widowControl/>
      <w:autoSpaceDE/>
      <w:autoSpaceDN/>
      <w:adjustRightInd/>
      <w:spacing w:line="259" w:lineRule="auto"/>
      <w:jc w:val="left"/>
      <w:outlineLvl w:val="9"/>
    </w:pPr>
    <w:rPr>
      <w:rFonts w:asciiTheme="majorHAnsi" w:hAnsiTheme="majorHAnsi"/>
      <w:b w:val="0"/>
      <w:color w:val="2E74B5" w:themeColor="accent1" w:themeShade="BF"/>
      <w:sz w:val="32"/>
      <w:lang w:val="es-MX"/>
    </w:rPr>
  </w:style>
  <w:style w:type="paragraph" w:styleId="TDC1">
    <w:name w:val="toc 1"/>
    <w:basedOn w:val="Normal"/>
    <w:next w:val="Normal"/>
    <w:autoRedefine/>
    <w:uiPriority w:val="39"/>
    <w:unhideWhenUsed/>
    <w:rsid w:val="00C8658C"/>
    <w:pPr>
      <w:tabs>
        <w:tab w:val="right" w:leader="dot" w:pos="8828"/>
      </w:tabs>
      <w:spacing w:after="100"/>
    </w:pPr>
  </w:style>
  <w:style w:type="paragraph" w:styleId="Encabezado">
    <w:name w:val="header"/>
    <w:basedOn w:val="Normal"/>
    <w:link w:val="EncabezadoCar"/>
    <w:uiPriority w:val="99"/>
    <w:unhideWhenUsed/>
    <w:rsid w:val="00B3792D"/>
    <w:pPr>
      <w:tabs>
        <w:tab w:val="center" w:pos="4419"/>
        <w:tab w:val="right" w:pos="8838"/>
      </w:tabs>
    </w:pPr>
  </w:style>
  <w:style w:type="character" w:customStyle="1" w:styleId="EncabezadoCar">
    <w:name w:val="Encabezado Car"/>
    <w:basedOn w:val="Fuentedeprrafopredeter"/>
    <w:link w:val="Encabezado"/>
    <w:uiPriority w:val="99"/>
    <w:rsid w:val="00B3792D"/>
    <w:rPr>
      <w:rFonts w:ascii="Arial" w:eastAsiaTheme="minorEastAsia" w:hAnsi="Arial" w:cs="Arial"/>
      <w:color w:val="000000"/>
      <w:sz w:val="20"/>
      <w:szCs w:val="20"/>
      <w:u w:color="000000"/>
      <w:lang w:val="es-AR" w:eastAsia="es-MX"/>
    </w:rPr>
  </w:style>
  <w:style w:type="paragraph" w:styleId="Piedepgina">
    <w:name w:val="footer"/>
    <w:basedOn w:val="Normal"/>
    <w:link w:val="PiedepginaCar"/>
    <w:uiPriority w:val="99"/>
    <w:unhideWhenUsed/>
    <w:rsid w:val="00B3792D"/>
    <w:pPr>
      <w:tabs>
        <w:tab w:val="center" w:pos="4419"/>
        <w:tab w:val="right" w:pos="8838"/>
      </w:tabs>
    </w:pPr>
  </w:style>
  <w:style w:type="character" w:customStyle="1" w:styleId="PiedepginaCar">
    <w:name w:val="Pie de página Car"/>
    <w:basedOn w:val="Fuentedeprrafopredeter"/>
    <w:link w:val="Piedepgina"/>
    <w:uiPriority w:val="99"/>
    <w:rsid w:val="00B3792D"/>
    <w:rPr>
      <w:rFonts w:ascii="Arial" w:eastAsiaTheme="minorEastAsia" w:hAnsi="Arial" w:cs="Arial"/>
      <w:color w:val="000000"/>
      <w:sz w:val="20"/>
      <w:szCs w:val="20"/>
      <w:u w:color="000000"/>
      <w:lang w:val="es-AR" w:eastAsia="es-MX"/>
    </w:rPr>
  </w:style>
  <w:style w:type="paragraph" w:styleId="Revisin">
    <w:name w:val="Revision"/>
    <w:hidden/>
    <w:uiPriority w:val="99"/>
    <w:semiHidden/>
    <w:rsid w:val="00B3792D"/>
    <w:pPr>
      <w:spacing w:after="0" w:line="240" w:lineRule="auto"/>
    </w:pPr>
    <w:rPr>
      <w:rFonts w:ascii="Arial" w:eastAsiaTheme="minorEastAsia" w:hAnsi="Arial" w:cs="Arial"/>
      <w:color w:val="000000"/>
      <w:sz w:val="20"/>
      <w:szCs w:val="20"/>
      <w:u w:color="000000"/>
      <w:lang w:val="es-AR" w:eastAsia="es-MX"/>
    </w:rPr>
  </w:style>
  <w:style w:type="character" w:styleId="Hipervnculovisitado">
    <w:name w:val="FollowedHyperlink"/>
    <w:basedOn w:val="Fuentedeprrafopredeter"/>
    <w:uiPriority w:val="99"/>
    <w:semiHidden/>
    <w:unhideWhenUsed/>
    <w:rsid w:val="00487404"/>
    <w:rPr>
      <w:color w:val="954F72" w:themeColor="followedHyperlink"/>
      <w:u w:val="single"/>
    </w:rPr>
  </w:style>
  <w:style w:type="character" w:customStyle="1" w:styleId="Ttulo3Car">
    <w:name w:val="Título 3 Car"/>
    <w:basedOn w:val="Fuentedeprrafopredeter"/>
    <w:link w:val="Ttulo3"/>
    <w:uiPriority w:val="9"/>
    <w:semiHidden/>
    <w:rsid w:val="00487404"/>
    <w:rPr>
      <w:rFonts w:asciiTheme="majorHAnsi" w:eastAsiaTheme="majorEastAsia" w:hAnsiTheme="majorHAnsi" w:cstheme="majorBidi"/>
      <w:color w:val="1F4D78" w:themeColor="accent1" w:themeShade="7F"/>
      <w:sz w:val="24"/>
      <w:szCs w:val="24"/>
      <w:u w:color="000000"/>
      <w:lang w:val="es-AR" w:eastAsia="es-MX"/>
    </w:rPr>
  </w:style>
  <w:style w:type="paragraph" w:styleId="Textoindependiente">
    <w:name w:val="Body Text"/>
    <w:basedOn w:val="Normal"/>
    <w:link w:val="TextoindependienteCar"/>
    <w:uiPriority w:val="99"/>
    <w:semiHidden/>
    <w:unhideWhenUsed/>
    <w:rsid w:val="00487404"/>
    <w:pPr>
      <w:spacing w:after="120"/>
    </w:pPr>
  </w:style>
  <w:style w:type="character" w:customStyle="1" w:styleId="TextoindependienteCar">
    <w:name w:val="Texto independiente Car"/>
    <w:basedOn w:val="Fuentedeprrafopredeter"/>
    <w:link w:val="Textoindependiente"/>
    <w:uiPriority w:val="99"/>
    <w:semiHidden/>
    <w:rsid w:val="00487404"/>
    <w:rPr>
      <w:rFonts w:ascii="Arial" w:eastAsiaTheme="minorEastAsia" w:hAnsi="Arial" w:cs="Arial"/>
      <w:color w:val="000000"/>
      <w:sz w:val="20"/>
      <w:szCs w:val="20"/>
      <w:u w:color="000000"/>
      <w:lang w:val="es-AR" w:eastAsia="es-MX"/>
    </w:rPr>
  </w:style>
  <w:style w:type="character" w:customStyle="1" w:styleId="a1">
    <w:name w:val="a1"/>
    <w:rsid w:val="00487404"/>
  </w:style>
  <w:style w:type="character" w:styleId="nfasis">
    <w:name w:val="Emphasis"/>
    <w:qFormat/>
    <w:rsid w:val="00487404"/>
    <w:rPr>
      <w:i/>
      <w:iCs/>
    </w:rPr>
  </w:style>
  <w:style w:type="paragraph" w:customStyle="1" w:styleId="Default">
    <w:name w:val="Default"/>
    <w:rsid w:val="00487404"/>
    <w:pPr>
      <w:autoSpaceDE w:val="0"/>
      <w:autoSpaceDN w:val="0"/>
      <w:adjustRightInd w:val="0"/>
      <w:spacing w:after="0" w:line="240" w:lineRule="auto"/>
    </w:pPr>
    <w:rPr>
      <w:rFonts w:ascii="Arial" w:eastAsia="Times New Roman" w:hAnsi="Arial" w:cs="Arial"/>
      <w:color w:val="000000"/>
      <w:sz w:val="24"/>
      <w:szCs w:val="24"/>
      <w:lang w:val="es-AR" w:eastAsia="es-AR"/>
    </w:rPr>
  </w:style>
  <w:style w:type="character" w:styleId="Refdecomentario">
    <w:name w:val="annotation reference"/>
    <w:basedOn w:val="Fuentedeprrafopredeter"/>
    <w:uiPriority w:val="99"/>
    <w:semiHidden/>
    <w:unhideWhenUsed/>
    <w:rsid w:val="009A4261"/>
    <w:rPr>
      <w:sz w:val="16"/>
      <w:szCs w:val="16"/>
    </w:rPr>
  </w:style>
  <w:style w:type="paragraph" w:styleId="Textocomentario">
    <w:name w:val="annotation text"/>
    <w:basedOn w:val="Normal"/>
    <w:link w:val="TextocomentarioCar"/>
    <w:uiPriority w:val="99"/>
    <w:semiHidden/>
    <w:unhideWhenUsed/>
    <w:rsid w:val="009A4261"/>
  </w:style>
  <w:style w:type="character" w:customStyle="1" w:styleId="TextocomentarioCar">
    <w:name w:val="Texto comentario Car"/>
    <w:basedOn w:val="Fuentedeprrafopredeter"/>
    <w:link w:val="Textocomentario"/>
    <w:uiPriority w:val="99"/>
    <w:semiHidden/>
    <w:rsid w:val="009A4261"/>
    <w:rPr>
      <w:rFonts w:ascii="Arial" w:eastAsiaTheme="minorEastAsia" w:hAnsi="Arial" w:cs="Arial"/>
      <w:color w:val="000000"/>
      <w:sz w:val="20"/>
      <w:szCs w:val="20"/>
      <w:u w:color="000000"/>
      <w:lang w:val="es-AR" w:eastAsia="es-MX"/>
    </w:rPr>
  </w:style>
  <w:style w:type="paragraph" w:styleId="Asuntodelcomentario">
    <w:name w:val="annotation subject"/>
    <w:basedOn w:val="Textocomentario"/>
    <w:next w:val="Textocomentario"/>
    <w:link w:val="AsuntodelcomentarioCar"/>
    <w:uiPriority w:val="99"/>
    <w:semiHidden/>
    <w:unhideWhenUsed/>
    <w:rsid w:val="009A4261"/>
    <w:rPr>
      <w:b/>
      <w:bCs/>
    </w:rPr>
  </w:style>
  <w:style w:type="character" w:customStyle="1" w:styleId="AsuntodelcomentarioCar">
    <w:name w:val="Asunto del comentario Car"/>
    <w:basedOn w:val="TextocomentarioCar"/>
    <w:link w:val="Asuntodelcomentario"/>
    <w:uiPriority w:val="99"/>
    <w:semiHidden/>
    <w:rsid w:val="009A4261"/>
    <w:rPr>
      <w:rFonts w:ascii="Arial" w:eastAsiaTheme="minorEastAsia" w:hAnsi="Arial" w:cs="Arial"/>
      <w:b/>
      <w:bCs/>
      <w:color w:val="000000"/>
      <w:sz w:val="20"/>
      <w:szCs w:val="20"/>
      <w:u w:color="000000"/>
      <w:lang w:val="es-AR"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9343">
      <w:bodyDiv w:val="1"/>
      <w:marLeft w:val="0"/>
      <w:marRight w:val="0"/>
      <w:marTop w:val="0"/>
      <w:marBottom w:val="0"/>
      <w:divBdr>
        <w:top w:val="none" w:sz="0" w:space="0" w:color="auto"/>
        <w:left w:val="none" w:sz="0" w:space="0" w:color="auto"/>
        <w:bottom w:val="none" w:sz="0" w:space="0" w:color="auto"/>
        <w:right w:val="none" w:sz="0" w:space="0" w:color="auto"/>
      </w:divBdr>
    </w:div>
    <w:div w:id="135875756">
      <w:bodyDiv w:val="1"/>
      <w:marLeft w:val="0"/>
      <w:marRight w:val="0"/>
      <w:marTop w:val="0"/>
      <w:marBottom w:val="0"/>
      <w:divBdr>
        <w:top w:val="none" w:sz="0" w:space="0" w:color="auto"/>
        <w:left w:val="none" w:sz="0" w:space="0" w:color="auto"/>
        <w:bottom w:val="none" w:sz="0" w:space="0" w:color="auto"/>
        <w:right w:val="none" w:sz="0" w:space="0" w:color="auto"/>
      </w:divBdr>
    </w:div>
    <w:div w:id="300381160">
      <w:bodyDiv w:val="1"/>
      <w:marLeft w:val="0"/>
      <w:marRight w:val="0"/>
      <w:marTop w:val="0"/>
      <w:marBottom w:val="0"/>
      <w:divBdr>
        <w:top w:val="none" w:sz="0" w:space="0" w:color="auto"/>
        <w:left w:val="none" w:sz="0" w:space="0" w:color="auto"/>
        <w:bottom w:val="none" w:sz="0" w:space="0" w:color="auto"/>
        <w:right w:val="none" w:sz="0" w:space="0" w:color="auto"/>
      </w:divBdr>
    </w:div>
    <w:div w:id="701169956">
      <w:bodyDiv w:val="1"/>
      <w:marLeft w:val="0"/>
      <w:marRight w:val="0"/>
      <w:marTop w:val="0"/>
      <w:marBottom w:val="0"/>
      <w:divBdr>
        <w:top w:val="none" w:sz="0" w:space="0" w:color="auto"/>
        <w:left w:val="none" w:sz="0" w:space="0" w:color="auto"/>
        <w:bottom w:val="none" w:sz="0" w:space="0" w:color="auto"/>
        <w:right w:val="none" w:sz="0" w:space="0" w:color="auto"/>
      </w:divBdr>
    </w:div>
    <w:div w:id="951203521">
      <w:bodyDiv w:val="1"/>
      <w:marLeft w:val="0"/>
      <w:marRight w:val="0"/>
      <w:marTop w:val="0"/>
      <w:marBottom w:val="0"/>
      <w:divBdr>
        <w:top w:val="none" w:sz="0" w:space="0" w:color="auto"/>
        <w:left w:val="none" w:sz="0" w:space="0" w:color="auto"/>
        <w:bottom w:val="none" w:sz="0" w:space="0" w:color="auto"/>
        <w:right w:val="none" w:sz="0" w:space="0" w:color="auto"/>
      </w:divBdr>
    </w:div>
    <w:div w:id="1155688354">
      <w:bodyDiv w:val="1"/>
      <w:marLeft w:val="0"/>
      <w:marRight w:val="0"/>
      <w:marTop w:val="0"/>
      <w:marBottom w:val="0"/>
      <w:divBdr>
        <w:top w:val="none" w:sz="0" w:space="0" w:color="auto"/>
        <w:left w:val="none" w:sz="0" w:space="0" w:color="auto"/>
        <w:bottom w:val="none" w:sz="0" w:space="0" w:color="auto"/>
        <w:right w:val="none" w:sz="0" w:space="0" w:color="auto"/>
      </w:divBdr>
    </w:div>
    <w:div w:id="1272932113">
      <w:bodyDiv w:val="1"/>
      <w:marLeft w:val="0"/>
      <w:marRight w:val="0"/>
      <w:marTop w:val="0"/>
      <w:marBottom w:val="0"/>
      <w:divBdr>
        <w:top w:val="none" w:sz="0" w:space="0" w:color="auto"/>
        <w:left w:val="none" w:sz="0" w:space="0" w:color="auto"/>
        <w:bottom w:val="none" w:sz="0" w:space="0" w:color="auto"/>
        <w:right w:val="none" w:sz="0" w:space="0" w:color="auto"/>
      </w:divBdr>
    </w:div>
    <w:div w:id="1436363847">
      <w:bodyDiv w:val="1"/>
      <w:marLeft w:val="0"/>
      <w:marRight w:val="0"/>
      <w:marTop w:val="0"/>
      <w:marBottom w:val="0"/>
      <w:divBdr>
        <w:top w:val="none" w:sz="0" w:space="0" w:color="auto"/>
        <w:left w:val="none" w:sz="0" w:space="0" w:color="auto"/>
        <w:bottom w:val="none" w:sz="0" w:space="0" w:color="auto"/>
        <w:right w:val="none" w:sz="0" w:space="0" w:color="auto"/>
      </w:divBdr>
    </w:div>
    <w:div w:id="1483814351">
      <w:bodyDiv w:val="1"/>
      <w:marLeft w:val="0"/>
      <w:marRight w:val="0"/>
      <w:marTop w:val="0"/>
      <w:marBottom w:val="0"/>
      <w:divBdr>
        <w:top w:val="none" w:sz="0" w:space="0" w:color="auto"/>
        <w:left w:val="none" w:sz="0" w:space="0" w:color="auto"/>
        <w:bottom w:val="none" w:sz="0" w:space="0" w:color="auto"/>
        <w:right w:val="none" w:sz="0" w:space="0" w:color="auto"/>
      </w:divBdr>
    </w:div>
    <w:div w:id="1495608632">
      <w:bodyDiv w:val="1"/>
      <w:marLeft w:val="0"/>
      <w:marRight w:val="0"/>
      <w:marTop w:val="0"/>
      <w:marBottom w:val="0"/>
      <w:divBdr>
        <w:top w:val="none" w:sz="0" w:space="0" w:color="auto"/>
        <w:left w:val="none" w:sz="0" w:space="0" w:color="auto"/>
        <w:bottom w:val="none" w:sz="0" w:space="0" w:color="auto"/>
        <w:right w:val="none" w:sz="0" w:space="0" w:color="auto"/>
      </w:divBdr>
    </w:div>
    <w:div w:id="1510218692">
      <w:bodyDiv w:val="1"/>
      <w:marLeft w:val="0"/>
      <w:marRight w:val="0"/>
      <w:marTop w:val="0"/>
      <w:marBottom w:val="0"/>
      <w:divBdr>
        <w:top w:val="none" w:sz="0" w:space="0" w:color="auto"/>
        <w:left w:val="none" w:sz="0" w:space="0" w:color="auto"/>
        <w:bottom w:val="none" w:sz="0" w:space="0" w:color="auto"/>
        <w:right w:val="none" w:sz="0" w:space="0" w:color="auto"/>
      </w:divBdr>
    </w:div>
    <w:div w:id="1639458203">
      <w:bodyDiv w:val="1"/>
      <w:marLeft w:val="0"/>
      <w:marRight w:val="0"/>
      <w:marTop w:val="0"/>
      <w:marBottom w:val="0"/>
      <w:divBdr>
        <w:top w:val="none" w:sz="0" w:space="0" w:color="auto"/>
        <w:left w:val="none" w:sz="0" w:space="0" w:color="auto"/>
        <w:bottom w:val="none" w:sz="0" w:space="0" w:color="auto"/>
        <w:right w:val="none" w:sz="0" w:space="0" w:color="auto"/>
      </w:divBdr>
    </w:div>
    <w:div w:id="214095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lobalvalores.com.ar"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info@globalvalores.com.ar" TargetMode="External"/><Relationship Id="rId17" Type="http://schemas.openxmlformats.org/officeDocument/2006/relationships/hyperlink" Target="http://www.globalvalores.com.ar" TargetMode="External"/><Relationship Id="rId2" Type="http://schemas.openxmlformats.org/officeDocument/2006/relationships/numbering" Target="numbering.xml"/><Relationship Id="rId16" Type="http://schemas.openxmlformats.org/officeDocument/2006/relationships/hyperlink" Target="mailto:info@globalvalores.com.a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eader" Target="header1.xml"/><Relationship Id="rId19" Type="http://schemas.openxmlformats.org/officeDocument/2006/relationships/hyperlink" Target="http://www.tanoiracassagne.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globalvalores.com.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DBFA7-B48F-4869-B07F-571DE1934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30565</Words>
  <Characters>168110</Characters>
  <Application>Microsoft Office Word</Application>
  <DocSecurity>4</DocSecurity>
  <Lines>1400</Lines>
  <Paragraphs>396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198279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Sanguinetti</dc:creator>
  <cp:lastModifiedBy>Cumplimiento</cp:lastModifiedBy>
  <cp:revision>2</cp:revision>
  <cp:lastPrinted>2019-08-20T16:35:00Z</cp:lastPrinted>
  <dcterms:created xsi:type="dcterms:W3CDTF">2019-12-13T15:17:00Z</dcterms:created>
  <dcterms:modified xsi:type="dcterms:W3CDTF">2019-12-13T15:17:00Z</dcterms:modified>
</cp:coreProperties>
</file>