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8C1" w:rsidRPr="00C238F4" w:rsidRDefault="007B08C1" w:rsidP="007B08C1">
      <w:pPr>
        <w:widowControl/>
        <w:overflowPunct/>
        <w:autoSpaceDE/>
        <w:autoSpaceDN/>
        <w:adjustRightInd/>
        <w:jc w:val="center"/>
        <w:textAlignment w:val="auto"/>
        <w:rPr>
          <w:rFonts w:ascii="Times New Roman" w:hAnsi="Times New Roman"/>
          <w:b/>
          <w:szCs w:val="22"/>
        </w:rPr>
      </w:pPr>
      <w:r w:rsidRPr="00C238F4">
        <w:rPr>
          <w:rFonts w:ascii="Times New Roman" w:hAnsi="Times New Roman"/>
          <w:b/>
          <w:szCs w:val="22"/>
        </w:rPr>
        <w:t>INFORME DE COMISIÓN FISCALIZADORA</w:t>
      </w:r>
    </w:p>
    <w:p w:rsidR="007B08C1" w:rsidRDefault="007B08C1" w:rsidP="007B08C1">
      <w:pPr>
        <w:spacing w:line="360" w:lineRule="auto"/>
        <w:rPr>
          <w:rFonts w:ascii="Times New Roman" w:hAnsi="Times New Roman"/>
          <w:sz w:val="16"/>
          <w:szCs w:val="16"/>
        </w:rPr>
      </w:pPr>
    </w:p>
    <w:p w:rsidR="007B08C1" w:rsidRPr="00C238F4" w:rsidRDefault="007B08C1" w:rsidP="007B08C1">
      <w:pPr>
        <w:spacing w:line="360" w:lineRule="auto"/>
        <w:rPr>
          <w:rFonts w:ascii="Times New Roman" w:hAnsi="Times New Roman"/>
          <w:sz w:val="16"/>
          <w:szCs w:val="16"/>
        </w:rPr>
      </w:pPr>
    </w:p>
    <w:p w:rsidR="007B08C1" w:rsidRPr="00C238F4" w:rsidRDefault="007B08C1" w:rsidP="007B08C1">
      <w:pPr>
        <w:spacing w:line="360" w:lineRule="auto"/>
        <w:rPr>
          <w:rFonts w:ascii="Times New Roman" w:hAnsi="Times New Roman"/>
          <w:szCs w:val="22"/>
        </w:rPr>
      </w:pPr>
      <w:r w:rsidRPr="00C238F4">
        <w:rPr>
          <w:rFonts w:ascii="Times New Roman" w:hAnsi="Times New Roman"/>
          <w:szCs w:val="22"/>
        </w:rPr>
        <w:t xml:space="preserve">A los Señores Accionistas de </w:t>
      </w:r>
    </w:p>
    <w:p w:rsidR="007B08C1" w:rsidRPr="00C238F4" w:rsidRDefault="007B08C1" w:rsidP="007B08C1">
      <w:pPr>
        <w:spacing w:line="360" w:lineRule="auto"/>
        <w:rPr>
          <w:rFonts w:ascii="Times New Roman" w:hAnsi="Times New Roman"/>
          <w:b/>
          <w:szCs w:val="22"/>
        </w:rPr>
      </w:pPr>
      <w:r>
        <w:rPr>
          <w:rFonts w:ascii="Times New Roman" w:hAnsi="Times New Roman"/>
          <w:b/>
          <w:szCs w:val="22"/>
        </w:rPr>
        <w:t>GLOBAL VALORES</w:t>
      </w:r>
      <w:r w:rsidRPr="00C238F4">
        <w:rPr>
          <w:rFonts w:ascii="Times New Roman" w:hAnsi="Times New Roman"/>
          <w:b/>
          <w:szCs w:val="22"/>
        </w:rPr>
        <w:t xml:space="preserve"> S.A.</w:t>
      </w:r>
    </w:p>
    <w:p w:rsidR="007B08C1" w:rsidRPr="00B202BE" w:rsidRDefault="007B08C1" w:rsidP="007B08C1">
      <w:pPr>
        <w:spacing w:line="360" w:lineRule="auto"/>
        <w:rPr>
          <w:rFonts w:ascii="Times New Roman" w:hAnsi="Times New Roman"/>
          <w:szCs w:val="22"/>
        </w:rPr>
      </w:pPr>
      <w:r>
        <w:rPr>
          <w:rFonts w:ascii="Times New Roman" w:hAnsi="Times New Roman"/>
          <w:szCs w:val="22"/>
        </w:rPr>
        <w:t xml:space="preserve">Domicilio legal: </w:t>
      </w:r>
      <w:r w:rsidRPr="00B202BE">
        <w:rPr>
          <w:rFonts w:cs="Arial"/>
          <w:sz w:val="18"/>
          <w:szCs w:val="18"/>
          <w:lang w:val="es-ES_tradnl"/>
        </w:rPr>
        <w:t>Av. Ortiz de Ocampo 3302, Piso 5, UF 623, Torre 1</w:t>
      </w:r>
    </w:p>
    <w:p w:rsidR="007B08C1" w:rsidRDefault="007B08C1" w:rsidP="007B08C1">
      <w:pPr>
        <w:spacing w:line="360" w:lineRule="auto"/>
        <w:rPr>
          <w:rFonts w:ascii="Times New Roman" w:hAnsi="Times New Roman"/>
          <w:szCs w:val="22"/>
        </w:rPr>
      </w:pPr>
      <w:r>
        <w:rPr>
          <w:rFonts w:ascii="Times New Roman" w:hAnsi="Times New Roman"/>
          <w:szCs w:val="22"/>
        </w:rPr>
        <w:t>Ciudad Autónoma de Buenos Aires</w:t>
      </w:r>
    </w:p>
    <w:p w:rsidR="007B08C1" w:rsidRDefault="007B08C1" w:rsidP="007B08C1">
      <w:pPr>
        <w:spacing w:line="360" w:lineRule="auto"/>
        <w:rPr>
          <w:rFonts w:ascii="Times New Roman" w:hAnsi="Times New Roman"/>
          <w:szCs w:val="22"/>
        </w:rPr>
      </w:pPr>
      <w:r>
        <w:rPr>
          <w:rFonts w:ascii="Times New Roman" w:hAnsi="Times New Roman"/>
          <w:szCs w:val="22"/>
        </w:rPr>
        <w:t>CUIT: 30-70853727-2</w:t>
      </w:r>
    </w:p>
    <w:p w:rsidR="007B08C1" w:rsidRDefault="007B08C1" w:rsidP="007B08C1">
      <w:pPr>
        <w:spacing w:line="360" w:lineRule="auto"/>
        <w:rPr>
          <w:rFonts w:ascii="Times New Roman" w:hAnsi="Times New Roman"/>
          <w:szCs w:val="22"/>
        </w:rPr>
      </w:pPr>
    </w:p>
    <w:p w:rsidR="007B08C1" w:rsidRPr="00A977A0" w:rsidRDefault="007B08C1" w:rsidP="007B08C1">
      <w:pPr>
        <w:spacing w:line="360" w:lineRule="auto"/>
        <w:rPr>
          <w:rFonts w:ascii="Times New Roman" w:hAnsi="Times New Roman"/>
          <w:szCs w:val="22"/>
        </w:rPr>
      </w:pPr>
      <w:r>
        <w:rPr>
          <w:rFonts w:ascii="Times New Roman" w:hAnsi="Times New Roman"/>
          <w:szCs w:val="22"/>
        </w:rPr>
        <w:t>En nuestro carácter de miembros de la comisión fiscalizadora de Global Valores S.A. (la “sociedad), de acuerdo con lo dispuesto por el artículo 294 de la ley 19.550, hemos examinado los documentos detallados en el apartado 1 siguiente. Los documentos citados son de responsabilidad del Directorio de la Sociedad, en ejercicio de sus funciones exclusivas. Nuestra responsabilidad es la de informar sobre dichos documentos basado en el trabajo realizado con el alcance que se menciona en el apartado 2.</w:t>
      </w:r>
    </w:p>
    <w:p w:rsidR="007B08C1" w:rsidRDefault="007B08C1" w:rsidP="007B08C1">
      <w:pPr>
        <w:pStyle w:val="Prrafodelista"/>
        <w:numPr>
          <w:ilvl w:val="0"/>
          <w:numId w:val="1"/>
        </w:numPr>
        <w:spacing w:line="360" w:lineRule="auto"/>
        <w:rPr>
          <w:rFonts w:ascii="Times New Roman" w:hAnsi="Times New Roman"/>
          <w:szCs w:val="22"/>
          <w:u w:val="single"/>
        </w:rPr>
      </w:pPr>
      <w:r w:rsidRPr="00017190">
        <w:rPr>
          <w:rFonts w:ascii="Times New Roman" w:hAnsi="Times New Roman"/>
          <w:szCs w:val="22"/>
          <w:u w:val="single"/>
        </w:rPr>
        <w:t>Documentos examinados</w:t>
      </w:r>
    </w:p>
    <w:p w:rsidR="007B08C1" w:rsidRDefault="007B08C1" w:rsidP="007B08C1">
      <w:pPr>
        <w:pStyle w:val="Prrafodelista"/>
        <w:numPr>
          <w:ilvl w:val="0"/>
          <w:numId w:val="2"/>
        </w:numPr>
        <w:spacing w:line="360" w:lineRule="auto"/>
        <w:rPr>
          <w:rFonts w:ascii="Times New Roman" w:hAnsi="Times New Roman"/>
          <w:szCs w:val="22"/>
        </w:rPr>
      </w:pPr>
      <w:r>
        <w:rPr>
          <w:rFonts w:ascii="Times New Roman" w:hAnsi="Times New Roman"/>
          <w:szCs w:val="22"/>
        </w:rPr>
        <w:t>Estado de situación patrimonial al 31 de diciembre de 2019.</w:t>
      </w:r>
    </w:p>
    <w:p w:rsidR="007B08C1" w:rsidRDefault="007B08C1" w:rsidP="007B08C1">
      <w:pPr>
        <w:pStyle w:val="Prrafodelista"/>
        <w:numPr>
          <w:ilvl w:val="0"/>
          <w:numId w:val="2"/>
        </w:numPr>
        <w:spacing w:line="360" w:lineRule="auto"/>
        <w:rPr>
          <w:rFonts w:ascii="Times New Roman" w:hAnsi="Times New Roman"/>
          <w:szCs w:val="22"/>
        </w:rPr>
      </w:pPr>
      <w:r>
        <w:rPr>
          <w:rFonts w:ascii="Times New Roman" w:hAnsi="Times New Roman"/>
          <w:szCs w:val="22"/>
        </w:rPr>
        <w:t>Estado de resultados por el ejercicio finalizado el 31 de diciembre de 2019.</w:t>
      </w:r>
    </w:p>
    <w:p w:rsidR="007B08C1" w:rsidRDefault="007B08C1" w:rsidP="007B08C1">
      <w:pPr>
        <w:pStyle w:val="Prrafodelista"/>
        <w:numPr>
          <w:ilvl w:val="0"/>
          <w:numId w:val="2"/>
        </w:numPr>
        <w:spacing w:line="360" w:lineRule="auto"/>
        <w:rPr>
          <w:rFonts w:ascii="Times New Roman" w:hAnsi="Times New Roman"/>
          <w:szCs w:val="22"/>
        </w:rPr>
      </w:pPr>
      <w:r>
        <w:rPr>
          <w:rFonts w:ascii="Times New Roman" w:hAnsi="Times New Roman"/>
          <w:szCs w:val="22"/>
        </w:rPr>
        <w:t>El estado de evolución del patrimonio neto por el ejercicio finalizado el 31 de diciembre de 2019.</w:t>
      </w:r>
    </w:p>
    <w:p w:rsidR="007B08C1" w:rsidRDefault="007B08C1" w:rsidP="007B08C1">
      <w:pPr>
        <w:pStyle w:val="Prrafodelista"/>
        <w:numPr>
          <w:ilvl w:val="0"/>
          <w:numId w:val="2"/>
        </w:numPr>
        <w:spacing w:line="360" w:lineRule="auto"/>
        <w:rPr>
          <w:rFonts w:ascii="Times New Roman" w:hAnsi="Times New Roman"/>
          <w:szCs w:val="22"/>
        </w:rPr>
      </w:pPr>
      <w:r w:rsidRPr="00B47259">
        <w:rPr>
          <w:rFonts w:ascii="Times New Roman" w:hAnsi="Times New Roman"/>
          <w:szCs w:val="22"/>
        </w:rPr>
        <w:t xml:space="preserve">Estado de flujo de efectivo por el </w:t>
      </w:r>
      <w:r>
        <w:rPr>
          <w:rFonts w:ascii="Times New Roman" w:hAnsi="Times New Roman"/>
          <w:szCs w:val="22"/>
        </w:rPr>
        <w:t>ejercicio finalizado el 31 de diciembre de 2019.</w:t>
      </w:r>
    </w:p>
    <w:p w:rsidR="007B08C1" w:rsidRPr="00B47259" w:rsidRDefault="007B08C1" w:rsidP="007B08C1">
      <w:pPr>
        <w:pStyle w:val="Prrafodelista"/>
        <w:numPr>
          <w:ilvl w:val="0"/>
          <w:numId w:val="2"/>
        </w:numPr>
        <w:spacing w:line="360" w:lineRule="auto"/>
        <w:rPr>
          <w:rFonts w:ascii="Times New Roman" w:hAnsi="Times New Roman"/>
          <w:szCs w:val="22"/>
        </w:rPr>
      </w:pPr>
      <w:r w:rsidRPr="00B47259">
        <w:rPr>
          <w:rFonts w:ascii="Times New Roman" w:hAnsi="Times New Roman"/>
          <w:szCs w:val="22"/>
        </w:rPr>
        <w:t>Notas y anexos.</w:t>
      </w:r>
    </w:p>
    <w:p w:rsidR="007B08C1" w:rsidRPr="006E5F60" w:rsidRDefault="007B08C1" w:rsidP="007B08C1">
      <w:pPr>
        <w:spacing w:line="360" w:lineRule="auto"/>
        <w:rPr>
          <w:rFonts w:ascii="Times New Roman" w:hAnsi="Times New Roman"/>
          <w:szCs w:val="22"/>
        </w:rPr>
      </w:pPr>
    </w:p>
    <w:p w:rsidR="007B08C1" w:rsidRPr="00B81934" w:rsidRDefault="007B08C1" w:rsidP="007B08C1">
      <w:pPr>
        <w:pStyle w:val="Prrafodelista"/>
        <w:numPr>
          <w:ilvl w:val="0"/>
          <w:numId w:val="1"/>
        </w:numPr>
        <w:spacing w:line="360" w:lineRule="auto"/>
        <w:rPr>
          <w:rFonts w:ascii="Times New Roman" w:hAnsi="Times New Roman"/>
          <w:szCs w:val="22"/>
          <w:u w:val="single"/>
        </w:rPr>
      </w:pPr>
      <w:r w:rsidRPr="00B81934">
        <w:rPr>
          <w:rFonts w:ascii="Times New Roman" w:hAnsi="Times New Roman"/>
          <w:szCs w:val="22"/>
          <w:u w:val="single"/>
        </w:rPr>
        <w:t>Alcance del examen</w:t>
      </w:r>
    </w:p>
    <w:p w:rsidR="007B08C1" w:rsidRPr="00017190" w:rsidRDefault="007B08C1" w:rsidP="007B08C1">
      <w:pPr>
        <w:spacing w:line="360" w:lineRule="auto"/>
        <w:rPr>
          <w:rFonts w:ascii="Times New Roman" w:hAnsi="Times New Roman"/>
          <w:szCs w:val="22"/>
        </w:rPr>
      </w:pPr>
      <w:r>
        <w:rPr>
          <w:rFonts w:ascii="Times New Roman" w:hAnsi="Times New Roman"/>
          <w:szCs w:val="22"/>
        </w:rPr>
        <w:t>Nuestro examen fue realizado de acuerdo con las normas de sindicatura vigentes. Dichas normas requieren que el examen de los documentos detallados en el apartado 1, se efectúe de acuerdo con las normas de auditoría vigentes, e incluya la verificación de la congruencia de los documentos examinados con la información sobre las decisiones societarias expuestas en actas y la adecuación de dichas decisiones a la ley y a los estatutos, en lo relativo a sus aspectos formales y documentales.</w:t>
      </w:r>
    </w:p>
    <w:p w:rsidR="007B08C1" w:rsidRDefault="007B08C1" w:rsidP="007B08C1">
      <w:pPr>
        <w:spacing w:line="360" w:lineRule="auto"/>
        <w:rPr>
          <w:rFonts w:ascii="Times New Roman" w:hAnsi="Times New Roman"/>
          <w:szCs w:val="22"/>
        </w:rPr>
      </w:pPr>
      <w:r>
        <w:rPr>
          <w:rFonts w:ascii="Times New Roman" w:hAnsi="Times New Roman"/>
          <w:szCs w:val="22"/>
        </w:rPr>
        <w:t xml:space="preserve">Para realizar nuestra tarea profesional sobre los documentos detallados en los ítems a) a e) del apartado 1, hemos tenido en </w:t>
      </w:r>
      <w:r w:rsidRPr="00ED5260">
        <w:rPr>
          <w:rFonts w:ascii="Times New Roman" w:hAnsi="Times New Roman"/>
          <w:szCs w:val="22"/>
        </w:rPr>
        <w:t xml:space="preserve">cuenta el informe del auditor externo Ramiro Hernán Perez, quien emitió su informe de auditoría con fecha </w:t>
      </w:r>
      <w:r>
        <w:rPr>
          <w:rFonts w:ascii="Times New Roman" w:hAnsi="Times New Roman"/>
          <w:szCs w:val="22"/>
        </w:rPr>
        <w:t>5 de marzo de 2020</w:t>
      </w:r>
      <w:r w:rsidRPr="00ED5260">
        <w:rPr>
          <w:rFonts w:ascii="Times New Roman" w:hAnsi="Times New Roman"/>
          <w:szCs w:val="22"/>
        </w:rPr>
        <w:t>, de</w:t>
      </w:r>
      <w:r>
        <w:rPr>
          <w:rFonts w:ascii="Times New Roman" w:hAnsi="Times New Roman"/>
          <w:szCs w:val="22"/>
        </w:rPr>
        <w:t xml:space="preserve"> acuerdo con las normas de auditoría vigentes en la República Argentina. La revisión mencionada incluyó verificación de la planificación del </w:t>
      </w:r>
      <w:r>
        <w:rPr>
          <w:rFonts w:ascii="Times New Roman" w:hAnsi="Times New Roman"/>
          <w:szCs w:val="22"/>
        </w:rPr>
        <w:lastRenderedPageBreak/>
        <w:t>trabajo, la naturaleza, el alcance y oportunidad de los procedimientos aplicados y de los resultados de la revisión efectuada por dicho profesional.</w:t>
      </w:r>
    </w:p>
    <w:p w:rsidR="007B08C1" w:rsidRPr="003F5CD5" w:rsidRDefault="007B08C1" w:rsidP="007B08C1">
      <w:pPr>
        <w:spacing w:line="360" w:lineRule="auto"/>
        <w:rPr>
          <w:rFonts w:ascii="Times New Roman" w:hAnsi="Times New Roman"/>
          <w:szCs w:val="22"/>
        </w:rPr>
      </w:pPr>
      <w:r w:rsidRPr="003F5CD5">
        <w:rPr>
          <w:rFonts w:ascii="Times New Roman" w:hAnsi="Times New Roman"/>
          <w:szCs w:val="22"/>
        </w:rPr>
        <w:t>Una auditor</w:t>
      </w:r>
      <w:r>
        <w:rPr>
          <w:rFonts w:ascii="Times New Roman" w:hAnsi="Times New Roman"/>
          <w:szCs w:val="22"/>
        </w:rPr>
        <w:t>í</w:t>
      </w:r>
      <w:r w:rsidRPr="003F5CD5">
        <w:rPr>
          <w:rFonts w:ascii="Times New Roman" w:hAnsi="Times New Roman"/>
          <w:szCs w:val="22"/>
        </w:rPr>
        <w:t>a requiere que el auditor planifique y desarrolle su tarea con el objeto de obtener un grado razonable de seguridad acerca de la inexistencia de manifestaciones no veraces o errores significativos en los</w:t>
      </w:r>
      <w:r>
        <w:rPr>
          <w:rFonts w:ascii="Times New Roman" w:hAnsi="Times New Roman"/>
          <w:szCs w:val="22"/>
        </w:rPr>
        <w:t xml:space="preserve"> estados contables. Una auditorí</w:t>
      </w:r>
      <w:r w:rsidRPr="003F5CD5">
        <w:rPr>
          <w:rFonts w:ascii="Times New Roman" w:hAnsi="Times New Roman"/>
          <w:szCs w:val="22"/>
        </w:rPr>
        <w:t xml:space="preserve">a incluye examinar, sobre bases selectivas, los elementos de juicio que respaldan la información expuesta en los estados contables, así como evaluar las normas contables utilizadas, las estimaciones significativas efectuadas por el </w:t>
      </w:r>
      <w:r>
        <w:rPr>
          <w:rFonts w:ascii="Times New Roman" w:hAnsi="Times New Roman"/>
          <w:szCs w:val="22"/>
        </w:rPr>
        <w:t>D</w:t>
      </w:r>
      <w:r w:rsidRPr="003F5CD5">
        <w:rPr>
          <w:rFonts w:ascii="Times New Roman" w:hAnsi="Times New Roman"/>
          <w:szCs w:val="22"/>
        </w:rPr>
        <w:t>irectorio</w:t>
      </w:r>
      <w:r>
        <w:rPr>
          <w:rFonts w:ascii="Times New Roman" w:hAnsi="Times New Roman"/>
          <w:szCs w:val="22"/>
        </w:rPr>
        <w:t xml:space="preserve"> de la S</w:t>
      </w:r>
      <w:r w:rsidRPr="003F5CD5">
        <w:rPr>
          <w:rFonts w:ascii="Times New Roman" w:hAnsi="Times New Roman"/>
          <w:szCs w:val="22"/>
        </w:rPr>
        <w:t>ociedad y la presentación de los estados contables tomados en su conjunto.</w:t>
      </w:r>
    </w:p>
    <w:p w:rsidR="007B08C1" w:rsidRPr="003F5CD5" w:rsidRDefault="007B08C1" w:rsidP="007B08C1">
      <w:pPr>
        <w:spacing w:line="360" w:lineRule="auto"/>
        <w:rPr>
          <w:rFonts w:ascii="Times New Roman" w:hAnsi="Times New Roman"/>
          <w:szCs w:val="22"/>
        </w:rPr>
      </w:pPr>
      <w:r w:rsidRPr="003F5CD5">
        <w:rPr>
          <w:rFonts w:ascii="Times New Roman" w:hAnsi="Times New Roman"/>
          <w:szCs w:val="22"/>
        </w:rPr>
        <w:t>Dado que no es responsabilidad de</w:t>
      </w:r>
      <w:r>
        <w:rPr>
          <w:rFonts w:ascii="Times New Roman" w:hAnsi="Times New Roman"/>
          <w:szCs w:val="22"/>
        </w:rPr>
        <w:t xml:space="preserve"> la Comisión Fiscalizadora</w:t>
      </w:r>
      <w:r w:rsidRPr="003F5CD5">
        <w:rPr>
          <w:rFonts w:ascii="Times New Roman" w:hAnsi="Times New Roman"/>
          <w:szCs w:val="22"/>
        </w:rPr>
        <w:t xml:space="preserve"> efectuar un control de gestión, el examen no se extendió a los criterios y decisiones empresarias de diversas áreas de la Sociedad, cuestiones que son de responsabilidad exclusiva del Directorio. Consideramos que nuestro trabajo brinda una base razonable para fundamentar nuestro informe.</w:t>
      </w:r>
    </w:p>
    <w:p w:rsidR="007B08C1" w:rsidRPr="003F5CD5" w:rsidRDefault="007B08C1" w:rsidP="007B08C1">
      <w:pPr>
        <w:spacing w:line="360" w:lineRule="auto"/>
        <w:rPr>
          <w:rFonts w:ascii="Times New Roman" w:hAnsi="Times New Roman"/>
          <w:szCs w:val="22"/>
        </w:rPr>
      </w:pPr>
      <w:r w:rsidRPr="003F5CD5">
        <w:rPr>
          <w:rFonts w:ascii="Times New Roman" w:hAnsi="Times New Roman"/>
          <w:szCs w:val="22"/>
        </w:rPr>
        <w:t>En relación con la memoria del Directorio correspondiente al ejercicio final</w:t>
      </w:r>
      <w:r>
        <w:rPr>
          <w:rFonts w:ascii="Times New Roman" w:hAnsi="Times New Roman"/>
          <w:szCs w:val="22"/>
        </w:rPr>
        <w:t>izado el 31 de diciembre de 2019</w:t>
      </w:r>
      <w:r w:rsidRPr="003F5CD5">
        <w:rPr>
          <w:rFonts w:ascii="Times New Roman" w:hAnsi="Times New Roman"/>
          <w:szCs w:val="22"/>
        </w:rPr>
        <w:t>, he</w:t>
      </w:r>
      <w:r>
        <w:rPr>
          <w:rFonts w:ascii="Times New Roman" w:hAnsi="Times New Roman"/>
          <w:szCs w:val="22"/>
        </w:rPr>
        <w:t>mos</w:t>
      </w:r>
      <w:r w:rsidRPr="003F5CD5">
        <w:rPr>
          <w:rFonts w:ascii="Times New Roman" w:hAnsi="Times New Roman"/>
          <w:szCs w:val="22"/>
        </w:rPr>
        <w:t xml:space="preserve"> verificado que contiene la información requerida por el Art. 66 de la ley General de Sociedades y, en lo que es materia de nuestra competencia, que sus datos concuerdan con los registros contables de la sociedad y otra documentación pertinente.</w:t>
      </w:r>
    </w:p>
    <w:p w:rsidR="007B08C1" w:rsidRPr="001F5371" w:rsidRDefault="007B08C1" w:rsidP="007B08C1">
      <w:pPr>
        <w:spacing w:line="360" w:lineRule="auto"/>
        <w:rPr>
          <w:rFonts w:ascii="Times New Roman" w:hAnsi="Times New Roman"/>
          <w:szCs w:val="22"/>
        </w:rPr>
      </w:pPr>
    </w:p>
    <w:p w:rsidR="007B08C1" w:rsidRPr="005F2189" w:rsidRDefault="007B08C1" w:rsidP="007B08C1">
      <w:pPr>
        <w:pStyle w:val="Prrafodelista"/>
        <w:numPr>
          <w:ilvl w:val="0"/>
          <w:numId w:val="1"/>
        </w:numPr>
        <w:spacing w:line="360" w:lineRule="auto"/>
        <w:rPr>
          <w:rFonts w:ascii="Times New Roman" w:hAnsi="Times New Roman"/>
          <w:szCs w:val="22"/>
          <w:u w:val="single"/>
        </w:rPr>
      </w:pPr>
      <w:r w:rsidRPr="005F2189">
        <w:rPr>
          <w:rFonts w:ascii="Times New Roman" w:hAnsi="Times New Roman"/>
          <w:szCs w:val="22"/>
          <w:u w:val="single"/>
        </w:rPr>
        <w:t>Responsabilidad de la Dirección</w:t>
      </w:r>
    </w:p>
    <w:p w:rsidR="007B08C1" w:rsidRDefault="007B08C1" w:rsidP="007B08C1">
      <w:pPr>
        <w:spacing w:line="360" w:lineRule="auto"/>
        <w:rPr>
          <w:rFonts w:ascii="Times New Roman" w:hAnsi="Times New Roman"/>
          <w:szCs w:val="22"/>
        </w:rPr>
      </w:pPr>
      <w:r>
        <w:rPr>
          <w:rFonts w:ascii="Times New Roman" w:hAnsi="Times New Roman"/>
          <w:szCs w:val="22"/>
        </w:rPr>
        <w:t xml:space="preserve">El Directorio de la Sociedad es responsable por la preparación y presentación razonable de estos estados contables de acuerdo a las normas contables profesionales argentinas. Asimismo, el Directorio es responsable de la existencia del control interno que considere necesario para posibilitar la preparación de los estados contables </w:t>
      </w:r>
      <w:r w:rsidRPr="002A302F">
        <w:rPr>
          <w:rFonts w:ascii="Times New Roman" w:hAnsi="Times New Roman"/>
          <w:szCs w:val="22"/>
        </w:rPr>
        <w:t xml:space="preserve">libres de </w:t>
      </w:r>
      <w:r>
        <w:rPr>
          <w:rFonts w:ascii="Times New Roman" w:hAnsi="Times New Roman"/>
          <w:szCs w:val="22"/>
        </w:rPr>
        <w:t xml:space="preserve">incorrección </w:t>
      </w:r>
      <w:r w:rsidRPr="002A302F">
        <w:rPr>
          <w:rFonts w:ascii="Times New Roman" w:hAnsi="Times New Roman"/>
          <w:szCs w:val="22"/>
        </w:rPr>
        <w:t>es</w:t>
      </w:r>
      <w:r>
        <w:rPr>
          <w:rFonts w:ascii="Times New Roman" w:hAnsi="Times New Roman"/>
          <w:szCs w:val="22"/>
        </w:rPr>
        <w:t xml:space="preserve"> significativas originadas en errores o en irregularidades. Nuestra responsabilidad, consiste en expresar una opinión basada en el examen que hemos realizado y cuyo alcance se ha detallado en al apartado 2.</w:t>
      </w:r>
    </w:p>
    <w:p w:rsidR="007B08C1" w:rsidRDefault="007B08C1" w:rsidP="007B08C1">
      <w:pPr>
        <w:spacing w:line="360" w:lineRule="auto"/>
        <w:rPr>
          <w:rFonts w:ascii="Times New Roman" w:hAnsi="Times New Roman"/>
          <w:szCs w:val="22"/>
        </w:rPr>
      </w:pPr>
    </w:p>
    <w:p w:rsidR="007B08C1" w:rsidRPr="006F292F" w:rsidRDefault="007B08C1" w:rsidP="007B08C1">
      <w:pPr>
        <w:numPr>
          <w:ilvl w:val="0"/>
          <w:numId w:val="1"/>
        </w:numPr>
        <w:spacing w:line="360" w:lineRule="auto"/>
        <w:rPr>
          <w:rFonts w:ascii="Times New Roman" w:hAnsi="Times New Roman"/>
          <w:szCs w:val="22"/>
        </w:rPr>
      </w:pPr>
      <w:r w:rsidRPr="006F292F">
        <w:rPr>
          <w:rFonts w:ascii="Times New Roman" w:hAnsi="Times New Roman"/>
          <w:szCs w:val="22"/>
          <w:u w:val="single"/>
        </w:rPr>
        <w:t>Conclusión</w:t>
      </w:r>
    </w:p>
    <w:p w:rsidR="007B08C1" w:rsidRPr="006F292F" w:rsidRDefault="007B08C1" w:rsidP="007B08C1">
      <w:pPr>
        <w:spacing w:line="360" w:lineRule="auto"/>
        <w:rPr>
          <w:rFonts w:ascii="Times New Roman" w:hAnsi="Times New Roman"/>
          <w:szCs w:val="22"/>
        </w:rPr>
      </w:pPr>
      <w:r w:rsidRPr="006F292F">
        <w:rPr>
          <w:rFonts w:ascii="Times New Roman" w:hAnsi="Times New Roman"/>
          <w:szCs w:val="22"/>
        </w:rPr>
        <w:t>Basado en el examen realizado, con el alcance descripto en el apartado 2, en nuestra opinión los estados contables adjuntos presentan razonablemente, en sus aspectos significativos, la situación patrimonial de Global Valores S.A. al 31 de diciembre de 201</w:t>
      </w:r>
      <w:r>
        <w:rPr>
          <w:rFonts w:ascii="Times New Roman" w:hAnsi="Times New Roman"/>
          <w:szCs w:val="22"/>
        </w:rPr>
        <w:t>9</w:t>
      </w:r>
      <w:r w:rsidRPr="006F292F">
        <w:rPr>
          <w:rFonts w:ascii="Times New Roman" w:hAnsi="Times New Roman"/>
          <w:szCs w:val="22"/>
        </w:rPr>
        <w:t>, así como sus resultados, la evolución de su patrimonio neto y el flujo de su efectivo correspondientes al ejercicio económico finalizado en esa fecha, de conformidad con las normas contables profesionales argentinas.</w:t>
      </w:r>
    </w:p>
    <w:p w:rsidR="007B08C1" w:rsidRDefault="007B08C1" w:rsidP="007B08C1">
      <w:pPr>
        <w:spacing w:line="360" w:lineRule="auto"/>
        <w:rPr>
          <w:rFonts w:ascii="Times New Roman" w:hAnsi="Times New Roman"/>
          <w:szCs w:val="22"/>
        </w:rPr>
      </w:pPr>
    </w:p>
    <w:p w:rsidR="007B08C1" w:rsidRPr="005F7BCF" w:rsidRDefault="007B08C1" w:rsidP="007B08C1">
      <w:pPr>
        <w:pStyle w:val="Prrafodelista"/>
        <w:numPr>
          <w:ilvl w:val="0"/>
          <w:numId w:val="1"/>
        </w:numPr>
        <w:spacing w:line="360" w:lineRule="auto"/>
        <w:rPr>
          <w:rFonts w:ascii="Times New Roman" w:hAnsi="Times New Roman"/>
          <w:szCs w:val="22"/>
        </w:rPr>
      </w:pPr>
      <w:r w:rsidRPr="005F7BCF">
        <w:rPr>
          <w:rFonts w:ascii="Times New Roman" w:hAnsi="Times New Roman"/>
          <w:szCs w:val="22"/>
          <w:u w:val="single"/>
        </w:rPr>
        <w:lastRenderedPageBreak/>
        <w:t>Párrafo de énfasis</w:t>
      </w:r>
    </w:p>
    <w:p w:rsidR="007B08C1" w:rsidRPr="00A07BCC" w:rsidRDefault="007B08C1" w:rsidP="007B08C1">
      <w:pPr>
        <w:spacing w:line="360" w:lineRule="auto"/>
        <w:rPr>
          <w:rFonts w:ascii="Times New Roman" w:hAnsi="Times New Roman"/>
          <w:szCs w:val="22"/>
        </w:rPr>
      </w:pPr>
      <w:r w:rsidRPr="00A07BCC">
        <w:rPr>
          <w:rFonts w:ascii="Times New Roman" w:hAnsi="Times New Roman"/>
          <w:szCs w:val="22"/>
        </w:rPr>
        <w:t>Sin modificar</w:t>
      </w:r>
      <w:r>
        <w:rPr>
          <w:rFonts w:ascii="Times New Roman" w:hAnsi="Times New Roman"/>
          <w:szCs w:val="22"/>
        </w:rPr>
        <w:t xml:space="preserve"> nuestra</w:t>
      </w:r>
      <w:r w:rsidRPr="00A07BCC">
        <w:rPr>
          <w:rFonts w:ascii="Times New Roman" w:hAnsi="Times New Roman"/>
          <w:szCs w:val="22"/>
        </w:rPr>
        <w:t xml:space="preserve"> opinión,</w:t>
      </w:r>
      <w:r>
        <w:rPr>
          <w:rFonts w:ascii="Times New Roman" w:hAnsi="Times New Roman"/>
          <w:szCs w:val="22"/>
        </w:rPr>
        <w:t xml:space="preserve"> queremos</w:t>
      </w:r>
      <w:r w:rsidRPr="00A07BCC">
        <w:rPr>
          <w:rFonts w:ascii="Times New Roman" w:hAnsi="Times New Roman"/>
          <w:szCs w:val="22"/>
        </w:rPr>
        <w:t xml:space="preserve"> enfatizar la información contenida en la Nota </w:t>
      </w:r>
      <w:r>
        <w:rPr>
          <w:rFonts w:ascii="Times New Roman" w:hAnsi="Times New Roman"/>
          <w:szCs w:val="22"/>
        </w:rPr>
        <w:t xml:space="preserve">2.2., </w:t>
      </w:r>
      <w:r w:rsidRPr="00A07BCC">
        <w:rPr>
          <w:rFonts w:ascii="Times New Roman" w:hAnsi="Times New Roman"/>
          <w:szCs w:val="22"/>
        </w:rPr>
        <w:t xml:space="preserve"> en la que se menciona que los presentes estados contables han sido prepara</w:t>
      </w:r>
      <w:r>
        <w:rPr>
          <w:rFonts w:ascii="Times New Roman" w:hAnsi="Times New Roman"/>
          <w:szCs w:val="22"/>
        </w:rPr>
        <w:t>dos en moneda homogénea de diciembre de 2019</w:t>
      </w:r>
      <w:r w:rsidRPr="00A07BCC">
        <w:rPr>
          <w:rFonts w:ascii="Times New Roman" w:hAnsi="Times New Roman"/>
          <w:szCs w:val="22"/>
        </w:rPr>
        <w:t>, reconociendo en forma integral los efectos de la inflación de conf</w:t>
      </w:r>
      <w:r>
        <w:rPr>
          <w:rFonts w:ascii="Times New Roman" w:hAnsi="Times New Roman"/>
          <w:szCs w:val="22"/>
        </w:rPr>
        <w:t xml:space="preserve">ormidad </w:t>
      </w:r>
      <w:r w:rsidRPr="00A07BCC">
        <w:rPr>
          <w:rFonts w:ascii="Times New Roman" w:hAnsi="Times New Roman"/>
          <w:szCs w:val="22"/>
        </w:rPr>
        <w:t xml:space="preserve">con lo establecido en la R.T. Nº 6 de la F.A.C.P.C.E., en virtud de haberse determinado la existencia de un contexto de alta inflación; así como los principales efectos derivados de la aplicación del proceso de </w:t>
      </w:r>
      <w:proofErr w:type="spellStart"/>
      <w:r w:rsidRPr="00A07BCC">
        <w:rPr>
          <w:rFonts w:ascii="Times New Roman" w:hAnsi="Times New Roman"/>
          <w:szCs w:val="22"/>
        </w:rPr>
        <w:t>reexpresión</w:t>
      </w:r>
      <w:proofErr w:type="spellEnd"/>
      <w:r w:rsidRPr="00A07BCC">
        <w:rPr>
          <w:rFonts w:ascii="Times New Roman" w:hAnsi="Times New Roman"/>
          <w:szCs w:val="22"/>
        </w:rPr>
        <w:t xml:space="preserve"> y el uso de ciertas simplificaciones de carácter optativo.</w:t>
      </w:r>
    </w:p>
    <w:p w:rsidR="007B08C1" w:rsidRPr="00A07BCC" w:rsidRDefault="007B08C1" w:rsidP="007B08C1">
      <w:pPr>
        <w:pStyle w:val="Prrafodelista"/>
        <w:spacing w:line="360" w:lineRule="auto"/>
        <w:ind w:left="720"/>
        <w:rPr>
          <w:rFonts w:ascii="Times New Roman" w:hAnsi="Times New Roman"/>
          <w:szCs w:val="22"/>
        </w:rPr>
      </w:pPr>
    </w:p>
    <w:p w:rsidR="007B08C1" w:rsidRDefault="007B08C1" w:rsidP="007B08C1">
      <w:pPr>
        <w:spacing w:line="360" w:lineRule="auto"/>
        <w:rPr>
          <w:rFonts w:ascii="Times New Roman" w:hAnsi="Times New Roman"/>
          <w:szCs w:val="22"/>
        </w:rPr>
      </w:pPr>
    </w:p>
    <w:p w:rsidR="007B08C1" w:rsidRDefault="007B08C1" w:rsidP="007B08C1">
      <w:pPr>
        <w:pStyle w:val="Prrafodelista"/>
        <w:numPr>
          <w:ilvl w:val="0"/>
          <w:numId w:val="1"/>
        </w:numPr>
        <w:spacing w:line="360" w:lineRule="auto"/>
        <w:rPr>
          <w:rFonts w:ascii="Times New Roman" w:hAnsi="Times New Roman"/>
          <w:szCs w:val="22"/>
          <w:u w:val="single"/>
        </w:rPr>
      </w:pPr>
      <w:r w:rsidRPr="006E5F60">
        <w:rPr>
          <w:rFonts w:ascii="Times New Roman" w:hAnsi="Times New Roman"/>
          <w:szCs w:val="22"/>
          <w:u w:val="single"/>
        </w:rPr>
        <w:t>Informe sobre el cumplimiento de disposiciones vigentes</w:t>
      </w:r>
    </w:p>
    <w:p w:rsidR="007B08C1" w:rsidRDefault="007B08C1" w:rsidP="007B08C1">
      <w:pPr>
        <w:pStyle w:val="Prrafodelista"/>
        <w:numPr>
          <w:ilvl w:val="0"/>
          <w:numId w:val="3"/>
        </w:numPr>
        <w:spacing w:line="360" w:lineRule="auto"/>
        <w:rPr>
          <w:rFonts w:ascii="Times New Roman" w:hAnsi="Times New Roman"/>
          <w:szCs w:val="22"/>
        </w:rPr>
      </w:pPr>
      <w:r w:rsidRPr="00A80946">
        <w:rPr>
          <w:rFonts w:ascii="Times New Roman" w:hAnsi="Times New Roman"/>
          <w:szCs w:val="22"/>
        </w:rPr>
        <w:t>Los es</w:t>
      </w:r>
      <w:r>
        <w:rPr>
          <w:rFonts w:ascii="Times New Roman" w:hAnsi="Times New Roman"/>
          <w:szCs w:val="22"/>
        </w:rPr>
        <w:t>tados contables surgen de registros contables llevados, en sus aspectos formales, de conformidad con las disposiciones legales vigentes.</w:t>
      </w:r>
    </w:p>
    <w:p w:rsidR="007B08C1" w:rsidRPr="00FA14C0" w:rsidRDefault="007B08C1" w:rsidP="007B08C1">
      <w:pPr>
        <w:pStyle w:val="Prrafodelista"/>
        <w:numPr>
          <w:ilvl w:val="0"/>
          <w:numId w:val="3"/>
        </w:numPr>
        <w:spacing w:line="360" w:lineRule="auto"/>
        <w:rPr>
          <w:rFonts w:ascii="Times New Roman" w:hAnsi="Times New Roman"/>
          <w:szCs w:val="22"/>
        </w:rPr>
      </w:pPr>
      <w:r>
        <w:rPr>
          <w:rFonts w:ascii="Times New Roman" w:hAnsi="Times New Roman"/>
          <w:szCs w:val="22"/>
        </w:rPr>
        <w:t>La Sociedad al 31 de diciembre de 2019</w:t>
      </w:r>
      <w:r w:rsidRPr="00D31DF1">
        <w:rPr>
          <w:rFonts w:ascii="Times New Roman" w:hAnsi="Times New Roman"/>
          <w:szCs w:val="22"/>
        </w:rPr>
        <w:t xml:space="preserve">, </w:t>
      </w:r>
      <w:r>
        <w:rPr>
          <w:rFonts w:ascii="Times New Roman" w:hAnsi="Times New Roman"/>
          <w:szCs w:val="22"/>
        </w:rPr>
        <w:t>cumple con la normativa que exige un patrimonio neto mínimo de $22.092.340</w:t>
      </w:r>
      <w:r w:rsidRPr="00FA14C0">
        <w:rPr>
          <w:rFonts w:ascii="Times New Roman" w:hAnsi="Times New Roman"/>
          <w:szCs w:val="22"/>
        </w:rPr>
        <w:t>.- y su correspondiente contrapart</w:t>
      </w:r>
      <w:r>
        <w:rPr>
          <w:rFonts w:ascii="Times New Roman" w:hAnsi="Times New Roman"/>
          <w:szCs w:val="22"/>
        </w:rPr>
        <w:t>ida líquida por un mínimo de $11.046.170</w:t>
      </w:r>
      <w:r w:rsidRPr="00FA14C0">
        <w:rPr>
          <w:rFonts w:ascii="Times New Roman" w:hAnsi="Times New Roman"/>
          <w:szCs w:val="22"/>
        </w:rPr>
        <w:t>.-, establecidos por las normas de la Comisión Nacional de Valores para las</w:t>
      </w:r>
      <w:r>
        <w:rPr>
          <w:rFonts w:ascii="Times New Roman" w:hAnsi="Times New Roman"/>
          <w:szCs w:val="22"/>
        </w:rPr>
        <w:t xml:space="preserve"> actividades compatibles con las ALYC Integral conjuntamente como Agente de Colocación y Distribución </w:t>
      </w:r>
      <w:r w:rsidRPr="00FA14C0">
        <w:rPr>
          <w:rFonts w:ascii="Times New Roman" w:hAnsi="Times New Roman"/>
          <w:szCs w:val="22"/>
        </w:rPr>
        <w:t>Integral</w:t>
      </w:r>
      <w:r>
        <w:rPr>
          <w:rFonts w:ascii="Times New Roman" w:hAnsi="Times New Roman"/>
          <w:szCs w:val="22"/>
        </w:rPr>
        <w:t xml:space="preserve"> de Fondos Comunes de Inversión (“ALyC, </w:t>
      </w:r>
      <w:r w:rsidRPr="00FA14C0">
        <w:rPr>
          <w:rFonts w:ascii="Times New Roman" w:hAnsi="Times New Roman"/>
          <w:szCs w:val="22"/>
        </w:rPr>
        <w:t>AN – Integral</w:t>
      </w:r>
      <w:r>
        <w:rPr>
          <w:rFonts w:ascii="Times New Roman" w:hAnsi="Times New Roman"/>
          <w:szCs w:val="22"/>
        </w:rPr>
        <w:t xml:space="preserve"> y ACDI</w:t>
      </w:r>
      <w:r w:rsidRPr="00FA14C0">
        <w:rPr>
          <w:rFonts w:ascii="Times New Roman" w:hAnsi="Times New Roman"/>
          <w:szCs w:val="22"/>
        </w:rPr>
        <w:t>”).</w:t>
      </w:r>
    </w:p>
    <w:p w:rsidR="007B08C1" w:rsidRPr="00D31DF1" w:rsidRDefault="007B08C1" w:rsidP="007B08C1">
      <w:pPr>
        <w:pStyle w:val="Prrafodelista"/>
        <w:spacing w:line="360" w:lineRule="auto"/>
        <w:ind w:left="1069"/>
        <w:rPr>
          <w:rFonts w:ascii="Times New Roman" w:hAnsi="Times New Roman"/>
          <w:szCs w:val="22"/>
        </w:rPr>
      </w:pPr>
    </w:p>
    <w:p w:rsidR="007B08C1" w:rsidRPr="00310C77" w:rsidRDefault="007B08C1" w:rsidP="007B08C1">
      <w:pPr>
        <w:spacing w:line="360" w:lineRule="auto"/>
        <w:rPr>
          <w:rFonts w:ascii="Calibri Light" w:hAnsi="Calibri Light" w:cs="Arial"/>
          <w:iCs/>
          <w:szCs w:val="22"/>
          <w:lang w:val="es-ES_tradnl"/>
        </w:rPr>
      </w:pPr>
      <w:r>
        <w:rPr>
          <w:rFonts w:ascii="Times New Roman" w:hAnsi="Times New Roman"/>
          <w:szCs w:val="22"/>
        </w:rPr>
        <w:t>Ciudad Autónoma de Buenos Aires, 10 de marzo de 2020</w:t>
      </w:r>
    </w:p>
    <w:tbl>
      <w:tblPr>
        <w:tblpPr w:leftFromText="180" w:rightFromText="180" w:vertAnchor="page" w:horzAnchor="margin" w:tblpXSpec="center" w:tblpY="11626"/>
        <w:tblW w:w="0" w:type="auto"/>
        <w:tblLook w:val="04A0" w:firstRow="1" w:lastRow="0" w:firstColumn="1" w:lastColumn="0" w:noHBand="0" w:noVBand="1"/>
      </w:tblPr>
      <w:tblGrid>
        <w:gridCol w:w="2425"/>
        <w:gridCol w:w="2430"/>
        <w:gridCol w:w="2340"/>
      </w:tblGrid>
      <w:tr w:rsidR="007B08C1" w:rsidRPr="00C238F4" w:rsidTr="00324827">
        <w:tc>
          <w:tcPr>
            <w:tcW w:w="2425" w:type="dxa"/>
          </w:tcPr>
          <w:p w:rsidR="007B08C1" w:rsidRPr="00C238F4" w:rsidRDefault="007B08C1" w:rsidP="00324827">
            <w:pPr>
              <w:jc w:val="center"/>
              <w:rPr>
                <w:rFonts w:ascii="Times New Roman" w:hAnsi="Times New Roman"/>
                <w:b/>
                <w:sz w:val="20"/>
              </w:rPr>
            </w:pPr>
          </w:p>
        </w:tc>
        <w:tc>
          <w:tcPr>
            <w:tcW w:w="2430" w:type="dxa"/>
          </w:tcPr>
          <w:p w:rsidR="007B08C1" w:rsidRPr="00C238F4" w:rsidRDefault="007B08C1" w:rsidP="00324827">
            <w:pPr>
              <w:jc w:val="center"/>
              <w:rPr>
                <w:rFonts w:ascii="Times New Roman" w:hAnsi="Times New Roman"/>
                <w:b/>
                <w:sz w:val="20"/>
              </w:rPr>
            </w:pPr>
          </w:p>
        </w:tc>
        <w:tc>
          <w:tcPr>
            <w:tcW w:w="2340" w:type="dxa"/>
          </w:tcPr>
          <w:p w:rsidR="007B08C1" w:rsidRPr="00C238F4" w:rsidRDefault="007B08C1" w:rsidP="00324827">
            <w:pPr>
              <w:jc w:val="center"/>
              <w:rPr>
                <w:rFonts w:ascii="Times New Roman" w:hAnsi="Times New Roman"/>
                <w:b/>
                <w:sz w:val="20"/>
              </w:rPr>
            </w:pPr>
          </w:p>
        </w:tc>
      </w:tr>
      <w:tr w:rsidR="007B08C1" w:rsidRPr="00C238F4" w:rsidTr="00324827">
        <w:tc>
          <w:tcPr>
            <w:tcW w:w="2425" w:type="dxa"/>
          </w:tcPr>
          <w:p w:rsidR="007B08C1" w:rsidRPr="00C238F4" w:rsidRDefault="007B08C1" w:rsidP="00324827">
            <w:pPr>
              <w:jc w:val="center"/>
              <w:rPr>
                <w:rFonts w:ascii="Times New Roman" w:hAnsi="Times New Roman"/>
                <w:b/>
                <w:sz w:val="20"/>
              </w:rPr>
            </w:pPr>
            <w:r w:rsidRPr="00C238F4">
              <w:rPr>
                <w:rFonts w:ascii="Times New Roman" w:hAnsi="Times New Roman"/>
                <w:b/>
                <w:sz w:val="20"/>
              </w:rPr>
              <w:t>José María Fresco</w:t>
            </w:r>
          </w:p>
        </w:tc>
        <w:tc>
          <w:tcPr>
            <w:tcW w:w="2430" w:type="dxa"/>
          </w:tcPr>
          <w:p w:rsidR="007B08C1" w:rsidRPr="00C238F4" w:rsidRDefault="007B08C1" w:rsidP="00324827">
            <w:pPr>
              <w:jc w:val="center"/>
              <w:rPr>
                <w:rFonts w:ascii="Times New Roman" w:hAnsi="Times New Roman"/>
                <w:b/>
                <w:sz w:val="20"/>
              </w:rPr>
            </w:pPr>
            <w:r w:rsidRPr="00C238F4">
              <w:rPr>
                <w:rFonts w:ascii="Times New Roman" w:hAnsi="Times New Roman"/>
                <w:b/>
                <w:sz w:val="20"/>
              </w:rPr>
              <w:t>Ramiro Hernán Pérez</w:t>
            </w:r>
          </w:p>
        </w:tc>
        <w:tc>
          <w:tcPr>
            <w:tcW w:w="2340" w:type="dxa"/>
          </w:tcPr>
          <w:p w:rsidR="007B08C1" w:rsidRPr="00C238F4" w:rsidRDefault="007B08C1" w:rsidP="00324827">
            <w:pPr>
              <w:jc w:val="center"/>
              <w:rPr>
                <w:rFonts w:ascii="Times New Roman" w:hAnsi="Times New Roman"/>
                <w:b/>
                <w:sz w:val="20"/>
              </w:rPr>
            </w:pPr>
            <w:r>
              <w:rPr>
                <w:rFonts w:ascii="Times New Roman" w:hAnsi="Times New Roman"/>
                <w:b/>
                <w:sz w:val="20"/>
              </w:rPr>
              <w:t>Paula Salvia</w:t>
            </w:r>
          </w:p>
        </w:tc>
      </w:tr>
      <w:tr w:rsidR="007B08C1" w:rsidRPr="00C238F4" w:rsidTr="00324827">
        <w:tc>
          <w:tcPr>
            <w:tcW w:w="2425" w:type="dxa"/>
          </w:tcPr>
          <w:p w:rsidR="007B08C1" w:rsidRPr="00C238F4" w:rsidRDefault="007B08C1" w:rsidP="00324827">
            <w:pPr>
              <w:jc w:val="center"/>
              <w:rPr>
                <w:rFonts w:ascii="Times New Roman" w:hAnsi="Times New Roman"/>
                <w:b/>
                <w:sz w:val="20"/>
              </w:rPr>
            </w:pPr>
            <w:r w:rsidRPr="00C238F4">
              <w:rPr>
                <w:rFonts w:ascii="Times New Roman" w:hAnsi="Times New Roman"/>
                <w:b/>
                <w:sz w:val="20"/>
              </w:rPr>
              <w:t>Síndico</w:t>
            </w:r>
          </w:p>
        </w:tc>
        <w:tc>
          <w:tcPr>
            <w:tcW w:w="2430" w:type="dxa"/>
          </w:tcPr>
          <w:p w:rsidR="007B08C1" w:rsidRPr="00C238F4" w:rsidRDefault="007B08C1" w:rsidP="00324827">
            <w:pPr>
              <w:jc w:val="center"/>
              <w:rPr>
                <w:rFonts w:ascii="Times New Roman" w:hAnsi="Times New Roman"/>
                <w:b/>
                <w:sz w:val="20"/>
              </w:rPr>
            </w:pPr>
            <w:r w:rsidRPr="00C238F4">
              <w:rPr>
                <w:rFonts w:ascii="Times New Roman" w:hAnsi="Times New Roman"/>
                <w:b/>
                <w:sz w:val="20"/>
              </w:rPr>
              <w:t>Síndico</w:t>
            </w:r>
          </w:p>
        </w:tc>
        <w:tc>
          <w:tcPr>
            <w:tcW w:w="2340" w:type="dxa"/>
          </w:tcPr>
          <w:p w:rsidR="007B08C1" w:rsidRPr="00C238F4" w:rsidRDefault="007B08C1" w:rsidP="00324827">
            <w:pPr>
              <w:jc w:val="center"/>
              <w:rPr>
                <w:rFonts w:ascii="Times New Roman" w:hAnsi="Times New Roman"/>
                <w:b/>
                <w:sz w:val="20"/>
              </w:rPr>
            </w:pPr>
            <w:r>
              <w:rPr>
                <w:rFonts w:ascii="Times New Roman" w:hAnsi="Times New Roman"/>
                <w:b/>
                <w:sz w:val="20"/>
              </w:rPr>
              <w:t>Sindico</w:t>
            </w:r>
          </w:p>
        </w:tc>
      </w:tr>
    </w:tbl>
    <w:p w:rsidR="007B08C1" w:rsidRPr="00310C77" w:rsidRDefault="007B08C1" w:rsidP="007B08C1">
      <w:pPr>
        <w:tabs>
          <w:tab w:val="left" w:pos="-720"/>
        </w:tabs>
        <w:suppressAutoHyphens/>
        <w:ind w:right="193"/>
        <w:jc w:val="center"/>
        <w:outlineLvl w:val="0"/>
        <w:rPr>
          <w:rFonts w:ascii="Calibri Light" w:hAnsi="Calibri Light" w:cs="Arial"/>
          <w:iCs/>
          <w:szCs w:val="22"/>
          <w:lang w:val="es-ES_tradnl"/>
        </w:rPr>
      </w:pPr>
    </w:p>
    <w:p w:rsidR="00961948" w:rsidRPr="007B08C1" w:rsidRDefault="00961948" w:rsidP="007B08C1">
      <w:bookmarkStart w:id="0" w:name="_GoBack"/>
      <w:bookmarkEnd w:id="0"/>
    </w:p>
    <w:sectPr w:rsidR="00961948" w:rsidRPr="007B08C1" w:rsidSect="00E554EF">
      <w:headerReference w:type="default" r:id="rId5"/>
      <w:footerReference w:type="default" r:id="rId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574" w:type="dxa"/>
      <w:tblLook w:val="04A0" w:firstRow="1" w:lastRow="0" w:firstColumn="1" w:lastColumn="0" w:noHBand="0" w:noVBand="1"/>
    </w:tblPr>
    <w:tblGrid>
      <w:gridCol w:w="2123"/>
      <w:gridCol w:w="856"/>
      <w:gridCol w:w="1985"/>
      <w:gridCol w:w="3530"/>
    </w:tblGrid>
    <w:tr w:rsidR="000B7260" w:rsidRPr="00817959" w:rsidTr="00D92FE1">
      <w:tc>
        <w:tcPr>
          <w:tcW w:w="2123" w:type="dxa"/>
        </w:tcPr>
        <w:p w:rsidR="000B7260" w:rsidRPr="00D92FE1" w:rsidRDefault="007B08C1" w:rsidP="00D92FE1">
          <w:pPr>
            <w:pStyle w:val="Piedepgina"/>
            <w:ind w:left="-244" w:firstLine="244"/>
            <w:jc w:val="center"/>
            <w:rPr>
              <w:rFonts w:ascii="Calibri Light" w:hAnsi="Calibri Light"/>
              <w:sz w:val="18"/>
            </w:rPr>
          </w:pPr>
        </w:p>
      </w:tc>
      <w:tc>
        <w:tcPr>
          <w:tcW w:w="856" w:type="dxa"/>
        </w:tcPr>
        <w:p w:rsidR="000B7260" w:rsidRPr="00D92FE1" w:rsidRDefault="007B08C1" w:rsidP="00D92FE1">
          <w:pPr>
            <w:pStyle w:val="Piedepgina"/>
            <w:jc w:val="right"/>
            <w:rPr>
              <w:rFonts w:ascii="Calibri Light" w:hAnsi="Calibri Light"/>
              <w:sz w:val="18"/>
            </w:rPr>
          </w:pPr>
        </w:p>
      </w:tc>
      <w:tc>
        <w:tcPr>
          <w:tcW w:w="1985" w:type="dxa"/>
        </w:tcPr>
        <w:p w:rsidR="000B7260" w:rsidRPr="00D92FE1" w:rsidRDefault="007B08C1" w:rsidP="00D92FE1">
          <w:pPr>
            <w:pStyle w:val="Piedepgina"/>
            <w:jc w:val="right"/>
            <w:rPr>
              <w:rFonts w:ascii="Calibri Light" w:hAnsi="Calibri Light"/>
              <w:sz w:val="18"/>
            </w:rPr>
          </w:pPr>
        </w:p>
      </w:tc>
      <w:tc>
        <w:tcPr>
          <w:tcW w:w="3530" w:type="dxa"/>
        </w:tcPr>
        <w:p w:rsidR="000B7260" w:rsidRPr="00D92FE1" w:rsidRDefault="007B08C1" w:rsidP="00D92FE1">
          <w:pPr>
            <w:pStyle w:val="Piedepgina"/>
            <w:jc w:val="center"/>
            <w:rPr>
              <w:rFonts w:ascii="Calibri Light" w:hAnsi="Calibri Light"/>
              <w:sz w:val="18"/>
            </w:rPr>
          </w:pPr>
        </w:p>
      </w:tc>
    </w:tr>
    <w:tr w:rsidR="000B7260" w:rsidRPr="00817959" w:rsidTr="00D92FE1">
      <w:tc>
        <w:tcPr>
          <w:tcW w:w="2123" w:type="dxa"/>
        </w:tcPr>
        <w:p w:rsidR="000B7260" w:rsidRPr="00D92FE1" w:rsidRDefault="007B08C1" w:rsidP="00D92FE1">
          <w:pPr>
            <w:pStyle w:val="Piedepgina"/>
            <w:jc w:val="center"/>
            <w:rPr>
              <w:rFonts w:ascii="Calibri Light" w:hAnsi="Calibri Light"/>
              <w:sz w:val="18"/>
            </w:rPr>
          </w:pPr>
        </w:p>
      </w:tc>
      <w:tc>
        <w:tcPr>
          <w:tcW w:w="856" w:type="dxa"/>
        </w:tcPr>
        <w:p w:rsidR="000B7260" w:rsidRPr="00D92FE1" w:rsidRDefault="007B08C1" w:rsidP="00D92FE1">
          <w:pPr>
            <w:pStyle w:val="Piedepgina"/>
            <w:jc w:val="right"/>
            <w:rPr>
              <w:rFonts w:ascii="Calibri Light" w:hAnsi="Calibri Light"/>
              <w:sz w:val="18"/>
            </w:rPr>
          </w:pPr>
        </w:p>
      </w:tc>
      <w:tc>
        <w:tcPr>
          <w:tcW w:w="1985" w:type="dxa"/>
        </w:tcPr>
        <w:p w:rsidR="000B7260" w:rsidRPr="00D92FE1" w:rsidRDefault="007B08C1" w:rsidP="00D92FE1">
          <w:pPr>
            <w:pStyle w:val="Piedepgina"/>
            <w:jc w:val="right"/>
            <w:rPr>
              <w:rFonts w:ascii="Calibri Light" w:hAnsi="Calibri Light"/>
              <w:sz w:val="18"/>
            </w:rPr>
          </w:pPr>
        </w:p>
      </w:tc>
      <w:tc>
        <w:tcPr>
          <w:tcW w:w="3530" w:type="dxa"/>
        </w:tcPr>
        <w:p w:rsidR="000B7260" w:rsidRPr="00D92FE1" w:rsidRDefault="007B08C1" w:rsidP="00D92FE1">
          <w:pPr>
            <w:pStyle w:val="Piedepgina"/>
            <w:jc w:val="center"/>
            <w:rPr>
              <w:rFonts w:ascii="Calibri Light" w:hAnsi="Calibri Light"/>
              <w:sz w:val="18"/>
            </w:rPr>
          </w:pPr>
        </w:p>
      </w:tc>
    </w:tr>
    <w:tr w:rsidR="000B7260" w:rsidRPr="00817959" w:rsidTr="00D92FE1">
      <w:tc>
        <w:tcPr>
          <w:tcW w:w="2123" w:type="dxa"/>
        </w:tcPr>
        <w:p w:rsidR="000B7260" w:rsidRPr="00D92FE1" w:rsidRDefault="007B08C1" w:rsidP="00D92FE1">
          <w:pPr>
            <w:pStyle w:val="Piedepgina"/>
            <w:jc w:val="right"/>
            <w:rPr>
              <w:rFonts w:ascii="Calibri Light" w:hAnsi="Calibri Light"/>
              <w:sz w:val="18"/>
            </w:rPr>
          </w:pPr>
        </w:p>
      </w:tc>
      <w:tc>
        <w:tcPr>
          <w:tcW w:w="856" w:type="dxa"/>
        </w:tcPr>
        <w:p w:rsidR="000B7260" w:rsidRPr="00D92FE1" w:rsidRDefault="007B08C1" w:rsidP="00D92FE1">
          <w:pPr>
            <w:pStyle w:val="Piedepgina"/>
            <w:jc w:val="right"/>
            <w:rPr>
              <w:rFonts w:ascii="Calibri Light" w:hAnsi="Calibri Light"/>
              <w:sz w:val="18"/>
            </w:rPr>
          </w:pPr>
        </w:p>
      </w:tc>
      <w:tc>
        <w:tcPr>
          <w:tcW w:w="1985" w:type="dxa"/>
        </w:tcPr>
        <w:p w:rsidR="000B7260" w:rsidRPr="00D92FE1" w:rsidRDefault="007B08C1" w:rsidP="00D92FE1">
          <w:pPr>
            <w:pStyle w:val="Piedepgina"/>
            <w:jc w:val="right"/>
            <w:rPr>
              <w:rFonts w:ascii="Calibri Light" w:hAnsi="Calibri Light"/>
              <w:sz w:val="18"/>
            </w:rPr>
          </w:pPr>
        </w:p>
      </w:tc>
      <w:tc>
        <w:tcPr>
          <w:tcW w:w="3530" w:type="dxa"/>
        </w:tcPr>
        <w:p w:rsidR="000B7260" w:rsidRPr="00D92FE1" w:rsidRDefault="007B08C1" w:rsidP="00D92FE1">
          <w:pPr>
            <w:pStyle w:val="Piedepgina"/>
            <w:jc w:val="center"/>
            <w:rPr>
              <w:rFonts w:ascii="Calibri Light" w:hAnsi="Calibri Light"/>
              <w:sz w:val="18"/>
            </w:rPr>
          </w:pPr>
        </w:p>
      </w:tc>
    </w:tr>
    <w:tr w:rsidR="000B7260" w:rsidRPr="00817959" w:rsidTr="00D92FE1">
      <w:tc>
        <w:tcPr>
          <w:tcW w:w="2123" w:type="dxa"/>
        </w:tcPr>
        <w:p w:rsidR="000B7260" w:rsidRPr="00D92FE1" w:rsidRDefault="007B08C1" w:rsidP="00D92FE1">
          <w:pPr>
            <w:pStyle w:val="Piedepgina"/>
            <w:jc w:val="right"/>
            <w:rPr>
              <w:rFonts w:ascii="Calibri Light" w:hAnsi="Calibri Light"/>
              <w:sz w:val="18"/>
            </w:rPr>
          </w:pPr>
        </w:p>
      </w:tc>
      <w:tc>
        <w:tcPr>
          <w:tcW w:w="856" w:type="dxa"/>
        </w:tcPr>
        <w:p w:rsidR="000B7260" w:rsidRPr="00D92FE1" w:rsidRDefault="007B08C1" w:rsidP="00D92FE1">
          <w:pPr>
            <w:pStyle w:val="Piedepgina"/>
            <w:jc w:val="right"/>
            <w:rPr>
              <w:rFonts w:ascii="Calibri Light" w:hAnsi="Calibri Light"/>
              <w:sz w:val="18"/>
            </w:rPr>
          </w:pPr>
        </w:p>
      </w:tc>
      <w:tc>
        <w:tcPr>
          <w:tcW w:w="1985" w:type="dxa"/>
        </w:tcPr>
        <w:p w:rsidR="000B7260" w:rsidRPr="00D92FE1" w:rsidRDefault="007B08C1" w:rsidP="00D92FE1">
          <w:pPr>
            <w:pStyle w:val="Piedepgina"/>
            <w:jc w:val="right"/>
            <w:rPr>
              <w:rFonts w:ascii="Calibri Light" w:hAnsi="Calibri Light"/>
              <w:sz w:val="18"/>
            </w:rPr>
          </w:pPr>
        </w:p>
      </w:tc>
      <w:tc>
        <w:tcPr>
          <w:tcW w:w="3530" w:type="dxa"/>
        </w:tcPr>
        <w:p w:rsidR="000B7260" w:rsidRPr="00D92FE1" w:rsidRDefault="007B08C1" w:rsidP="00D92FE1">
          <w:pPr>
            <w:pStyle w:val="Piedepgina"/>
            <w:jc w:val="center"/>
            <w:rPr>
              <w:rFonts w:ascii="Calibri Light" w:hAnsi="Calibri Light"/>
              <w:sz w:val="18"/>
            </w:rPr>
          </w:pPr>
        </w:p>
      </w:tc>
    </w:tr>
  </w:tbl>
  <w:p w:rsidR="000B7260" w:rsidRDefault="007B08C1">
    <w:pPr>
      <w:pStyle w:val="Piedepgina"/>
      <w:jc w:val="right"/>
    </w:pPr>
  </w:p>
  <w:p w:rsidR="000B7260" w:rsidRPr="00852623" w:rsidRDefault="007B08C1">
    <w:pPr>
      <w:pStyle w:val="Piedepgina"/>
      <w:rPr>
        <w:lang w:val="es-AR"/>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260" w:rsidRPr="00C9178F" w:rsidRDefault="007B08C1" w:rsidP="00C9178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17230"/>
    <w:multiLevelType w:val="hybridMultilevel"/>
    <w:tmpl w:val="852EB1FE"/>
    <w:lvl w:ilvl="0" w:tplc="EBD606BA">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 w15:restartNumberingAfterBreak="0">
    <w:nsid w:val="6AB203C6"/>
    <w:multiLevelType w:val="hybridMultilevel"/>
    <w:tmpl w:val="A874ED5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B7A4820"/>
    <w:multiLevelType w:val="hybridMultilevel"/>
    <w:tmpl w:val="4C3ABDCA"/>
    <w:lvl w:ilvl="0" w:tplc="E60C05BC">
      <w:start w:val="1"/>
      <w:numFmt w:val="lowerLetter"/>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B14"/>
    <w:rsid w:val="007B08C1"/>
    <w:rsid w:val="00913B14"/>
    <w:rsid w:val="0096194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3A04C3-5F6F-49EE-8453-1AE5C4FA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8C1"/>
    <w:pPr>
      <w:widowControl w:val="0"/>
      <w:overflowPunct w:val="0"/>
      <w:autoSpaceDE w:val="0"/>
      <w:autoSpaceDN w:val="0"/>
      <w:adjustRightInd w:val="0"/>
      <w:spacing w:after="0" w:line="240" w:lineRule="auto"/>
      <w:jc w:val="both"/>
      <w:textAlignment w:val="baseline"/>
    </w:pPr>
    <w:rPr>
      <w:rFonts w:ascii="Arial" w:eastAsia="Times New Roman" w:hAnsi="Arial" w:cs="Times New Roman"/>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913B14"/>
    <w:pPr>
      <w:tabs>
        <w:tab w:val="center" w:pos="4419"/>
        <w:tab w:val="right" w:pos="8838"/>
      </w:tabs>
    </w:pPr>
  </w:style>
  <w:style w:type="character" w:customStyle="1" w:styleId="EncabezadoCar">
    <w:name w:val="Encabezado Car"/>
    <w:basedOn w:val="Fuentedeprrafopredeter"/>
    <w:link w:val="Encabezado"/>
    <w:uiPriority w:val="99"/>
    <w:semiHidden/>
    <w:rsid w:val="00913B14"/>
  </w:style>
  <w:style w:type="paragraph" w:styleId="Piedepgina">
    <w:name w:val="footer"/>
    <w:basedOn w:val="Normal"/>
    <w:link w:val="PiedepginaCar"/>
    <w:uiPriority w:val="99"/>
    <w:semiHidden/>
    <w:unhideWhenUsed/>
    <w:rsid w:val="00913B14"/>
    <w:pPr>
      <w:tabs>
        <w:tab w:val="center" w:pos="4419"/>
        <w:tab w:val="right" w:pos="8838"/>
      </w:tabs>
    </w:pPr>
  </w:style>
  <w:style w:type="character" w:customStyle="1" w:styleId="PiedepginaCar">
    <w:name w:val="Pie de página Car"/>
    <w:basedOn w:val="Fuentedeprrafopredeter"/>
    <w:link w:val="Piedepgina"/>
    <w:uiPriority w:val="99"/>
    <w:semiHidden/>
    <w:rsid w:val="00913B14"/>
  </w:style>
  <w:style w:type="paragraph" w:styleId="Prrafodelista">
    <w:name w:val="List Paragraph"/>
    <w:basedOn w:val="Normal"/>
    <w:uiPriority w:val="34"/>
    <w:qFormat/>
    <w:rsid w:val="007B08C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899</Words>
  <Characters>4948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Backoffice2</dc:creator>
  <cp:keywords/>
  <dc:description/>
  <cp:lastModifiedBy>Backoffice2</cp:lastModifiedBy>
  <cp:revision>2</cp:revision>
  <dcterms:created xsi:type="dcterms:W3CDTF">2020-03-10T21:57:00Z</dcterms:created>
  <dcterms:modified xsi:type="dcterms:W3CDTF">2020-03-10T22:57:00Z</dcterms:modified>
</cp:coreProperties>
</file>