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F5DA0" w14:textId="047AE319" w:rsidR="001C2C31" w:rsidRPr="001C2C31" w:rsidRDefault="001C2C31" w:rsidP="00916F81">
      <w:pPr>
        <w:spacing w:after="0"/>
        <w:ind w:left="567" w:right="622"/>
        <w:jc w:val="both"/>
        <w:rPr>
          <w:rFonts w:eastAsia="Times New Roman"/>
          <w:b/>
          <w:sz w:val="18"/>
          <w:szCs w:val="18"/>
          <w:lang w:val="es-MX" w:eastAsia="es-ES"/>
        </w:rPr>
      </w:pPr>
      <w:r w:rsidRPr="001C2C31">
        <w:rPr>
          <w:rFonts w:eastAsia="Times New Roman"/>
          <w:b/>
          <w:sz w:val="18"/>
          <w:szCs w:val="18"/>
          <w:lang w:val="es-MX" w:eastAsia="es-ES"/>
        </w:rPr>
        <w:t>SUPLEMENTO DE PRECIO</w:t>
      </w:r>
    </w:p>
    <w:p w14:paraId="75C7B517" w14:textId="77777777" w:rsidR="001C2C31" w:rsidRPr="001C2C31" w:rsidRDefault="001C2C31" w:rsidP="00916F81">
      <w:pPr>
        <w:spacing w:after="0"/>
        <w:ind w:left="567" w:right="622"/>
        <w:jc w:val="center"/>
        <w:rPr>
          <w:rFonts w:eastAsia="Times New Roman"/>
          <w:b/>
          <w:sz w:val="18"/>
          <w:szCs w:val="18"/>
          <w:lang w:eastAsia="es-ES"/>
        </w:rPr>
      </w:pPr>
      <w:r w:rsidRPr="001C2C31" w:rsidDel="009306A3">
        <w:rPr>
          <w:rFonts w:eastAsia="Times New Roman"/>
          <w:b/>
          <w:sz w:val="18"/>
          <w:szCs w:val="18"/>
          <w:lang w:eastAsia="es-ES"/>
        </w:rPr>
        <w:t xml:space="preserve"> </w:t>
      </w:r>
    </w:p>
    <w:p w14:paraId="097B17D7" w14:textId="77777777" w:rsidR="001C2C31" w:rsidRPr="001C2C31" w:rsidRDefault="00916F81" w:rsidP="00916F81">
      <w:pPr>
        <w:spacing w:after="0"/>
        <w:ind w:left="567" w:right="622"/>
        <w:jc w:val="center"/>
        <w:rPr>
          <w:rFonts w:eastAsia="Times New Roman"/>
          <w:b/>
          <w:sz w:val="18"/>
          <w:szCs w:val="18"/>
          <w:lang w:eastAsia="es-ES"/>
        </w:rPr>
      </w:pPr>
      <w:r w:rsidRPr="00BD558C">
        <w:rPr>
          <w:rFonts w:eastAsia="Times New Roman"/>
          <w:noProof/>
          <w:sz w:val="18"/>
          <w:szCs w:val="18"/>
          <w:lang w:val="es-US" w:eastAsia="es-US"/>
        </w:rPr>
        <w:drawing>
          <wp:inline distT="0" distB="0" distL="0" distR="0" wp14:anchorId="7E8B0A4D" wp14:editId="37173A43">
            <wp:extent cx="807522" cy="57913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7960" cy="586618"/>
                    </a:xfrm>
                    <a:prstGeom prst="rect">
                      <a:avLst/>
                    </a:prstGeom>
                    <a:noFill/>
                    <a:ln>
                      <a:noFill/>
                    </a:ln>
                  </pic:spPr>
                </pic:pic>
              </a:graphicData>
            </a:graphic>
          </wp:inline>
        </w:drawing>
      </w:r>
    </w:p>
    <w:p w14:paraId="524E368C" w14:textId="77777777" w:rsidR="001C2C31" w:rsidRPr="001C2C31" w:rsidRDefault="001C2C31" w:rsidP="00916F81">
      <w:pPr>
        <w:spacing w:after="0"/>
        <w:ind w:left="567" w:right="622"/>
        <w:jc w:val="center"/>
        <w:rPr>
          <w:rFonts w:eastAsia="Times New Roman"/>
          <w:b/>
          <w:sz w:val="18"/>
          <w:szCs w:val="18"/>
          <w:lang w:eastAsia="es-ES"/>
        </w:rPr>
      </w:pPr>
    </w:p>
    <w:p w14:paraId="1D8F6F7B" w14:textId="77777777" w:rsidR="001C2C31" w:rsidRPr="001C2C31" w:rsidRDefault="001C2C31" w:rsidP="00916F81">
      <w:pPr>
        <w:spacing w:after="0"/>
        <w:ind w:left="567" w:right="622"/>
        <w:jc w:val="center"/>
        <w:rPr>
          <w:rFonts w:eastAsia="Times New Roman"/>
          <w:b/>
          <w:sz w:val="18"/>
          <w:szCs w:val="18"/>
          <w:lang w:eastAsia="es-ES"/>
        </w:rPr>
      </w:pPr>
      <w:r w:rsidRPr="001C2C31">
        <w:rPr>
          <w:rFonts w:eastAsia="Times New Roman"/>
          <w:b/>
          <w:sz w:val="18"/>
          <w:szCs w:val="18"/>
          <w:lang w:eastAsia="es-ES"/>
        </w:rPr>
        <w:t>Grupo ST S.A.</w:t>
      </w:r>
    </w:p>
    <w:p w14:paraId="22B47443" w14:textId="77777777" w:rsidR="001C2C31" w:rsidRPr="001C2C31" w:rsidRDefault="001C2C31" w:rsidP="00916F81">
      <w:pPr>
        <w:spacing w:after="0"/>
        <w:ind w:left="567" w:right="622"/>
        <w:jc w:val="center"/>
        <w:rPr>
          <w:rFonts w:eastAsia="Times New Roman"/>
          <w:b/>
          <w:sz w:val="18"/>
          <w:szCs w:val="18"/>
          <w:lang w:eastAsia="es-ES"/>
        </w:rPr>
      </w:pPr>
    </w:p>
    <w:p w14:paraId="7FDCF91D" w14:textId="14C98EF8" w:rsidR="001C2C31" w:rsidRPr="001C2C31" w:rsidRDefault="001C2C31" w:rsidP="00916F81">
      <w:pPr>
        <w:spacing w:after="0"/>
        <w:ind w:left="567" w:right="622"/>
        <w:jc w:val="center"/>
        <w:rPr>
          <w:rFonts w:eastAsia="Times New Roman"/>
          <w:b/>
          <w:sz w:val="18"/>
          <w:szCs w:val="18"/>
          <w:lang w:val="es-MX" w:eastAsia="es-ES"/>
        </w:rPr>
      </w:pPr>
      <w:r w:rsidRPr="001C2C31">
        <w:rPr>
          <w:rFonts w:eastAsia="Times New Roman"/>
          <w:b/>
          <w:sz w:val="18"/>
          <w:szCs w:val="18"/>
          <w:lang w:val="es-MX" w:eastAsia="es-ES"/>
        </w:rPr>
        <w:t xml:space="preserve">OBLIGACIONES NEGOCIABLES CLASE </w:t>
      </w:r>
      <w:r w:rsidR="002B46F6">
        <w:rPr>
          <w:rFonts w:eastAsia="Times New Roman"/>
          <w:b/>
          <w:sz w:val="18"/>
          <w:szCs w:val="18"/>
          <w:lang w:val="es-MX" w:eastAsia="es-ES"/>
        </w:rPr>
        <w:t>2</w:t>
      </w:r>
      <w:r w:rsidRPr="001C2C31">
        <w:rPr>
          <w:rFonts w:eastAsia="Times New Roman"/>
          <w:b/>
          <w:sz w:val="18"/>
          <w:szCs w:val="18"/>
          <w:lang w:val="es-MX" w:eastAsia="es-ES"/>
        </w:rPr>
        <w:t xml:space="preserve"> DENOMINADAS EN PESOS A TASA VARIABLE CON VENCIMIENTO A LOS </w:t>
      </w:r>
      <w:r w:rsidR="00D464A4">
        <w:rPr>
          <w:rFonts w:eastAsia="Times New Roman"/>
          <w:b/>
          <w:sz w:val="18"/>
          <w:szCs w:val="18"/>
          <w:lang w:val="es-MX" w:eastAsia="es-ES"/>
        </w:rPr>
        <w:t>180</w:t>
      </w:r>
      <w:r w:rsidR="00D464A4" w:rsidRPr="001C2C31">
        <w:rPr>
          <w:rFonts w:eastAsia="Times New Roman"/>
          <w:b/>
          <w:sz w:val="18"/>
          <w:szCs w:val="18"/>
          <w:lang w:val="es-MX" w:eastAsia="es-ES"/>
        </w:rPr>
        <w:t xml:space="preserve"> </w:t>
      </w:r>
      <w:r w:rsidR="00D464A4">
        <w:rPr>
          <w:rFonts w:eastAsia="Times New Roman"/>
          <w:b/>
          <w:sz w:val="18"/>
          <w:szCs w:val="18"/>
          <w:lang w:val="es-MX" w:eastAsia="es-ES"/>
        </w:rPr>
        <w:t>DÍAS</w:t>
      </w:r>
      <w:r w:rsidR="008A1D23">
        <w:rPr>
          <w:rFonts w:eastAsia="Times New Roman"/>
          <w:b/>
          <w:sz w:val="18"/>
          <w:szCs w:val="18"/>
          <w:lang w:val="es-MX" w:eastAsia="es-ES"/>
        </w:rPr>
        <w:t xml:space="preserve"> CORRIDOS</w:t>
      </w:r>
      <w:r w:rsidR="00D464A4" w:rsidRPr="001C2C31">
        <w:rPr>
          <w:rFonts w:eastAsia="Times New Roman"/>
          <w:b/>
          <w:sz w:val="18"/>
          <w:szCs w:val="18"/>
          <w:lang w:val="es-MX" w:eastAsia="es-ES"/>
        </w:rPr>
        <w:t xml:space="preserve"> </w:t>
      </w:r>
      <w:r w:rsidRPr="001C2C31">
        <w:rPr>
          <w:rFonts w:eastAsia="Times New Roman"/>
          <w:b/>
          <w:sz w:val="18"/>
          <w:szCs w:val="18"/>
          <w:lang w:val="es-MX" w:eastAsia="es-ES"/>
        </w:rPr>
        <w:t>DE LA FECHA DE EMISIÓN Y LIQUIDACIÓN</w:t>
      </w:r>
    </w:p>
    <w:p w14:paraId="5B4DD860" w14:textId="4B0EB7A5" w:rsidR="001C2C31" w:rsidRPr="001C2C31" w:rsidRDefault="001C2C31" w:rsidP="00916F81">
      <w:pPr>
        <w:spacing w:after="0"/>
        <w:ind w:left="567" w:right="622"/>
        <w:jc w:val="center"/>
        <w:rPr>
          <w:rFonts w:eastAsia="Times New Roman"/>
          <w:b/>
          <w:sz w:val="18"/>
          <w:szCs w:val="18"/>
          <w:lang w:val="es-MX" w:eastAsia="es-ES"/>
        </w:rPr>
      </w:pPr>
      <w:r w:rsidRPr="001C2C31">
        <w:rPr>
          <w:rFonts w:eastAsia="Times New Roman"/>
          <w:b/>
          <w:sz w:val="18"/>
          <w:szCs w:val="18"/>
          <w:lang w:val="es-MX" w:eastAsia="es-ES"/>
        </w:rPr>
        <w:t xml:space="preserve">POR UN VALOR NOMINAL </w:t>
      </w:r>
      <w:r w:rsidR="007B4CB1">
        <w:rPr>
          <w:rFonts w:eastAsia="Times New Roman"/>
          <w:b/>
          <w:sz w:val="18"/>
          <w:szCs w:val="18"/>
          <w:lang w:val="es-MX" w:eastAsia="es-ES"/>
        </w:rPr>
        <w:t xml:space="preserve">DE HASTA </w:t>
      </w:r>
      <w:r w:rsidR="000B5903">
        <w:rPr>
          <w:rFonts w:eastAsia="Times New Roman"/>
          <w:b/>
          <w:sz w:val="18"/>
          <w:szCs w:val="18"/>
          <w:lang w:val="es-MX" w:eastAsia="es-ES"/>
        </w:rPr>
        <w:t>$</w:t>
      </w:r>
      <w:r w:rsidR="00DA6560">
        <w:rPr>
          <w:rFonts w:eastAsia="Times New Roman"/>
          <w:b/>
          <w:sz w:val="18"/>
          <w:szCs w:val="18"/>
          <w:lang w:val="es-MX" w:eastAsia="es-ES"/>
        </w:rPr>
        <w:t>100</w:t>
      </w:r>
      <w:r w:rsidR="000B5903">
        <w:rPr>
          <w:rFonts w:eastAsia="Times New Roman"/>
          <w:b/>
          <w:sz w:val="18"/>
          <w:szCs w:val="18"/>
          <w:lang w:val="es-MX" w:eastAsia="es-ES"/>
        </w:rPr>
        <w:t xml:space="preserve">.000.000 AMPLIABLE HASTA </w:t>
      </w:r>
      <w:r w:rsidR="00D464A4">
        <w:rPr>
          <w:rFonts w:eastAsia="Times New Roman"/>
          <w:b/>
          <w:sz w:val="18"/>
          <w:szCs w:val="18"/>
          <w:lang w:val="es-MX" w:eastAsia="es-ES"/>
        </w:rPr>
        <w:t>$1</w:t>
      </w:r>
      <w:r w:rsidR="00DA6560">
        <w:rPr>
          <w:rFonts w:eastAsia="Times New Roman"/>
          <w:b/>
          <w:sz w:val="18"/>
          <w:szCs w:val="18"/>
          <w:lang w:val="es-MX" w:eastAsia="es-ES"/>
        </w:rPr>
        <w:t>75</w:t>
      </w:r>
      <w:r w:rsidR="00D464A4">
        <w:rPr>
          <w:rFonts w:eastAsia="Times New Roman"/>
          <w:b/>
          <w:sz w:val="18"/>
          <w:szCs w:val="18"/>
          <w:lang w:val="es-MX" w:eastAsia="es-ES"/>
        </w:rPr>
        <w:t>.000.000</w:t>
      </w:r>
    </w:p>
    <w:p w14:paraId="5472CB0B" w14:textId="77777777" w:rsidR="001C2C31" w:rsidRPr="00BD558C" w:rsidRDefault="001C2C31" w:rsidP="00916F81">
      <w:pPr>
        <w:spacing w:after="0"/>
        <w:ind w:left="567" w:right="622"/>
        <w:jc w:val="center"/>
        <w:rPr>
          <w:rFonts w:eastAsia="Times New Roman"/>
          <w:b/>
          <w:sz w:val="18"/>
          <w:szCs w:val="18"/>
          <w:lang w:val="es-MX" w:eastAsia="es-ES"/>
        </w:rPr>
      </w:pPr>
      <w:r w:rsidRPr="00BD558C">
        <w:rPr>
          <w:rFonts w:eastAsia="Times New Roman"/>
          <w:b/>
          <w:sz w:val="18"/>
          <w:szCs w:val="18"/>
          <w:lang w:val="es-MX" w:eastAsia="es-ES"/>
        </w:rPr>
        <w:t>A EMITIRSE EN EL MARCO DEL PROGRAMA GLOBAL DE EMISIÓN DE OBLIGACIONES NEGOCIABLES SIMPLES (NO CONVERTIBLES EN ACCIONES) POR HASTA $</w:t>
      </w:r>
      <w:r w:rsidR="004F08A4" w:rsidRPr="00BD558C">
        <w:rPr>
          <w:rFonts w:eastAsia="Times New Roman"/>
          <w:b/>
          <w:sz w:val="18"/>
          <w:szCs w:val="18"/>
          <w:lang w:val="es-MX" w:eastAsia="es-ES"/>
        </w:rPr>
        <w:t>2.000</w:t>
      </w:r>
      <w:r w:rsidRPr="00BD558C">
        <w:rPr>
          <w:rFonts w:eastAsia="Times New Roman"/>
          <w:b/>
          <w:sz w:val="18"/>
          <w:szCs w:val="18"/>
          <w:lang w:val="es-MX" w:eastAsia="es-ES"/>
        </w:rPr>
        <w:t>.000.000 (O SU EQUIVALENTE EN OTRAS MONEDAS)</w:t>
      </w:r>
    </w:p>
    <w:p w14:paraId="52E43B9D" w14:textId="77777777" w:rsidR="00E71F71" w:rsidRPr="00BD558C" w:rsidRDefault="00E71F71" w:rsidP="00916F81">
      <w:pPr>
        <w:spacing w:after="0"/>
        <w:ind w:left="567" w:right="622"/>
        <w:jc w:val="both"/>
        <w:rPr>
          <w:rFonts w:eastAsia="Times New Roman"/>
          <w:sz w:val="18"/>
          <w:szCs w:val="18"/>
          <w:lang w:val="es-MX" w:eastAsia="es-ES"/>
        </w:rPr>
      </w:pPr>
    </w:p>
    <w:p w14:paraId="18CFCEFA" w14:textId="5E1879AD" w:rsidR="001D5202" w:rsidRPr="00BD558C" w:rsidRDefault="001C2C31" w:rsidP="00916F81">
      <w:pPr>
        <w:spacing w:after="0"/>
        <w:ind w:left="567" w:right="622"/>
        <w:jc w:val="both"/>
        <w:rPr>
          <w:rFonts w:eastAsia="Times New Roman"/>
          <w:sz w:val="18"/>
          <w:szCs w:val="18"/>
          <w:lang w:val="es-MX" w:eastAsia="es-ES"/>
        </w:rPr>
      </w:pPr>
      <w:r w:rsidRPr="00BD558C">
        <w:rPr>
          <w:rFonts w:eastAsia="Times New Roman"/>
          <w:sz w:val="18"/>
          <w:szCs w:val="18"/>
          <w:lang w:val="es-MX" w:eastAsia="es-ES"/>
        </w:rPr>
        <w:t>Este suplemento de precio (el “</w:t>
      </w:r>
      <w:r w:rsidRPr="00BD558C">
        <w:rPr>
          <w:rFonts w:eastAsia="Times New Roman"/>
          <w:b/>
          <w:sz w:val="18"/>
          <w:szCs w:val="18"/>
          <w:lang w:val="es-MX" w:eastAsia="es-ES"/>
        </w:rPr>
        <w:t>Suplemento de Precio</w:t>
      </w:r>
      <w:r w:rsidRPr="00BD558C">
        <w:rPr>
          <w:rFonts w:eastAsia="Times New Roman"/>
          <w:sz w:val="18"/>
          <w:szCs w:val="18"/>
          <w:lang w:val="es-MX" w:eastAsia="es-ES"/>
        </w:rPr>
        <w:t xml:space="preserve">”) corresponde a las Obligaciones Negociables Clase </w:t>
      </w:r>
      <w:r w:rsidR="002B46F6" w:rsidRPr="00BD558C">
        <w:rPr>
          <w:rFonts w:eastAsia="Times New Roman"/>
          <w:sz w:val="18"/>
          <w:szCs w:val="18"/>
          <w:lang w:val="es-MX" w:eastAsia="es-ES"/>
        </w:rPr>
        <w:t xml:space="preserve">2 </w:t>
      </w:r>
      <w:r w:rsidRPr="00BD558C">
        <w:rPr>
          <w:rFonts w:eastAsia="Times New Roman"/>
          <w:sz w:val="18"/>
          <w:szCs w:val="18"/>
          <w:lang w:val="es-MX" w:eastAsia="es-ES"/>
        </w:rPr>
        <w:t>denominadas</w:t>
      </w:r>
      <w:r w:rsidR="00677543" w:rsidRPr="00BD558C">
        <w:rPr>
          <w:rFonts w:eastAsia="Times New Roman"/>
          <w:sz w:val="18"/>
          <w:szCs w:val="18"/>
          <w:lang w:val="es-MX" w:eastAsia="es-ES"/>
        </w:rPr>
        <w:t xml:space="preserve"> y pagaderas</w:t>
      </w:r>
      <w:r w:rsidRPr="00BD558C">
        <w:rPr>
          <w:rFonts w:eastAsia="Times New Roman"/>
          <w:sz w:val="18"/>
          <w:szCs w:val="18"/>
          <w:lang w:val="es-MX" w:eastAsia="es-ES"/>
        </w:rPr>
        <w:t xml:space="preserve"> en pesos a tasa variable con vencimiento a los </w:t>
      </w:r>
      <w:r w:rsidR="00D464A4">
        <w:rPr>
          <w:rFonts w:eastAsia="Times New Roman"/>
          <w:sz w:val="18"/>
          <w:szCs w:val="18"/>
          <w:lang w:val="es-MX" w:eastAsia="es-ES"/>
        </w:rPr>
        <w:t>180 días</w:t>
      </w:r>
      <w:r w:rsidR="008A1D23">
        <w:rPr>
          <w:rFonts w:eastAsia="Times New Roman"/>
          <w:sz w:val="18"/>
          <w:szCs w:val="18"/>
          <w:lang w:val="es-MX" w:eastAsia="es-ES"/>
        </w:rPr>
        <w:t xml:space="preserve"> corridos</w:t>
      </w:r>
      <w:r w:rsidR="00D464A4">
        <w:rPr>
          <w:rFonts w:eastAsia="Times New Roman"/>
          <w:sz w:val="18"/>
          <w:szCs w:val="18"/>
          <w:lang w:val="es-MX" w:eastAsia="es-ES"/>
        </w:rPr>
        <w:t xml:space="preserve"> </w:t>
      </w:r>
      <w:r w:rsidRPr="00BD558C">
        <w:rPr>
          <w:rFonts w:eastAsia="Times New Roman"/>
          <w:sz w:val="18"/>
          <w:szCs w:val="18"/>
          <w:lang w:val="es-MX" w:eastAsia="es-ES"/>
        </w:rPr>
        <w:t xml:space="preserve"> de la Fecha de Emisión y Liquidación (conforme dicho término se define más adelante)</w:t>
      </w:r>
      <w:r w:rsidR="000B5903">
        <w:rPr>
          <w:rFonts w:eastAsia="Times New Roman"/>
          <w:sz w:val="18"/>
          <w:szCs w:val="18"/>
          <w:lang w:val="es-MX" w:eastAsia="es-ES"/>
        </w:rPr>
        <w:t>, por un valor nominal de hasta Pesos $</w:t>
      </w:r>
      <w:r w:rsidR="00DA6560">
        <w:rPr>
          <w:rFonts w:eastAsia="Times New Roman"/>
          <w:sz w:val="18"/>
          <w:szCs w:val="18"/>
          <w:lang w:val="es-MX" w:eastAsia="es-ES"/>
        </w:rPr>
        <w:t>100</w:t>
      </w:r>
      <w:r w:rsidR="000B5903">
        <w:rPr>
          <w:rFonts w:eastAsia="Times New Roman"/>
          <w:sz w:val="18"/>
          <w:szCs w:val="18"/>
          <w:lang w:val="es-MX" w:eastAsia="es-ES"/>
        </w:rPr>
        <w:t xml:space="preserve">.000.000 ampliable hasta </w:t>
      </w:r>
      <w:r w:rsidR="0086449F">
        <w:rPr>
          <w:rFonts w:eastAsia="Times New Roman"/>
          <w:sz w:val="18"/>
          <w:szCs w:val="18"/>
          <w:lang w:val="es-MX" w:eastAsia="es-ES"/>
        </w:rPr>
        <w:t xml:space="preserve">Pesos </w:t>
      </w:r>
      <w:r w:rsidR="00D464A4">
        <w:rPr>
          <w:rFonts w:eastAsia="Times New Roman"/>
          <w:sz w:val="18"/>
          <w:szCs w:val="18"/>
          <w:lang w:val="es-MX" w:eastAsia="es-ES"/>
        </w:rPr>
        <w:t>$</w:t>
      </w:r>
      <w:r w:rsidR="00DA6560">
        <w:rPr>
          <w:rFonts w:eastAsia="Times New Roman"/>
          <w:sz w:val="18"/>
          <w:szCs w:val="18"/>
          <w:lang w:val="es-MX" w:eastAsia="es-ES"/>
        </w:rPr>
        <w:t>175</w:t>
      </w:r>
      <w:r w:rsidR="00D464A4">
        <w:rPr>
          <w:rFonts w:eastAsia="Times New Roman"/>
          <w:sz w:val="18"/>
          <w:szCs w:val="18"/>
          <w:lang w:val="es-MX" w:eastAsia="es-ES"/>
        </w:rPr>
        <w:t xml:space="preserve">.000.000 </w:t>
      </w:r>
      <w:r w:rsidRPr="00BD558C">
        <w:rPr>
          <w:rFonts w:eastAsia="Times New Roman"/>
          <w:sz w:val="18"/>
          <w:szCs w:val="18"/>
          <w:lang w:val="es-MX" w:eastAsia="es-ES"/>
        </w:rPr>
        <w:t>(las “</w:t>
      </w:r>
      <w:r w:rsidRPr="00BD558C">
        <w:rPr>
          <w:rFonts w:eastAsia="Times New Roman"/>
          <w:b/>
          <w:sz w:val="18"/>
          <w:szCs w:val="18"/>
          <w:lang w:val="es-MX" w:eastAsia="es-ES"/>
        </w:rPr>
        <w:t>Obligaciones Negociables</w:t>
      </w:r>
      <w:r w:rsidRPr="00BD558C">
        <w:rPr>
          <w:rFonts w:eastAsia="Times New Roman"/>
          <w:sz w:val="18"/>
          <w:szCs w:val="18"/>
          <w:lang w:val="es-MX" w:eastAsia="es-ES"/>
        </w:rPr>
        <w:t>”) a ser emitidas por Grupo ST S.A. (el “</w:t>
      </w:r>
      <w:r w:rsidRPr="00BD558C">
        <w:rPr>
          <w:rFonts w:eastAsia="Times New Roman"/>
          <w:b/>
          <w:sz w:val="18"/>
          <w:szCs w:val="18"/>
          <w:lang w:val="es-MX" w:eastAsia="es-ES"/>
        </w:rPr>
        <w:t>Emisor</w:t>
      </w:r>
      <w:r w:rsidRPr="00BD558C">
        <w:rPr>
          <w:rFonts w:eastAsia="Times New Roman"/>
          <w:sz w:val="18"/>
          <w:szCs w:val="18"/>
          <w:lang w:val="es-MX" w:eastAsia="es-ES"/>
        </w:rPr>
        <w:t>”, “</w:t>
      </w:r>
      <w:r w:rsidRPr="00BD558C">
        <w:rPr>
          <w:rFonts w:eastAsia="Times New Roman"/>
          <w:b/>
          <w:sz w:val="18"/>
          <w:szCs w:val="18"/>
          <w:lang w:val="es-MX" w:eastAsia="es-ES"/>
        </w:rPr>
        <w:t>GST</w:t>
      </w:r>
      <w:r w:rsidRPr="00BD558C">
        <w:rPr>
          <w:rFonts w:eastAsia="Times New Roman"/>
          <w:sz w:val="18"/>
          <w:szCs w:val="18"/>
          <w:lang w:val="es-MX" w:eastAsia="es-ES"/>
        </w:rPr>
        <w:t>”</w:t>
      </w:r>
      <w:r w:rsidR="00F6343C" w:rsidRPr="00BD558C">
        <w:rPr>
          <w:rFonts w:eastAsia="Times New Roman"/>
          <w:sz w:val="18"/>
          <w:szCs w:val="18"/>
          <w:lang w:val="es-MX" w:eastAsia="es-ES"/>
        </w:rPr>
        <w:t>, la “</w:t>
      </w:r>
      <w:r w:rsidR="00F6343C" w:rsidRPr="00BD558C">
        <w:rPr>
          <w:rFonts w:eastAsia="Times New Roman"/>
          <w:b/>
          <w:sz w:val="18"/>
          <w:szCs w:val="18"/>
          <w:lang w:val="es-MX" w:eastAsia="es-ES"/>
        </w:rPr>
        <w:t>Sociedad</w:t>
      </w:r>
      <w:r w:rsidR="00F6343C" w:rsidRPr="00BD558C">
        <w:rPr>
          <w:rFonts w:eastAsia="Times New Roman"/>
          <w:sz w:val="18"/>
          <w:szCs w:val="18"/>
          <w:lang w:val="es-MX" w:eastAsia="es-ES"/>
        </w:rPr>
        <w:t>”, la “</w:t>
      </w:r>
      <w:r w:rsidR="00F6343C" w:rsidRPr="00BD558C">
        <w:rPr>
          <w:rFonts w:eastAsia="Times New Roman"/>
          <w:b/>
          <w:sz w:val="18"/>
          <w:szCs w:val="18"/>
          <w:lang w:val="es-MX" w:eastAsia="es-ES"/>
        </w:rPr>
        <w:t>Compañía</w:t>
      </w:r>
      <w:r w:rsidR="00F6343C" w:rsidRPr="00BD558C">
        <w:rPr>
          <w:rFonts w:eastAsia="Times New Roman"/>
          <w:sz w:val="18"/>
          <w:szCs w:val="18"/>
          <w:lang w:val="es-MX" w:eastAsia="es-ES"/>
        </w:rPr>
        <w:t>”</w:t>
      </w:r>
      <w:r w:rsidRPr="00BD558C">
        <w:rPr>
          <w:rFonts w:eastAsia="Times New Roman"/>
          <w:sz w:val="18"/>
          <w:szCs w:val="18"/>
          <w:lang w:val="es-MX" w:eastAsia="es-ES"/>
        </w:rPr>
        <w:t xml:space="preserve"> o la “</w:t>
      </w:r>
      <w:r w:rsidRPr="00BD558C">
        <w:rPr>
          <w:rFonts w:eastAsia="Times New Roman"/>
          <w:b/>
          <w:sz w:val="18"/>
          <w:szCs w:val="18"/>
          <w:lang w:val="es-MX" w:eastAsia="es-ES"/>
        </w:rPr>
        <w:t>Entidad</w:t>
      </w:r>
      <w:r w:rsidRPr="00BD558C">
        <w:rPr>
          <w:rFonts w:eastAsia="Times New Roman"/>
          <w:sz w:val="18"/>
          <w:szCs w:val="18"/>
          <w:lang w:val="es-MX" w:eastAsia="es-ES"/>
        </w:rPr>
        <w:t>”) en el marco de su programa global de emisión de obligaciones negociables simples (no convertibles en acciones) por hasta $</w:t>
      </w:r>
      <w:r w:rsidR="004F08A4" w:rsidRPr="00BD558C">
        <w:rPr>
          <w:rFonts w:eastAsia="Times New Roman"/>
          <w:sz w:val="18"/>
          <w:szCs w:val="18"/>
          <w:lang w:val="es-MX" w:eastAsia="es-ES"/>
        </w:rPr>
        <w:t>2.0</w:t>
      </w:r>
      <w:r w:rsidRPr="00BD558C">
        <w:rPr>
          <w:rFonts w:eastAsia="Times New Roman"/>
          <w:sz w:val="18"/>
          <w:szCs w:val="18"/>
          <w:lang w:val="es-MX" w:eastAsia="es-ES"/>
        </w:rPr>
        <w:t>00.000.000 (o su equivalente en otras monedas) (el “</w:t>
      </w:r>
      <w:r w:rsidRPr="00BD558C">
        <w:rPr>
          <w:rFonts w:eastAsia="Times New Roman"/>
          <w:b/>
          <w:sz w:val="18"/>
          <w:szCs w:val="18"/>
          <w:lang w:val="es-MX" w:eastAsia="es-ES"/>
        </w:rPr>
        <w:t>Programa</w:t>
      </w:r>
      <w:r w:rsidRPr="00BD558C">
        <w:rPr>
          <w:rFonts w:eastAsia="Times New Roman"/>
          <w:sz w:val="18"/>
          <w:szCs w:val="18"/>
          <w:lang w:val="es-MX" w:eastAsia="es-ES"/>
        </w:rPr>
        <w:t>”).</w:t>
      </w:r>
    </w:p>
    <w:p w14:paraId="77441798" w14:textId="77777777" w:rsidR="00E71F71" w:rsidRPr="00BD558C" w:rsidRDefault="00E71F71" w:rsidP="00916F81">
      <w:pPr>
        <w:spacing w:after="0"/>
        <w:ind w:left="567" w:right="622"/>
        <w:jc w:val="both"/>
        <w:rPr>
          <w:rFonts w:eastAsia="Times New Roman"/>
          <w:sz w:val="18"/>
          <w:szCs w:val="18"/>
          <w:lang w:val="es-MX" w:eastAsia="es-ES"/>
        </w:rPr>
      </w:pPr>
    </w:p>
    <w:p w14:paraId="0A4A2D11" w14:textId="6112B721" w:rsidR="001C2C31" w:rsidRPr="00BD558C" w:rsidRDefault="001C2C31" w:rsidP="00916F81">
      <w:pPr>
        <w:spacing w:after="0"/>
        <w:ind w:left="567" w:right="622"/>
        <w:jc w:val="both"/>
        <w:rPr>
          <w:rFonts w:eastAsia="Times New Roman"/>
          <w:sz w:val="18"/>
          <w:szCs w:val="18"/>
          <w:lang w:eastAsia="es-ES"/>
        </w:rPr>
      </w:pPr>
      <w:r w:rsidRPr="00BD558C">
        <w:rPr>
          <w:rFonts w:eastAsia="Times New Roman"/>
          <w:sz w:val="18"/>
          <w:szCs w:val="18"/>
          <w:lang w:val="es-MX" w:eastAsia="es-ES"/>
        </w:rPr>
        <w:t>Las Obligaciones Negociables serán emitidas y colocadas en los términos y en cumplimiento de todos los requisitos impuestos por la Ley N° 23.576 y sus modificatorias (la “</w:t>
      </w:r>
      <w:r w:rsidRPr="00BD558C">
        <w:rPr>
          <w:rFonts w:eastAsia="Times New Roman"/>
          <w:b/>
          <w:sz w:val="18"/>
          <w:szCs w:val="18"/>
          <w:lang w:val="es-MX" w:eastAsia="es-ES"/>
        </w:rPr>
        <w:t>Ley de Obligaciones Negociables</w:t>
      </w:r>
      <w:r w:rsidRPr="00BD558C">
        <w:rPr>
          <w:rFonts w:eastAsia="Times New Roman"/>
          <w:sz w:val="18"/>
          <w:szCs w:val="18"/>
          <w:lang w:val="es-MX" w:eastAsia="es-ES"/>
        </w:rPr>
        <w:t>”), dan derecho a los beneficios dispuestos en la misma, están sujetas a los requisitos de procedimiento establecidos en ella y serán emitidas y colocadas en los términos y en cumplimiento de todos los requisitos impuestos por la Ley N° 26.831 de Mercado de Capitales, y sus modificatorias y reglamentarias, incluyendo, sin limitación, el Decreto N° 1023/13 (la “</w:t>
      </w:r>
      <w:r w:rsidRPr="00BD558C">
        <w:rPr>
          <w:rFonts w:eastAsia="Times New Roman"/>
          <w:b/>
          <w:sz w:val="18"/>
          <w:szCs w:val="18"/>
          <w:lang w:val="es-MX" w:eastAsia="es-ES"/>
        </w:rPr>
        <w:t>Ley de Mercado de Capitales</w:t>
      </w:r>
      <w:r w:rsidRPr="00BD558C">
        <w:rPr>
          <w:rFonts w:eastAsia="Times New Roman"/>
          <w:sz w:val="18"/>
          <w:szCs w:val="18"/>
          <w:lang w:val="es-MX" w:eastAsia="es-ES"/>
        </w:rPr>
        <w:t>”), y las normas de la Comisión Nacional de Valores (la “</w:t>
      </w:r>
      <w:r w:rsidRPr="00BD558C">
        <w:rPr>
          <w:rFonts w:eastAsia="Times New Roman"/>
          <w:b/>
          <w:sz w:val="18"/>
          <w:szCs w:val="18"/>
          <w:lang w:val="es-MX" w:eastAsia="es-ES"/>
        </w:rPr>
        <w:t>CNV</w:t>
      </w:r>
      <w:r w:rsidRPr="00BD558C">
        <w:rPr>
          <w:rFonts w:eastAsia="Times New Roman"/>
          <w:sz w:val="18"/>
          <w:szCs w:val="18"/>
          <w:lang w:val="es-MX" w:eastAsia="es-ES"/>
        </w:rPr>
        <w:t>”) según texto ordenado por la Resolución General N° 622/2013 (las “</w:t>
      </w:r>
      <w:r w:rsidRPr="00BD558C">
        <w:rPr>
          <w:rFonts w:eastAsia="Times New Roman"/>
          <w:b/>
          <w:sz w:val="18"/>
          <w:szCs w:val="18"/>
          <w:lang w:val="es-MX" w:eastAsia="es-ES"/>
        </w:rPr>
        <w:t>Normas de la CNV</w:t>
      </w:r>
      <w:r w:rsidRPr="00BD558C">
        <w:rPr>
          <w:rFonts w:eastAsia="Times New Roman"/>
          <w:sz w:val="18"/>
          <w:szCs w:val="18"/>
          <w:lang w:val="es-MX" w:eastAsia="es-ES"/>
        </w:rPr>
        <w:t xml:space="preserve">”) y cualquier otra ley y/o reglamentación aplicable. </w:t>
      </w:r>
      <w:r w:rsidRPr="00BD558C">
        <w:rPr>
          <w:rFonts w:eastAsia="Times New Roman"/>
          <w:sz w:val="18"/>
          <w:szCs w:val="18"/>
          <w:lang w:eastAsia="es-ES"/>
        </w:rPr>
        <w:t>Las Obligaciones Negociables serán obligaciones simples, no convertibles en acciones, no subordinadas, con garantía común y sin garantía de terceros.</w:t>
      </w:r>
    </w:p>
    <w:p w14:paraId="5AAF889E" w14:textId="77777777" w:rsidR="00E71F71" w:rsidRPr="00BD558C" w:rsidRDefault="00E71F71" w:rsidP="00916F81">
      <w:pPr>
        <w:spacing w:after="0"/>
        <w:ind w:left="567" w:right="622"/>
        <w:jc w:val="both"/>
        <w:rPr>
          <w:rFonts w:eastAsia="Times New Roman"/>
          <w:sz w:val="18"/>
          <w:szCs w:val="18"/>
          <w:lang w:eastAsia="es-ES"/>
        </w:rPr>
      </w:pPr>
    </w:p>
    <w:p w14:paraId="1B18EC05" w14:textId="77777777" w:rsidR="00E71F71" w:rsidRPr="00BD558C" w:rsidRDefault="00677543" w:rsidP="00916F81">
      <w:pPr>
        <w:spacing w:after="0"/>
        <w:ind w:left="567" w:right="622"/>
        <w:jc w:val="both"/>
        <w:rPr>
          <w:rFonts w:eastAsia="Times New Roman"/>
          <w:sz w:val="18"/>
          <w:szCs w:val="18"/>
          <w:lang w:eastAsia="es-ES"/>
        </w:rPr>
      </w:pPr>
      <w:r w:rsidRPr="00BD558C">
        <w:rPr>
          <w:rFonts w:eastAsia="Times New Roman"/>
          <w:sz w:val="18"/>
          <w:szCs w:val="18"/>
          <w:lang w:eastAsia="es-ES"/>
        </w:rPr>
        <w:t>El Emisor ha presentado una solicitud de listado de las Obligaciones Negociables en Bolsas y Mercados Argentinos S.A. (“</w:t>
      </w:r>
      <w:r w:rsidRPr="00BD558C">
        <w:rPr>
          <w:rFonts w:eastAsia="Times New Roman"/>
          <w:b/>
          <w:sz w:val="18"/>
          <w:szCs w:val="18"/>
          <w:lang w:eastAsia="es-ES"/>
        </w:rPr>
        <w:t>BYMA</w:t>
      </w:r>
      <w:r w:rsidRPr="00BD558C">
        <w:rPr>
          <w:rFonts w:eastAsia="Times New Roman"/>
          <w:sz w:val="18"/>
          <w:szCs w:val="18"/>
          <w:lang w:eastAsia="es-ES"/>
        </w:rPr>
        <w:t>”), a través de la Bolsa de Comercio de Buenos Aires (la “</w:t>
      </w:r>
      <w:r w:rsidRPr="00BD558C">
        <w:rPr>
          <w:rFonts w:eastAsia="Times New Roman"/>
          <w:b/>
          <w:sz w:val="18"/>
          <w:szCs w:val="18"/>
          <w:lang w:eastAsia="es-ES"/>
        </w:rPr>
        <w:t>BCBA</w:t>
      </w:r>
      <w:r w:rsidRPr="00BD558C">
        <w:rPr>
          <w:rFonts w:eastAsia="Times New Roman"/>
          <w:sz w:val="18"/>
          <w:szCs w:val="18"/>
          <w:lang w:eastAsia="es-ES"/>
        </w:rPr>
        <w:t>”), en virtud del ejercicio de la facultad delegada por BYMA a la BCBA conforme lo dispuesto por la Resolución N° 18.629 de la CNV, y ha presentado una solicitud de negociación en el Mercado Abierto Electrónico S.A. (“</w:t>
      </w:r>
      <w:r w:rsidRPr="00BD558C">
        <w:rPr>
          <w:rFonts w:eastAsia="Times New Roman"/>
          <w:b/>
          <w:sz w:val="18"/>
          <w:szCs w:val="18"/>
          <w:lang w:eastAsia="es-ES"/>
        </w:rPr>
        <w:t>MAE</w:t>
      </w:r>
      <w:r w:rsidRPr="00BD558C">
        <w:rPr>
          <w:rFonts w:eastAsia="Times New Roman"/>
          <w:sz w:val="18"/>
          <w:szCs w:val="18"/>
          <w:lang w:eastAsia="es-ES"/>
        </w:rPr>
        <w:t>”). La colocación primaria de las Obligaciones Negociables será por licitación pública, a través del módulo de licitaciones del sistema “SIOPEL” del MAE.</w:t>
      </w:r>
    </w:p>
    <w:p w14:paraId="26232E65" w14:textId="77777777" w:rsidR="008157C9" w:rsidRPr="00BD558C" w:rsidRDefault="008157C9" w:rsidP="00677543">
      <w:pPr>
        <w:spacing w:after="0"/>
        <w:ind w:right="622"/>
        <w:jc w:val="both"/>
        <w:rPr>
          <w:rFonts w:eastAsia="Times New Roman"/>
          <w:sz w:val="18"/>
          <w:szCs w:val="18"/>
          <w:lang w:eastAsia="es-ES"/>
        </w:rPr>
      </w:pPr>
    </w:p>
    <w:p w14:paraId="2EB7A379" w14:textId="54AB8846" w:rsidR="001C2C31" w:rsidRPr="00BD558C" w:rsidRDefault="001C2C31" w:rsidP="00916F81">
      <w:pPr>
        <w:spacing w:after="0"/>
        <w:ind w:left="567" w:right="622"/>
        <w:jc w:val="both"/>
        <w:rPr>
          <w:rFonts w:eastAsia="Times New Roman"/>
          <w:b/>
          <w:sz w:val="18"/>
          <w:szCs w:val="18"/>
          <w:lang w:val="es-MX" w:eastAsia="es-ES"/>
        </w:rPr>
      </w:pPr>
      <w:r w:rsidRPr="00BD558C">
        <w:rPr>
          <w:rFonts w:eastAsia="Times New Roman"/>
          <w:b/>
          <w:sz w:val="18"/>
          <w:szCs w:val="18"/>
          <w:lang w:val="es-MX" w:eastAsia="es-ES"/>
        </w:rPr>
        <w:t>EL PROGRAMA NO CUENTA CON CALIFICACIÓN DE RIESGO. LAS OBLIGACIONES NEGOCIABLES TAMPOCO CUENTAN CON UNA CALIFICACIÓN DE RIESGO. SIN PERJUICIO DE ELLO, EL EMISOR PODRÁ OPTAR POR HACER CALIFICAR LAS OBLIGACIONES NEGOCIABLES EN CUALQUIER MOMENTO.</w:t>
      </w:r>
    </w:p>
    <w:p w14:paraId="56071712" w14:textId="77777777" w:rsidR="008157C9" w:rsidRPr="00BD558C" w:rsidRDefault="008157C9" w:rsidP="00FB11C8">
      <w:pPr>
        <w:spacing w:after="0"/>
        <w:ind w:right="622"/>
        <w:jc w:val="both"/>
        <w:rPr>
          <w:rFonts w:eastAsia="Times New Roman"/>
          <w:sz w:val="18"/>
          <w:szCs w:val="18"/>
          <w:lang w:eastAsia="es-ES"/>
        </w:rPr>
      </w:pPr>
    </w:p>
    <w:p w14:paraId="690CFDA1" w14:textId="74AD2EE7" w:rsidR="00A419A9" w:rsidRPr="00BD558C" w:rsidRDefault="00A419A9" w:rsidP="00916F81">
      <w:pPr>
        <w:spacing w:after="0"/>
        <w:ind w:left="567" w:right="622"/>
        <w:jc w:val="both"/>
        <w:rPr>
          <w:rFonts w:eastAsia="Times New Roman"/>
          <w:b/>
          <w:sz w:val="18"/>
          <w:szCs w:val="18"/>
          <w:lang w:eastAsia="es-ES"/>
        </w:rPr>
      </w:pPr>
      <w:r w:rsidRPr="00BD558C">
        <w:rPr>
          <w:rFonts w:eastAsia="Times New Roman"/>
          <w:b/>
          <w:sz w:val="18"/>
          <w:szCs w:val="18"/>
          <w:lang w:eastAsia="es-ES"/>
        </w:rPr>
        <w:t xml:space="preserve">Oferta Pública autorizada por Resolución Nº 17.947 de fecha 28 de diciembre de 2015 de la CNV. El aumento de monto de Programa fue autorizado a través de la </w:t>
      </w:r>
      <w:r w:rsidR="00855B9C">
        <w:rPr>
          <w:rFonts w:eastAsia="Times New Roman"/>
          <w:b/>
          <w:sz w:val="18"/>
          <w:szCs w:val="18"/>
          <w:lang w:eastAsia="es-ES"/>
        </w:rPr>
        <w:t>Resolución</w:t>
      </w:r>
      <w:r w:rsidR="00855B9C" w:rsidRPr="00BD558C">
        <w:rPr>
          <w:rFonts w:eastAsia="Times New Roman"/>
          <w:b/>
          <w:sz w:val="18"/>
          <w:szCs w:val="18"/>
          <w:lang w:eastAsia="es-ES"/>
        </w:rPr>
        <w:t xml:space="preserve"> </w:t>
      </w:r>
      <w:r w:rsidRPr="00BD558C">
        <w:rPr>
          <w:rFonts w:eastAsia="Times New Roman"/>
          <w:b/>
          <w:sz w:val="18"/>
          <w:szCs w:val="18"/>
          <w:lang w:eastAsia="es-ES"/>
        </w:rPr>
        <w:t xml:space="preserve">N° </w:t>
      </w:r>
      <w:r w:rsidR="000312B8">
        <w:rPr>
          <w:rFonts w:eastAsia="Times New Roman"/>
          <w:b/>
          <w:sz w:val="18"/>
          <w:szCs w:val="18"/>
          <w:lang w:eastAsia="es-ES"/>
        </w:rPr>
        <w:t>20.501</w:t>
      </w:r>
      <w:r w:rsidRPr="00BD558C">
        <w:rPr>
          <w:rFonts w:eastAsia="Times New Roman"/>
          <w:b/>
          <w:sz w:val="18"/>
          <w:szCs w:val="18"/>
          <w:lang w:eastAsia="es-ES"/>
        </w:rPr>
        <w:t xml:space="preserve"> de fecha </w:t>
      </w:r>
      <w:r w:rsidR="00253A14">
        <w:rPr>
          <w:rFonts w:eastAsia="Times New Roman"/>
          <w:b/>
          <w:sz w:val="18"/>
          <w:szCs w:val="18"/>
          <w:lang w:eastAsia="es-ES"/>
        </w:rPr>
        <w:t>17</w:t>
      </w:r>
      <w:r w:rsidRPr="00BD558C">
        <w:rPr>
          <w:rFonts w:eastAsia="Times New Roman"/>
          <w:b/>
          <w:sz w:val="18"/>
          <w:szCs w:val="18"/>
          <w:lang w:eastAsia="es-ES"/>
        </w:rPr>
        <w:t xml:space="preserve"> de </w:t>
      </w:r>
      <w:r w:rsidR="00855B9C">
        <w:rPr>
          <w:rFonts w:eastAsia="Times New Roman"/>
          <w:b/>
          <w:sz w:val="18"/>
          <w:szCs w:val="18"/>
          <w:lang w:eastAsia="es-ES"/>
        </w:rPr>
        <w:t>octubre</w:t>
      </w:r>
      <w:r w:rsidR="00855B9C" w:rsidRPr="00BD558C">
        <w:rPr>
          <w:rFonts w:eastAsia="Times New Roman"/>
          <w:b/>
          <w:sz w:val="18"/>
          <w:szCs w:val="18"/>
          <w:lang w:eastAsia="es-ES"/>
        </w:rPr>
        <w:t xml:space="preserve"> </w:t>
      </w:r>
      <w:r w:rsidRPr="00BD558C">
        <w:rPr>
          <w:rFonts w:eastAsia="Times New Roman"/>
          <w:b/>
          <w:sz w:val="18"/>
          <w:szCs w:val="18"/>
          <w:lang w:eastAsia="es-ES"/>
        </w:rPr>
        <w:t>de 2019 de la Gerencia de Emisoras de la CNV. Esta autorización sólo significa que se ha cumplido con los requisitos establecidos en materia de información. La CNV no ha emitido juicio sobre los datos contenidos en el Prospecto y/o el Suplemento de Precio. La veracidad de la información contable, económica y financiera, así como de toda otra información suministrada en el Prospecto y/o el presente Suplemento de Precio, es exclusiva responsabilidad del órgano de administración y, en lo que les atañe, del órgano de fiscalización del emisor y de los auditores en cuanto a sus respectivos informes sobre los estados financieros que se acompañan y demás responsables contemplados en los artículos 119 y 120 de la Ley de Mercado de Capitales. El órgano de administración manifiesta, con carácter de declaración jurada, que el presente Suplemento de Precio contiene a la fecha de su publicación información veraz y suficiente sobre todo hecho relevante que pueda afectar la situación patrimonial, económica y financiera del Emisor y de toda aquella que deba ser de conocimiento del público inversor con relación a la presente emisión, conforme las normas vigentes.</w:t>
      </w:r>
    </w:p>
    <w:p w14:paraId="326AFF80" w14:textId="77777777" w:rsidR="00344767" w:rsidRPr="00BD558C" w:rsidRDefault="00344767" w:rsidP="009D773D">
      <w:pPr>
        <w:spacing w:after="0"/>
        <w:ind w:right="622"/>
        <w:jc w:val="both"/>
        <w:rPr>
          <w:rFonts w:eastAsia="Times New Roman"/>
          <w:b/>
          <w:sz w:val="18"/>
          <w:szCs w:val="18"/>
          <w:lang w:eastAsia="es-ES"/>
        </w:rPr>
      </w:pPr>
    </w:p>
    <w:p w14:paraId="4DD8AE8F" w14:textId="6E0C497B" w:rsidR="00344767" w:rsidRPr="00BD558C" w:rsidRDefault="005D7666" w:rsidP="009D773D">
      <w:pPr>
        <w:spacing w:after="0"/>
        <w:ind w:left="567" w:right="622"/>
        <w:jc w:val="both"/>
        <w:rPr>
          <w:rFonts w:eastAsia="Times New Roman"/>
          <w:sz w:val="18"/>
          <w:szCs w:val="18"/>
          <w:lang w:val="es-MX" w:eastAsia="es-ES"/>
        </w:rPr>
      </w:pPr>
      <w:r w:rsidRPr="00BD558C">
        <w:rPr>
          <w:rFonts w:eastAsia="Times New Roman"/>
          <w:sz w:val="18"/>
          <w:szCs w:val="18"/>
          <w:lang w:eastAsia="es-ES"/>
        </w:rPr>
        <w:t>El</w:t>
      </w:r>
      <w:r w:rsidR="009D773D" w:rsidRPr="00BD558C">
        <w:rPr>
          <w:rFonts w:eastAsia="Times New Roman"/>
          <w:sz w:val="18"/>
          <w:szCs w:val="18"/>
          <w:lang w:eastAsia="es-ES"/>
        </w:rPr>
        <w:t xml:space="preserve"> </w:t>
      </w:r>
      <w:r w:rsidR="00344767" w:rsidRPr="00BD558C">
        <w:rPr>
          <w:rFonts w:eastAsia="Times New Roman"/>
          <w:sz w:val="18"/>
          <w:szCs w:val="18"/>
          <w:lang w:val="es-MX" w:eastAsia="es-ES"/>
        </w:rPr>
        <w:t xml:space="preserve">Suplemento de Precio </w:t>
      </w:r>
      <w:r w:rsidR="00344767" w:rsidRPr="00BD558C">
        <w:rPr>
          <w:rFonts w:eastAsia="Times New Roman"/>
          <w:sz w:val="18"/>
          <w:szCs w:val="18"/>
          <w:lang w:eastAsia="es-ES"/>
        </w:rPr>
        <w:t>debe ser leído en forma conjunta con</w:t>
      </w:r>
      <w:r w:rsidR="00344767" w:rsidRPr="00BD558C" w:rsidDel="005F0EC4">
        <w:rPr>
          <w:rFonts w:eastAsia="Times New Roman"/>
          <w:sz w:val="18"/>
          <w:szCs w:val="18"/>
          <w:lang w:val="es-MX" w:eastAsia="es-ES"/>
        </w:rPr>
        <w:t xml:space="preserve"> </w:t>
      </w:r>
      <w:r w:rsidR="00344767" w:rsidRPr="00BD558C">
        <w:rPr>
          <w:rFonts w:eastAsia="Times New Roman"/>
          <w:sz w:val="18"/>
          <w:szCs w:val="18"/>
          <w:lang w:val="es-MX" w:eastAsia="es-ES"/>
        </w:rPr>
        <w:t xml:space="preserve">el prospecto del Programa de fecha </w:t>
      </w:r>
      <w:r w:rsidR="003E1F5A">
        <w:rPr>
          <w:rFonts w:eastAsia="Times New Roman"/>
          <w:sz w:val="18"/>
          <w:szCs w:val="18"/>
          <w:lang w:val="es-MX" w:eastAsia="es-ES"/>
        </w:rPr>
        <w:t>21</w:t>
      </w:r>
      <w:r w:rsidR="00344767" w:rsidRPr="00BD558C">
        <w:rPr>
          <w:rFonts w:eastAsia="Times New Roman"/>
          <w:sz w:val="18"/>
          <w:szCs w:val="18"/>
          <w:lang w:val="es-MX" w:eastAsia="es-ES"/>
        </w:rPr>
        <w:t xml:space="preserve"> de </w:t>
      </w:r>
      <w:r w:rsidRPr="00BD558C">
        <w:rPr>
          <w:rFonts w:eastAsia="Times New Roman"/>
          <w:sz w:val="18"/>
          <w:szCs w:val="18"/>
          <w:lang w:eastAsia="es-ES"/>
        </w:rPr>
        <w:t>octubre</w:t>
      </w:r>
      <w:r w:rsidR="00344767" w:rsidRPr="00BD558C">
        <w:rPr>
          <w:rFonts w:eastAsia="Times New Roman"/>
          <w:sz w:val="18"/>
          <w:szCs w:val="18"/>
          <w:lang w:eastAsia="es-ES"/>
        </w:rPr>
        <w:t xml:space="preserve"> de 2019</w:t>
      </w:r>
      <w:r w:rsidR="00344767" w:rsidRPr="00BD558C">
        <w:rPr>
          <w:rFonts w:eastAsia="Times New Roman"/>
          <w:sz w:val="18"/>
          <w:szCs w:val="18"/>
          <w:lang w:val="es-MX" w:eastAsia="es-ES"/>
        </w:rPr>
        <w:t xml:space="preserve"> (el “</w:t>
      </w:r>
      <w:r w:rsidR="00344767" w:rsidRPr="00BD558C">
        <w:rPr>
          <w:rFonts w:eastAsia="Times New Roman"/>
          <w:b/>
          <w:sz w:val="18"/>
          <w:szCs w:val="18"/>
          <w:lang w:val="es-MX" w:eastAsia="es-ES"/>
        </w:rPr>
        <w:t>Prospecto</w:t>
      </w:r>
      <w:r w:rsidR="00344767" w:rsidRPr="00BD558C">
        <w:rPr>
          <w:rFonts w:eastAsia="Times New Roman"/>
          <w:sz w:val="18"/>
          <w:szCs w:val="18"/>
          <w:lang w:val="es-MX" w:eastAsia="es-ES"/>
        </w:rPr>
        <w:t>”)</w:t>
      </w:r>
      <w:r w:rsidRPr="00BD558C">
        <w:rPr>
          <w:rFonts w:eastAsia="Times New Roman"/>
          <w:sz w:val="18"/>
          <w:szCs w:val="18"/>
          <w:lang w:val="es-MX" w:eastAsia="es-ES"/>
        </w:rPr>
        <w:t xml:space="preserve"> para emisión de obligaciones negociables bajo el Programa publicado en la</w:t>
      </w:r>
      <w:r w:rsidR="00D464A4">
        <w:rPr>
          <w:rFonts w:eastAsia="Times New Roman"/>
          <w:sz w:val="18"/>
          <w:szCs w:val="18"/>
          <w:lang w:val="es-MX" w:eastAsia="es-ES"/>
        </w:rPr>
        <w:t xml:space="preserve"> Página Web de la CNV</w:t>
      </w:r>
      <w:r w:rsidR="00BD558C" w:rsidRPr="00BD558C">
        <w:rPr>
          <w:rFonts w:eastAsia="Times New Roman"/>
          <w:sz w:val="18"/>
          <w:szCs w:val="18"/>
          <w:lang w:eastAsia="es-ES"/>
        </w:rPr>
        <w:t>.</w:t>
      </w:r>
      <w:r w:rsidR="00425929">
        <w:rPr>
          <w:rFonts w:eastAsia="Times New Roman"/>
          <w:sz w:val="18"/>
          <w:szCs w:val="18"/>
          <w:lang w:eastAsia="es-ES"/>
        </w:rPr>
        <w:t xml:space="preserve"> </w:t>
      </w:r>
      <w:r w:rsidR="00344767" w:rsidRPr="00BD558C">
        <w:rPr>
          <w:rFonts w:eastAsia="Times New Roman"/>
          <w:sz w:val="18"/>
          <w:szCs w:val="18"/>
          <w:lang w:eastAsia="es-ES"/>
        </w:rPr>
        <w:t xml:space="preserve">El presente Suplemento de Precio </w:t>
      </w:r>
      <w:r w:rsidR="00344767" w:rsidRPr="00BD558C">
        <w:rPr>
          <w:rFonts w:eastAsia="Times New Roman"/>
          <w:sz w:val="18"/>
          <w:szCs w:val="18"/>
          <w:lang w:val="es-MX" w:eastAsia="es-ES"/>
        </w:rPr>
        <w:t xml:space="preserve">contiene información actualizada del Emisor en función de los estados contables </w:t>
      </w:r>
      <w:r w:rsidR="00344767" w:rsidRPr="00BD558C">
        <w:rPr>
          <w:rFonts w:eastAsia="Times New Roman"/>
          <w:sz w:val="18"/>
          <w:szCs w:val="18"/>
          <w:lang w:eastAsia="es-ES"/>
        </w:rPr>
        <w:t xml:space="preserve">consolidados por el período de </w:t>
      </w:r>
      <w:r w:rsidR="00DA6560">
        <w:rPr>
          <w:rFonts w:eastAsia="Times New Roman"/>
          <w:sz w:val="18"/>
          <w:szCs w:val="18"/>
          <w:lang w:eastAsia="es-ES"/>
        </w:rPr>
        <w:t>nueve</w:t>
      </w:r>
      <w:r w:rsidR="00DA6560" w:rsidRPr="00BD558C">
        <w:rPr>
          <w:rFonts w:eastAsia="Times New Roman"/>
          <w:sz w:val="18"/>
          <w:szCs w:val="18"/>
          <w:lang w:eastAsia="es-ES"/>
        </w:rPr>
        <w:t xml:space="preserve"> </w:t>
      </w:r>
      <w:r w:rsidR="00344767" w:rsidRPr="00BD558C">
        <w:rPr>
          <w:rFonts w:eastAsia="Times New Roman"/>
          <w:sz w:val="18"/>
          <w:szCs w:val="18"/>
          <w:lang w:eastAsia="es-ES"/>
        </w:rPr>
        <w:t xml:space="preserve">meses </w:t>
      </w:r>
      <w:r w:rsidR="00344767" w:rsidRPr="00BD558C">
        <w:rPr>
          <w:rFonts w:eastAsia="Times New Roman"/>
          <w:sz w:val="18"/>
          <w:szCs w:val="18"/>
          <w:lang w:val="es-MX" w:eastAsia="es-ES"/>
        </w:rPr>
        <w:t xml:space="preserve">finalizado el 30 de </w:t>
      </w:r>
      <w:r w:rsidR="00DA6560">
        <w:rPr>
          <w:rFonts w:eastAsia="Times New Roman"/>
          <w:sz w:val="18"/>
          <w:szCs w:val="18"/>
          <w:lang w:val="es-MX" w:eastAsia="es-ES"/>
        </w:rPr>
        <w:t>septiembre</w:t>
      </w:r>
      <w:r w:rsidR="00DA6560" w:rsidRPr="00BD558C">
        <w:rPr>
          <w:rFonts w:eastAsia="Times New Roman"/>
          <w:sz w:val="18"/>
          <w:szCs w:val="18"/>
          <w:lang w:val="es-MX" w:eastAsia="es-ES"/>
        </w:rPr>
        <w:t xml:space="preserve"> </w:t>
      </w:r>
      <w:r w:rsidR="00344767" w:rsidRPr="00BD558C">
        <w:rPr>
          <w:rFonts w:eastAsia="Times New Roman"/>
          <w:sz w:val="18"/>
          <w:szCs w:val="18"/>
          <w:lang w:val="es-MX" w:eastAsia="es-ES"/>
        </w:rPr>
        <w:t>de 2019 y el cual se encuentra a disposición del público inversor en la sede social del Emisor sita en Av. Corrientes 1174, piso 9°, (C1043AAY), Ciudad Autónoma de Buenos Aires, República Argentina, en días hábiles en el horario de 10 a 18 hs., teléfono (+54 11) 5235-2800. Asimismo, el Prospecto y este Suplemento de Precio se encontrarán disponibles en el sitio web de la CNV (</w:t>
      </w:r>
      <w:hyperlink r:id="rId9" w:history="1">
        <w:r w:rsidR="00344767" w:rsidRPr="00BD558C">
          <w:rPr>
            <w:rFonts w:eastAsia="Times New Roman"/>
            <w:color w:val="0000FF"/>
            <w:sz w:val="18"/>
            <w:szCs w:val="18"/>
            <w:u w:val="single"/>
            <w:lang w:val="es-MX" w:eastAsia="es-ES"/>
          </w:rPr>
          <w:t>www.cnv.gob.ar</w:t>
        </w:r>
      </w:hyperlink>
      <w:r w:rsidR="00344767" w:rsidRPr="00BD558C">
        <w:rPr>
          <w:rFonts w:eastAsia="Times New Roman"/>
          <w:color w:val="0000FF"/>
          <w:sz w:val="18"/>
          <w:szCs w:val="18"/>
          <w:u w:val="single"/>
          <w:lang w:val="es-MX" w:eastAsia="es-ES"/>
        </w:rPr>
        <w:t>)</w:t>
      </w:r>
      <w:r w:rsidR="00344767" w:rsidRPr="00BD558C">
        <w:rPr>
          <w:rFonts w:eastAsia="Times New Roman"/>
          <w:sz w:val="18"/>
          <w:szCs w:val="18"/>
          <w:lang w:val="es-MX" w:eastAsia="es-ES"/>
        </w:rPr>
        <w:t xml:space="preserve"> a través de la Autopista de Información Financiera (la “</w:t>
      </w:r>
      <w:r w:rsidR="00344767" w:rsidRPr="00BD558C">
        <w:rPr>
          <w:rFonts w:eastAsia="Times New Roman"/>
          <w:b/>
          <w:sz w:val="18"/>
          <w:szCs w:val="18"/>
          <w:lang w:val="es-MX" w:eastAsia="es-ES"/>
        </w:rPr>
        <w:t>Página Web de la CNV</w:t>
      </w:r>
      <w:r w:rsidR="00344767" w:rsidRPr="00BD558C">
        <w:rPr>
          <w:rFonts w:eastAsia="Times New Roman"/>
          <w:sz w:val="18"/>
          <w:szCs w:val="18"/>
          <w:lang w:val="es-MX" w:eastAsia="es-ES"/>
        </w:rPr>
        <w:t>”), en la página institucional del Emisor (</w:t>
      </w:r>
      <w:r w:rsidR="00344767" w:rsidRPr="00BD558C">
        <w:rPr>
          <w:rFonts w:eastAsia="Times New Roman"/>
          <w:sz w:val="18"/>
          <w:szCs w:val="18"/>
          <w:lang w:eastAsia="es-ES"/>
        </w:rPr>
        <w:t>www.grupost.com.ar</w:t>
      </w:r>
      <w:r w:rsidR="00344767" w:rsidRPr="00BD558C">
        <w:rPr>
          <w:rFonts w:eastAsia="Times New Roman" w:cs="Calibri"/>
          <w:sz w:val="18"/>
          <w:szCs w:val="18"/>
          <w:lang w:eastAsia="es-ES"/>
        </w:rPr>
        <w:t>) (la “</w:t>
      </w:r>
      <w:r w:rsidR="00344767" w:rsidRPr="00BD558C">
        <w:rPr>
          <w:rFonts w:eastAsia="Times New Roman" w:cs="Calibri"/>
          <w:b/>
          <w:sz w:val="18"/>
          <w:szCs w:val="18"/>
          <w:lang w:eastAsia="es-ES"/>
        </w:rPr>
        <w:t>Página Web del Emisor</w:t>
      </w:r>
      <w:r w:rsidR="00344767" w:rsidRPr="00BD558C">
        <w:rPr>
          <w:rFonts w:eastAsia="Times New Roman" w:cs="Calibri"/>
          <w:sz w:val="18"/>
          <w:szCs w:val="18"/>
          <w:lang w:eastAsia="es-ES"/>
        </w:rPr>
        <w:t xml:space="preserve">”) </w:t>
      </w:r>
      <w:r w:rsidR="00344767" w:rsidRPr="00BD558C">
        <w:rPr>
          <w:rFonts w:eastAsia="Times New Roman"/>
          <w:sz w:val="18"/>
          <w:szCs w:val="18"/>
          <w:lang w:val="es-MX" w:eastAsia="es-ES"/>
        </w:rPr>
        <w:t>y en el micro sitio web de licitaciones del sistema “SIOPEL” del Mercado Abierto Electrónico S.A. (el “</w:t>
      </w:r>
      <w:r w:rsidR="00344767" w:rsidRPr="00BD558C">
        <w:rPr>
          <w:rFonts w:eastAsia="Times New Roman"/>
          <w:b/>
          <w:sz w:val="18"/>
          <w:szCs w:val="18"/>
          <w:lang w:val="es-MX" w:eastAsia="es-ES"/>
        </w:rPr>
        <w:t>MAE</w:t>
      </w:r>
      <w:r w:rsidR="00344767" w:rsidRPr="00BD558C">
        <w:rPr>
          <w:rFonts w:eastAsia="Times New Roman"/>
          <w:sz w:val="18"/>
          <w:szCs w:val="18"/>
          <w:lang w:val="es-MX" w:eastAsia="es-ES"/>
        </w:rPr>
        <w:t xml:space="preserve">”). </w:t>
      </w:r>
    </w:p>
    <w:p w14:paraId="0CAD94B8" w14:textId="77777777" w:rsidR="00344767" w:rsidRPr="00BD558C" w:rsidRDefault="00344767" w:rsidP="009D773D">
      <w:pPr>
        <w:spacing w:after="0"/>
        <w:ind w:left="567" w:right="622"/>
        <w:jc w:val="both"/>
        <w:rPr>
          <w:rFonts w:eastAsia="Times New Roman"/>
          <w:sz w:val="18"/>
          <w:szCs w:val="18"/>
          <w:lang w:val="es-MX" w:eastAsia="es-ES"/>
        </w:rPr>
      </w:pPr>
    </w:p>
    <w:p w14:paraId="7A2F187A" w14:textId="77777777" w:rsidR="00344767" w:rsidRPr="00BD558C" w:rsidRDefault="00344767" w:rsidP="009D773D">
      <w:pPr>
        <w:spacing w:after="0"/>
        <w:ind w:left="567" w:right="622"/>
        <w:jc w:val="both"/>
        <w:rPr>
          <w:rFonts w:eastAsia="Times New Roman"/>
          <w:sz w:val="18"/>
          <w:szCs w:val="18"/>
          <w:lang w:val="es-MX" w:eastAsia="es-ES"/>
        </w:rPr>
      </w:pPr>
      <w:r w:rsidRPr="00BD558C">
        <w:rPr>
          <w:rFonts w:eastAsia="Times New Roman"/>
          <w:sz w:val="18"/>
          <w:szCs w:val="18"/>
          <w:lang w:val="es-MX" w:eastAsia="es-ES"/>
        </w:rPr>
        <w:lastRenderedPageBreak/>
        <w:t>Los responsables del presente documento manifiestan, con carácter de declaración jurada, que la totalidad de los términos y condiciones en el Suplemento de Precio se encuentran vigentes.</w:t>
      </w:r>
    </w:p>
    <w:p w14:paraId="7BCB0504" w14:textId="77777777" w:rsidR="00344767" w:rsidRPr="00BD558C" w:rsidRDefault="00344767" w:rsidP="009D773D">
      <w:pPr>
        <w:spacing w:after="0"/>
        <w:ind w:left="567" w:right="622"/>
        <w:jc w:val="both"/>
        <w:rPr>
          <w:rFonts w:eastAsia="Times New Roman"/>
          <w:sz w:val="18"/>
          <w:szCs w:val="18"/>
          <w:lang w:val="es-MX" w:eastAsia="es-ES"/>
        </w:rPr>
      </w:pPr>
    </w:p>
    <w:p w14:paraId="368C5EAB" w14:textId="77777777" w:rsidR="00344767" w:rsidRPr="00BD558C" w:rsidRDefault="00344767" w:rsidP="009D773D">
      <w:pPr>
        <w:spacing w:after="0"/>
        <w:ind w:left="567" w:right="622"/>
        <w:jc w:val="both"/>
        <w:rPr>
          <w:rFonts w:eastAsia="Times New Roman"/>
          <w:sz w:val="18"/>
          <w:szCs w:val="18"/>
          <w:lang w:eastAsia="es-ES"/>
        </w:rPr>
      </w:pPr>
      <w:r w:rsidRPr="00BD558C">
        <w:rPr>
          <w:rFonts w:eastAsia="Times New Roman"/>
          <w:sz w:val="18"/>
          <w:szCs w:val="18"/>
          <w:lang w:eastAsia="es-ES"/>
        </w:rPr>
        <w:t>Todo eventual inversor deberá leer cuidadosamente los factores de riesgo para la inversión contenidos en el presente Suplemento de Precio y en el Prospecto. Invertir en Obligaciones Negociables implica riesgos. Véase la sección titulada “Información Clave sobre el Emisor - Factores de Riesgo” del Prospecto y el resto de la información contenida en el Prospecto, en este Suplemento de Precio y en cualquier documento incorporado por referencia.</w:t>
      </w:r>
    </w:p>
    <w:p w14:paraId="42189578" w14:textId="77777777" w:rsidR="00344767" w:rsidRPr="00BD558C" w:rsidRDefault="00344767" w:rsidP="00916F81">
      <w:pPr>
        <w:spacing w:after="0"/>
        <w:ind w:left="567" w:right="622"/>
        <w:jc w:val="both"/>
        <w:rPr>
          <w:rFonts w:eastAsia="Times New Roman"/>
          <w:b/>
          <w:sz w:val="18"/>
          <w:szCs w:val="18"/>
          <w:lang w:eastAsia="es-ES"/>
        </w:rPr>
      </w:pPr>
    </w:p>
    <w:p w14:paraId="442B0425" w14:textId="77777777" w:rsidR="00BD558C" w:rsidRPr="00BD558C" w:rsidRDefault="00BD558C" w:rsidP="00916F81">
      <w:pPr>
        <w:spacing w:after="0"/>
        <w:ind w:left="567" w:right="622"/>
        <w:jc w:val="both"/>
        <w:rPr>
          <w:rFonts w:eastAsia="Times New Roman"/>
          <w:b/>
          <w:sz w:val="18"/>
          <w:szCs w:val="18"/>
          <w:lang w:eastAsia="es-ES"/>
        </w:rPr>
      </w:pPr>
    </w:p>
    <w:p w14:paraId="414ADA54" w14:textId="77777777" w:rsidR="001C2C31" w:rsidRPr="00BD558C" w:rsidRDefault="001C2C31" w:rsidP="00BD558C">
      <w:pPr>
        <w:spacing w:after="0"/>
        <w:ind w:right="622"/>
        <w:jc w:val="center"/>
        <w:rPr>
          <w:rFonts w:eastAsia="Times New Roman"/>
          <w:b/>
          <w:sz w:val="18"/>
          <w:szCs w:val="18"/>
          <w:lang w:eastAsia="es-ES"/>
        </w:rPr>
      </w:pPr>
      <w:r w:rsidRPr="00BD558C">
        <w:rPr>
          <w:rFonts w:eastAsia="Times New Roman"/>
          <w:b/>
          <w:sz w:val="18"/>
          <w:szCs w:val="18"/>
          <w:lang w:eastAsia="es-ES"/>
        </w:rPr>
        <w:t>Organizador y Agente Colocador</w:t>
      </w:r>
    </w:p>
    <w:p w14:paraId="6FA6AF04" w14:textId="77777777" w:rsidR="001C2C31" w:rsidRPr="00BD558C" w:rsidRDefault="00916F81" w:rsidP="00DF5A53">
      <w:pPr>
        <w:spacing w:after="0"/>
        <w:ind w:right="622"/>
        <w:jc w:val="center"/>
        <w:rPr>
          <w:rFonts w:eastAsia="Times New Roman"/>
          <w:sz w:val="18"/>
          <w:szCs w:val="18"/>
          <w:lang w:eastAsia="es-ES"/>
        </w:rPr>
      </w:pPr>
      <w:r w:rsidRPr="00BD558C">
        <w:rPr>
          <w:rFonts w:eastAsia="Times New Roman"/>
          <w:b/>
          <w:noProof/>
          <w:sz w:val="18"/>
          <w:szCs w:val="18"/>
          <w:lang w:val="es-US" w:eastAsia="es-US"/>
        </w:rPr>
        <w:drawing>
          <wp:inline distT="0" distB="0" distL="0" distR="0" wp14:anchorId="1122F3C9" wp14:editId="04EF1886">
            <wp:extent cx="1095375" cy="714375"/>
            <wp:effectExtent l="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5375" cy="714375"/>
                    </a:xfrm>
                    <a:prstGeom prst="rect">
                      <a:avLst/>
                    </a:prstGeom>
                    <a:noFill/>
                    <a:ln>
                      <a:noFill/>
                    </a:ln>
                  </pic:spPr>
                </pic:pic>
              </a:graphicData>
            </a:graphic>
          </wp:inline>
        </w:drawing>
      </w:r>
    </w:p>
    <w:p w14:paraId="689518DF" w14:textId="77777777" w:rsidR="00BD558C" w:rsidRPr="00BD558C" w:rsidRDefault="00BD558C" w:rsidP="00BD558C">
      <w:pPr>
        <w:tabs>
          <w:tab w:val="center" w:pos="4306"/>
        </w:tabs>
        <w:ind w:left="3544"/>
        <w:rPr>
          <w:rFonts w:eastAsia="Times New Roman"/>
          <w:b/>
          <w:sz w:val="18"/>
          <w:szCs w:val="18"/>
          <w:lang w:val="es-ES" w:eastAsia="es-ES"/>
        </w:rPr>
      </w:pPr>
      <w:r w:rsidRPr="00BD558C">
        <w:rPr>
          <w:rFonts w:eastAsia="Times New Roman"/>
          <w:sz w:val="18"/>
          <w:szCs w:val="18"/>
          <w:shd w:val="clear" w:color="auto" w:fill="FFFFFF"/>
          <w:lang w:val="es-ES" w:eastAsia="es-ES"/>
        </w:rPr>
        <w:t>ALyC-AN Integral registrado bajo el N°</w:t>
      </w:r>
      <w:r w:rsidRPr="00BD558C">
        <w:rPr>
          <w:rFonts w:eastAsia="Times New Roman"/>
          <w:bCs/>
          <w:sz w:val="18"/>
          <w:szCs w:val="18"/>
          <w:shd w:val="clear" w:color="auto" w:fill="FFFFFF"/>
          <w:lang w:val="es-ES" w:eastAsia="es-ES"/>
        </w:rPr>
        <w:t>64</w:t>
      </w:r>
      <w:r w:rsidRPr="00BD558C">
        <w:rPr>
          <w:rFonts w:eastAsia="Times New Roman"/>
          <w:sz w:val="18"/>
          <w:szCs w:val="18"/>
          <w:shd w:val="clear" w:color="auto" w:fill="FFFFFF"/>
          <w:lang w:val="es-ES" w:eastAsia="es-ES"/>
        </w:rPr>
        <w:t> de la CNV</w:t>
      </w:r>
      <w:r w:rsidRPr="00BD558C">
        <w:rPr>
          <w:rFonts w:eastAsia="Times New Roman" w:cs="Arial"/>
          <w:color w:val="545454"/>
          <w:sz w:val="18"/>
          <w:szCs w:val="18"/>
          <w:shd w:val="clear" w:color="auto" w:fill="FFFFFF"/>
          <w:lang w:val="es-ES" w:eastAsia="es-ES"/>
        </w:rPr>
        <w:t>.</w:t>
      </w:r>
    </w:p>
    <w:p w14:paraId="3AE81CEC" w14:textId="77777777" w:rsidR="001C2C31" w:rsidRPr="00BD558C" w:rsidRDefault="001C2C31" w:rsidP="00916F81">
      <w:pPr>
        <w:spacing w:after="0"/>
        <w:jc w:val="center"/>
        <w:rPr>
          <w:rFonts w:eastAsia="Times New Roman"/>
          <w:sz w:val="18"/>
          <w:szCs w:val="18"/>
          <w:lang w:val="es-ES" w:eastAsia="es-ES"/>
        </w:rPr>
      </w:pPr>
    </w:p>
    <w:p w14:paraId="75AA5183" w14:textId="311819B3" w:rsidR="001C2C31" w:rsidRPr="00BD558C" w:rsidRDefault="001C2C31" w:rsidP="00916F81">
      <w:pPr>
        <w:spacing w:after="0"/>
        <w:jc w:val="center"/>
        <w:rPr>
          <w:rFonts w:eastAsia="Times New Roman"/>
          <w:sz w:val="18"/>
          <w:szCs w:val="18"/>
          <w:lang w:eastAsia="es-ES"/>
        </w:rPr>
      </w:pPr>
      <w:r w:rsidRPr="00BD558C">
        <w:rPr>
          <w:rFonts w:eastAsia="Times New Roman"/>
          <w:sz w:val="18"/>
          <w:szCs w:val="18"/>
          <w:lang w:eastAsia="es-ES"/>
        </w:rPr>
        <w:t xml:space="preserve">La fecha de este Suplemento de Precio es </w:t>
      </w:r>
      <w:r w:rsidR="003E1F5A">
        <w:rPr>
          <w:rFonts w:eastAsia="Times New Roman"/>
          <w:sz w:val="18"/>
          <w:szCs w:val="18"/>
          <w:lang w:eastAsia="es-ES"/>
        </w:rPr>
        <w:t>3</w:t>
      </w:r>
      <w:r w:rsidR="00DA6560">
        <w:rPr>
          <w:rFonts w:eastAsia="Times New Roman"/>
          <w:sz w:val="18"/>
          <w:szCs w:val="18"/>
          <w:lang w:eastAsia="es-ES"/>
        </w:rPr>
        <w:t xml:space="preserve"> </w:t>
      </w:r>
      <w:r w:rsidRPr="00BD558C">
        <w:rPr>
          <w:rFonts w:eastAsia="Times New Roman"/>
          <w:sz w:val="18"/>
          <w:szCs w:val="18"/>
          <w:lang w:eastAsia="es-ES"/>
        </w:rPr>
        <w:t xml:space="preserve">de </w:t>
      </w:r>
      <w:r w:rsidR="003E1F5A">
        <w:rPr>
          <w:rFonts w:eastAsia="Times New Roman"/>
          <w:sz w:val="18"/>
          <w:szCs w:val="18"/>
          <w:lang w:eastAsia="es-ES"/>
        </w:rPr>
        <w:t>diciembre</w:t>
      </w:r>
      <w:r w:rsidR="00D464A4" w:rsidRPr="00BD558C">
        <w:rPr>
          <w:rFonts w:eastAsia="Times New Roman"/>
          <w:sz w:val="18"/>
          <w:szCs w:val="18"/>
          <w:lang w:eastAsia="es-ES"/>
        </w:rPr>
        <w:t xml:space="preserve"> </w:t>
      </w:r>
      <w:r w:rsidRPr="00BD558C">
        <w:rPr>
          <w:rFonts w:eastAsia="Times New Roman"/>
          <w:sz w:val="18"/>
          <w:szCs w:val="18"/>
          <w:lang w:eastAsia="es-ES"/>
        </w:rPr>
        <w:t>de 201</w:t>
      </w:r>
      <w:r w:rsidR="007E32B2" w:rsidRPr="00BD558C">
        <w:rPr>
          <w:rFonts w:eastAsia="Times New Roman"/>
          <w:sz w:val="18"/>
          <w:szCs w:val="18"/>
          <w:lang w:eastAsia="es-ES"/>
        </w:rPr>
        <w:t>9</w:t>
      </w:r>
    </w:p>
    <w:p w14:paraId="22060F3E" w14:textId="77777777" w:rsidR="001C2C31" w:rsidRPr="001C2C31" w:rsidRDefault="001C2C31" w:rsidP="00916F81">
      <w:pPr>
        <w:spacing w:after="0"/>
        <w:jc w:val="center"/>
        <w:rPr>
          <w:rFonts w:eastAsia="Times New Roman"/>
          <w:sz w:val="17"/>
          <w:szCs w:val="17"/>
          <w:lang w:eastAsia="es-ES"/>
        </w:rPr>
      </w:pPr>
    </w:p>
    <w:p w14:paraId="5D8392B7" w14:textId="77777777" w:rsidR="001C2C31" w:rsidRPr="003E1F5A" w:rsidRDefault="001C2C31" w:rsidP="00916F81">
      <w:pPr>
        <w:spacing w:after="0"/>
        <w:jc w:val="center"/>
        <w:rPr>
          <w:rFonts w:eastAsia="Times New Roman"/>
          <w:sz w:val="20"/>
          <w:szCs w:val="20"/>
          <w:lang w:val="es-ES" w:eastAsia="es-ES"/>
          <w:rPrChange w:id="0" w:author="Fiamma Toto Ruá" w:date="2019-12-03T11:10:00Z">
            <w:rPr>
              <w:rFonts w:eastAsia="Times New Roman"/>
              <w:sz w:val="20"/>
              <w:szCs w:val="20"/>
              <w:lang w:eastAsia="es-ES"/>
            </w:rPr>
          </w:rPrChange>
        </w:rPr>
        <w:sectPr w:rsidR="001C2C31" w:rsidRPr="003E1F5A" w:rsidSect="005464A7">
          <w:pgSz w:w="11906" w:h="16838"/>
          <w:pgMar w:top="567" w:right="397" w:bottom="567" w:left="397" w:header="284" w:footer="567" w:gutter="0"/>
          <w:cols w:space="708"/>
          <w:docGrid w:linePitch="360"/>
        </w:sectPr>
      </w:pPr>
    </w:p>
    <w:p w14:paraId="1BA0647A" w14:textId="77777777" w:rsidR="001C2C31" w:rsidRPr="001C2C31" w:rsidRDefault="001C2C31" w:rsidP="00916F81">
      <w:pPr>
        <w:spacing w:after="0"/>
        <w:jc w:val="center"/>
        <w:rPr>
          <w:rFonts w:eastAsia="Times New Roman"/>
          <w:b/>
          <w:sz w:val="20"/>
          <w:szCs w:val="20"/>
          <w:lang w:eastAsia="es-ES"/>
        </w:rPr>
      </w:pPr>
      <w:r w:rsidRPr="001C2C31">
        <w:rPr>
          <w:rFonts w:eastAsia="Times New Roman"/>
          <w:b/>
          <w:sz w:val="20"/>
          <w:szCs w:val="20"/>
          <w:lang w:eastAsia="es-ES"/>
        </w:rPr>
        <w:lastRenderedPageBreak/>
        <w:t>ÍNDICE</w:t>
      </w:r>
    </w:p>
    <w:p w14:paraId="733B68AB" w14:textId="77777777" w:rsidR="001C2C31" w:rsidRPr="001C2C31" w:rsidRDefault="001C2C31" w:rsidP="00916F81">
      <w:pPr>
        <w:spacing w:after="0"/>
        <w:jc w:val="center"/>
        <w:rPr>
          <w:rFonts w:eastAsia="Times New Roman"/>
          <w:b/>
          <w:sz w:val="20"/>
          <w:szCs w:val="20"/>
          <w:lang w:eastAsia="es-ES"/>
        </w:rPr>
      </w:pPr>
    </w:p>
    <w:p w14:paraId="492B6BD8" w14:textId="777D36C2" w:rsidR="00D74AA7" w:rsidRDefault="001C2C31">
      <w:pPr>
        <w:pStyle w:val="TDC1"/>
        <w:tabs>
          <w:tab w:val="right" w:leader="dot" w:pos="9061"/>
        </w:tabs>
        <w:rPr>
          <w:rFonts w:asciiTheme="minorHAnsi" w:eastAsiaTheme="minorEastAsia" w:hAnsiTheme="minorHAnsi" w:cstheme="minorBidi"/>
          <w:noProof/>
          <w:sz w:val="22"/>
          <w:szCs w:val="22"/>
          <w:lang w:eastAsia="es-AR"/>
        </w:rPr>
      </w:pPr>
      <w:r w:rsidRPr="001C2C31">
        <w:rPr>
          <w:b/>
          <w:bCs/>
          <w:szCs w:val="20"/>
        </w:rPr>
        <w:fldChar w:fldCharType="begin"/>
      </w:r>
      <w:r w:rsidRPr="001C2C31">
        <w:rPr>
          <w:b/>
          <w:bCs/>
          <w:szCs w:val="20"/>
        </w:rPr>
        <w:instrText xml:space="preserve"> TOC \o "1-3" \h \z \u </w:instrText>
      </w:r>
      <w:r w:rsidRPr="001C2C31">
        <w:rPr>
          <w:b/>
          <w:bCs/>
          <w:szCs w:val="20"/>
        </w:rPr>
        <w:fldChar w:fldCharType="separate"/>
      </w:r>
      <w:hyperlink w:anchor="_Toc20327131" w:history="1">
        <w:r w:rsidR="00D74AA7" w:rsidRPr="00E71BB4">
          <w:rPr>
            <w:rStyle w:val="Hipervnculo"/>
            <w:noProof/>
          </w:rPr>
          <w:t>I. AVISO A LOS INVERSORES</w:t>
        </w:r>
        <w:r w:rsidR="00D74AA7">
          <w:rPr>
            <w:noProof/>
            <w:webHidden/>
          </w:rPr>
          <w:tab/>
        </w:r>
        <w:r w:rsidR="00D74AA7">
          <w:rPr>
            <w:noProof/>
            <w:webHidden/>
          </w:rPr>
          <w:fldChar w:fldCharType="begin"/>
        </w:r>
        <w:r w:rsidR="00D74AA7">
          <w:rPr>
            <w:noProof/>
            <w:webHidden/>
          </w:rPr>
          <w:instrText xml:space="preserve"> PAGEREF _Toc20327131 \h </w:instrText>
        </w:r>
        <w:r w:rsidR="00D74AA7">
          <w:rPr>
            <w:noProof/>
            <w:webHidden/>
          </w:rPr>
        </w:r>
        <w:r w:rsidR="00D74AA7">
          <w:rPr>
            <w:noProof/>
            <w:webHidden/>
          </w:rPr>
          <w:fldChar w:fldCharType="separate"/>
        </w:r>
        <w:r w:rsidR="0095008F">
          <w:rPr>
            <w:noProof/>
            <w:webHidden/>
          </w:rPr>
          <w:t>4</w:t>
        </w:r>
        <w:r w:rsidR="00D74AA7">
          <w:rPr>
            <w:noProof/>
            <w:webHidden/>
          </w:rPr>
          <w:fldChar w:fldCharType="end"/>
        </w:r>
      </w:hyperlink>
    </w:p>
    <w:p w14:paraId="21D523E6" w14:textId="34F5823C" w:rsidR="00D74AA7" w:rsidRDefault="00E401AB">
      <w:pPr>
        <w:pStyle w:val="TDC1"/>
        <w:tabs>
          <w:tab w:val="right" w:leader="dot" w:pos="9061"/>
        </w:tabs>
        <w:rPr>
          <w:rFonts w:asciiTheme="minorHAnsi" w:eastAsiaTheme="minorEastAsia" w:hAnsiTheme="minorHAnsi" w:cstheme="minorBidi"/>
          <w:noProof/>
          <w:sz w:val="22"/>
          <w:szCs w:val="22"/>
          <w:lang w:eastAsia="es-AR"/>
        </w:rPr>
      </w:pPr>
      <w:hyperlink w:anchor="_Toc20327132" w:history="1">
        <w:r w:rsidR="00D74AA7" w:rsidRPr="00E71BB4">
          <w:rPr>
            <w:rStyle w:val="Hipervnculo"/>
            <w:noProof/>
          </w:rPr>
          <w:t>II. INFORMACIÓN RELEVANTE</w:t>
        </w:r>
        <w:r w:rsidR="00D74AA7">
          <w:rPr>
            <w:noProof/>
            <w:webHidden/>
          </w:rPr>
          <w:tab/>
        </w:r>
        <w:r w:rsidR="00D74AA7">
          <w:rPr>
            <w:noProof/>
            <w:webHidden/>
          </w:rPr>
          <w:fldChar w:fldCharType="begin"/>
        </w:r>
        <w:r w:rsidR="00D74AA7">
          <w:rPr>
            <w:noProof/>
            <w:webHidden/>
          </w:rPr>
          <w:instrText xml:space="preserve"> PAGEREF _Toc20327132 \h </w:instrText>
        </w:r>
        <w:r w:rsidR="00D74AA7">
          <w:rPr>
            <w:noProof/>
            <w:webHidden/>
          </w:rPr>
        </w:r>
        <w:r w:rsidR="00D74AA7">
          <w:rPr>
            <w:noProof/>
            <w:webHidden/>
          </w:rPr>
          <w:fldChar w:fldCharType="separate"/>
        </w:r>
        <w:r w:rsidR="0095008F">
          <w:rPr>
            <w:noProof/>
            <w:webHidden/>
          </w:rPr>
          <w:t>6</w:t>
        </w:r>
        <w:r w:rsidR="00D74AA7">
          <w:rPr>
            <w:noProof/>
            <w:webHidden/>
          </w:rPr>
          <w:fldChar w:fldCharType="end"/>
        </w:r>
      </w:hyperlink>
    </w:p>
    <w:p w14:paraId="08CEEDA6" w14:textId="00E42C9C" w:rsidR="00D74AA7" w:rsidRDefault="00E401AB">
      <w:pPr>
        <w:pStyle w:val="TDC1"/>
        <w:tabs>
          <w:tab w:val="right" w:leader="dot" w:pos="9061"/>
        </w:tabs>
        <w:rPr>
          <w:rFonts w:asciiTheme="minorHAnsi" w:eastAsiaTheme="minorEastAsia" w:hAnsiTheme="minorHAnsi" w:cstheme="minorBidi"/>
          <w:noProof/>
          <w:sz w:val="22"/>
          <w:szCs w:val="22"/>
          <w:lang w:eastAsia="es-AR"/>
        </w:rPr>
      </w:pPr>
      <w:hyperlink w:anchor="_Toc20327133" w:history="1">
        <w:r w:rsidR="00D74AA7" w:rsidRPr="00E71BB4">
          <w:rPr>
            <w:rStyle w:val="Hipervnculo"/>
            <w:noProof/>
          </w:rPr>
          <w:t>III. TÉRMINOS Y CONDICIONES DE LAS OBLIGACIONES NEGOCIABLES</w:t>
        </w:r>
        <w:r w:rsidR="00D74AA7">
          <w:rPr>
            <w:noProof/>
            <w:webHidden/>
          </w:rPr>
          <w:tab/>
        </w:r>
        <w:r w:rsidR="00D74AA7">
          <w:rPr>
            <w:noProof/>
            <w:webHidden/>
          </w:rPr>
          <w:fldChar w:fldCharType="begin"/>
        </w:r>
        <w:r w:rsidR="00D74AA7">
          <w:rPr>
            <w:noProof/>
            <w:webHidden/>
          </w:rPr>
          <w:instrText xml:space="preserve"> PAGEREF _Toc20327133 \h </w:instrText>
        </w:r>
        <w:r w:rsidR="00D74AA7">
          <w:rPr>
            <w:noProof/>
            <w:webHidden/>
          </w:rPr>
        </w:r>
        <w:r w:rsidR="00D74AA7">
          <w:rPr>
            <w:noProof/>
            <w:webHidden/>
          </w:rPr>
          <w:fldChar w:fldCharType="separate"/>
        </w:r>
        <w:r w:rsidR="0095008F">
          <w:rPr>
            <w:noProof/>
            <w:webHidden/>
          </w:rPr>
          <w:t>7</w:t>
        </w:r>
        <w:r w:rsidR="00D74AA7">
          <w:rPr>
            <w:noProof/>
            <w:webHidden/>
          </w:rPr>
          <w:fldChar w:fldCharType="end"/>
        </w:r>
      </w:hyperlink>
    </w:p>
    <w:p w14:paraId="057FAA89" w14:textId="4EBCA87C" w:rsidR="00D74AA7" w:rsidRDefault="00E401AB">
      <w:pPr>
        <w:pStyle w:val="TDC1"/>
        <w:tabs>
          <w:tab w:val="right" w:leader="dot" w:pos="9061"/>
        </w:tabs>
        <w:rPr>
          <w:rFonts w:asciiTheme="minorHAnsi" w:eastAsiaTheme="minorEastAsia" w:hAnsiTheme="minorHAnsi" w:cstheme="minorBidi"/>
          <w:noProof/>
          <w:sz w:val="22"/>
          <w:szCs w:val="22"/>
          <w:lang w:eastAsia="es-AR"/>
        </w:rPr>
      </w:pPr>
      <w:hyperlink w:anchor="_Toc20327134" w:history="1">
        <w:r w:rsidR="00D74AA7" w:rsidRPr="00E71BB4">
          <w:rPr>
            <w:rStyle w:val="Hipervnculo"/>
            <w:noProof/>
          </w:rPr>
          <w:t>IV. PLAN DE DISTRIBUCIÓN DE LAS OBLIGACIONES NEGOCIABLES</w:t>
        </w:r>
        <w:r w:rsidR="00D74AA7">
          <w:rPr>
            <w:noProof/>
            <w:webHidden/>
          </w:rPr>
          <w:tab/>
        </w:r>
        <w:r w:rsidR="00D74AA7">
          <w:rPr>
            <w:noProof/>
            <w:webHidden/>
          </w:rPr>
          <w:fldChar w:fldCharType="begin"/>
        </w:r>
        <w:r w:rsidR="00D74AA7">
          <w:rPr>
            <w:noProof/>
            <w:webHidden/>
          </w:rPr>
          <w:instrText xml:space="preserve"> PAGEREF _Toc20327134 \h </w:instrText>
        </w:r>
        <w:r w:rsidR="00D74AA7">
          <w:rPr>
            <w:noProof/>
            <w:webHidden/>
          </w:rPr>
        </w:r>
        <w:r w:rsidR="00D74AA7">
          <w:rPr>
            <w:noProof/>
            <w:webHidden/>
          </w:rPr>
          <w:fldChar w:fldCharType="separate"/>
        </w:r>
        <w:r w:rsidR="0095008F">
          <w:rPr>
            <w:noProof/>
            <w:webHidden/>
          </w:rPr>
          <w:t>15</w:t>
        </w:r>
        <w:r w:rsidR="00D74AA7">
          <w:rPr>
            <w:noProof/>
            <w:webHidden/>
          </w:rPr>
          <w:fldChar w:fldCharType="end"/>
        </w:r>
      </w:hyperlink>
    </w:p>
    <w:p w14:paraId="0DBE0A36" w14:textId="12FBA9CB" w:rsidR="00D74AA7" w:rsidRDefault="00E401AB">
      <w:pPr>
        <w:pStyle w:val="TDC1"/>
        <w:tabs>
          <w:tab w:val="right" w:leader="dot" w:pos="9061"/>
        </w:tabs>
        <w:rPr>
          <w:rFonts w:asciiTheme="minorHAnsi" w:eastAsiaTheme="minorEastAsia" w:hAnsiTheme="minorHAnsi" w:cstheme="minorBidi"/>
          <w:noProof/>
          <w:sz w:val="22"/>
          <w:szCs w:val="22"/>
          <w:lang w:eastAsia="es-AR"/>
        </w:rPr>
      </w:pPr>
      <w:hyperlink w:anchor="_Toc20327135" w:history="1">
        <w:r w:rsidR="00D74AA7" w:rsidRPr="00E71BB4">
          <w:rPr>
            <w:rStyle w:val="Hipervnculo"/>
            <w:noProof/>
          </w:rPr>
          <w:t>V. FACTORES DE RIESGO</w:t>
        </w:r>
        <w:r w:rsidR="00D74AA7">
          <w:rPr>
            <w:noProof/>
            <w:webHidden/>
          </w:rPr>
          <w:tab/>
        </w:r>
        <w:r w:rsidR="00D74AA7">
          <w:rPr>
            <w:noProof/>
            <w:webHidden/>
          </w:rPr>
          <w:fldChar w:fldCharType="begin"/>
        </w:r>
        <w:r w:rsidR="00D74AA7">
          <w:rPr>
            <w:noProof/>
            <w:webHidden/>
          </w:rPr>
          <w:instrText xml:space="preserve"> PAGEREF _Toc20327135 \h </w:instrText>
        </w:r>
        <w:r w:rsidR="00D74AA7">
          <w:rPr>
            <w:noProof/>
            <w:webHidden/>
          </w:rPr>
        </w:r>
        <w:r w:rsidR="00D74AA7">
          <w:rPr>
            <w:noProof/>
            <w:webHidden/>
          </w:rPr>
          <w:fldChar w:fldCharType="separate"/>
        </w:r>
        <w:r w:rsidR="0095008F">
          <w:rPr>
            <w:noProof/>
            <w:webHidden/>
          </w:rPr>
          <w:t>21</w:t>
        </w:r>
        <w:r w:rsidR="00D74AA7">
          <w:rPr>
            <w:noProof/>
            <w:webHidden/>
          </w:rPr>
          <w:fldChar w:fldCharType="end"/>
        </w:r>
      </w:hyperlink>
    </w:p>
    <w:p w14:paraId="4E9A752F" w14:textId="2CFAF642" w:rsidR="00D74AA7" w:rsidRDefault="00E401AB">
      <w:pPr>
        <w:pStyle w:val="TDC1"/>
        <w:tabs>
          <w:tab w:val="right" w:leader="dot" w:pos="9061"/>
        </w:tabs>
        <w:rPr>
          <w:rFonts w:asciiTheme="minorHAnsi" w:eastAsiaTheme="minorEastAsia" w:hAnsiTheme="minorHAnsi" w:cstheme="minorBidi"/>
          <w:noProof/>
          <w:sz w:val="22"/>
          <w:szCs w:val="22"/>
          <w:lang w:eastAsia="es-AR"/>
        </w:rPr>
      </w:pPr>
      <w:hyperlink w:anchor="_Toc20327136" w:history="1">
        <w:r w:rsidR="00D74AA7" w:rsidRPr="00E71BB4">
          <w:rPr>
            <w:rStyle w:val="Hipervnculo"/>
            <w:noProof/>
          </w:rPr>
          <w:t>VI. INFORMACIÓN FINANCIERA</w:t>
        </w:r>
        <w:r w:rsidR="00D74AA7">
          <w:rPr>
            <w:noProof/>
            <w:webHidden/>
          </w:rPr>
          <w:tab/>
        </w:r>
        <w:r w:rsidR="00D74AA7">
          <w:rPr>
            <w:noProof/>
            <w:webHidden/>
          </w:rPr>
          <w:fldChar w:fldCharType="begin"/>
        </w:r>
        <w:r w:rsidR="00D74AA7">
          <w:rPr>
            <w:noProof/>
            <w:webHidden/>
          </w:rPr>
          <w:instrText xml:space="preserve"> PAGEREF _Toc20327136 \h </w:instrText>
        </w:r>
        <w:r w:rsidR="00D74AA7">
          <w:rPr>
            <w:noProof/>
            <w:webHidden/>
          </w:rPr>
        </w:r>
        <w:r w:rsidR="00D74AA7">
          <w:rPr>
            <w:noProof/>
            <w:webHidden/>
          </w:rPr>
          <w:fldChar w:fldCharType="separate"/>
        </w:r>
        <w:r w:rsidR="0095008F">
          <w:rPr>
            <w:noProof/>
            <w:webHidden/>
          </w:rPr>
          <w:t>22</w:t>
        </w:r>
        <w:r w:rsidR="00D74AA7">
          <w:rPr>
            <w:noProof/>
            <w:webHidden/>
          </w:rPr>
          <w:fldChar w:fldCharType="end"/>
        </w:r>
      </w:hyperlink>
    </w:p>
    <w:p w14:paraId="168E756D" w14:textId="710FA1AB" w:rsidR="00D74AA7" w:rsidRDefault="00E401AB">
      <w:pPr>
        <w:pStyle w:val="TDC1"/>
        <w:tabs>
          <w:tab w:val="right" w:leader="dot" w:pos="9061"/>
        </w:tabs>
        <w:rPr>
          <w:rFonts w:asciiTheme="minorHAnsi" w:eastAsiaTheme="minorEastAsia" w:hAnsiTheme="minorHAnsi" w:cstheme="minorBidi"/>
          <w:noProof/>
          <w:sz w:val="22"/>
          <w:szCs w:val="22"/>
          <w:lang w:eastAsia="es-AR"/>
        </w:rPr>
      </w:pPr>
      <w:hyperlink w:anchor="_Toc20327137" w:history="1">
        <w:r w:rsidR="00D74AA7" w:rsidRPr="00E71BB4">
          <w:rPr>
            <w:rStyle w:val="Hipervnculo"/>
            <w:noProof/>
          </w:rPr>
          <w:t>VII. DESTINO DE LOS FONDOS</w:t>
        </w:r>
        <w:r w:rsidR="00D74AA7">
          <w:rPr>
            <w:noProof/>
            <w:webHidden/>
          </w:rPr>
          <w:tab/>
        </w:r>
        <w:r w:rsidR="00D74AA7">
          <w:rPr>
            <w:noProof/>
            <w:webHidden/>
          </w:rPr>
          <w:fldChar w:fldCharType="begin"/>
        </w:r>
        <w:r w:rsidR="00D74AA7">
          <w:rPr>
            <w:noProof/>
            <w:webHidden/>
          </w:rPr>
          <w:instrText xml:space="preserve"> PAGEREF _Toc20327137 \h </w:instrText>
        </w:r>
        <w:r w:rsidR="00D74AA7">
          <w:rPr>
            <w:noProof/>
            <w:webHidden/>
          </w:rPr>
        </w:r>
        <w:r w:rsidR="00D74AA7">
          <w:rPr>
            <w:noProof/>
            <w:webHidden/>
          </w:rPr>
          <w:fldChar w:fldCharType="separate"/>
        </w:r>
        <w:r w:rsidR="0095008F">
          <w:rPr>
            <w:noProof/>
            <w:webHidden/>
          </w:rPr>
          <w:t>33</w:t>
        </w:r>
        <w:r w:rsidR="00D74AA7">
          <w:rPr>
            <w:noProof/>
            <w:webHidden/>
          </w:rPr>
          <w:fldChar w:fldCharType="end"/>
        </w:r>
      </w:hyperlink>
    </w:p>
    <w:p w14:paraId="723B98E8" w14:textId="228804F4" w:rsidR="00D74AA7" w:rsidRDefault="00E401AB">
      <w:pPr>
        <w:pStyle w:val="TDC1"/>
        <w:tabs>
          <w:tab w:val="right" w:leader="dot" w:pos="9061"/>
        </w:tabs>
        <w:rPr>
          <w:rFonts w:asciiTheme="minorHAnsi" w:eastAsiaTheme="minorEastAsia" w:hAnsiTheme="minorHAnsi" w:cstheme="minorBidi"/>
          <w:noProof/>
          <w:sz w:val="22"/>
          <w:szCs w:val="22"/>
          <w:lang w:eastAsia="es-AR"/>
        </w:rPr>
      </w:pPr>
      <w:hyperlink w:anchor="_Toc20327138" w:history="1">
        <w:r w:rsidR="00D74AA7" w:rsidRPr="00E71BB4">
          <w:rPr>
            <w:rStyle w:val="Hipervnculo"/>
            <w:noProof/>
          </w:rPr>
          <w:t>VIII. GASTOS DE EMISIÓN</w:t>
        </w:r>
        <w:r w:rsidR="00D74AA7">
          <w:rPr>
            <w:noProof/>
            <w:webHidden/>
          </w:rPr>
          <w:tab/>
        </w:r>
        <w:r w:rsidR="00D74AA7">
          <w:rPr>
            <w:noProof/>
            <w:webHidden/>
          </w:rPr>
          <w:fldChar w:fldCharType="begin"/>
        </w:r>
        <w:r w:rsidR="00D74AA7">
          <w:rPr>
            <w:noProof/>
            <w:webHidden/>
          </w:rPr>
          <w:instrText xml:space="preserve"> PAGEREF _Toc20327138 \h </w:instrText>
        </w:r>
        <w:r w:rsidR="00D74AA7">
          <w:rPr>
            <w:noProof/>
            <w:webHidden/>
          </w:rPr>
        </w:r>
        <w:r w:rsidR="00D74AA7">
          <w:rPr>
            <w:noProof/>
            <w:webHidden/>
          </w:rPr>
          <w:fldChar w:fldCharType="separate"/>
        </w:r>
        <w:r w:rsidR="0095008F">
          <w:rPr>
            <w:noProof/>
            <w:webHidden/>
          </w:rPr>
          <w:t>34</w:t>
        </w:r>
        <w:r w:rsidR="00D74AA7">
          <w:rPr>
            <w:noProof/>
            <w:webHidden/>
          </w:rPr>
          <w:fldChar w:fldCharType="end"/>
        </w:r>
      </w:hyperlink>
    </w:p>
    <w:p w14:paraId="7365F2F7" w14:textId="5121594F" w:rsidR="00D74AA7" w:rsidRDefault="00E401AB">
      <w:pPr>
        <w:pStyle w:val="TDC1"/>
        <w:tabs>
          <w:tab w:val="right" w:leader="dot" w:pos="9061"/>
        </w:tabs>
        <w:rPr>
          <w:rFonts w:asciiTheme="minorHAnsi" w:eastAsiaTheme="minorEastAsia" w:hAnsiTheme="minorHAnsi" w:cstheme="minorBidi"/>
          <w:noProof/>
          <w:sz w:val="22"/>
          <w:szCs w:val="22"/>
          <w:lang w:eastAsia="es-AR"/>
        </w:rPr>
      </w:pPr>
      <w:hyperlink w:anchor="_Toc20327139" w:history="1">
        <w:r w:rsidR="00D74AA7" w:rsidRPr="00E71BB4">
          <w:rPr>
            <w:rStyle w:val="Hipervnculo"/>
            <w:noProof/>
          </w:rPr>
          <w:t>IX. CONTRATO DE COLOCACIÓN</w:t>
        </w:r>
        <w:r w:rsidR="00D74AA7">
          <w:rPr>
            <w:noProof/>
            <w:webHidden/>
          </w:rPr>
          <w:tab/>
        </w:r>
        <w:r w:rsidR="00D74AA7">
          <w:rPr>
            <w:noProof/>
            <w:webHidden/>
          </w:rPr>
          <w:fldChar w:fldCharType="begin"/>
        </w:r>
        <w:r w:rsidR="00D74AA7">
          <w:rPr>
            <w:noProof/>
            <w:webHidden/>
          </w:rPr>
          <w:instrText xml:space="preserve"> PAGEREF _Toc20327139 \h </w:instrText>
        </w:r>
        <w:r w:rsidR="00D74AA7">
          <w:rPr>
            <w:noProof/>
            <w:webHidden/>
          </w:rPr>
        </w:r>
        <w:r w:rsidR="00D74AA7">
          <w:rPr>
            <w:noProof/>
            <w:webHidden/>
          </w:rPr>
          <w:fldChar w:fldCharType="separate"/>
        </w:r>
        <w:r w:rsidR="0095008F">
          <w:rPr>
            <w:noProof/>
            <w:webHidden/>
          </w:rPr>
          <w:t>35</w:t>
        </w:r>
        <w:r w:rsidR="00D74AA7">
          <w:rPr>
            <w:noProof/>
            <w:webHidden/>
          </w:rPr>
          <w:fldChar w:fldCharType="end"/>
        </w:r>
      </w:hyperlink>
    </w:p>
    <w:p w14:paraId="2926E325" w14:textId="57E93C1D" w:rsidR="00D74AA7" w:rsidRDefault="00E401AB">
      <w:pPr>
        <w:pStyle w:val="TDC1"/>
        <w:tabs>
          <w:tab w:val="right" w:leader="dot" w:pos="9061"/>
        </w:tabs>
        <w:rPr>
          <w:rFonts w:asciiTheme="minorHAnsi" w:eastAsiaTheme="minorEastAsia" w:hAnsiTheme="minorHAnsi" w:cstheme="minorBidi"/>
          <w:noProof/>
          <w:sz w:val="22"/>
          <w:szCs w:val="22"/>
          <w:lang w:eastAsia="es-AR"/>
        </w:rPr>
      </w:pPr>
      <w:hyperlink w:anchor="_Toc20327140" w:history="1">
        <w:r w:rsidR="00D74AA7" w:rsidRPr="00E71BB4">
          <w:rPr>
            <w:rStyle w:val="Hipervnculo"/>
            <w:noProof/>
          </w:rPr>
          <w:t>X- HECHOS POSTERIORES AL CIERRE</w:t>
        </w:r>
        <w:r w:rsidR="00D74AA7">
          <w:rPr>
            <w:noProof/>
            <w:webHidden/>
          </w:rPr>
          <w:tab/>
        </w:r>
        <w:r w:rsidR="00D74AA7">
          <w:rPr>
            <w:noProof/>
            <w:webHidden/>
          </w:rPr>
          <w:fldChar w:fldCharType="begin"/>
        </w:r>
        <w:r w:rsidR="00D74AA7">
          <w:rPr>
            <w:noProof/>
            <w:webHidden/>
          </w:rPr>
          <w:instrText xml:space="preserve"> PAGEREF _Toc20327140 \h </w:instrText>
        </w:r>
        <w:r w:rsidR="00D74AA7">
          <w:rPr>
            <w:noProof/>
            <w:webHidden/>
          </w:rPr>
        </w:r>
        <w:r w:rsidR="00D74AA7">
          <w:rPr>
            <w:noProof/>
            <w:webHidden/>
          </w:rPr>
          <w:fldChar w:fldCharType="separate"/>
        </w:r>
        <w:r w:rsidR="0095008F">
          <w:rPr>
            <w:noProof/>
            <w:webHidden/>
          </w:rPr>
          <w:t>36</w:t>
        </w:r>
        <w:r w:rsidR="00D74AA7">
          <w:rPr>
            <w:noProof/>
            <w:webHidden/>
          </w:rPr>
          <w:fldChar w:fldCharType="end"/>
        </w:r>
      </w:hyperlink>
    </w:p>
    <w:p w14:paraId="53E4CE31" w14:textId="77777777" w:rsidR="001C2C31" w:rsidRPr="001C2C31" w:rsidRDefault="001C2C31" w:rsidP="00916F81">
      <w:pPr>
        <w:spacing w:after="0"/>
        <w:jc w:val="both"/>
        <w:rPr>
          <w:rFonts w:eastAsia="Times New Roman"/>
          <w:sz w:val="20"/>
          <w:szCs w:val="24"/>
          <w:lang w:eastAsia="es-ES"/>
        </w:rPr>
      </w:pPr>
      <w:r w:rsidRPr="001C2C31">
        <w:rPr>
          <w:rFonts w:eastAsia="Times New Roman"/>
          <w:b/>
          <w:bCs/>
          <w:sz w:val="20"/>
          <w:szCs w:val="20"/>
          <w:lang w:eastAsia="es-ES"/>
        </w:rPr>
        <w:fldChar w:fldCharType="end"/>
      </w:r>
    </w:p>
    <w:p w14:paraId="0BC72025" w14:textId="77777777" w:rsidR="001C2C31" w:rsidRPr="001C2C31" w:rsidRDefault="001C2C31" w:rsidP="00916F81">
      <w:pPr>
        <w:spacing w:after="0"/>
        <w:jc w:val="both"/>
        <w:rPr>
          <w:rFonts w:eastAsia="Times New Roman"/>
          <w:sz w:val="20"/>
          <w:szCs w:val="24"/>
          <w:lang w:eastAsia="es-ES"/>
        </w:rPr>
        <w:sectPr w:rsidR="001C2C31" w:rsidRPr="001C2C31" w:rsidSect="005464A7">
          <w:pgSz w:w="11906" w:h="16838"/>
          <w:pgMar w:top="851" w:right="1134" w:bottom="851" w:left="1701" w:header="425" w:footer="709" w:gutter="0"/>
          <w:cols w:space="708"/>
          <w:docGrid w:linePitch="360"/>
        </w:sectPr>
      </w:pPr>
    </w:p>
    <w:p w14:paraId="7128E5F5" w14:textId="77777777" w:rsidR="001C2C31" w:rsidRPr="001C2C31" w:rsidRDefault="001C2C31" w:rsidP="00916F81">
      <w:pPr>
        <w:spacing w:after="0"/>
        <w:jc w:val="both"/>
        <w:rPr>
          <w:rFonts w:eastAsia="Times New Roman"/>
          <w:sz w:val="20"/>
          <w:szCs w:val="20"/>
          <w:lang w:eastAsia="es-ES"/>
        </w:rPr>
      </w:pPr>
    </w:p>
    <w:p w14:paraId="490AE2E3" w14:textId="77777777" w:rsidR="001C2C31" w:rsidRPr="001C2C31" w:rsidRDefault="001C2C31" w:rsidP="00916F81">
      <w:pPr>
        <w:pStyle w:val="Puesto"/>
      </w:pPr>
      <w:bookmarkStart w:id="1" w:name="_Toc240884504"/>
      <w:bookmarkStart w:id="2" w:name="_Toc293064295"/>
      <w:bookmarkStart w:id="3" w:name="_Toc356987187"/>
      <w:bookmarkStart w:id="4" w:name="_Toc20327131"/>
      <w:r w:rsidRPr="001C2C31">
        <w:t xml:space="preserve">I. </w:t>
      </w:r>
      <w:r w:rsidR="00DC3B92">
        <w:t>AVISO</w:t>
      </w:r>
      <w:r w:rsidR="00DC3B92" w:rsidRPr="001C2C31">
        <w:t xml:space="preserve"> </w:t>
      </w:r>
      <w:r w:rsidRPr="001C2C31">
        <w:t>A LOS INVERSORES</w:t>
      </w:r>
      <w:bookmarkEnd w:id="1"/>
      <w:bookmarkEnd w:id="2"/>
      <w:bookmarkEnd w:id="3"/>
      <w:bookmarkEnd w:id="4"/>
    </w:p>
    <w:p w14:paraId="41AEF41C" w14:textId="77777777" w:rsidR="008157C9" w:rsidRDefault="008157C9" w:rsidP="00916F81">
      <w:pPr>
        <w:spacing w:after="0"/>
        <w:jc w:val="both"/>
        <w:rPr>
          <w:rFonts w:eastAsia="Times New Roman"/>
          <w:sz w:val="20"/>
          <w:szCs w:val="20"/>
          <w:lang w:eastAsia="es-ES"/>
        </w:rPr>
      </w:pPr>
    </w:p>
    <w:p w14:paraId="6FD7A13F"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Antes de tomar decisiones de inversión respecto de las Obligaciones Negociables, el público inversor deberá considerar la totalidad de la información contenida en el Prospecto y en este Suplemento de Precio (complementados y/o modificados, en su caso, por los avisos correspondientes).</w:t>
      </w:r>
    </w:p>
    <w:p w14:paraId="3E51EE3D" w14:textId="77777777" w:rsidR="008157C9" w:rsidRPr="001C2C31" w:rsidRDefault="008157C9" w:rsidP="00916F81">
      <w:pPr>
        <w:spacing w:after="0"/>
        <w:jc w:val="both"/>
        <w:rPr>
          <w:rFonts w:eastAsia="Times New Roman"/>
          <w:sz w:val="20"/>
          <w:szCs w:val="20"/>
          <w:lang w:eastAsia="es-ES"/>
        </w:rPr>
      </w:pPr>
    </w:p>
    <w:p w14:paraId="682D79D7"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Al tomar decisiones de inversión respecto de las Obligaciones Negociables, el público inversor deberá basarse en su propio análisis del Emisor, de los términos y condiciones de las Obligaciones Negociables, y de los beneficios y riesgos involucrados. El Prospecto y este Suplemento de Precio constituyen los documentos básicos a través de los cuales se realiza la oferta pública de las Obligaciones Negociables. El contenido del Prospecto y/o de este Suplemento de Precio no debe ser interpretado como asesoramiento legal, regulatorio, comercial, financiero, impositivo y/o de otro tipo. El público inversor deberá consultar con sus propios asesores respecto de los aspectos legales, regulatorios, comerciales, financieros, impositivos y/o de otro tipo relacionados con su inversión en las Obligaciones Negociables.</w:t>
      </w:r>
    </w:p>
    <w:p w14:paraId="33A82B96" w14:textId="77777777" w:rsidR="008157C9" w:rsidRPr="001C2C31" w:rsidRDefault="008157C9" w:rsidP="00916F81">
      <w:pPr>
        <w:spacing w:after="0"/>
        <w:jc w:val="both"/>
        <w:rPr>
          <w:rFonts w:eastAsia="Times New Roman"/>
          <w:sz w:val="20"/>
          <w:szCs w:val="20"/>
          <w:lang w:eastAsia="es-ES"/>
        </w:rPr>
      </w:pPr>
    </w:p>
    <w:p w14:paraId="559CE458"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La oferta pública de las Obligaciones Negociables ha sido autorizada exclusivamente en la República Argentina. Este Suplemento de Precio está destinado exclusivamente a la oferta pública de las Obligaciones Negociables en la República Argentina. Las Obligaciones Negociables no podrán ser ofrecidas ni vendidas, directa ni indirectamente, y ni este Suplemento de Precio, ni ningún otro documento de la oferta podrán ser distribuidos o publicados, en ninguna otra jurisdicción, salvo en circunstancias que resulten en el cumplimiento de las leyes o reglamentaciones aplicables.</w:t>
      </w:r>
    </w:p>
    <w:p w14:paraId="7EF0EF6A" w14:textId="77777777" w:rsidR="008157C9" w:rsidRPr="001C2C31" w:rsidRDefault="008157C9" w:rsidP="00916F81">
      <w:pPr>
        <w:spacing w:after="0"/>
        <w:jc w:val="both"/>
        <w:rPr>
          <w:rFonts w:eastAsia="Times New Roman"/>
          <w:sz w:val="20"/>
          <w:szCs w:val="20"/>
          <w:lang w:eastAsia="es-ES"/>
        </w:rPr>
      </w:pPr>
    </w:p>
    <w:p w14:paraId="7C1DA17A" w14:textId="6BA1EE77" w:rsidR="008157C9" w:rsidRDefault="00385CD8" w:rsidP="00916F81">
      <w:pPr>
        <w:spacing w:after="0"/>
        <w:jc w:val="both"/>
        <w:rPr>
          <w:rFonts w:eastAsia="Times New Roman"/>
          <w:sz w:val="20"/>
          <w:szCs w:val="20"/>
          <w:lang w:eastAsia="es-ES"/>
        </w:rPr>
      </w:pPr>
      <w:r w:rsidRPr="00385CD8">
        <w:rPr>
          <w:rFonts w:eastAsia="Times New Roman"/>
          <w:sz w:val="20"/>
          <w:szCs w:val="20"/>
          <w:lang w:eastAsia="es-ES"/>
        </w:rPr>
        <w:t>La oferta de las Obligaciones Negociables solo se realizará en la Argentina, por lo que de ninguna manera constituye o constituirá una oferta de venta y/o una invitación a formular ofertas de compra de las Obligaciones Negociables en otras jurisdicciones.</w:t>
      </w:r>
    </w:p>
    <w:p w14:paraId="17C8BBC9" w14:textId="77777777" w:rsidR="00385CD8" w:rsidRPr="001C2C31" w:rsidRDefault="00385CD8" w:rsidP="00916F81">
      <w:pPr>
        <w:spacing w:after="0"/>
        <w:jc w:val="both"/>
        <w:rPr>
          <w:rFonts w:eastAsia="Times New Roman"/>
          <w:sz w:val="20"/>
          <w:szCs w:val="20"/>
          <w:lang w:eastAsia="es-ES"/>
        </w:rPr>
      </w:pPr>
    </w:p>
    <w:p w14:paraId="0AD8C83E"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No se ha autorizado a otra persona distinta del Emisor a brindar información y/o efectuar declaraciones respecto del Emisor y/o de las Obligaciones Negociables que no estén contenidas en el Prospecto y/o en el presente Suplemento de Precio, y si se brindara y/o efectuaran, dicha información y/o declaraciones no podrán ser consideradas autorizadas y/o consentidas por el Emisor.</w:t>
      </w:r>
    </w:p>
    <w:p w14:paraId="3986AB2C" w14:textId="77777777" w:rsidR="008157C9" w:rsidRPr="001C2C31" w:rsidRDefault="008157C9" w:rsidP="00916F81">
      <w:pPr>
        <w:spacing w:after="0"/>
        <w:jc w:val="both"/>
        <w:rPr>
          <w:rFonts w:eastAsia="Times New Roman"/>
          <w:sz w:val="20"/>
          <w:szCs w:val="20"/>
          <w:lang w:eastAsia="es-ES"/>
        </w:rPr>
      </w:pPr>
    </w:p>
    <w:p w14:paraId="7E6176BF"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De conformidad con lo establecido en los artículos 119 y 120 de la Ley de Mercado de Capitales: (i) los emisores de valores negociables con oferta pública, junto con los integrantes de los órganos de administración y de fiscalización (estos últimos en materia de su competencia), y en su caso los oferentes de los valores negociables con relación a la información vinculada a los mismos, y las personas que firmen el prospecto de una emisión de valores negociables con oferta pública, serán responsables de toda la información incluida en los prospectos por ellos registrados ante la CNV; (ii) las entidades y agentes intermediarios en el mercado que participen como organizadores, o colocadores en una oferta pública de venta o compra de valores deberán revisar diligentemente la información contenida en los prospectos de la oferta; y (iii) los expertos o terceros que opinen sobre ciertas partes del prospecto sólo serán responsables por la parte de dicha información sobre la que han emitido opinión.</w:t>
      </w:r>
    </w:p>
    <w:p w14:paraId="7C156D54" w14:textId="77777777" w:rsidR="008157C9" w:rsidRPr="001C2C31" w:rsidRDefault="008157C9" w:rsidP="00916F81">
      <w:pPr>
        <w:spacing w:after="0"/>
        <w:jc w:val="both"/>
        <w:rPr>
          <w:rFonts w:eastAsia="Times New Roman"/>
          <w:sz w:val="20"/>
          <w:szCs w:val="20"/>
          <w:lang w:eastAsia="es-ES"/>
        </w:rPr>
      </w:pPr>
    </w:p>
    <w:p w14:paraId="5D1017BD"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 xml:space="preserve">En caso que el Emisor se encontrara sujeto a procesos judiciales de insolvencia, las normas vigentes que regulan las Obligaciones Negociables (incluyendo, sin limitación las disposiciones de la Ley de Obligaciones Negociables) y los términos y condiciones de las Obligaciones Negociables estarán sujetos a las disposiciones previstas por la Ley N° 24.522 de Concursos y Quiebras, tal como la misma fuera modificada y reglamentada. </w:t>
      </w:r>
    </w:p>
    <w:p w14:paraId="4D6BA0F9" w14:textId="77777777" w:rsidR="00BD558C" w:rsidRPr="001C2C31" w:rsidRDefault="00BD558C" w:rsidP="00916F81">
      <w:pPr>
        <w:spacing w:after="0"/>
        <w:jc w:val="both"/>
        <w:rPr>
          <w:rFonts w:eastAsia="Times New Roman"/>
          <w:sz w:val="20"/>
          <w:szCs w:val="20"/>
          <w:lang w:eastAsia="es-ES"/>
        </w:rPr>
      </w:pPr>
    </w:p>
    <w:p w14:paraId="350B5F34"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lastRenderedPageBreak/>
        <w:t>Ni la entrega del Prospecto y/o de este Suplemento de Precio, en ninguna circunstancia, significará que la información contenida en el Prospecto y/o en este Suplemento de Precio es correcta en cualquier fecha posterior a la fecha del Prospecto y/o de este Suplemento de Precio, según corresponda.</w:t>
      </w:r>
    </w:p>
    <w:p w14:paraId="10501334" w14:textId="77777777" w:rsidR="008157C9" w:rsidRDefault="008157C9" w:rsidP="00916F81">
      <w:pPr>
        <w:spacing w:after="0"/>
        <w:jc w:val="both"/>
        <w:rPr>
          <w:rFonts w:eastAsia="Times New Roman"/>
          <w:sz w:val="20"/>
          <w:szCs w:val="20"/>
          <w:lang w:eastAsia="es-ES"/>
        </w:rPr>
      </w:pPr>
    </w:p>
    <w:p w14:paraId="6AFD660A" w14:textId="77777777" w:rsidR="00DC3B92" w:rsidRPr="00DC3B92" w:rsidRDefault="00DC3B92" w:rsidP="00916F81">
      <w:pPr>
        <w:spacing w:after="0"/>
        <w:jc w:val="both"/>
        <w:rPr>
          <w:rFonts w:eastAsia="Times New Roman"/>
          <w:sz w:val="20"/>
          <w:szCs w:val="20"/>
          <w:lang w:val="es-ES" w:eastAsia="es-ES"/>
        </w:rPr>
      </w:pPr>
      <w:r w:rsidRPr="00DC3B92">
        <w:rPr>
          <w:rFonts w:eastAsia="Times New Roman"/>
          <w:sz w:val="20"/>
          <w:szCs w:val="20"/>
          <w:lang w:eastAsia="es-ES"/>
        </w:rPr>
        <w:t>T</w:t>
      </w:r>
      <w:r w:rsidRPr="00DC3B92">
        <w:rPr>
          <w:rFonts w:eastAsia="Times New Roman"/>
          <w:sz w:val="20"/>
          <w:szCs w:val="20"/>
          <w:lang w:val="es-ES" w:eastAsia="es-ES"/>
        </w:rPr>
        <w:t>oda persona que suscriba las Obligaciones Negociables reconoce que se le ha brindado la oportunidad de solicitar a</w:t>
      </w:r>
      <w:r>
        <w:rPr>
          <w:rFonts w:eastAsia="Times New Roman"/>
          <w:sz w:val="20"/>
          <w:szCs w:val="20"/>
          <w:lang w:val="es-ES" w:eastAsia="es-ES"/>
        </w:rPr>
        <w:t>l</w:t>
      </w:r>
      <w:r w:rsidRPr="00DC3B92">
        <w:rPr>
          <w:rFonts w:eastAsia="Times New Roman"/>
          <w:sz w:val="20"/>
          <w:szCs w:val="20"/>
          <w:lang w:val="es-ES" w:eastAsia="es-ES"/>
        </w:rPr>
        <w:t xml:space="preserve"> E</w:t>
      </w:r>
      <w:r>
        <w:rPr>
          <w:rFonts w:eastAsia="Times New Roman"/>
          <w:sz w:val="20"/>
          <w:szCs w:val="20"/>
          <w:lang w:val="es-ES" w:eastAsia="es-ES"/>
        </w:rPr>
        <w:t>misor</w:t>
      </w:r>
      <w:r w:rsidRPr="00DC3B92">
        <w:rPr>
          <w:rFonts w:eastAsia="Times New Roman"/>
          <w:sz w:val="20"/>
          <w:szCs w:val="20"/>
          <w:lang w:val="es-ES" w:eastAsia="es-ES"/>
        </w:rPr>
        <w:t>, y de examinar, y ha recibido y examinado, toda la información adicional que consideró necesaria para verificar la exactitud de la información contenida en el presente, y/o para complementar tal información.</w:t>
      </w:r>
    </w:p>
    <w:p w14:paraId="164077A9" w14:textId="77777777" w:rsidR="00DC3B92" w:rsidRPr="00916F81" w:rsidRDefault="00DC3B92" w:rsidP="00916F81">
      <w:pPr>
        <w:spacing w:after="0"/>
        <w:jc w:val="both"/>
        <w:rPr>
          <w:rFonts w:eastAsia="Times New Roman"/>
          <w:sz w:val="20"/>
          <w:szCs w:val="20"/>
          <w:lang w:val="es-ES" w:eastAsia="es-ES"/>
        </w:rPr>
      </w:pPr>
    </w:p>
    <w:p w14:paraId="423B42C5" w14:textId="77777777" w:rsidR="001C2C31" w:rsidRPr="001C2C31" w:rsidRDefault="001C2C31" w:rsidP="00916F81">
      <w:pPr>
        <w:pStyle w:val="Puesto"/>
      </w:pPr>
      <w:r w:rsidRPr="001C2C31">
        <w:br w:type="page"/>
      </w:r>
      <w:bookmarkStart w:id="5" w:name="_Toc240884505"/>
      <w:bookmarkStart w:id="6" w:name="_Toc293064296"/>
      <w:bookmarkStart w:id="7" w:name="_Toc356987188"/>
      <w:bookmarkStart w:id="8" w:name="_Toc20327132"/>
      <w:r w:rsidRPr="001C2C31">
        <w:lastRenderedPageBreak/>
        <w:t>II. INFORMACIÓN RELEVANTE</w:t>
      </w:r>
      <w:bookmarkEnd w:id="5"/>
      <w:bookmarkEnd w:id="6"/>
      <w:bookmarkEnd w:id="7"/>
      <w:bookmarkEnd w:id="8"/>
    </w:p>
    <w:p w14:paraId="767D5821" w14:textId="77777777" w:rsidR="008157C9" w:rsidRDefault="008157C9" w:rsidP="008157C9">
      <w:pPr>
        <w:spacing w:after="0"/>
        <w:jc w:val="both"/>
        <w:rPr>
          <w:rFonts w:eastAsia="Times New Roman"/>
          <w:i/>
          <w:sz w:val="20"/>
          <w:szCs w:val="20"/>
          <w:lang w:eastAsia="es-ES"/>
        </w:rPr>
      </w:pPr>
    </w:p>
    <w:p w14:paraId="41AADEA7" w14:textId="77777777" w:rsidR="008157C9" w:rsidRDefault="008157C9" w:rsidP="008157C9">
      <w:pPr>
        <w:spacing w:after="0"/>
        <w:jc w:val="both"/>
        <w:rPr>
          <w:rFonts w:eastAsia="Times New Roman"/>
          <w:i/>
          <w:sz w:val="20"/>
          <w:szCs w:val="20"/>
          <w:lang w:eastAsia="es-ES"/>
        </w:rPr>
      </w:pPr>
      <w:r w:rsidRPr="00524EDD">
        <w:rPr>
          <w:rFonts w:eastAsia="Times New Roman"/>
          <w:i/>
          <w:sz w:val="20"/>
          <w:szCs w:val="20"/>
          <w:lang w:eastAsia="es-ES"/>
        </w:rPr>
        <w:t>Aprobaciones Societarias</w:t>
      </w:r>
    </w:p>
    <w:p w14:paraId="532C7F76" w14:textId="77777777" w:rsidR="008157C9" w:rsidRDefault="008157C9" w:rsidP="008157C9">
      <w:pPr>
        <w:spacing w:after="0"/>
        <w:jc w:val="both"/>
        <w:rPr>
          <w:rFonts w:eastAsia="Times New Roman"/>
          <w:sz w:val="20"/>
          <w:szCs w:val="20"/>
          <w:lang w:eastAsia="es-ES"/>
        </w:rPr>
      </w:pPr>
    </w:p>
    <w:p w14:paraId="6D22C70D" w14:textId="44C8B34E" w:rsidR="008157C9" w:rsidRDefault="008157C9" w:rsidP="00916F81">
      <w:pPr>
        <w:spacing w:after="0"/>
        <w:jc w:val="both"/>
        <w:rPr>
          <w:rFonts w:eastAsia="Times New Roman"/>
          <w:i/>
          <w:sz w:val="20"/>
          <w:szCs w:val="20"/>
          <w:lang w:eastAsia="es-ES"/>
        </w:rPr>
      </w:pPr>
      <w:r w:rsidRPr="001C2C31">
        <w:rPr>
          <w:rFonts w:eastAsia="Times New Roman"/>
          <w:sz w:val="20"/>
          <w:szCs w:val="20"/>
          <w:lang w:eastAsia="es-ES"/>
        </w:rPr>
        <w:t xml:space="preserve">La emisión </w:t>
      </w:r>
      <w:r w:rsidR="002C26CC">
        <w:rPr>
          <w:rFonts w:eastAsia="Times New Roman"/>
          <w:sz w:val="20"/>
          <w:szCs w:val="20"/>
          <w:lang w:eastAsia="es-ES"/>
        </w:rPr>
        <w:t xml:space="preserve">y los términos y condiciones </w:t>
      </w:r>
      <w:r w:rsidRPr="001C2C31">
        <w:rPr>
          <w:rFonts w:eastAsia="Times New Roman"/>
          <w:sz w:val="20"/>
          <w:szCs w:val="20"/>
          <w:lang w:eastAsia="es-ES"/>
        </w:rPr>
        <w:t xml:space="preserve">de las Obligaciones Negociables </w:t>
      </w:r>
      <w:r w:rsidR="002C26CC">
        <w:rPr>
          <w:rFonts w:eastAsia="Times New Roman"/>
          <w:sz w:val="20"/>
          <w:szCs w:val="20"/>
          <w:lang w:eastAsia="es-ES"/>
        </w:rPr>
        <w:t>fueron aprobados</w:t>
      </w:r>
      <w:r w:rsidRPr="001C2C31">
        <w:rPr>
          <w:rFonts w:eastAsia="Times New Roman"/>
          <w:sz w:val="20"/>
          <w:szCs w:val="20"/>
          <w:lang w:eastAsia="es-ES"/>
        </w:rPr>
        <w:t xml:space="preserve"> por el </w:t>
      </w:r>
      <w:r w:rsidR="00385CD8" w:rsidRPr="001C2C31">
        <w:rPr>
          <w:rFonts w:eastAsia="Times New Roman"/>
          <w:sz w:val="20"/>
          <w:szCs w:val="20"/>
          <w:lang w:eastAsia="es-ES"/>
        </w:rPr>
        <w:t xml:space="preserve">Directorio </w:t>
      </w:r>
      <w:r w:rsidRPr="001C2C31">
        <w:rPr>
          <w:rFonts w:eastAsia="Times New Roman"/>
          <w:sz w:val="20"/>
          <w:szCs w:val="20"/>
          <w:lang w:eastAsia="es-ES"/>
        </w:rPr>
        <w:t xml:space="preserve">de GST mediante acta N° </w:t>
      </w:r>
      <w:r w:rsidR="00253A14">
        <w:rPr>
          <w:rFonts w:eastAsia="Times New Roman"/>
          <w:sz w:val="20"/>
          <w:szCs w:val="20"/>
          <w:lang w:eastAsia="es-ES"/>
        </w:rPr>
        <w:t>25</w:t>
      </w:r>
      <w:r w:rsidR="003E1F5A">
        <w:rPr>
          <w:rFonts w:eastAsia="Times New Roman"/>
          <w:sz w:val="20"/>
          <w:szCs w:val="20"/>
          <w:lang w:eastAsia="es-ES"/>
        </w:rPr>
        <w:t>6</w:t>
      </w:r>
      <w:r w:rsidRPr="001C2C31">
        <w:rPr>
          <w:rFonts w:eastAsia="Times New Roman"/>
          <w:sz w:val="20"/>
          <w:szCs w:val="20"/>
          <w:lang w:eastAsia="es-ES"/>
        </w:rPr>
        <w:t xml:space="preserve"> de fecha </w:t>
      </w:r>
      <w:r w:rsidR="00253A14">
        <w:rPr>
          <w:rFonts w:eastAsia="Times New Roman"/>
          <w:sz w:val="20"/>
          <w:szCs w:val="20"/>
          <w:lang w:eastAsia="es-ES"/>
        </w:rPr>
        <w:t>1</w:t>
      </w:r>
      <w:r w:rsidR="003E1F5A">
        <w:rPr>
          <w:rFonts w:eastAsia="Times New Roman"/>
          <w:sz w:val="20"/>
          <w:szCs w:val="20"/>
          <w:lang w:eastAsia="es-ES"/>
        </w:rPr>
        <w:t>1</w:t>
      </w:r>
      <w:r w:rsidRPr="001C2C31">
        <w:rPr>
          <w:rFonts w:eastAsia="Times New Roman"/>
          <w:sz w:val="20"/>
          <w:szCs w:val="20"/>
          <w:lang w:eastAsia="es-ES"/>
        </w:rPr>
        <w:t xml:space="preserve"> de </w:t>
      </w:r>
      <w:r w:rsidR="003E1F5A">
        <w:rPr>
          <w:rFonts w:eastAsia="Times New Roman"/>
          <w:sz w:val="20"/>
          <w:szCs w:val="20"/>
          <w:lang w:eastAsia="es-ES"/>
        </w:rPr>
        <w:t>noviembre</w:t>
      </w:r>
      <w:r>
        <w:rPr>
          <w:rFonts w:eastAsia="Times New Roman"/>
          <w:sz w:val="20"/>
          <w:szCs w:val="20"/>
          <w:lang w:eastAsia="es-ES"/>
        </w:rPr>
        <w:t xml:space="preserve"> </w:t>
      </w:r>
      <w:r w:rsidRPr="001C2C31">
        <w:rPr>
          <w:rFonts w:eastAsia="Times New Roman"/>
          <w:sz w:val="20"/>
          <w:szCs w:val="20"/>
          <w:lang w:eastAsia="es-ES"/>
        </w:rPr>
        <w:t xml:space="preserve">de </w:t>
      </w:r>
      <w:r w:rsidR="00385CD8">
        <w:rPr>
          <w:rFonts w:eastAsia="Times New Roman"/>
          <w:sz w:val="20"/>
          <w:szCs w:val="20"/>
          <w:lang w:eastAsia="es-ES"/>
        </w:rPr>
        <w:t>2019</w:t>
      </w:r>
      <w:r w:rsidR="002C26CC">
        <w:rPr>
          <w:rFonts w:eastAsia="Times New Roman"/>
          <w:sz w:val="20"/>
          <w:szCs w:val="20"/>
          <w:lang w:eastAsia="es-ES"/>
        </w:rPr>
        <w:t xml:space="preserve"> y los término</w:t>
      </w:r>
      <w:r w:rsidR="003E1F5A">
        <w:rPr>
          <w:rFonts w:eastAsia="Times New Roman"/>
          <w:sz w:val="20"/>
          <w:szCs w:val="20"/>
          <w:lang w:eastAsia="es-ES"/>
        </w:rPr>
        <w:t>s</w:t>
      </w:r>
      <w:r w:rsidR="002C26CC">
        <w:rPr>
          <w:rFonts w:eastAsia="Times New Roman"/>
          <w:sz w:val="20"/>
          <w:szCs w:val="20"/>
          <w:lang w:eastAsia="es-ES"/>
        </w:rPr>
        <w:t xml:space="preserve"> y condiciones definitivos por acta de subdelegado de fecha </w:t>
      </w:r>
      <w:r w:rsidR="003E1F5A">
        <w:rPr>
          <w:rFonts w:eastAsia="Times New Roman"/>
          <w:sz w:val="20"/>
          <w:szCs w:val="20"/>
          <w:lang w:eastAsia="es-ES"/>
        </w:rPr>
        <w:t>3</w:t>
      </w:r>
      <w:r w:rsidR="002C26CC">
        <w:rPr>
          <w:rFonts w:eastAsia="Times New Roman"/>
          <w:sz w:val="20"/>
          <w:szCs w:val="20"/>
          <w:lang w:eastAsia="es-ES"/>
        </w:rPr>
        <w:t xml:space="preserve"> de </w:t>
      </w:r>
      <w:r w:rsidR="003E1F5A">
        <w:rPr>
          <w:rFonts w:eastAsia="Times New Roman"/>
          <w:sz w:val="20"/>
          <w:szCs w:val="20"/>
          <w:lang w:eastAsia="es-ES"/>
        </w:rPr>
        <w:t>diciembre</w:t>
      </w:r>
      <w:r w:rsidR="002C26CC">
        <w:rPr>
          <w:rFonts w:eastAsia="Times New Roman"/>
          <w:sz w:val="20"/>
          <w:szCs w:val="20"/>
          <w:lang w:eastAsia="es-ES"/>
        </w:rPr>
        <w:t xml:space="preserve"> de 2019</w:t>
      </w:r>
      <w:r>
        <w:rPr>
          <w:rFonts w:eastAsia="Times New Roman"/>
          <w:sz w:val="20"/>
          <w:szCs w:val="20"/>
          <w:lang w:eastAsia="es-ES"/>
        </w:rPr>
        <w:t xml:space="preserve">, </w:t>
      </w:r>
      <w:r w:rsidRPr="00916F81">
        <w:rPr>
          <w:rFonts w:eastAsia="Times New Roman"/>
          <w:sz w:val="20"/>
          <w:szCs w:val="20"/>
          <w:lang w:eastAsia="es-ES"/>
        </w:rPr>
        <w:t>conforme con las facultades delegadas en virtud de la mencionada asamblea de accionistas de la Sociedad.</w:t>
      </w:r>
    </w:p>
    <w:p w14:paraId="6A3B4138" w14:textId="77777777" w:rsidR="008157C9" w:rsidRDefault="008157C9" w:rsidP="00916F81">
      <w:pPr>
        <w:spacing w:after="0"/>
        <w:jc w:val="both"/>
        <w:rPr>
          <w:rFonts w:eastAsia="Times New Roman"/>
          <w:i/>
          <w:sz w:val="20"/>
          <w:szCs w:val="20"/>
          <w:lang w:eastAsia="es-ES"/>
        </w:rPr>
      </w:pPr>
    </w:p>
    <w:p w14:paraId="7E41F927" w14:textId="77777777" w:rsidR="00E71F71" w:rsidRPr="00916F81" w:rsidRDefault="00E71F71" w:rsidP="00916F81">
      <w:pPr>
        <w:spacing w:after="0"/>
        <w:jc w:val="both"/>
        <w:rPr>
          <w:rFonts w:eastAsia="Times New Roman"/>
          <w:i/>
          <w:sz w:val="20"/>
          <w:szCs w:val="20"/>
          <w:lang w:eastAsia="es-ES"/>
        </w:rPr>
      </w:pPr>
      <w:r w:rsidRPr="00916F81">
        <w:rPr>
          <w:rFonts w:eastAsia="Times New Roman"/>
          <w:i/>
          <w:sz w:val="20"/>
          <w:szCs w:val="20"/>
          <w:lang w:eastAsia="es-ES"/>
        </w:rPr>
        <w:t>Ciertos Términos Definidos</w:t>
      </w:r>
    </w:p>
    <w:p w14:paraId="44003804" w14:textId="77777777" w:rsidR="008157C9" w:rsidRDefault="008157C9" w:rsidP="00916F81">
      <w:pPr>
        <w:spacing w:after="0"/>
        <w:jc w:val="both"/>
        <w:rPr>
          <w:rFonts w:eastAsia="Times New Roman"/>
          <w:sz w:val="20"/>
          <w:szCs w:val="20"/>
          <w:lang w:eastAsia="es-ES"/>
        </w:rPr>
      </w:pPr>
    </w:p>
    <w:p w14:paraId="5771CC31" w14:textId="2608573D"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A los fines de este Suplemento de Precio, el Emisor utiliza los términos “</w:t>
      </w:r>
      <w:r w:rsidRPr="00916F81">
        <w:rPr>
          <w:rFonts w:eastAsia="Times New Roman"/>
          <w:b/>
          <w:sz w:val="20"/>
          <w:szCs w:val="20"/>
          <w:lang w:eastAsia="es-ES"/>
        </w:rPr>
        <w:t>GST</w:t>
      </w:r>
      <w:r w:rsidRPr="001C2C31">
        <w:rPr>
          <w:rFonts w:eastAsia="Times New Roman"/>
          <w:sz w:val="20"/>
          <w:szCs w:val="20"/>
          <w:lang w:eastAsia="es-ES"/>
        </w:rPr>
        <w:t>”, el “</w:t>
      </w:r>
      <w:r w:rsidRPr="00916F81">
        <w:rPr>
          <w:rFonts w:eastAsia="Times New Roman"/>
          <w:b/>
          <w:sz w:val="20"/>
          <w:szCs w:val="20"/>
          <w:lang w:eastAsia="es-ES"/>
        </w:rPr>
        <w:t>Emisor</w:t>
      </w:r>
      <w:r w:rsidRPr="001C2C31">
        <w:rPr>
          <w:rFonts w:eastAsia="Times New Roman"/>
          <w:sz w:val="20"/>
          <w:szCs w:val="20"/>
          <w:lang w:eastAsia="es-ES"/>
        </w:rPr>
        <w:t>”</w:t>
      </w:r>
      <w:r w:rsidR="00E71F71">
        <w:rPr>
          <w:rFonts w:eastAsia="Times New Roman"/>
          <w:sz w:val="20"/>
          <w:szCs w:val="20"/>
          <w:lang w:eastAsia="es-ES"/>
        </w:rPr>
        <w:t>, la “</w:t>
      </w:r>
      <w:r w:rsidR="00E71F71" w:rsidRPr="00916F81">
        <w:rPr>
          <w:rFonts w:eastAsia="Times New Roman"/>
          <w:b/>
          <w:sz w:val="20"/>
          <w:szCs w:val="20"/>
          <w:lang w:eastAsia="es-ES"/>
        </w:rPr>
        <w:t>Compañía</w:t>
      </w:r>
      <w:r w:rsidR="00E71F71">
        <w:rPr>
          <w:rFonts w:eastAsia="Times New Roman"/>
          <w:sz w:val="20"/>
          <w:szCs w:val="20"/>
          <w:lang w:eastAsia="es-ES"/>
        </w:rPr>
        <w:t>”, la “</w:t>
      </w:r>
      <w:r w:rsidR="00E71F71" w:rsidRPr="00916F81">
        <w:rPr>
          <w:rFonts w:eastAsia="Times New Roman"/>
          <w:b/>
          <w:sz w:val="20"/>
          <w:szCs w:val="20"/>
          <w:lang w:eastAsia="es-ES"/>
        </w:rPr>
        <w:t>Sociedad</w:t>
      </w:r>
      <w:r w:rsidR="00E71F71">
        <w:rPr>
          <w:rFonts w:eastAsia="Times New Roman"/>
          <w:sz w:val="20"/>
          <w:szCs w:val="20"/>
          <w:lang w:eastAsia="es-ES"/>
        </w:rPr>
        <w:t>”</w:t>
      </w:r>
      <w:r w:rsidRPr="001C2C31">
        <w:rPr>
          <w:rFonts w:eastAsia="Times New Roman"/>
          <w:sz w:val="20"/>
          <w:szCs w:val="20"/>
          <w:lang w:eastAsia="es-ES"/>
        </w:rPr>
        <w:t xml:space="preserve"> o la “</w:t>
      </w:r>
      <w:r w:rsidRPr="00916F81">
        <w:rPr>
          <w:rFonts w:eastAsia="Times New Roman"/>
          <w:b/>
          <w:sz w:val="20"/>
          <w:szCs w:val="20"/>
          <w:lang w:eastAsia="es-ES"/>
        </w:rPr>
        <w:t>Entidad</w:t>
      </w:r>
      <w:r w:rsidRPr="001C2C31">
        <w:rPr>
          <w:rFonts w:eastAsia="Times New Roman"/>
          <w:sz w:val="20"/>
          <w:szCs w:val="20"/>
          <w:lang w:eastAsia="es-ES"/>
        </w:rPr>
        <w:t xml:space="preserve">” </w:t>
      </w:r>
      <w:r w:rsidR="00E71F71">
        <w:rPr>
          <w:rFonts w:eastAsia="Times New Roman"/>
          <w:sz w:val="20"/>
          <w:szCs w:val="20"/>
          <w:lang w:eastAsia="es-ES"/>
        </w:rPr>
        <w:t xml:space="preserve">indistintamente </w:t>
      </w:r>
      <w:r w:rsidRPr="001C2C31">
        <w:rPr>
          <w:rFonts w:eastAsia="Times New Roman"/>
          <w:sz w:val="20"/>
          <w:szCs w:val="20"/>
          <w:lang w:eastAsia="es-ES"/>
        </w:rPr>
        <w:t>para referirse a Grupo ST S.A. El término “</w:t>
      </w:r>
      <w:r w:rsidRPr="00916F81">
        <w:rPr>
          <w:rFonts w:eastAsia="Times New Roman"/>
          <w:b/>
          <w:sz w:val="20"/>
          <w:szCs w:val="20"/>
          <w:lang w:eastAsia="es-ES"/>
        </w:rPr>
        <w:t>Gobierno Argentino</w:t>
      </w:r>
      <w:r w:rsidRPr="001C2C31">
        <w:rPr>
          <w:rFonts w:eastAsia="Times New Roman"/>
          <w:sz w:val="20"/>
          <w:szCs w:val="20"/>
          <w:lang w:eastAsia="es-ES"/>
        </w:rPr>
        <w:t>” se refiere al Gobierno de la Nación Argentina, el término “</w:t>
      </w:r>
      <w:r w:rsidRPr="00916F81">
        <w:rPr>
          <w:rFonts w:eastAsia="Times New Roman"/>
          <w:b/>
          <w:sz w:val="20"/>
          <w:szCs w:val="20"/>
          <w:lang w:eastAsia="es-ES"/>
        </w:rPr>
        <w:t>Banco Central</w:t>
      </w:r>
      <w:r w:rsidRPr="001C2C31">
        <w:rPr>
          <w:rFonts w:eastAsia="Times New Roman"/>
          <w:sz w:val="20"/>
          <w:szCs w:val="20"/>
          <w:lang w:eastAsia="es-ES"/>
        </w:rPr>
        <w:t>” o “</w:t>
      </w:r>
      <w:r w:rsidRPr="00916F81">
        <w:rPr>
          <w:rFonts w:eastAsia="Times New Roman"/>
          <w:b/>
          <w:sz w:val="20"/>
          <w:szCs w:val="20"/>
          <w:lang w:eastAsia="es-ES"/>
        </w:rPr>
        <w:t>BCRA</w:t>
      </w:r>
      <w:r w:rsidRPr="001C2C31">
        <w:rPr>
          <w:rFonts w:eastAsia="Times New Roman"/>
          <w:sz w:val="20"/>
          <w:szCs w:val="20"/>
          <w:lang w:eastAsia="es-ES"/>
        </w:rPr>
        <w:t xml:space="preserve">” se refiere al Banco Central de la República Argentina, </w:t>
      </w:r>
      <w:r w:rsidR="001F48CC">
        <w:rPr>
          <w:rFonts w:eastAsia="Times New Roman"/>
          <w:sz w:val="20"/>
          <w:szCs w:val="24"/>
          <w:lang w:eastAsia="es-ES"/>
        </w:rPr>
        <w:t>los</w:t>
      </w:r>
      <w:r w:rsidR="00385CD8">
        <w:rPr>
          <w:rFonts w:eastAsia="Times New Roman"/>
          <w:sz w:val="20"/>
          <w:szCs w:val="24"/>
          <w:lang w:eastAsia="es-ES"/>
        </w:rPr>
        <w:t xml:space="preserve"> término</w:t>
      </w:r>
      <w:r w:rsidR="001F48CC">
        <w:rPr>
          <w:rFonts w:eastAsia="Times New Roman"/>
          <w:sz w:val="20"/>
          <w:szCs w:val="24"/>
          <w:lang w:eastAsia="es-ES"/>
        </w:rPr>
        <w:t>s</w:t>
      </w:r>
      <w:r w:rsidRPr="001C2C31">
        <w:rPr>
          <w:rFonts w:eastAsia="Times New Roman"/>
          <w:sz w:val="20"/>
          <w:szCs w:val="24"/>
          <w:lang w:eastAsia="es-ES"/>
        </w:rPr>
        <w:t xml:space="preserve"> </w:t>
      </w:r>
      <w:r w:rsidR="001F48CC">
        <w:rPr>
          <w:rFonts w:eastAsia="Times New Roman"/>
          <w:sz w:val="20"/>
          <w:szCs w:val="24"/>
          <w:lang w:eastAsia="es-ES"/>
        </w:rPr>
        <w:t>“</w:t>
      </w:r>
      <w:r w:rsidR="001F48CC" w:rsidRPr="001F48CC">
        <w:rPr>
          <w:rFonts w:eastAsia="Times New Roman"/>
          <w:b/>
          <w:sz w:val="20"/>
          <w:szCs w:val="24"/>
          <w:lang w:eastAsia="es-ES"/>
        </w:rPr>
        <w:t>dólares estadounidenses</w:t>
      </w:r>
      <w:r w:rsidR="001F48CC">
        <w:rPr>
          <w:rFonts w:eastAsia="Times New Roman"/>
          <w:sz w:val="20"/>
          <w:szCs w:val="24"/>
          <w:lang w:eastAsia="es-ES"/>
        </w:rPr>
        <w:t xml:space="preserve">” y </w:t>
      </w:r>
      <w:r w:rsidRPr="001C2C31">
        <w:rPr>
          <w:rFonts w:eastAsia="Times New Roman"/>
          <w:sz w:val="20"/>
          <w:szCs w:val="24"/>
          <w:lang w:eastAsia="es-ES"/>
        </w:rPr>
        <w:t>“</w:t>
      </w:r>
      <w:r w:rsidRPr="00916F81">
        <w:rPr>
          <w:rFonts w:eastAsia="Times New Roman"/>
          <w:b/>
          <w:sz w:val="20"/>
          <w:szCs w:val="24"/>
          <w:lang w:eastAsia="es-ES"/>
        </w:rPr>
        <w:t>US$</w:t>
      </w:r>
      <w:r w:rsidR="00385CD8">
        <w:rPr>
          <w:rFonts w:eastAsia="Times New Roman"/>
          <w:sz w:val="20"/>
          <w:szCs w:val="24"/>
          <w:lang w:eastAsia="es-ES"/>
        </w:rPr>
        <w:t>” se refiere</w:t>
      </w:r>
      <w:r w:rsidRPr="001C2C31">
        <w:rPr>
          <w:rFonts w:eastAsia="Times New Roman"/>
          <w:sz w:val="20"/>
          <w:szCs w:val="24"/>
          <w:lang w:eastAsia="es-ES"/>
        </w:rPr>
        <w:t xml:space="preserve"> a la moneda de curso legal en los Estados Unidos de América, los términos “</w:t>
      </w:r>
      <w:r w:rsidRPr="00916F81">
        <w:rPr>
          <w:rFonts w:eastAsia="Times New Roman"/>
          <w:b/>
          <w:sz w:val="20"/>
          <w:szCs w:val="24"/>
          <w:lang w:eastAsia="es-ES"/>
        </w:rPr>
        <w:t>pesos</w:t>
      </w:r>
      <w:r w:rsidRPr="001C2C31">
        <w:rPr>
          <w:rFonts w:eastAsia="Times New Roman"/>
          <w:sz w:val="20"/>
          <w:szCs w:val="24"/>
          <w:lang w:eastAsia="es-ES"/>
        </w:rPr>
        <w:t>”</w:t>
      </w:r>
      <w:r w:rsidR="006E3772">
        <w:rPr>
          <w:rFonts w:eastAsia="Times New Roman"/>
          <w:sz w:val="20"/>
          <w:szCs w:val="24"/>
          <w:lang w:eastAsia="es-ES"/>
        </w:rPr>
        <w:t xml:space="preserve"> “</w:t>
      </w:r>
      <w:r w:rsidR="006E3772" w:rsidRPr="006E3772">
        <w:rPr>
          <w:rFonts w:eastAsia="Times New Roman"/>
          <w:b/>
          <w:sz w:val="20"/>
          <w:szCs w:val="24"/>
          <w:lang w:eastAsia="es-ES"/>
        </w:rPr>
        <w:t>Pesos</w:t>
      </w:r>
      <w:r w:rsidR="006E3772">
        <w:rPr>
          <w:rFonts w:eastAsia="Times New Roman"/>
          <w:sz w:val="20"/>
          <w:szCs w:val="24"/>
          <w:lang w:eastAsia="es-ES"/>
        </w:rPr>
        <w:t>”</w:t>
      </w:r>
      <w:r w:rsidRPr="001C2C31">
        <w:rPr>
          <w:rFonts w:eastAsia="Times New Roman"/>
          <w:sz w:val="20"/>
          <w:szCs w:val="24"/>
          <w:lang w:eastAsia="es-ES"/>
        </w:rPr>
        <w:t xml:space="preserve"> y “</w:t>
      </w:r>
      <w:r w:rsidRPr="00916F81">
        <w:rPr>
          <w:rFonts w:eastAsia="Times New Roman"/>
          <w:b/>
          <w:sz w:val="20"/>
          <w:szCs w:val="24"/>
          <w:lang w:eastAsia="es-ES"/>
        </w:rPr>
        <w:t>$</w:t>
      </w:r>
      <w:r w:rsidRPr="001C2C31">
        <w:rPr>
          <w:rFonts w:eastAsia="Times New Roman"/>
          <w:sz w:val="20"/>
          <w:szCs w:val="24"/>
          <w:lang w:eastAsia="es-ES"/>
        </w:rPr>
        <w:t>” se refieren a la moneda de curso legal en la República Argentina</w:t>
      </w:r>
      <w:r w:rsidR="00385CD8">
        <w:rPr>
          <w:rFonts w:eastAsia="Times New Roman"/>
          <w:sz w:val="20"/>
          <w:szCs w:val="24"/>
          <w:lang w:eastAsia="es-ES"/>
        </w:rPr>
        <w:t>.</w:t>
      </w:r>
    </w:p>
    <w:p w14:paraId="43B34C5E" w14:textId="77777777" w:rsidR="008157C9" w:rsidRDefault="008157C9" w:rsidP="00916F81">
      <w:pPr>
        <w:spacing w:after="0"/>
        <w:jc w:val="both"/>
        <w:rPr>
          <w:rFonts w:eastAsia="Times New Roman"/>
          <w:sz w:val="20"/>
          <w:szCs w:val="20"/>
          <w:lang w:eastAsia="es-ES"/>
        </w:rPr>
      </w:pPr>
    </w:p>
    <w:p w14:paraId="50858073" w14:textId="77777777" w:rsidR="008157C9" w:rsidRPr="00385CD8" w:rsidRDefault="008157C9" w:rsidP="008157C9">
      <w:pPr>
        <w:spacing w:after="0"/>
        <w:jc w:val="both"/>
        <w:rPr>
          <w:rFonts w:eastAsia="Times New Roman"/>
          <w:i/>
          <w:sz w:val="20"/>
          <w:szCs w:val="20"/>
          <w:lang w:eastAsia="es-ES"/>
        </w:rPr>
      </w:pPr>
      <w:bookmarkStart w:id="9" w:name="_Toc18364032"/>
      <w:r w:rsidRPr="00385CD8">
        <w:rPr>
          <w:rFonts w:eastAsia="Times New Roman"/>
          <w:i/>
          <w:sz w:val="20"/>
          <w:szCs w:val="20"/>
          <w:lang w:eastAsia="es-ES"/>
        </w:rPr>
        <w:t>Redondeo</w:t>
      </w:r>
      <w:bookmarkEnd w:id="9"/>
      <w:r w:rsidRPr="00385CD8">
        <w:rPr>
          <w:rFonts w:eastAsia="Times New Roman"/>
          <w:i/>
          <w:sz w:val="20"/>
          <w:szCs w:val="20"/>
          <w:lang w:eastAsia="es-ES"/>
        </w:rPr>
        <w:t xml:space="preserve"> </w:t>
      </w:r>
    </w:p>
    <w:p w14:paraId="2C9D8E80" w14:textId="77777777" w:rsidR="008157C9" w:rsidRPr="008157C9" w:rsidRDefault="008157C9" w:rsidP="008157C9">
      <w:pPr>
        <w:spacing w:after="0"/>
        <w:jc w:val="both"/>
        <w:rPr>
          <w:rFonts w:eastAsia="Times New Roman"/>
          <w:b/>
          <w:bCs/>
          <w:i/>
          <w:sz w:val="20"/>
          <w:szCs w:val="20"/>
          <w:u w:val="single"/>
          <w:lang w:eastAsia="es-ES"/>
        </w:rPr>
      </w:pPr>
    </w:p>
    <w:p w14:paraId="33708C5B" w14:textId="77777777" w:rsidR="008157C9" w:rsidRPr="008157C9" w:rsidRDefault="008157C9" w:rsidP="008157C9">
      <w:pPr>
        <w:spacing w:after="0"/>
        <w:jc w:val="both"/>
        <w:rPr>
          <w:rFonts w:eastAsia="Times New Roman"/>
          <w:sz w:val="20"/>
          <w:szCs w:val="20"/>
          <w:lang w:eastAsia="es-ES"/>
        </w:rPr>
      </w:pPr>
      <w:r w:rsidRPr="008157C9">
        <w:rPr>
          <w:rFonts w:eastAsia="Times New Roman"/>
          <w:sz w:val="20"/>
          <w:szCs w:val="20"/>
          <w:lang w:eastAsia="es-ES"/>
        </w:rPr>
        <w:t>Diversos montos y porcentajes incluidos en el presente Suplemento han sido redondeados y, en consecuencia, su sumatoria puede no coincidir debido a dicha circunstancia.</w:t>
      </w:r>
    </w:p>
    <w:p w14:paraId="7FC56050" w14:textId="77777777" w:rsidR="008157C9" w:rsidRPr="008157C9" w:rsidRDefault="008157C9" w:rsidP="008157C9">
      <w:pPr>
        <w:spacing w:after="0"/>
        <w:jc w:val="both"/>
        <w:rPr>
          <w:rFonts w:eastAsia="Times New Roman"/>
          <w:sz w:val="20"/>
          <w:szCs w:val="20"/>
          <w:lang w:eastAsia="es-ES"/>
        </w:rPr>
      </w:pPr>
    </w:p>
    <w:p w14:paraId="520CD46C" w14:textId="77777777" w:rsidR="008157C9" w:rsidRPr="00385CD8" w:rsidRDefault="008157C9" w:rsidP="008157C9">
      <w:pPr>
        <w:spacing w:after="0"/>
        <w:jc w:val="both"/>
        <w:rPr>
          <w:rFonts w:eastAsia="Times New Roman"/>
          <w:i/>
          <w:sz w:val="20"/>
          <w:szCs w:val="20"/>
          <w:lang w:eastAsia="es-ES"/>
        </w:rPr>
      </w:pPr>
      <w:bookmarkStart w:id="10" w:name="_Toc18364033"/>
      <w:r w:rsidRPr="00385CD8">
        <w:rPr>
          <w:rFonts w:eastAsia="Times New Roman"/>
          <w:i/>
          <w:sz w:val="20"/>
          <w:szCs w:val="20"/>
          <w:lang w:eastAsia="es-ES"/>
        </w:rPr>
        <w:t>Declaraciones Sobre el Futuro</w:t>
      </w:r>
      <w:bookmarkEnd w:id="10"/>
    </w:p>
    <w:p w14:paraId="513E1AB6" w14:textId="77777777" w:rsidR="008157C9" w:rsidRPr="008157C9" w:rsidRDefault="008157C9" w:rsidP="008157C9">
      <w:pPr>
        <w:spacing w:after="0"/>
        <w:jc w:val="both"/>
        <w:rPr>
          <w:rFonts w:eastAsia="Times New Roman"/>
          <w:b/>
          <w:bCs/>
          <w:i/>
          <w:sz w:val="20"/>
          <w:szCs w:val="20"/>
          <w:u w:val="single"/>
          <w:lang w:eastAsia="es-ES"/>
        </w:rPr>
      </w:pPr>
    </w:p>
    <w:p w14:paraId="56938C09" w14:textId="77777777" w:rsidR="008157C9" w:rsidRDefault="008157C9" w:rsidP="008157C9">
      <w:pPr>
        <w:spacing w:after="0"/>
        <w:jc w:val="both"/>
        <w:rPr>
          <w:rFonts w:eastAsia="Times New Roman"/>
          <w:sz w:val="20"/>
          <w:szCs w:val="20"/>
          <w:lang w:eastAsia="es-ES"/>
        </w:rPr>
      </w:pPr>
      <w:r w:rsidRPr="008157C9">
        <w:rPr>
          <w:rFonts w:eastAsia="Times New Roman"/>
          <w:sz w:val="20"/>
          <w:szCs w:val="20"/>
          <w:lang w:eastAsia="es-ES"/>
        </w:rPr>
        <w:t>En el presente Suplemento pueden existir declaraciones sobre el futuro. Tales declaraciones sobre el futuro se basan principalmente en opiniones, expectativas y/o proyecciones actuales de la Sociedad respecto de eventos y/o tendencias que afectan o pueden afectar la situación patrimonial, económica, financiera y/o de otro tipo, los resultados, las operaciones y/o los negocios de la Sociedad. Sin perjuicio que la Sociedad considera que tales declaraciones sobre el futuro son razonables, las mismas igualmente están sujetas a riesgos e incertidumbres y han sido efectuadas solamente sobre la base de información disponible para la Sociedad a la fecha del presente. En virtud de ello, los resultados reales podrían ser significativamente distintos de los detallados en tales declaraciones sobre el futuro.</w:t>
      </w:r>
    </w:p>
    <w:p w14:paraId="75701FE4" w14:textId="77777777" w:rsidR="008157C9" w:rsidRPr="008157C9" w:rsidRDefault="008157C9" w:rsidP="008157C9">
      <w:pPr>
        <w:spacing w:after="0"/>
        <w:jc w:val="both"/>
        <w:rPr>
          <w:rFonts w:eastAsia="Times New Roman"/>
          <w:sz w:val="20"/>
          <w:szCs w:val="20"/>
          <w:lang w:eastAsia="es-ES"/>
        </w:rPr>
      </w:pPr>
    </w:p>
    <w:p w14:paraId="698459DF" w14:textId="77777777" w:rsidR="008157C9" w:rsidRPr="002C26CC" w:rsidRDefault="008157C9" w:rsidP="00916F81">
      <w:pPr>
        <w:spacing w:after="0"/>
        <w:jc w:val="both"/>
        <w:rPr>
          <w:rFonts w:eastAsia="Times New Roman"/>
          <w:sz w:val="20"/>
          <w:szCs w:val="20"/>
          <w:lang w:eastAsia="es-ES"/>
        </w:rPr>
      </w:pPr>
      <w:r w:rsidRPr="008157C9">
        <w:rPr>
          <w:rFonts w:eastAsia="Times New Roman"/>
          <w:sz w:val="20"/>
          <w:szCs w:val="20"/>
          <w:lang w:eastAsia="es-ES"/>
        </w:rPr>
        <w:t>La situación y los resultados pasados de la Sociedad no son, necesariamente, una indicación de la situación y los resultados futuros de la Sociedad, y no puede asegurarse que la Sociedad tendrá en el futuro una situación y unos resultados similares a los que tuvo en el pasado.</w:t>
      </w:r>
    </w:p>
    <w:p w14:paraId="1578BD85" w14:textId="77777777" w:rsidR="001C2C31" w:rsidRPr="001C2C31" w:rsidRDefault="001C2C31" w:rsidP="00916F81">
      <w:pPr>
        <w:pStyle w:val="Puesto"/>
      </w:pPr>
      <w:r w:rsidRPr="001C2C31">
        <w:br w:type="page"/>
      </w:r>
      <w:bookmarkStart w:id="11" w:name="_DV_M1910"/>
      <w:bookmarkStart w:id="12" w:name="_DV_M1911"/>
      <w:bookmarkStart w:id="13" w:name="_Toc240884507"/>
      <w:bookmarkStart w:id="14" w:name="_Toc293064298"/>
      <w:bookmarkStart w:id="15" w:name="_Toc20327133"/>
      <w:bookmarkStart w:id="16" w:name="_Toc356987190"/>
      <w:bookmarkEnd w:id="11"/>
      <w:bookmarkEnd w:id="12"/>
      <w:r w:rsidRPr="001C2C31">
        <w:lastRenderedPageBreak/>
        <w:t xml:space="preserve">III. TÉRMINOS Y CONDICIONES DE LAS </w:t>
      </w:r>
      <w:bookmarkEnd w:id="13"/>
      <w:bookmarkEnd w:id="14"/>
      <w:r w:rsidRPr="001C2C31">
        <w:t>OBLIGACIONES NEGOCIABLES</w:t>
      </w:r>
      <w:bookmarkEnd w:id="15"/>
      <w:r w:rsidRPr="001C2C31">
        <w:t xml:space="preserve"> </w:t>
      </w:r>
      <w:bookmarkEnd w:id="16"/>
    </w:p>
    <w:p w14:paraId="540B544F" w14:textId="77777777" w:rsidR="001C2C31" w:rsidRPr="001C2C31" w:rsidRDefault="001C2C31" w:rsidP="00916F81">
      <w:pPr>
        <w:autoSpaceDE w:val="0"/>
        <w:autoSpaceDN w:val="0"/>
        <w:adjustRightInd w:val="0"/>
        <w:spacing w:after="0"/>
        <w:jc w:val="both"/>
        <w:rPr>
          <w:rFonts w:eastAsia="Times New Roman"/>
          <w:sz w:val="20"/>
          <w:szCs w:val="20"/>
        </w:rPr>
      </w:pPr>
    </w:p>
    <w:p w14:paraId="51AE2EFE" w14:textId="77777777" w:rsidR="001C2C31" w:rsidRPr="001C2C31" w:rsidRDefault="001C2C31" w:rsidP="00916F81">
      <w:pPr>
        <w:autoSpaceDE w:val="0"/>
        <w:autoSpaceDN w:val="0"/>
        <w:adjustRightInd w:val="0"/>
        <w:spacing w:after="0"/>
        <w:jc w:val="both"/>
        <w:rPr>
          <w:rFonts w:eastAsia="Times New Roman"/>
          <w:sz w:val="20"/>
          <w:szCs w:val="20"/>
        </w:rPr>
      </w:pPr>
      <w:r w:rsidRPr="001C2C31">
        <w:rPr>
          <w:rFonts w:eastAsia="Times New Roman"/>
          <w:sz w:val="20"/>
          <w:szCs w:val="20"/>
        </w:rPr>
        <w:t>Lo descripto bajo este título “</w:t>
      </w:r>
      <w:r w:rsidRPr="001C2C31">
        <w:rPr>
          <w:rFonts w:eastAsia="Times New Roman"/>
          <w:i/>
          <w:iCs/>
          <w:sz w:val="20"/>
          <w:szCs w:val="20"/>
        </w:rPr>
        <w:t>Términos y Condiciones de las Obligaciones Negociables</w:t>
      </w:r>
      <w:r w:rsidRPr="001C2C31">
        <w:rPr>
          <w:rFonts w:eastAsia="Times New Roman"/>
          <w:sz w:val="20"/>
          <w:szCs w:val="20"/>
        </w:rPr>
        <w:t xml:space="preserve">” constituye los términos y condiciones correspondientes a las Obligaciones Negociables ofrecidas a través de este Suplemento de Precio y los mismos deberán ser leídos junto a la sección </w:t>
      </w:r>
      <w:r w:rsidRPr="00AC0486">
        <w:rPr>
          <w:rFonts w:eastAsia="Times New Roman"/>
          <w:sz w:val="20"/>
          <w:szCs w:val="20"/>
        </w:rPr>
        <w:t>“</w:t>
      </w:r>
      <w:r w:rsidRPr="00AC0486">
        <w:rPr>
          <w:rFonts w:eastAsia="Times New Roman"/>
          <w:i/>
          <w:sz w:val="20"/>
          <w:szCs w:val="20"/>
        </w:rPr>
        <w:t>De la Oferta y la Negociación -</w:t>
      </w:r>
      <w:r w:rsidRPr="00AC0486">
        <w:rPr>
          <w:rFonts w:eastAsia="Times New Roman"/>
          <w:sz w:val="20"/>
          <w:szCs w:val="20"/>
        </w:rPr>
        <w:t xml:space="preserve"> </w:t>
      </w:r>
      <w:r w:rsidRPr="00AC0486">
        <w:rPr>
          <w:rFonts w:eastAsia="Times New Roman"/>
          <w:i/>
          <w:sz w:val="20"/>
          <w:szCs w:val="20"/>
        </w:rPr>
        <w:t>Términos y Condiciones de las Obligaciones Negociables</w:t>
      </w:r>
      <w:r w:rsidRPr="00D176FC">
        <w:rPr>
          <w:rFonts w:eastAsia="Times New Roman"/>
          <w:i/>
          <w:iCs/>
          <w:sz w:val="20"/>
          <w:szCs w:val="20"/>
        </w:rPr>
        <w:t>”</w:t>
      </w:r>
      <w:r w:rsidRPr="00D176FC">
        <w:rPr>
          <w:rFonts w:eastAsia="Times New Roman"/>
          <w:sz w:val="20"/>
          <w:szCs w:val="20"/>
        </w:rPr>
        <w:t xml:space="preserve"> del Prospecto</w:t>
      </w:r>
      <w:r w:rsidRPr="001C2C31">
        <w:rPr>
          <w:rFonts w:eastAsia="Times New Roman"/>
          <w:sz w:val="20"/>
          <w:szCs w:val="20"/>
        </w:rPr>
        <w:t>.</w:t>
      </w:r>
    </w:p>
    <w:p w14:paraId="224DAD60" w14:textId="77777777" w:rsidR="001C2C31" w:rsidRPr="001C2C31" w:rsidRDefault="001C2C31" w:rsidP="00916F81">
      <w:pPr>
        <w:widowControl w:val="0"/>
        <w:spacing w:after="0"/>
        <w:jc w:val="both"/>
        <w:rPr>
          <w:rFonts w:eastAsia="Times New Roman"/>
          <w:b/>
          <w:sz w:val="20"/>
          <w:szCs w:val="24"/>
          <w:lang w:eastAsia="es-ES"/>
        </w:rPr>
      </w:pPr>
      <w:bookmarkStart w:id="17" w:name="_Toc240884509"/>
      <w:bookmarkStart w:id="18" w:name="_Toc293064299"/>
    </w:p>
    <w:tbl>
      <w:tblPr>
        <w:tblW w:w="9216" w:type="dxa"/>
        <w:tblInd w:w="-38" w:type="dxa"/>
        <w:tblLayout w:type="fixed"/>
        <w:tblCellMar>
          <w:left w:w="70" w:type="dxa"/>
          <w:right w:w="70" w:type="dxa"/>
        </w:tblCellMar>
        <w:tblLook w:val="01E0" w:firstRow="1" w:lastRow="1" w:firstColumn="1" w:lastColumn="1" w:noHBand="0" w:noVBand="0"/>
      </w:tblPr>
      <w:tblGrid>
        <w:gridCol w:w="2983"/>
        <w:gridCol w:w="6233"/>
      </w:tblGrid>
      <w:tr w:rsidR="001C2C31" w:rsidRPr="001C2C31" w14:paraId="4272780E" w14:textId="77777777" w:rsidTr="005464A7">
        <w:tc>
          <w:tcPr>
            <w:tcW w:w="2983" w:type="dxa"/>
          </w:tcPr>
          <w:p w14:paraId="19011352"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Emisor:</w:t>
            </w:r>
          </w:p>
        </w:tc>
        <w:tc>
          <w:tcPr>
            <w:tcW w:w="6233" w:type="dxa"/>
          </w:tcPr>
          <w:p w14:paraId="594EE34A" w14:textId="77777777" w:rsidR="001C2C31" w:rsidRP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Grupo ST S.A.</w:t>
            </w:r>
          </w:p>
        </w:tc>
      </w:tr>
      <w:tr w:rsidR="001C2C31" w:rsidRPr="001C2C31" w14:paraId="7BE9166A" w14:textId="77777777" w:rsidTr="005464A7">
        <w:tc>
          <w:tcPr>
            <w:tcW w:w="2983" w:type="dxa"/>
          </w:tcPr>
          <w:p w14:paraId="3C7499B0"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Descripción:</w:t>
            </w:r>
          </w:p>
        </w:tc>
        <w:tc>
          <w:tcPr>
            <w:tcW w:w="6233" w:type="dxa"/>
          </w:tcPr>
          <w:p w14:paraId="6038BE4A" w14:textId="77777777" w:rsidR="001C2C31" w:rsidRP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Obligaciones negociables simples, no convertibles en acciones, no subordinadas</w:t>
            </w:r>
            <w:r w:rsidRPr="004F3733">
              <w:rPr>
                <w:rFonts w:eastAsia="Times New Roman"/>
                <w:sz w:val="20"/>
                <w:szCs w:val="20"/>
                <w:lang w:eastAsia="es-ES"/>
              </w:rPr>
              <w:t>, con garantía común del Emisor y sin garantía de terceros</w:t>
            </w:r>
            <w:r w:rsidRPr="001C2C31">
              <w:rPr>
                <w:rFonts w:eastAsia="Times New Roman"/>
                <w:sz w:val="20"/>
                <w:szCs w:val="20"/>
                <w:lang w:eastAsia="es-ES"/>
              </w:rPr>
              <w:t>.</w:t>
            </w:r>
          </w:p>
        </w:tc>
      </w:tr>
      <w:tr w:rsidR="001C2C31" w:rsidRPr="001C2C31" w14:paraId="3C10FADB" w14:textId="77777777" w:rsidTr="005464A7">
        <w:tc>
          <w:tcPr>
            <w:tcW w:w="2983" w:type="dxa"/>
          </w:tcPr>
          <w:p w14:paraId="380DD22D"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Clase:</w:t>
            </w:r>
          </w:p>
        </w:tc>
        <w:tc>
          <w:tcPr>
            <w:tcW w:w="6233" w:type="dxa"/>
          </w:tcPr>
          <w:p w14:paraId="0544D0F5" w14:textId="77777777" w:rsidR="001C2C31" w:rsidRPr="001C2C31" w:rsidRDefault="002B46F6" w:rsidP="00916F81">
            <w:pPr>
              <w:spacing w:after="0"/>
              <w:jc w:val="both"/>
              <w:rPr>
                <w:rFonts w:eastAsia="Times New Roman"/>
                <w:sz w:val="20"/>
                <w:szCs w:val="20"/>
                <w:lang w:eastAsia="es-ES"/>
              </w:rPr>
            </w:pPr>
            <w:r>
              <w:rPr>
                <w:rFonts w:eastAsia="Times New Roman"/>
                <w:sz w:val="20"/>
                <w:szCs w:val="20"/>
                <w:lang w:eastAsia="es-ES"/>
              </w:rPr>
              <w:t>2</w:t>
            </w:r>
            <w:r w:rsidR="001C2C31" w:rsidRPr="001C2C31">
              <w:rPr>
                <w:rFonts w:eastAsia="Times New Roman"/>
                <w:sz w:val="20"/>
                <w:szCs w:val="20"/>
                <w:lang w:eastAsia="es-ES"/>
              </w:rPr>
              <w:t>.</w:t>
            </w:r>
          </w:p>
        </w:tc>
      </w:tr>
      <w:tr w:rsidR="001C2C31" w:rsidRPr="001C2C31" w14:paraId="0E10C92B" w14:textId="77777777" w:rsidTr="005464A7">
        <w:tc>
          <w:tcPr>
            <w:tcW w:w="2983" w:type="dxa"/>
          </w:tcPr>
          <w:p w14:paraId="727471B5"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Moneda:</w:t>
            </w:r>
          </w:p>
        </w:tc>
        <w:tc>
          <w:tcPr>
            <w:tcW w:w="6233" w:type="dxa"/>
          </w:tcPr>
          <w:p w14:paraId="783B17E6" w14:textId="77777777" w:rsidR="001C2C31" w:rsidRP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Las Obligaciones Negociables estarán denominadas en pesos y los pagos de los montos adeudados bajo las mismas se realizarán en pesos.</w:t>
            </w:r>
          </w:p>
        </w:tc>
      </w:tr>
      <w:tr w:rsidR="001C2C31" w:rsidRPr="001C2C31" w14:paraId="572D3953" w14:textId="77777777" w:rsidTr="005464A7">
        <w:tc>
          <w:tcPr>
            <w:tcW w:w="2983" w:type="dxa"/>
          </w:tcPr>
          <w:p w14:paraId="35023EC7"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Valor Nominal:</w:t>
            </w:r>
          </w:p>
        </w:tc>
        <w:tc>
          <w:tcPr>
            <w:tcW w:w="6233" w:type="dxa"/>
          </w:tcPr>
          <w:p w14:paraId="322F2F10" w14:textId="4C8F20C6" w:rsidR="001C2C31" w:rsidRPr="001C2C31" w:rsidRDefault="001C2C31">
            <w:pPr>
              <w:widowControl w:val="0"/>
              <w:spacing w:after="0"/>
              <w:jc w:val="both"/>
              <w:rPr>
                <w:rFonts w:eastAsia="Times New Roman"/>
                <w:sz w:val="20"/>
                <w:szCs w:val="20"/>
                <w:lang w:eastAsia="es-ES"/>
              </w:rPr>
            </w:pPr>
            <w:r w:rsidRPr="001C2C31">
              <w:rPr>
                <w:rFonts w:eastAsia="Times New Roman"/>
                <w:sz w:val="20"/>
                <w:szCs w:val="24"/>
                <w:lang w:eastAsia="es-ES"/>
              </w:rPr>
              <w:t>El valor nominal de las Obligaciones Negociables será de hasta</w:t>
            </w:r>
            <w:r w:rsidR="005236DE">
              <w:rPr>
                <w:rFonts w:eastAsia="Times New Roman"/>
                <w:sz w:val="20"/>
                <w:szCs w:val="24"/>
                <w:lang w:eastAsia="es-ES"/>
              </w:rPr>
              <w:t xml:space="preserve"> </w:t>
            </w:r>
            <w:r w:rsidR="000B5903" w:rsidRPr="000B5903">
              <w:rPr>
                <w:rFonts w:eastAsia="Times New Roman"/>
                <w:sz w:val="20"/>
                <w:szCs w:val="24"/>
                <w:lang w:eastAsia="es-ES"/>
              </w:rPr>
              <w:t>$</w:t>
            </w:r>
            <w:r w:rsidR="00DA6560">
              <w:rPr>
                <w:rFonts w:eastAsia="Times New Roman"/>
                <w:sz w:val="20"/>
                <w:szCs w:val="24"/>
                <w:lang w:eastAsia="es-ES"/>
              </w:rPr>
              <w:t>100</w:t>
            </w:r>
            <w:r w:rsidR="000B5903" w:rsidRPr="000B5903">
              <w:rPr>
                <w:rFonts w:eastAsia="Times New Roman"/>
                <w:sz w:val="20"/>
                <w:szCs w:val="24"/>
                <w:lang w:eastAsia="es-ES"/>
              </w:rPr>
              <w:t xml:space="preserve">.000.000 ampliable hasta </w:t>
            </w:r>
            <w:r w:rsidR="000B5903">
              <w:rPr>
                <w:rFonts w:eastAsia="Times New Roman"/>
                <w:sz w:val="20"/>
                <w:szCs w:val="24"/>
                <w:lang w:eastAsia="es-ES"/>
              </w:rPr>
              <w:t>$</w:t>
            </w:r>
            <w:r w:rsidR="00DA6560">
              <w:rPr>
                <w:rFonts w:eastAsia="Times New Roman"/>
                <w:sz w:val="20"/>
                <w:szCs w:val="24"/>
                <w:lang w:eastAsia="es-ES"/>
              </w:rPr>
              <w:t>175</w:t>
            </w:r>
            <w:r w:rsidR="00D464A4">
              <w:rPr>
                <w:rFonts w:eastAsia="Times New Roman"/>
                <w:sz w:val="20"/>
                <w:szCs w:val="24"/>
                <w:lang w:eastAsia="es-ES"/>
              </w:rPr>
              <w:t>.000.000</w:t>
            </w:r>
            <w:r w:rsidR="000B5903">
              <w:rPr>
                <w:rFonts w:eastAsia="Times New Roman"/>
                <w:sz w:val="20"/>
                <w:szCs w:val="24"/>
                <w:lang w:eastAsia="es-ES"/>
              </w:rPr>
              <w:t>.</w:t>
            </w:r>
          </w:p>
        </w:tc>
      </w:tr>
      <w:tr w:rsidR="001C2C31" w:rsidRPr="001C2C31" w14:paraId="0B856C68" w14:textId="77777777" w:rsidTr="005464A7">
        <w:tc>
          <w:tcPr>
            <w:tcW w:w="2983" w:type="dxa"/>
          </w:tcPr>
          <w:p w14:paraId="7CFD0E0C"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Fecha de Emisión y Liquidación:</w:t>
            </w:r>
          </w:p>
        </w:tc>
        <w:tc>
          <w:tcPr>
            <w:tcW w:w="6233" w:type="dxa"/>
          </w:tcPr>
          <w:p w14:paraId="1310EDF4" w14:textId="6E4F7890" w:rsidR="001C2C31" w:rsidRP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 xml:space="preserve">La </w:t>
            </w:r>
            <w:r w:rsidRPr="001C2C31">
              <w:rPr>
                <w:rFonts w:eastAsia="Times New Roman"/>
                <w:sz w:val="20"/>
                <w:szCs w:val="20"/>
                <w:lang w:val="es-MX" w:eastAsia="es-ES"/>
              </w:rPr>
              <w:t>Fecha de Emisión y Liquidación</w:t>
            </w:r>
            <w:r w:rsidRPr="001C2C31">
              <w:rPr>
                <w:rFonts w:eastAsia="Times New Roman"/>
                <w:sz w:val="20"/>
                <w:szCs w:val="20"/>
                <w:lang w:eastAsia="es-ES"/>
              </w:rPr>
              <w:t xml:space="preserve"> será informada en el Aviso de Resultados, de acuerdo a lo previsto en la Sección titulada “</w:t>
            </w:r>
            <w:r w:rsidRPr="001C2C31">
              <w:rPr>
                <w:rFonts w:eastAsia="Times New Roman"/>
                <w:i/>
                <w:sz w:val="20"/>
                <w:szCs w:val="24"/>
                <w:lang w:eastAsia="es-ES"/>
              </w:rPr>
              <w:t>Plan de Distribución de las Obligaciones Negociables</w:t>
            </w:r>
            <w:r w:rsidRPr="001C2C31">
              <w:rPr>
                <w:rFonts w:eastAsia="Times New Roman"/>
                <w:sz w:val="20"/>
                <w:szCs w:val="20"/>
                <w:lang w:eastAsia="es-ES"/>
              </w:rPr>
              <w:t xml:space="preserve">” del presente y será dentro de los tres </w:t>
            </w:r>
            <w:r w:rsidR="00C55BCB">
              <w:rPr>
                <w:rFonts w:eastAsia="Times New Roman"/>
                <w:sz w:val="20"/>
                <w:szCs w:val="20"/>
                <w:lang w:eastAsia="es-ES"/>
              </w:rPr>
              <w:t xml:space="preserve">(3) </w:t>
            </w:r>
            <w:r w:rsidRPr="001C2C31">
              <w:rPr>
                <w:rFonts w:eastAsia="Times New Roman"/>
                <w:sz w:val="20"/>
                <w:szCs w:val="20"/>
                <w:lang w:eastAsia="es-ES"/>
              </w:rPr>
              <w:t>Días Hábiles siguientes al último día del Período de Licitación Pública.</w:t>
            </w:r>
          </w:p>
        </w:tc>
      </w:tr>
      <w:tr w:rsidR="001C2C31" w:rsidRPr="001C2C31" w14:paraId="7B980576" w14:textId="77777777" w:rsidTr="005464A7">
        <w:trPr>
          <w:trHeight w:val="285"/>
        </w:trPr>
        <w:tc>
          <w:tcPr>
            <w:tcW w:w="2983" w:type="dxa"/>
          </w:tcPr>
          <w:p w14:paraId="189C7F31"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Suscripción e Integración:</w:t>
            </w:r>
          </w:p>
        </w:tc>
        <w:tc>
          <w:tcPr>
            <w:tcW w:w="6233" w:type="dxa"/>
          </w:tcPr>
          <w:p w14:paraId="46C83120" w14:textId="2925347A"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Las Obligaciones Negociables serán suscriptas e integradas en pesos directamente por los inversores a más tardar en la Fecha de Emisión y Liquidación y serán acreditadas en sus respectivas cuentas de Caja de Valores S.A. (“</w:t>
            </w:r>
            <w:r w:rsidRPr="001C2C31">
              <w:rPr>
                <w:rFonts w:eastAsia="Times New Roman"/>
                <w:b/>
                <w:sz w:val="20"/>
                <w:szCs w:val="20"/>
                <w:lang w:eastAsia="es-ES"/>
              </w:rPr>
              <w:t>CVSA</w:t>
            </w:r>
            <w:r w:rsidRPr="001C2C31">
              <w:rPr>
                <w:rFonts w:eastAsia="Times New Roman"/>
                <w:sz w:val="20"/>
                <w:szCs w:val="20"/>
                <w:lang w:eastAsia="es-ES"/>
              </w:rPr>
              <w:t>”).</w:t>
            </w:r>
          </w:p>
          <w:p w14:paraId="0911668E" w14:textId="77777777" w:rsidR="00786B8A" w:rsidRPr="00A3148A" w:rsidRDefault="00605227" w:rsidP="00605227">
            <w:pPr>
              <w:spacing w:after="0"/>
              <w:jc w:val="both"/>
              <w:rPr>
                <w:color w:val="000000"/>
                <w:sz w:val="20"/>
                <w:szCs w:val="20"/>
              </w:rPr>
            </w:pPr>
            <w:r w:rsidRPr="00706459">
              <w:rPr>
                <w:color w:val="000000"/>
                <w:sz w:val="20"/>
                <w:szCs w:val="20"/>
              </w:rPr>
              <w:t xml:space="preserve">La integración de las Obligaciones Negociables podrá realizarse </w:t>
            </w:r>
            <w:r>
              <w:rPr>
                <w:color w:val="000000"/>
                <w:sz w:val="20"/>
                <w:szCs w:val="20"/>
              </w:rPr>
              <w:t>hasta las 14 hs</w:t>
            </w:r>
            <w:r w:rsidRPr="00706459">
              <w:rPr>
                <w:color w:val="000000"/>
                <w:sz w:val="20"/>
                <w:szCs w:val="20"/>
              </w:rPr>
              <w:t xml:space="preserve"> de la Fecha de Emisión y Liquidación, y de conformidad con lo determinado en el Título “</w:t>
            </w:r>
            <w:r w:rsidRPr="00605227">
              <w:rPr>
                <w:i/>
                <w:color w:val="000000"/>
                <w:sz w:val="20"/>
                <w:szCs w:val="20"/>
              </w:rPr>
              <w:t>Liquidación</w:t>
            </w:r>
            <w:r w:rsidRPr="00706459">
              <w:rPr>
                <w:color w:val="000000"/>
                <w:sz w:val="20"/>
                <w:szCs w:val="20"/>
              </w:rPr>
              <w:t>” de la Sección “</w:t>
            </w:r>
            <w:r w:rsidRPr="00706459">
              <w:rPr>
                <w:i/>
                <w:color w:val="000000"/>
                <w:sz w:val="20"/>
                <w:szCs w:val="20"/>
              </w:rPr>
              <w:t>Plan de Distribución de las Obligaciones Negociables</w:t>
            </w:r>
            <w:r w:rsidRPr="00706459">
              <w:rPr>
                <w:color w:val="000000"/>
                <w:sz w:val="20"/>
                <w:szCs w:val="20"/>
              </w:rPr>
              <w:t>” en el presente Suplemento</w:t>
            </w:r>
            <w:r>
              <w:rPr>
                <w:color w:val="000000"/>
                <w:sz w:val="20"/>
                <w:szCs w:val="20"/>
              </w:rPr>
              <w:t xml:space="preserve"> de Precio</w:t>
            </w:r>
            <w:r w:rsidR="00786B8A">
              <w:rPr>
                <w:color w:val="000000"/>
                <w:sz w:val="20"/>
                <w:szCs w:val="20"/>
              </w:rPr>
              <w:t>.</w:t>
            </w:r>
          </w:p>
        </w:tc>
      </w:tr>
      <w:tr w:rsidR="001C2C31" w:rsidRPr="001C2C31" w14:paraId="21209EEC" w14:textId="77777777" w:rsidTr="005464A7">
        <w:tc>
          <w:tcPr>
            <w:tcW w:w="2983" w:type="dxa"/>
          </w:tcPr>
          <w:p w14:paraId="121682B2"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Precio de Emisión:</w:t>
            </w:r>
          </w:p>
        </w:tc>
        <w:tc>
          <w:tcPr>
            <w:tcW w:w="6233" w:type="dxa"/>
          </w:tcPr>
          <w:p w14:paraId="04A09FD7" w14:textId="77777777" w:rsidR="001C2C31" w:rsidRP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100% del valor nominal.</w:t>
            </w:r>
          </w:p>
        </w:tc>
      </w:tr>
      <w:tr w:rsidR="001C2C31" w:rsidRPr="001C2C31" w14:paraId="33B69222" w14:textId="77777777" w:rsidTr="005464A7">
        <w:tc>
          <w:tcPr>
            <w:tcW w:w="2983" w:type="dxa"/>
          </w:tcPr>
          <w:p w14:paraId="7B7D96D4"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Fecha de Vencimiento:</w:t>
            </w:r>
          </w:p>
        </w:tc>
        <w:tc>
          <w:tcPr>
            <w:tcW w:w="6233" w:type="dxa"/>
          </w:tcPr>
          <w:p w14:paraId="1C102DB7" w14:textId="0F0CF851" w:rsidR="001C2C31" w:rsidRPr="001C2C31" w:rsidRDefault="001C2C31" w:rsidP="00D464A4">
            <w:pPr>
              <w:spacing w:after="0"/>
              <w:jc w:val="both"/>
              <w:rPr>
                <w:rFonts w:eastAsia="Times New Roman"/>
                <w:sz w:val="20"/>
                <w:szCs w:val="20"/>
                <w:lang w:eastAsia="es-ES"/>
              </w:rPr>
            </w:pPr>
            <w:r w:rsidRPr="001C2C31">
              <w:rPr>
                <w:rFonts w:eastAsia="Times New Roman"/>
                <w:sz w:val="20"/>
                <w:szCs w:val="20"/>
                <w:lang w:eastAsia="es-ES"/>
              </w:rPr>
              <w:t xml:space="preserve">En la fecha en que se </w:t>
            </w:r>
            <w:r w:rsidRPr="00D464A4">
              <w:rPr>
                <w:rFonts w:eastAsia="Times New Roman"/>
                <w:sz w:val="20"/>
                <w:szCs w:val="20"/>
                <w:lang w:eastAsia="es-ES"/>
              </w:rPr>
              <w:t xml:space="preserve">cumplan </w:t>
            </w:r>
            <w:r w:rsidR="00D464A4" w:rsidRPr="00E27AF4">
              <w:rPr>
                <w:rFonts w:eastAsia="Times New Roman"/>
                <w:sz w:val="20"/>
                <w:szCs w:val="20"/>
                <w:lang w:val="es-MX" w:eastAsia="es-ES"/>
              </w:rPr>
              <w:t>180 días</w:t>
            </w:r>
            <w:r w:rsidR="008A1D23">
              <w:rPr>
                <w:rFonts w:eastAsia="Times New Roman"/>
                <w:sz w:val="20"/>
                <w:szCs w:val="20"/>
                <w:lang w:val="es-MX" w:eastAsia="es-ES"/>
              </w:rPr>
              <w:t xml:space="preserve"> corridos</w:t>
            </w:r>
            <w:r w:rsidR="00D464A4" w:rsidRPr="00E27AF4">
              <w:rPr>
                <w:rFonts w:eastAsia="Times New Roman"/>
                <w:sz w:val="20"/>
                <w:szCs w:val="20"/>
                <w:lang w:val="es-MX" w:eastAsia="es-ES"/>
              </w:rPr>
              <w:t xml:space="preserve"> desde</w:t>
            </w:r>
            <w:r w:rsidRPr="00D464A4">
              <w:rPr>
                <w:rFonts w:eastAsia="Times New Roman"/>
                <w:sz w:val="20"/>
                <w:szCs w:val="20"/>
                <w:lang w:eastAsia="es-ES"/>
              </w:rPr>
              <w:t xml:space="preserve"> desde la Fecha de Emisión y Liquidación o el Día Hábil inmediato posterior si aquella fecha no fuese un Día Hábil.</w:t>
            </w:r>
          </w:p>
        </w:tc>
      </w:tr>
      <w:tr w:rsidR="001C2C31" w:rsidRPr="001C2C31" w14:paraId="69554496" w14:textId="77777777" w:rsidTr="005464A7">
        <w:tc>
          <w:tcPr>
            <w:tcW w:w="2983" w:type="dxa"/>
          </w:tcPr>
          <w:p w14:paraId="7E10F538"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Amortización:</w:t>
            </w:r>
          </w:p>
        </w:tc>
        <w:tc>
          <w:tcPr>
            <w:tcW w:w="6233" w:type="dxa"/>
          </w:tcPr>
          <w:p w14:paraId="6B9C617F" w14:textId="1F7CFCC3"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El capital de las Obligaciones Negociables se repagará en la Fecha de Vencimiento en un (1) único pago por un monto equivalente al 100% del valor nominal.</w:t>
            </w:r>
          </w:p>
        </w:tc>
      </w:tr>
      <w:tr w:rsidR="001C2C31" w:rsidRPr="001C2C31" w14:paraId="2D3BD23D" w14:textId="77777777" w:rsidTr="005464A7">
        <w:tc>
          <w:tcPr>
            <w:tcW w:w="2983" w:type="dxa"/>
          </w:tcPr>
          <w:p w14:paraId="07352DA6"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Intereses:</w:t>
            </w:r>
          </w:p>
        </w:tc>
        <w:tc>
          <w:tcPr>
            <w:tcW w:w="6233" w:type="dxa"/>
          </w:tcPr>
          <w:p w14:paraId="1E24F626" w14:textId="30C03E6F" w:rsidR="001C2C31" w:rsidRPr="001C2C31" w:rsidRDefault="00605227" w:rsidP="00916F81">
            <w:pPr>
              <w:spacing w:after="0"/>
              <w:jc w:val="both"/>
              <w:rPr>
                <w:rFonts w:eastAsia="Times New Roman"/>
                <w:sz w:val="20"/>
                <w:szCs w:val="24"/>
                <w:lang w:eastAsia="es-ES"/>
              </w:rPr>
            </w:pPr>
            <w:r>
              <w:rPr>
                <w:color w:val="000000"/>
                <w:sz w:val="20"/>
                <w:szCs w:val="20"/>
                <w:lang w:val="es-ES"/>
              </w:rPr>
              <w:t xml:space="preserve">El capital no amortizado de </w:t>
            </w:r>
            <w:r w:rsidRPr="00DE2CCF">
              <w:rPr>
                <w:color w:val="000000"/>
                <w:sz w:val="20"/>
                <w:szCs w:val="20"/>
                <w:lang w:val="es-ES"/>
              </w:rPr>
              <w:t>Las Obl</w:t>
            </w:r>
            <w:r>
              <w:rPr>
                <w:color w:val="000000"/>
                <w:sz w:val="20"/>
                <w:szCs w:val="20"/>
                <w:lang w:val="es-ES"/>
              </w:rPr>
              <w:t xml:space="preserve">igaciones Negociables devengará intereses a una tasa de interés variable nominal anual </w:t>
            </w:r>
            <w:r w:rsidRPr="008C3586">
              <w:rPr>
                <w:color w:val="000000"/>
                <w:sz w:val="20"/>
                <w:szCs w:val="20"/>
                <w:lang w:val="es-ES"/>
              </w:rPr>
              <w:t>desde la Fecha de Emisión y Liquidación inclusive hasta la fecha en que el capital sea totalmente amortizado (no inclusive)</w:t>
            </w:r>
            <w:r>
              <w:rPr>
                <w:color w:val="000000"/>
                <w:sz w:val="20"/>
                <w:szCs w:val="20"/>
                <w:lang w:val="es-ES"/>
              </w:rPr>
              <w:t xml:space="preserve"> estableciéndose que dicha tasa de interés (la “</w:t>
            </w:r>
            <w:r w:rsidRPr="00605227">
              <w:rPr>
                <w:b/>
                <w:color w:val="000000"/>
                <w:sz w:val="20"/>
                <w:szCs w:val="20"/>
                <w:lang w:val="es-ES"/>
              </w:rPr>
              <w:t>Tasa de Interés</w:t>
            </w:r>
            <w:r>
              <w:rPr>
                <w:color w:val="000000"/>
                <w:sz w:val="20"/>
                <w:szCs w:val="20"/>
                <w:lang w:val="es-ES"/>
              </w:rPr>
              <w:t>”) será el equivalente a la suma de</w:t>
            </w:r>
            <w:r w:rsidR="001C2C31" w:rsidRPr="001C2C31">
              <w:rPr>
                <w:rFonts w:eastAsia="Times New Roman"/>
                <w:sz w:val="20"/>
                <w:szCs w:val="24"/>
                <w:lang w:eastAsia="es-ES"/>
              </w:rPr>
              <w:t>: (i) la Tasa de Referencia, más (ii) el Margen Aplicable</w:t>
            </w:r>
            <w:r w:rsidR="005F0F66">
              <w:rPr>
                <w:rFonts w:eastAsia="Times New Roman"/>
                <w:sz w:val="20"/>
                <w:szCs w:val="24"/>
                <w:lang w:eastAsia="es-ES"/>
              </w:rPr>
              <w:t xml:space="preserve"> (conforme se define más adelante)</w:t>
            </w:r>
            <w:r w:rsidR="001C2C31" w:rsidRPr="001C2C31">
              <w:rPr>
                <w:rFonts w:eastAsia="Times New Roman"/>
                <w:sz w:val="20"/>
                <w:szCs w:val="24"/>
                <w:lang w:eastAsia="es-ES"/>
              </w:rPr>
              <w:t xml:space="preserve">. La Tasa de Interés será calculada por el Emisor </w:t>
            </w:r>
            <w:r w:rsidR="00DE0E82">
              <w:rPr>
                <w:rFonts w:eastAsia="Times New Roman"/>
                <w:sz w:val="20"/>
                <w:szCs w:val="24"/>
                <w:lang w:eastAsia="es-ES"/>
              </w:rPr>
              <w:t xml:space="preserve">para </w:t>
            </w:r>
            <w:r w:rsidR="00E769C8">
              <w:rPr>
                <w:rFonts w:eastAsia="Times New Roman"/>
                <w:sz w:val="20"/>
                <w:szCs w:val="24"/>
                <w:lang w:eastAsia="es-ES"/>
              </w:rPr>
              <w:t xml:space="preserve">la </w:t>
            </w:r>
            <w:r w:rsidR="001C2C31" w:rsidRPr="001C2C31">
              <w:rPr>
                <w:rFonts w:eastAsia="Times New Roman"/>
                <w:sz w:val="20"/>
                <w:szCs w:val="24"/>
                <w:lang w:eastAsia="es-ES"/>
              </w:rPr>
              <w:t>Fecha de Pago de Intereses.</w:t>
            </w:r>
          </w:p>
          <w:p w14:paraId="0B03D62A" w14:textId="30656F9C"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 xml:space="preserve">La tasa de interés punitorio </w:t>
            </w:r>
            <w:r w:rsidR="00A56AD0">
              <w:rPr>
                <w:rFonts w:eastAsia="Times New Roman"/>
                <w:sz w:val="20"/>
                <w:szCs w:val="24"/>
                <w:lang w:eastAsia="es-ES"/>
              </w:rPr>
              <w:t xml:space="preserve">equivale al </w:t>
            </w:r>
            <w:r w:rsidR="00C55BCB">
              <w:rPr>
                <w:rFonts w:eastAsia="Times New Roman"/>
                <w:sz w:val="20"/>
                <w:szCs w:val="24"/>
                <w:lang w:eastAsia="es-ES"/>
              </w:rPr>
              <w:t>50% de la Tasa de Referencia</w:t>
            </w:r>
            <w:r w:rsidRPr="001C2C31">
              <w:rPr>
                <w:rFonts w:eastAsia="Times New Roman"/>
                <w:sz w:val="20"/>
                <w:szCs w:val="24"/>
                <w:lang w:eastAsia="es-ES"/>
              </w:rPr>
              <w:t xml:space="preserve"> correspondiente al período vencido e impago</w:t>
            </w:r>
            <w:r w:rsidR="0046137B">
              <w:rPr>
                <w:rFonts w:eastAsia="Times New Roman"/>
                <w:sz w:val="20"/>
                <w:szCs w:val="24"/>
                <w:lang w:eastAsia="es-ES"/>
              </w:rPr>
              <w:t>.</w:t>
            </w:r>
          </w:p>
        </w:tc>
      </w:tr>
      <w:tr w:rsidR="001C2C31" w:rsidRPr="001C2C31" w14:paraId="754CB577" w14:textId="77777777" w:rsidTr="005464A7">
        <w:tc>
          <w:tcPr>
            <w:tcW w:w="2983" w:type="dxa"/>
          </w:tcPr>
          <w:p w14:paraId="6AFD44DA"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Base para el cómputo de los días:</w:t>
            </w:r>
          </w:p>
        </w:tc>
        <w:tc>
          <w:tcPr>
            <w:tcW w:w="6233" w:type="dxa"/>
          </w:tcPr>
          <w:p w14:paraId="11473F1B" w14:textId="69869840"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Para el cálculo de los intereses se considerará la cantidad real de días transcurridos y un año de 365 días (cantidad real de días transcurridos/365).</w:t>
            </w:r>
          </w:p>
        </w:tc>
      </w:tr>
      <w:tr w:rsidR="001C2C31" w:rsidRPr="001C2C31" w14:paraId="7C345D89" w14:textId="77777777" w:rsidTr="005464A7">
        <w:tc>
          <w:tcPr>
            <w:tcW w:w="2983" w:type="dxa"/>
          </w:tcPr>
          <w:p w14:paraId="1ADA7B16" w14:textId="77777777" w:rsidR="001C2C31" w:rsidRPr="001C2C31" w:rsidRDefault="001C2C31" w:rsidP="00916F81">
            <w:pPr>
              <w:spacing w:after="0"/>
              <w:rPr>
                <w:rFonts w:eastAsia="Times New Roman"/>
                <w:b/>
                <w:sz w:val="20"/>
                <w:szCs w:val="20"/>
                <w:highlight w:val="yellow"/>
                <w:lang w:eastAsia="es-ES"/>
              </w:rPr>
            </w:pPr>
            <w:r w:rsidRPr="001C2C31">
              <w:rPr>
                <w:rFonts w:eastAsia="Times New Roman"/>
                <w:b/>
                <w:sz w:val="20"/>
                <w:szCs w:val="20"/>
                <w:lang w:eastAsia="es-ES"/>
              </w:rPr>
              <w:lastRenderedPageBreak/>
              <w:t>Tasa de Referencia:</w:t>
            </w:r>
          </w:p>
        </w:tc>
        <w:tc>
          <w:tcPr>
            <w:tcW w:w="6233" w:type="dxa"/>
          </w:tcPr>
          <w:p w14:paraId="4AB0C159" w14:textId="3A7EC91C" w:rsidR="001C2C31" w:rsidRP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Será el promedio aritmético simple de la tasa de interés para depósitos a plazo fijo de más de $</w:t>
            </w:r>
            <w:r w:rsidR="005C3522">
              <w:rPr>
                <w:rFonts w:eastAsia="Times New Roman"/>
                <w:sz w:val="20"/>
                <w:szCs w:val="20"/>
                <w:lang w:eastAsia="es-ES"/>
              </w:rPr>
              <w:t xml:space="preserve"> </w:t>
            </w:r>
            <w:r w:rsidRPr="001C2C31">
              <w:rPr>
                <w:rFonts w:eastAsia="Times New Roman"/>
                <w:sz w:val="20"/>
                <w:szCs w:val="20"/>
                <w:lang w:eastAsia="es-ES"/>
              </w:rPr>
              <w:t xml:space="preserve">1.000.000 </w:t>
            </w:r>
            <w:r w:rsidR="00C55BCB">
              <w:rPr>
                <w:rFonts w:eastAsia="Times New Roman"/>
                <w:sz w:val="20"/>
                <w:szCs w:val="20"/>
                <w:lang w:eastAsia="es-ES"/>
              </w:rPr>
              <w:t xml:space="preserve">(pesos un millón) </w:t>
            </w:r>
            <w:r w:rsidRPr="001C2C31">
              <w:rPr>
                <w:rFonts w:eastAsia="Times New Roman"/>
                <w:sz w:val="20"/>
                <w:szCs w:val="20"/>
                <w:lang w:eastAsia="es-ES"/>
              </w:rPr>
              <w:t>por períodos de entre treinta y treinta y cinco días de plazo de bancos privados de Argentina publicada por el BCRA (la “Tasa Badlar Privada”), durante el período que se inicia el séptimo Día Hábil anterior al inicio de</w:t>
            </w:r>
            <w:r w:rsidR="00E769C8">
              <w:rPr>
                <w:rFonts w:eastAsia="Times New Roman"/>
                <w:sz w:val="20"/>
                <w:szCs w:val="20"/>
                <w:lang w:eastAsia="es-ES"/>
              </w:rPr>
              <w:t xml:space="preserve">l </w:t>
            </w:r>
            <w:r w:rsidRPr="001C2C31">
              <w:rPr>
                <w:rFonts w:eastAsia="Times New Roman"/>
                <w:sz w:val="20"/>
                <w:szCs w:val="20"/>
                <w:lang w:eastAsia="es-ES"/>
              </w:rPr>
              <w:t xml:space="preserve">Período de Devengamiento de Intereses y finaliza el séptimo Día Hábil anterior a la Fecha de Pago de Intereses, incluyendo el primer día pero excluyendo el último. </w:t>
            </w:r>
          </w:p>
          <w:p w14:paraId="79F662AC" w14:textId="77777777" w:rsidR="001C2C31" w:rsidRPr="001C2C31" w:rsidRDefault="001C2C31" w:rsidP="00916F81">
            <w:pPr>
              <w:spacing w:after="0"/>
              <w:jc w:val="both"/>
              <w:rPr>
                <w:rFonts w:eastAsia="Times New Roman"/>
                <w:sz w:val="20"/>
                <w:szCs w:val="20"/>
                <w:highlight w:val="yellow"/>
                <w:lang w:eastAsia="es-ES"/>
              </w:rPr>
            </w:pPr>
            <w:r w:rsidRPr="001C2C31">
              <w:rPr>
                <w:rFonts w:eastAsia="Times New Roman"/>
                <w:sz w:val="20"/>
                <w:szCs w:val="20"/>
                <w:lang w:eastAsia="es-ES"/>
              </w:rPr>
              <w:t>En caso que la Tasa Badlar Privada dejare de ser informada por el BCRA, se tomará: (i) la tasa sustitutiva de la Tasa Badlar Privada que informe el BCRA o (ii) en caso de no existir o no informarse la tasa sustitutiva indicada en (i) precedente, el Emisor calculará la Tasa de Referencia, considerando el promedio de tasas informadas para depósitos a plazo fijo de más de $1.000.000 (pesos un millón) por períodos de entre treinta y treinta y cinco días de plazo de los cinco primeros bancos privados de Argentina. A fin de seleccionar los cinco primeros bancos privados se considerará el último informe de depósitos disponibles publicados por el BCRA.</w:t>
            </w:r>
          </w:p>
        </w:tc>
      </w:tr>
      <w:tr w:rsidR="001C2C31" w:rsidRPr="001C2C31" w14:paraId="0390C05D" w14:textId="77777777" w:rsidTr="005464A7">
        <w:tc>
          <w:tcPr>
            <w:tcW w:w="2983" w:type="dxa"/>
          </w:tcPr>
          <w:p w14:paraId="7FF5571D"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Margen Aplicable:</w:t>
            </w:r>
          </w:p>
        </w:tc>
        <w:tc>
          <w:tcPr>
            <w:tcW w:w="6233" w:type="dxa"/>
          </w:tcPr>
          <w:p w14:paraId="021BE79A" w14:textId="2CF61D60" w:rsidR="001C2C31" w:rsidRPr="001C2C31" w:rsidRDefault="001C2C31" w:rsidP="00E769C8">
            <w:pPr>
              <w:spacing w:after="0"/>
              <w:jc w:val="both"/>
              <w:rPr>
                <w:rFonts w:eastAsia="Times New Roman"/>
                <w:sz w:val="20"/>
                <w:szCs w:val="20"/>
                <w:lang w:eastAsia="es-ES"/>
              </w:rPr>
            </w:pPr>
            <w:r w:rsidRPr="001C2C31">
              <w:rPr>
                <w:rFonts w:eastAsia="Times New Roman"/>
                <w:sz w:val="20"/>
                <w:szCs w:val="20"/>
                <w:lang w:eastAsia="es-ES"/>
              </w:rPr>
              <w:t xml:space="preserve">Es la cantidad de puntos básicos (expresada como porcentaje nominal anual), a ser adicionados a Tasa de Referencia en </w:t>
            </w:r>
            <w:r w:rsidR="00E769C8">
              <w:rPr>
                <w:rFonts w:eastAsia="Times New Roman"/>
                <w:sz w:val="20"/>
                <w:szCs w:val="20"/>
                <w:lang w:eastAsia="es-ES"/>
              </w:rPr>
              <w:t>el</w:t>
            </w:r>
            <w:r w:rsidR="00E769C8" w:rsidRPr="001C2C31">
              <w:rPr>
                <w:rFonts w:eastAsia="Times New Roman"/>
                <w:sz w:val="20"/>
                <w:szCs w:val="20"/>
                <w:lang w:eastAsia="es-ES"/>
              </w:rPr>
              <w:t xml:space="preserve"> </w:t>
            </w:r>
            <w:r w:rsidRPr="001C2C31">
              <w:rPr>
                <w:rFonts w:eastAsia="Times New Roman"/>
                <w:sz w:val="20"/>
                <w:szCs w:val="20"/>
                <w:lang w:eastAsia="es-ES"/>
              </w:rPr>
              <w:t>Período de Devengamiento de Intereses. El mismo será determinado luego del cierre del Período de Licitación Pública y antes de la Fecha de Emisión y Liquidación e informado en el Aviso de Resultados.</w:t>
            </w:r>
          </w:p>
        </w:tc>
      </w:tr>
      <w:tr w:rsidR="001C2C31" w:rsidRPr="001C2C31" w14:paraId="7B4D79B5" w14:textId="77777777" w:rsidTr="005464A7">
        <w:tc>
          <w:tcPr>
            <w:tcW w:w="2983" w:type="dxa"/>
          </w:tcPr>
          <w:p w14:paraId="633052DA"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Fechas de Pago de Intereses:</w:t>
            </w:r>
          </w:p>
        </w:tc>
        <w:tc>
          <w:tcPr>
            <w:tcW w:w="6233" w:type="dxa"/>
          </w:tcPr>
          <w:p w14:paraId="4FE76654" w14:textId="7793B5E4" w:rsidR="001C2C31" w:rsidRPr="001C2C31" w:rsidRDefault="00E769C8" w:rsidP="00E769C8">
            <w:pPr>
              <w:spacing w:after="0"/>
              <w:jc w:val="both"/>
              <w:rPr>
                <w:rFonts w:eastAsia="Times New Roman"/>
                <w:sz w:val="20"/>
                <w:szCs w:val="20"/>
                <w:highlight w:val="yellow"/>
                <w:lang w:eastAsia="es-ES"/>
              </w:rPr>
            </w:pPr>
            <w:r>
              <w:rPr>
                <w:rFonts w:eastAsia="Times New Roman"/>
                <w:sz w:val="20"/>
                <w:szCs w:val="20"/>
                <w:lang w:eastAsia="es-ES"/>
              </w:rPr>
              <w:t>Los intereses se pagarán por única vez y p</w:t>
            </w:r>
            <w:r w:rsidR="001C2C31" w:rsidRPr="001C2C31">
              <w:rPr>
                <w:rFonts w:eastAsia="Times New Roman"/>
                <w:sz w:val="20"/>
                <w:szCs w:val="20"/>
                <w:lang w:eastAsia="es-ES"/>
              </w:rPr>
              <w:t>or período vencido a partir de la Fecha de Emisión y Liquidación hasta la Fecha de Vencimiento correspondiente (</w:t>
            </w:r>
            <w:r>
              <w:rPr>
                <w:rFonts w:eastAsia="Times New Roman"/>
                <w:sz w:val="20"/>
                <w:szCs w:val="20"/>
                <w:lang w:eastAsia="es-ES"/>
              </w:rPr>
              <w:t>la</w:t>
            </w:r>
            <w:r w:rsidR="001C2C31" w:rsidRPr="001C2C31">
              <w:rPr>
                <w:rFonts w:eastAsia="Times New Roman"/>
                <w:sz w:val="20"/>
                <w:szCs w:val="20"/>
                <w:lang w:eastAsia="es-ES"/>
              </w:rPr>
              <w:t xml:space="preserve"> “</w:t>
            </w:r>
            <w:r w:rsidR="001C2C31" w:rsidRPr="001C2C31">
              <w:rPr>
                <w:rFonts w:eastAsia="Times New Roman"/>
                <w:b/>
                <w:sz w:val="20"/>
                <w:szCs w:val="20"/>
                <w:lang w:eastAsia="es-ES"/>
              </w:rPr>
              <w:t>Fecha de Pago de Intereses</w:t>
            </w:r>
            <w:r w:rsidR="001C2C31" w:rsidRPr="001C2C31">
              <w:rPr>
                <w:rFonts w:eastAsia="Times New Roman"/>
                <w:sz w:val="20"/>
                <w:szCs w:val="20"/>
                <w:lang w:eastAsia="es-ES"/>
              </w:rPr>
              <w:t>”). La Fecha de Pago de Intereses será informada en el Aviso de Resultados, de acuerdo a lo previsto en la Sección titulada “</w:t>
            </w:r>
            <w:r w:rsidR="001C2C31" w:rsidRPr="001C2C31">
              <w:rPr>
                <w:rFonts w:eastAsia="Times New Roman"/>
                <w:i/>
                <w:sz w:val="20"/>
                <w:szCs w:val="20"/>
                <w:lang w:eastAsia="es-ES"/>
              </w:rPr>
              <w:t>Plan de Distribución de las Obligaciones Negociables</w:t>
            </w:r>
            <w:r w:rsidR="001C2C31" w:rsidRPr="001C2C31">
              <w:rPr>
                <w:rFonts w:eastAsia="Times New Roman"/>
                <w:sz w:val="20"/>
                <w:szCs w:val="20"/>
                <w:lang w:eastAsia="es-ES"/>
              </w:rPr>
              <w:t>” del presente.</w:t>
            </w:r>
          </w:p>
        </w:tc>
      </w:tr>
      <w:tr w:rsidR="001C2C31" w:rsidRPr="001C2C31" w14:paraId="5E5AEB1D" w14:textId="77777777" w:rsidTr="005464A7">
        <w:tc>
          <w:tcPr>
            <w:tcW w:w="2983" w:type="dxa"/>
          </w:tcPr>
          <w:p w14:paraId="664302BF" w14:textId="77777777" w:rsidR="001C2C31" w:rsidRPr="001C2C31" w:rsidRDefault="001C2C31" w:rsidP="00916F81">
            <w:pPr>
              <w:spacing w:after="0"/>
              <w:rPr>
                <w:rFonts w:eastAsia="Times New Roman"/>
                <w:b/>
                <w:sz w:val="20"/>
                <w:szCs w:val="20"/>
                <w:lang w:val="pt-BR" w:eastAsia="es-ES"/>
              </w:rPr>
            </w:pPr>
            <w:r w:rsidRPr="001C2C31">
              <w:rPr>
                <w:rFonts w:eastAsia="Times New Roman"/>
                <w:b/>
                <w:sz w:val="20"/>
                <w:szCs w:val="20"/>
                <w:lang w:val="pt-BR" w:eastAsia="es-ES"/>
              </w:rPr>
              <w:t>Período de Devengamiento de Intereses:</w:t>
            </w:r>
          </w:p>
        </w:tc>
        <w:tc>
          <w:tcPr>
            <w:tcW w:w="6233" w:type="dxa"/>
          </w:tcPr>
          <w:p w14:paraId="33CD4C1A" w14:textId="1AC0C17D" w:rsidR="001C2C31" w:rsidRP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 xml:space="preserve">Es el período comprendido entre la Fecha de Emisión y Liquidación y la Fecha de Pago de Intereses. </w:t>
            </w:r>
          </w:p>
          <w:p w14:paraId="65ED5ECE" w14:textId="3F89193B" w:rsidR="001C2C31" w:rsidRPr="001C2C31" w:rsidRDefault="001C2C31" w:rsidP="00475F27">
            <w:pPr>
              <w:spacing w:after="0"/>
              <w:jc w:val="both"/>
              <w:rPr>
                <w:rFonts w:eastAsia="Times New Roman"/>
                <w:sz w:val="20"/>
                <w:szCs w:val="20"/>
                <w:lang w:eastAsia="es-ES"/>
              </w:rPr>
            </w:pPr>
            <w:r w:rsidRPr="001C2C31">
              <w:rPr>
                <w:rFonts w:eastAsia="Times New Roman"/>
                <w:sz w:val="20"/>
                <w:szCs w:val="20"/>
                <w:lang w:eastAsia="es-ES"/>
              </w:rPr>
              <w:t xml:space="preserve">Si </w:t>
            </w:r>
            <w:r w:rsidR="00475F27">
              <w:rPr>
                <w:rFonts w:eastAsia="Times New Roman"/>
                <w:sz w:val="20"/>
                <w:szCs w:val="20"/>
                <w:lang w:eastAsia="es-ES"/>
              </w:rPr>
              <w:t>el</w:t>
            </w:r>
            <w:r w:rsidR="00475F27" w:rsidRPr="001C2C31">
              <w:rPr>
                <w:rFonts w:eastAsia="Times New Roman"/>
                <w:sz w:val="20"/>
                <w:szCs w:val="20"/>
                <w:lang w:eastAsia="es-ES"/>
              </w:rPr>
              <w:t xml:space="preserve"> </w:t>
            </w:r>
            <w:r w:rsidRPr="001C2C31">
              <w:rPr>
                <w:rFonts w:eastAsia="Times New Roman"/>
                <w:sz w:val="20"/>
                <w:szCs w:val="20"/>
                <w:lang w:eastAsia="es-ES"/>
              </w:rPr>
              <w:t xml:space="preserve">día de pago de las Obligaciones Negociables no fuera un Día Hábil, dicho pago será efectuado en el Día Hábil inmediatamente posterior. </w:t>
            </w:r>
            <w:r w:rsidR="00475F27">
              <w:rPr>
                <w:rFonts w:eastAsia="Times New Roman"/>
                <w:sz w:val="20"/>
                <w:szCs w:val="20"/>
                <w:lang w:eastAsia="es-ES"/>
              </w:rPr>
              <w:t>El</w:t>
            </w:r>
            <w:r w:rsidR="00475F27" w:rsidRPr="001C2C31">
              <w:rPr>
                <w:rFonts w:eastAsia="Times New Roman"/>
                <w:sz w:val="20"/>
                <w:szCs w:val="20"/>
                <w:lang w:eastAsia="es-ES"/>
              </w:rPr>
              <w:t xml:space="preserve"> </w:t>
            </w:r>
            <w:r w:rsidRPr="001C2C31">
              <w:rPr>
                <w:rFonts w:eastAsia="Times New Roman"/>
                <w:sz w:val="20"/>
                <w:szCs w:val="20"/>
                <w:lang w:eastAsia="es-ES"/>
              </w:rPr>
              <w:t xml:space="preserve">pago adeudado bajo las Obligaciones Negociables efectuado en tal Día Hábil inmediatamente posterior tendrá la misma validez que si hubiera sido efectuado en la fecha en la cual vencía el mismo, </w:t>
            </w:r>
            <w:r w:rsidR="00475F27">
              <w:rPr>
                <w:rFonts w:eastAsia="Times New Roman"/>
                <w:sz w:val="20"/>
                <w:szCs w:val="20"/>
                <w:lang w:eastAsia="es-ES"/>
              </w:rPr>
              <w:t>devengándose</w:t>
            </w:r>
            <w:r w:rsidRPr="001C2C31">
              <w:rPr>
                <w:rFonts w:eastAsia="Times New Roman"/>
                <w:sz w:val="20"/>
                <w:szCs w:val="20"/>
                <w:lang w:eastAsia="es-ES"/>
              </w:rPr>
              <w:t xml:space="preserve"> intereses durante el período comprendido entre tal fecha y el Día Hábil inmediato posterior.</w:t>
            </w:r>
          </w:p>
        </w:tc>
      </w:tr>
      <w:tr w:rsidR="001C2C31" w:rsidRPr="001C2C31" w14:paraId="73FDBEA3" w14:textId="77777777" w:rsidTr="005464A7">
        <w:tc>
          <w:tcPr>
            <w:tcW w:w="2983" w:type="dxa"/>
          </w:tcPr>
          <w:p w14:paraId="60FA8F0D"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Día Hábil:</w:t>
            </w:r>
          </w:p>
        </w:tc>
        <w:tc>
          <w:tcPr>
            <w:tcW w:w="6233" w:type="dxa"/>
          </w:tcPr>
          <w:p w14:paraId="074EC58F" w14:textId="77777777" w:rsidR="001C2C31" w:rsidRP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Se considerará “</w:t>
            </w:r>
            <w:r w:rsidRPr="001C2C31">
              <w:rPr>
                <w:rFonts w:eastAsia="Times New Roman"/>
                <w:b/>
                <w:sz w:val="20"/>
                <w:szCs w:val="20"/>
                <w:lang w:eastAsia="es-ES"/>
              </w:rPr>
              <w:t>Día Hábil</w:t>
            </w:r>
            <w:r w:rsidRPr="001C2C31">
              <w:rPr>
                <w:rFonts w:eastAsia="Times New Roman"/>
                <w:sz w:val="20"/>
                <w:szCs w:val="20"/>
                <w:lang w:eastAsia="es-ES"/>
              </w:rPr>
              <w:t>” cualquier día que no sea sábado, domingo o cualquier otro día en el cual los bancos comerciales en la Ciudad Autónoma de Buenos Aires estuvieran autorizados o requeridos por las normas vigentes a cerrar o que, de otra forma, no estuvieran abiertos para operar.</w:t>
            </w:r>
          </w:p>
        </w:tc>
      </w:tr>
      <w:tr w:rsidR="001C2C31" w:rsidRPr="001C2C31" w14:paraId="12F7D0A7" w14:textId="77777777" w:rsidTr="005464A7">
        <w:tc>
          <w:tcPr>
            <w:tcW w:w="2983" w:type="dxa"/>
          </w:tcPr>
          <w:p w14:paraId="68875C30"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Forma:</w:t>
            </w:r>
          </w:p>
        </w:tc>
        <w:tc>
          <w:tcPr>
            <w:tcW w:w="6233" w:type="dxa"/>
          </w:tcPr>
          <w:p w14:paraId="2BE889B6" w14:textId="77777777" w:rsidR="001C2C31" w:rsidRP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 xml:space="preserve">Las Obligaciones Negociables estarán representadas en un certificado global permanente, a ser depositado en CVSA de acuerdo a lo establecido por la Ley N° 24.587 de Nominatividad de los Títulos Valores Privados. Los Tenedores renuncian al derecho a exigir la entrega de láminas individuales. Las transferencias se realizarán dentro del sistema de depósito colectivo, conforme a la Ley N° 20.643 y sus posteriores modificaciones, encontrándose habilitada CVSA para cobrar los aranceles de los </w:t>
            </w:r>
            <w:r w:rsidRPr="001C2C31">
              <w:rPr>
                <w:rFonts w:eastAsia="Times New Roman"/>
                <w:sz w:val="20"/>
                <w:szCs w:val="20"/>
                <w:lang w:eastAsia="es-ES"/>
              </w:rPr>
              <w:lastRenderedPageBreak/>
              <w:t xml:space="preserve">depositantes, que estos podrán trasladar a los Tenedores. Cualquier Tenedor podrá elegir mantener una participación en las Obligaciones Negociables mediante depósito en cuentas de Euroclear Bank y/o Clearstream Banking a través de CVSA. </w:t>
            </w:r>
          </w:p>
        </w:tc>
      </w:tr>
      <w:tr w:rsidR="001C2C31" w:rsidRPr="001C2C31" w14:paraId="140A3570" w14:textId="77777777" w:rsidTr="005464A7">
        <w:tc>
          <w:tcPr>
            <w:tcW w:w="2983" w:type="dxa"/>
          </w:tcPr>
          <w:p w14:paraId="480C5FB9"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lastRenderedPageBreak/>
              <w:t>Rango:</w:t>
            </w:r>
          </w:p>
        </w:tc>
        <w:tc>
          <w:tcPr>
            <w:tcW w:w="6233" w:type="dxa"/>
          </w:tcPr>
          <w:p w14:paraId="1DC119DF" w14:textId="77777777" w:rsidR="001C2C31" w:rsidRP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 xml:space="preserve">Las Obligaciones Negociables constituirán un endeudamiento directo, incondicional, no subordinado, no privilegiado y no garantizado del Emisor. </w:t>
            </w:r>
          </w:p>
        </w:tc>
      </w:tr>
      <w:tr w:rsidR="001C2C31" w:rsidRPr="001C2C31" w14:paraId="54610A50" w14:textId="77777777" w:rsidTr="005464A7">
        <w:tc>
          <w:tcPr>
            <w:tcW w:w="2983" w:type="dxa"/>
          </w:tcPr>
          <w:p w14:paraId="3B167816" w14:textId="31D3749A" w:rsidR="00C539E7" w:rsidRDefault="00CD502A" w:rsidP="00916F81">
            <w:pPr>
              <w:spacing w:after="0"/>
              <w:rPr>
                <w:rFonts w:eastAsia="Times New Roman"/>
                <w:b/>
                <w:sz w:val="20"/>
                <w:szCs w:val="20"/>
                <w:lang w:eastAsia="es-ES"/>
              </w:rPr>
            </w:pPr>
            <w:r>
              <w:rPr>
                <w:rFonts w:eastAsia="Times New Roman"/>
                <w:b/>
                <w:sz w:val="20"/>
                <w:szCs w:val="20"/>
                <w:lang w:eastAsia="es-ES"/>
              </w:rPr>
              <w:t>Monto Mínimo de Suscripción</w:t>
            </w:r>
          </w:p>
          <w:p w14:paraId="5AB2CFCE" w14:textId="77777777" w:rsidR="00C539E7" w:rsidRDefault="00C539E7" w:rsidP="00916F81">
            <w:pPr>
              <w:spacing w:after="0"/>
              <w:rPr>
                <w:rFonts w:eastAsia="Times New Roman"/>
                <w:b/>
                <w:sz w:val="20"/>
                <w:szCs w:val="20"/>
                <w:lang w:eastAsia="es-ES"/>
              </w:rPr>
            </w:pPr>
          </w:p>
          <w:p w14:paraId="66B0D0B8" w14:textId="1BCA3E6D" w:rsidR="001C2C31" w:rsidRPr="001C2C31" w:rsidRDefault="001C2C31" w:rsidP="00916F81">
            <w:pPr>
              <w:spacing w:after="0"/>
              <w:rPr>
                <w:rFonts w:eastAsia="Times New Roman"/>
                <w:b/>
                <w:sz w:val="20"/>
                <w:szCs w:val="20"/>
                <w:lang w:eastAsia="es-ES"/>
              </w:rPr>
            </w:pPr>
          </w:p>
        </w:tc>
        <w:tc>
          <w:tcPr>
            <w:tcW w:w="6233" w:type="dxa"/>
          </w:tcPr>
          <w:p w14:paraId="74B29088" w14:textId="5FFB2261"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$10.000 (pesos diez mil)</w:t>
            </w:r>
            <w:r w:rsidR="00B0699D">
              <w:rPr>
                <w:rFonts w:eastAsia="Times New Roman"/>
                <w:sz w:val="20"/>
                <w:szCs w:val="20"/>
                <w:lang w:eastAsia="es-ES"/>
              </w:rPr>
              <w:t xml:space="preserve"> y múltiplos de $1 (un peso) por encima de dicho monto.</w:t>
            </w:r>
          </w:p>
          <w:p w14:paraId="2844042D" w14:textId="0FF9CCC5" w:rsidR="009F4027" w:rsidRPr="001C2C31" w:rsidRDefault="009F4027" w:rsidP="00916F81">
            <w:pPr>
              <w:spacing w:after="0"/>
              <w:jc w:val="both"/>
              <w:rPr>
                <w:rFonts w:eastAsia="Times New Roman"/>
                <w:sz w:val="20"/>
                <w:szCs w:val="20"/>
                <w:lang w:eastAsia="es-ES"/>
              </w:rPr>
            </w:pPr>
          </w:p>
        </w:tc>
      </w:tr>
      <w:tr w:rsidR="00CD502A" w:rsidRPr="001C2C31" w14:paraId="524880F5" w14:textId="77777777" w:rsidTr="005464A7">
        <w:tc>
          <w:tcPr>
            <w:tcW w:w="2983" w:type="dxa"/>
          </w:tcPr>
          <w:p w14:paraId="6C466975" w14:textId="182CF683" w:rsidR="00CD502A" w:rsidRPr="001C2C31" w:rsidRDefault="00CD502A" w:rsidP="00916F81">
            <w:pPr>
              <w:spacing w:after="0"/>
              <w:rPr>
                <w:rFonts w:eastAsia="Times New Roman"/>
                <w:b/>
                <w:sz w:val="20"/>
                <w:szCs w:val="20"/>
                <w:lang w:eastAsia="es-ES"/>
              </w:rPr>
            </w:pPr>
            <w:r w:rsidRPr="001C2C31">
              <w:rPr>
                <w:rFonts w:eastAsia="Times New Roman"/>
                <w:b/>
                <w:sz w:val="20"/>
                <w:szCs w:val="20"/>
                <w:lang w:eastAsia="es-ES"/>
              </w:rPr>
              <w:t>Unidad Mínima de Negociación:</w:t>
            </w:r>
          </w:p>
        </w:tc>
        <w:tc>
          <w:tcPr>
            <w:tcW w:w="6233" w:type="dxa"/>
          </w:tcPr>
          <w:p w14:paraId="6448A756" w14:textId="0F2EAF55" w:rsidR="00CD502A" w:rsidRPr="001C2C31" w:rsidRDefault="00CD502A" w:rsidP="00916F81">
            <w:pPr>
              <w:spacing w:after="0"/>
              <w:jc w:val="both"/>
              <w:rPr>
                <w:rFonts w:eastAsia="Times New Roman"/>
                <w:sz w:val="20"/>
                <w:szCs w:val="20"/>
                <w:lang w:eastAsia="es-ES"/>
              </w:rPr>
            </w:pPr>
            <w:r>
              <w:rPr>
                <w:rFonts w:eastAsia="Times New Roman"/>
                <w:sz w:val="20"/>
                <w:szCs w:val="20"/>
                <w:lang w:eastAsia="es-ES"/>
              </w:rPr>
              <w:t>$1 (un Peso)</w:t>
            </w:r>
          </w:p>
        </w:tc>
      </w:tr>
      <w:tr w:rsidR="001C2C31" w:rsidRPr="001C2C31" w14:paraId="46B42378" w14:textId="77777777" w:rsidTr="005464A7">
        <w:tc>
          <w:tcPr>
            <w:tcW w:w="2983" w:type="dxa"/>
          </w:tcPr>
          <w:p w14:paraId="29D58258"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Denominación mínima:</w:t>
            </w:r>
          </w:p>
        </w:tc>
        <w:tc>
          <w:tcPr>
            <w:tcW w:w="6233" w:type="dxa"/>
          </w:tcPr>
          <w:p w14:paraId="7EF6374B" w14:textId="059333A3" w:rsidR="001C2C31" w:rsidRPr="001C2C31" w:rsidRDefault="009F4027" w:rsidP="00916F81">
            <w:pPr>
              <w:spacing w:after="0"/>
              <w:jc w:val="both"/>
              <w:rPr>
                <w:rFonts w:eastAsia="Times New Roman"/>
                <w:sz w:val="20"/>
                <w:szCs w:val="20"/>
                <w:lang w:eastAsia="es-ES"/>
              </w:rPr>
            </w:pPr>
            <w:r>
              <w:rPr>
                <w:rFonts w:eastAsia="Times New Roman"/>
                <w:sz w:val="20"/>
                <w:szCs w:val="20"/>
                <w:lang w:eastAsia="es-ES"/>
              </w:rPr>
              <w:t xml:space="preserve"> $1 (un Peso)</w:t>
            </w:r>
          </w:p>
        </w:tc>
      </w:tr>
      <w:tr w:rsidR="001C2C31" w:rsidRPr="001C2C31" w14:paraId="4163DEF6" w14:textId="77777777" w:rsidTr="005464A7">
        <w:trPr>
          <w:trHeight w:val="899"/>
        </w:trPr>
        <w:tc>
          <w:tcPr>
            <w:tcW w:w="2983" w:type="dxa"/>
          </w:tcPr>
          <w:p w14:paraId="07C189BD"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Destino de los Fondos:</w:t>
            </w:r>
          </w:p>
        </w:tc>
        <w:tc>
          <w:tcPr>
            <w:tcW w:w="6233" w:type="dxa"/>
          </w:tcPr>
          <w:p w14:paraId="26CDD4A7" w14:textId="77777777" w:rsidR="001C2C31" w:rsidRP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 xml:space="preserve">El Emisor utilizará la totalidad del producido neto proveniente de la colocación de las Obligaciones Negociables, de acuerdo con lo establecido bajo la sección </w:t>
            </w:r>
            <w:r w:rsidRPr="001C2C31">
              <w:rPr>
                <w:rFonts w:eastAsia="Times New Roman"/>
                <w:i/>
                <w:sz w:val="20"/>
                <w:szCs w:val="20"/>
                <w:lang w:eastAsia="es-ES"/>
              </w:rPr>
              <w:t>“Destino de los Fondos”</w:t>
            </w:r>
            <w:r w:rsidRPr="001C2C31">
              <w:rPr>
                <w:rFonts w:eastAsia="Times New Roman"/>
                <w:sz w:val="20"/>
                <w:szCs w:val="20"/>
                <w:lang w:eastAsia="es-ES"/>
              </w:rPr>
              <w:t xml:space="preserve"> de este Suplemento de Precio.</w:t>
            </w:r>
          </w:p>
        </w:tc>
      </w:tr>
      <w:tr w:rsidR="001C2C31" w:rsidRPr="001C2C31" w14:paraId="22BD1323" w14:textId="77777777" w:rsidTr="005464A7">
        <w:trPr>
          <w:trHeight w:val="165"/>
        </w:trPr>
        <w:tc>
          <w:tcPr>
            <w:tcW w:w="2983" w:type="dxa"/>
          </w:tcPr>
          <w:p w14:paraId="2F6D6A78"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Organizador y Agente Colocador:</w:t>
            </w:r>
          </w:p>
        </w:tc>
        <w:tc>
          <w:tcPr>
            <w:tcW w:w="6233" w:type="dxa"/>
          </w:tcPr>
          <w:p w14:paraId="139A550A" w14:textId="77777777" w:rsidR="001C2C31" w:rsidRP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Banco de Servicios y Transacciones S.A.</w:t>
            </w:r>
          </w:p>
        </w:tc>
      </w:tr>
      <w:tr w:rsidR="001C2C31" w:rsidRPr="001C2C31" w14:paraId="73C86D82" w14:textId="77777777" w:rsidTr="005464A7">
        <w:trPr>
          <w:trHeight w:val="165"/>
        </w:trPr>
        <w:tc>
          <w:tcPr>
            <w:tcW w:w="2983" w:type="dxa"/>
          </w:tcPr>
          <w:p w14:paraId="4A93E986" w14:textId="77777777" w:rsidR="001C2C31" w:rsidRPr="001C2C31" w:rsidRDefault="001C2C31" w:rsidP="00916F81">
            <w:pPr>
              <w:spacing w:after="0"/>
              <w:rPr>
                <w:rFonts w:eastAsia="Times New Roman"/>
                <w:b/>
                <w:sz w:val="20"/>
                <w:szCs w:val="20"/>
                <w:lang w:eastAsia="es-ES"/>
              </w:rPr>
            </w:pPr>
            <w:r w:rsidRPr="001C2C31">
              <w:rPr>
                <w:rFonts w:eastAsia="Times New Roman"/>
                <w:b/>
                <w:sz w:val="20"/>
                <w:szCs w:val="20"/>
                <w:lang w:eastAsia="es-ES"/>
              </w:rPr>
              <w:t>Agente de Liquidación:</w:t>
            </w:r>
          </w:p>
        </w:tc>
        <w:tc>
          <w:tcPr>
            <w:tcW w:w="6233" w:type="dxa"/>
          </w:tcPr>
          <w:p w14:paraId="2772A248" w14:textId="1D41CF1B" w:rsidR="001C2C31" w:rsidRP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 xml:space="preserve">Banco de Servicios y Transacciones S.A. </w:t>
            </w:r>
            <w:r w:rsidR="00947FC0">
              <w:rPr>
                <w:rFonts w:eastAsia="Times New Roman"/>
                <w:sz w:val="20"/>
                <w:szCs w:val="20"/>
                <w:lang w:eastAsia="es-ES"/>
              </w:rPr>
              <w:t>a través de MAEClear.</w:t>
            </w:r>
          </w:p>
        </w:tc>
      </w:tr>
      <w:tr w:rsidR="001F48CC" w:rsidRPr="001C2C31" w14:paraId="3324BCCA" w14:textId="77777777" w:rsidTr="005464A7">
        <w:trPr>
          <w:trHeight w:val="165"/>
        </w:trPr>
        <w:tc>
          <w:tcPr>
            <w:tcW w:w="2983" w:type="dxa"/>
          </w:tcPr>
          <w:p w14:paraId="6B1E0DC2" w14:textId="77777777" w:rsidR="001F48CC" w:rsidRPr="008E77C2" w:rsidRDefault="001F48CC" w:rsidP="001F48CC">
            <w:pPr>
              <w:autoSpaceDE w:val="0"/>
              <w:autoSpaceDN w:val="0"/>
              <w:adjustRightInd w:val="0"/>
              <w:spacing w:before="60" w:after="60"/>
              <w:rPr>
                <w:b/>
                <w:color w:val="000000"/>
                <w:sz w:val="20"/>
                <w:szCs w:val="20"/>
              </w:rPr>
            </w:pPr>
            <w:r w:rsidRPr="008E77C2">
              <w:rPr>
                <w:b/>
                <w:color w:val="000000"/>
                <w:sz w:val="20"/>
                <w:szCs w:val="20"/>
              </w:rPr>
              <w:t>Forma de Colocación</w:t>
            </w:r>
          </w:p>
        </w:tc>
        <w:tc>
          <w:tcPr>
            <w:tcW w:w="6233" w:type="dxa"/>
          </w:tcPr>
          <w:p w14:paraId="7B02BD4A" w14:textId="77777777" w:rsidR="001F48CC" w:rsidRPr="008E77C2" w:rsidRDefault="001F48CC" w:rsidP="001F48CC">
            <w:pPr>
              <w:autoSpaceDE w:val="0"/>
              <w:autoSpaceDN w:val="0"/>
              <w:adjustRightInd w:val="0"/>
              <w:spacing w:before="60" w:after="60"/>
              <w:jc w:val="both"/>
              <w:rPr>
                <w:color w:val="000000"/>
                <w:sz w:val="20"/>
                <w:szCs w:val="20"/>
              </w:rPr>
            </w:pPr>
            <w:r w:rsidRPr="00BA2014">
              <w:rPr>
                <w:color w:val="000000"/>
                <w:sz w:val="20"/>
                <w:szCs w:val="20"/>
              </w:rPr>
              <w:t xml:space="preserve">La colocación primaria de </w:t>
            </w:r>
            <w:r>
              <w:rPr>
                <w:color w:val="000000"/>
                <w:sz w:val="20"/>
                <w:szCs w:val="20"/>
              </w:rPr>
              <w:t>las Obligaciones Negociables</w:t>
            </w:r>
            <w:r w:rsidRPr="00BA2014">
              <w:rPr>
                <w:color w:val="000000"/>
                <w:sz w:val="20"/>
                <w:szCs w:val="20"/>
              </w:rPr>
              <w:t xml:space="preserve"> se realizará de conformidad con lo establecido en el artículo 4, Capítulo IV, Título VI de las Normas de la CNV. L</w:t>
            </w:r>
            <w:r>
              <w:rPr>
                <w:color w:val="000000"/>
                <w:sz w:val="20"/>
                <w:szCs w:val="20"/>
              </w:rPr>
              <w:t>a</w:t>
            </w:r>
            <w:r w:rsidRPr="00BA2014">
              <w:rPr>
                <w:color w:val="000000"/>
                <w:sz w:val="20"/>
                <w:szCs w:val="20"/>
              </w:rPr>
              <w:t xml:space="preserve">s </w:t>
            </w:r>
            <w:r>
              <w:rPr>
                <w:color w:val="000000"/>
                <w:sz w:val="20"/>
                <w:szCs w:val="20"/>
              </w:rPr>
              <w:t>Obligaciones Negociables serán colocada</w:t>
            </w:r>
            <w:r w:rsidRPr="00BA2014">
              <w:rPr>
                <w:color w:val="000000"/>
                <w:sz w:val="20"/>
                <w:szCs w:val="20"/>
              </w:rPr>
              <w:t>s a través de un proceso licitatorio o subasta abierto, conforme los parámetros y condiciones que se detallan en “</w:t>
            </w:r>
            <w:r w:rsidRPr="00BA2014">
              <w:rPr>
                <w:i/>
                <w:color w:val="000000"/>
                <w:sz w:val="20"/>
                <w:szCs w:val="20"/>
              </w:rPr>
              <w:t>Plan de Distribución de l</w:t>
            </w:r>
            <w:r>
              <w:rPr>
                <w:i/>
                <w:color w:val="000000"/>
                <w:sz w:val="20"/>
                <w:szCs w:val="20"/>
              </w:rPr>
              <w:t>a</w:t>
            </w:r>
            <w:r w:rsidRPr="00BA2014">
              <w:rPr>
                <w:i/>
                <w:color w:val="000000"/>
                <w:sz w:val="20"/>
                <w:szCs w:val="20"/>
              </w:rPr>
              <w:t xml:space="preserve">s </w:t>
            </w:r>
            <w:r>
              <w:rPr>
                <w:i/>
                <w:color w:val="000000"/>
                <w:sz w:val="20"/>
                <w:szCs w:val="20"/>
              </w:rPr>
              <w:t>Obligaciones Negociables</w:t>
            </w:r>
            <w:r w:rsidRPr="00BA2014">
              <w:rPr>
                <w:i/>
                <w:color w:val="000000"/>
                <w:sz w:val="20"/>
                <w:szCs w:val="20"/>
              </w:rPr>
              <w:t xml:space="preserve">” </w:t>
            </w:r>
            <w:r>
              <w:rPr>
                <w:color w:val="000000"/>
                <w:sz w:val="20"/>
                <w:szCs w:val="20"/>
              </w:rPr>
              <w:t>en el presente Suplemento.</w:t>
            </w:r>
          </w:p>
        </w:tc>
      </w:tr>
      <w:tr w:rsidR="001F48CC" w:rsidRPr="001C2C31" w14:paraId="4340CD00" w14:textId="77777777" w:rsidTr="005464A7">
        <w:tc>
          <w:tcPr>
            <w:tcW w:w="2983" w:type="dxa"/>
          </w:tcPr>
          <w:p w14:paraId="236B636E" w14:textId="77777777" w:rsidR="001F48CC" w:rsidRPr="001C2C31" w:rsidRDefault="001F48CC" w:rsidP="001F48CC">
            <w:pPr>
              <w:spacing w:after="0"/>
              <w:rPr>
                <w:rFonts w:eastAsia="Times New Roman"/>
                <w:b/>
                <w:sz w:val="20"/>
                <w:szCs w:val="20"/>
                <w:lang w:eastAsia="es-ES"/>
              </w:rPr>
            </w:pPr>
            <w:r w:rsidRPr="001C2C31">
              <w:rPr>
                <w:rFonts w:eastAsia="Times New Roman"/>
                <w:b/>
                <w:sz w:val="20"/>
                <w:szCs w:val="20"/>
                <w:lang w:eastAsia="es-ES"/>
              </w:rPr>
              <w:t>Montos Adicionales:</w:t>
            </w:r>
          </w:p>
        </w:tc>
        <w:tc>
          <w:tcPr>
            <w:tcW w:w="6233" w:type="dxa"/>
          </w:tcPr>
          <w:p w14:paraId="69D248D4" w14:textId="77777777" w:rsidR="001F48CC" w:rsidRPr="001C2C31" w:rsidRDefault="001F48CC" w:rsidP="001F48CC">
            <w:pPr>
              <w:tabs>
                <w:tab w:val="left" w:pos="152"/>
                <w:tab w:val="left" w:pos="302"/>
              </w:tabs>
              <w:spacing w:after="0"/>
              <w:jc w:val="both"/>
              <w:rPr>
                <w:rFonts w:eastAsia="Times New Roman" w:cs="Calibri"/>
                <w:sz w:val="20"/>
                <w:szCs w:val="24"/>
                <w:lang w:eastAsia="es-ES"/>
              </w:rPr>
            </w:pPr>
            <w:r w:rsidRPr="001C2C31">
              <w:rPr>
                <w:rFonts w:eastAsia="Times New Roman"/>
                <w:sz w:val="20"/>
                <w:szCs w:val="24"/>
                <w:lang w:eastAsia="es-ES"/>
              </w:rPr>
              <w:t xml:space="preserve">En ciertos casos, el Emisor estará obligado a pagar ciertos montos adicionales en caso que sea necesario efectuar ciertas deducciones y/o retenciones respecto de los pagos bajo las Obligaciones Negociables. Ver </w:t>
            </w:r>
            <w:r w:rsidRPr="00AC0486">
              <w:rPr>
                <w:rFonts w:eastAsia="Times New Roman"/>
                <w:sz w:val="20"/>
                <w:szCs w:val="24"/>
                <w:lang w:eastAsia="es-ES"/>
              </w:rPr>
              <w:t>“</w:t>
            </w:r>
            <w:r w:rsidRPr="00AC0486">
              <w:rPr>
                <w:rFonts w:eastAsia="Times New Roman"/>
                <w:i/>
                <w:sz w:val="20"/>
                <w:szCs w:val="24"/>
                <w:lang w:eastAsia="es-ES"/>
              </w:rPr>
              <w:t>De la Oferta y la Negociación -</w:t>
            </w:r>
            <w:r w:rsidRPr="00D176FC">
              <w:rPr>
                <w:rFonts w:eastAsia="Times New Roman"/>
                <w:sz w:val="20"/>
                <w:szCs w:val="24"/>
                <w:lang w:eastAsia="es-ES"/>
              </w:rPr>
              <w:t xml:space="preserve"> </w:t>
            </w:r>
            <w:r w:rsidRPr="00D176FC">
              <w:rPr>
                <w:rFonts w:eastAsia="Times New Roman"/>
                <w:i/>
                <w:sz w:val="20"/>
                <w:szCs w:val="24"/>
                <w:lang w:eastAsia="es-ES"/>
              </w:rPr>
              <w:t>Términos y Condiciones de las Obligaciones Negociables – Montos Adicionales</w:t>
            </w:r>
            <w:r w:rsidRPr="00D176FC">
              <w:rPr>
                <w:rFonts w:eastAsia="Times New Roman"/>
                <w:sz w:val="20"/>
                <w:szCs w:val="24"/>
                <w:lang w:eastAsia="es-ES"/>
              </w:rPr>
              <w:t>” del Prospecto.</w:t>
            </w:r>
          </w:p>
        </w:tc>
      </w:tr>
      <w:tr w:rsidR="001F48CC" w:rsidRPr="001C2C31" w14:paraId="7ABEE680" w14:textId="77777777" w:rsidTr="005464A7">
        <w:tc>
          <w:tcPr>
            <w:tcW w:w="2983" w:type="dxa"/>
          </w:tcPr>
          <w:p w14:paraId="280546A1" w14:textId="77777777" w:rsidR="001F48CC" w:rsidRPr="001C2C31" w:rsidRDefault="001F48CC" w:rsidP="001F48CC">
            <w:pPr>
              <w:spacing w:after="0"/>
              <w:rPr>
                <w:rFonts w:eastAsia="Times New Roman"/>
                <w:b/>
                <w:sz w:val="20"/>
                <w:szCs w:val="20"/>
                <w:lang w:eastAsia="es-ES"/>
              </w:rPr>
            </w:pPr>
            <w:r w:rsidRPr="001C2C31">
              <w:rPr>
                <w:rFonts w:eastAsia="Times New Roman"/>
                <w:b/>
                <w:sz w:val="20"/>
                <w:szCs w:val="20"/>
                <w:lang w:eastAsia="es-ES"/>
              </w:rPr>
              <w:t xml:space="preserve">Compromisos: </w:t>
            </w:r>
          </w:p>
        </w:tc>
        <w:tc>
          <w:tcPr>
            <w:tcW w:w="6233" w:type="dxa"/>
          </w:tcPr>
          <w:p w14:paraId="6D7348DB" w14:textId="77777777" w:rsidR="001F48CC" w:rsidRPr="001C2C31" w:rsidRDefault="001F48CC" w:rsidP="001F48CC">
            <w:pPr>
              <w:tabs>
                <w:tab w:val="left" w:pos="152"/>
                <w:tab w:val="left" w:pos="302"/>
              </w:tabs>
              <w:spacing w:after="0"/>
              <w:jc w:val="both"/>
              <w:rPr>
                <w:rFonts w:eastAsia="Times New Roman"/>
                <w:sz w:val="20"/>
                <w:szCs w:val="20"/>
                <w:lang w:eastAsia="es-ES"/>
              </w:rPr>
            </w:pPr>
            <w:r w:rsidRPr="001C2C31">
              <w:rPr>
                <w:rFonts w:eastAsia="Times New Roman" w:cs="Calibri"/>
                <w:sz w:val="20"/>
                <w:szCs w:val="24"/>
                <w:lang w:eastAsia="es-ES"/>
              </w:rPr>
              <w:t>El Emisor se obliga respecto de los tenedores de las Obligaciones Negociables, a cumplir los compromisos que se detallan bajo la sección “</w:t>
            </w:r>
            <w:r w:rsidRPr="001C2C31">
              <w:rPr>
                <w:rFonts w:eastAsia="Times New Roman" w:cs="Calibri"/>
                <w:i/>
                <w:sz w:val="20"/>
                <w:szCs w:val="24"/>
                <w:lang w:eastAsia="es-ES"/>
              </w:rPr>
              <w:t xml:space="preserve">Compromisos” </w:t>
            </w:r>
            <w:r w:rsidRPr="001C2C31">
              <w:rPr>
                <w:rFonts w:eastAsia="Times New Roman" w:cs="Calibri"/>
                <w:sz w:val="20"/>
                <w:szCs w:val="24"/>
                <w:lang w:eastAsia="es-ES"/>
              </w:rPr>
              <w:t>incluida más abajo.</w:t>
            </w:r>
          </w:p>
        </w:tc>
      </w:tr>
      <w:tr w:rsidR="001F48CC" w:rsidRPr="001C2C31" w14:paraId="7BB4A3F2" w14:textId="77777777" w:rsidTr="005464A7">
        <w:tc>
          <w:tcPr>
            <w:tcW w:w="2983" w:type="dxa"/>
          </w:tcPr>
          <w:p w14:paraId="089DC0E7" w14:textId="77777777" w:rsidR="001F48CC" w:rsidRPr="001C2C31" w:rsidRDefault="001F48CC" w:rsidP="001F48CC">
            <w:pPr>
              <w:spacing w:after="0"/>
              <w:rPr>
                <w:rFonts w:eastAsia="Times New Roman"/>
                <w:b/>
                <w:sz w:val="20"/>
                <w:szCs w:val="20"/>
                <w:lang w:eastAsia="es-ES"/>
              </w:rPr>
            </w:pPr>
            <w:r w:rsidRPr="001C2C31">
              <w:rPr>
                <w:rFonts w:eastAsia="Times New Roman"/>
                <w:b/>
                <w:sz w:val="20"/>
                <w:szCs w:val="20"/>
                <w:lang w:eastAsia="es-ES"/>
              </w:rPr>
              <w:t>Supuestos de Incumplimiento:</w:t>
            </w:r>
          </w:p>
        </w:tc>
        <w:tc>
          <w:tcPr>
            <w:tcW w:w="6233" w:type="dxa"/>
          </w:tcPr>
          <w:p w14:paraId="26FE0FE6" w14:textId="77777777" w:rsidR="001F48CC" w:rsidRPr="001C2C31" w:rsidRDefault="001F48CC" w:rsidP="001F48CC">
            <w:pPr>
              <w:tabs>
                <w:tab w:val="left" w:pos="152"/>
                <w:tab w:val="left" w:pos="302"/>
              </w:tabs>
              <w:spacing w:after="0"/>
              <w:jc w:val="both"/>
              <w:rPr>
                <w:rFonts w:eastAsia="Times New Roman"/>
                <w:sz w:val="20"/>
                <w:szCs w:val="20"/>
                <w:lang w:eastAsia="es-ES"/>
              </w:rPr>
            </w:pPr>
            <w:r w:rsidRPr="001C2C31">
              <w:rPr>
                <w:rFonts w:eastAsia="Times New Roman"/>
                <w:sz w:val="20"/>
                <w:szCs w:val="20"/>
                <w:lang w:eastAsia="es-ES"/>
              </w:rPr>
              <w:t xml:space="preserve">Son los que se detallan en la sección </w:t>
            </w:r>
            <w:r w:rsidRPr="001C2C31">
              <w:rPr>
                <w:rFonts w:eastAsia="Times New Roman"/>
                <w:i/>
                <w:sz w:val="20"/>
                <w:szCs w:val="20"/>
                <w:lang w:eastAsia="es-ES"/>
              </w:rPr>
              <w:t xml:space="preserve">“Eventos de Incumplimiento” </w:t>
            </w:r>
            <w:r w:rsidRPr="001C2C31">
              <w:rPr>
                <w:rFonts w:eastAsia="Times New Roman"/>
                <w:sz w:val="20"/>
                <w:szCs w:val="20"/>
                <w:lang w:eastAsia="es-ES"/>
              </w:rPr>
              <w:t>incluida más abajo.</w:t>
            </w:r>
          </w:p>
        </w:tc>
      </w:tr>
      <w:tr w:rsidR="001F48CC" w:rsidRPr="001C2C31" w14:paraId="015231A6" w14:textId="77777777" w:rsidTr="005464A7">
        <w:tc>
          <w:tcPr>
            <w:tcW w:w="2983" w:type="dxa"/>
          </w:tcPr>
          <w:p w14:paraId="5C02805C" w14:textId="77777777" w:rsidR="001F48CC" w:rsidRPr="001C2C31" w:rsidRDefault="001F48CC" w:rsidP="001F48CC">
            <w:pPr>
              <w:spacing w:after="0"/>
              <w:rPr>
                <w:rFonts w:eastAsia="Times New Roman"/>
                <w:b/>
                <w:sz w:val="20"/>
                <w:szCs w:val="20"/>
                <w:lang w:eastAsia="es-ES"/>
              </w:rPr>
            </w:pPr>
            <w:r w:rsidRPr="001C2C31">
              <w:rPr>
                <w:rFonts w:eastAsia="Times New Roman"/>
                <w:b/>
                <w:sz w:val="20"/>
                <w:szCs w:val="20"/>
                <w:lang w:eastAsia="es-ES"/>
              </w:rPr>
              <w:t>Rescate por razones impositivas:</w:t>
            </w:r>
          </w:p>
        </w:tc>
        <w:tc>
          <w:tcPr>
            <w:tcW w:w="6233" w:type="dxa"/>
          </w:tcPr>
          <w:p w14:paraId="67033697" w14:textId="77777777" w:rsidR="001F48CC" w:rsidRPr="001C2C31" w:rsidRDefault="001F48CC" w:rsidP="001F48CC">
            <w:pPr>
              <w:spacing w:after="0"/>
              <w:jc w:val="both"/>
              <w:rPr>
                <w:rFonts w:eastAsia="Times New Roman"/>
                <w:sz w:val="20"/>
                <w:szCs w:val="20"/>
                <w:lang w:eastAsia="es-ES"/>
              </w:rPr>
            </w:pPr>
            <w:r w:rsidRPr="001C2C31">
              <w:rPr>
                <w:rFonts w:eastAsia="Times New Roman"/>
                <w:sz w:val="20"/>
                <w:szCs w:val="20"/>
                <w:lang w:eastAsia="es-ES"/>
              </w:rPr>
              <w:t>El Emisor podrá rescatar las Obligaciones Negociables en su totalidad, pero no parcialmente, en caso que tuvieran lugar ciertos cambios impositivos que generen en la Entidad la obligación de pagar ciertos montos adicionales bajo las Obligaciones Negociables. Ver “</w:t>
            </w:r>
            <w:r w:rsidRPr="001C2C31">
              <w:rPr>
                <w:rFonts w:eastAsia="Times New Roman"/>
                <w:i/>
                <w:sz w:val="20"/>
                <w:szCs w:val="20"/>
                <w:lang w:eastAsia="es-ES"/>
              </w:rPr>
              <w:t>De la Oferta y la Negociación - Términos y Condiciones de las Obligaciones Negociables - Rescate por razones impositivas</w:t>
            </w:r>
            <w:r w:rsidRPr="001C2C31">
              <w:rPr>
                <w:rFonts w:eastAsia="Times New Roman"/>
                <w:sz w:val="20"/>
                <w:szCs w:val="20"/>
                <w:lang w:eastAsia="es-ES"/>
              </w:rPr>
              <w:t>” del Prospecto.</w:t>
            </w:r>
          </w:p>
        </w:tc>
      </w:tr>
      <w:tr w:rsidR="008A5C86" w:rsidRPr="001C2C31" w14:paraId="7D0D260F" w14:textId="77777777" w:rsidTr="005464A7">
        <w:tc>
          <w:tcPr>
            <w:tcW w:w="2983" w:type="dxa"/>
          </w:tcPr>
          <w:p w14:paraId="49476B45" w14:textId="77777777" w:rsidR="008A5C86" w:rsidRPr="008E77C2" w:rsidRDefault="008A5C86" w:rsidP="008A5C86">
            <w:pPr>
              <w:autoSpaceDE w:val="0"/>
              <w:autoSpaceDN w:val="0"/>
              <w:adjustRightInd w:val="0"/>
              <w:spacing w:before="60" w:after="60"/>
              <w:rPr>
                <w:b/>
                <w:color w:val="000000"/>
                <w:sz w:val="20"/>
                <w:szCs w:val="20"/>
                <w:lang w:val="es-ES"/>
              </w:rPr>
            </w:pPr>
            <w:r>
              <w:rPr>
                <w:b/>
                <w:color w:val="000000"/>
                <w:sz w:val="20"/>
                <w:szCs w:val="20"/>
              </w:rPr>
              <w:t>Rescate a opción del Emisor</w:t>
            </w:r>
          </w:p>
        </w:tc>
        <w:tc>
          <w:tcPr>
            <w:tcW w:w="6233" w:type="dxa"/>
          </w:tcPr>
          <w:p w14:paraId="53EB1839" w14:textId="0E8207C0" w:rsidR="008A5C86" w:rsidRPr="00BA2014" w:rsidRDefault="00425929" w:rsidP="008A5C86">
            <w:pPr>
              <w:autoSpaceDE w:val="0"/>
              <w:autoSpaceDN w:val="0"/>
              <w:adjustRightInd w:val="0"/>
              <w:spacing w:before="60" w:after="60"/>
              <w:jc w:val="both"/>
              <w:rPr>
                <w:sz w:val="20"/>
                <w:szCs w:val="20"/>
                <w:lang w:val="es-ES"/>
              </w:rPr>
            </w:pPr>
            <w:r>
              <w:rPr>
                <w:color w:val="000000"/>
                <w:sz w:val="20"/>
                <w:szCs w:val="20"/>
              </w:rPr>
              <w:t>El Emisor</w:t>
            </w:r>
            <w:r w:rsidR="008A5C86" w:rsidRPr="00A60E79">
              <w:rPr>
                <w:color w:val="000000"/>
                <w:sz w:val="20"/>
                <w:szCs w:val="20"/>
              </w:rPr>
              <w:t xml:space="preserve"> podrá rescatar a su sola opción, en s</w:t>
            </w:r>
            <w:r w:rsidR="008A5C86">
              <w:rPr>
                <w:color w:val="000000"/>
                <w:sz w:val="20"/>
                <w:szCs w:val="20"/>
              </w:rPr>
              <w:t>u totalidad y no parcialmente la</w:t>
            </w:r>
            <w:r w:rsidR="008A5C86" w:rsidRPr="00A60E79">
              <w:rPr>
                <w:color w:val="000000"/>
                <w:sz w:val="20"/>
                <w:szCs w:val="20"/>
              </w:rPr>
              <w:t xml:space="preserve">s </w:t>
            </w:r>
            <w:r w:rsidR="008A5C86">
              <w:rPr>
                <w:color w:val="000000"/>
                <w:sz w:val="20"/>
                <w:szCs w:val="20"/>
              </w:rPr>
              <w:t>Obligaciones Negociables</w:t>
            </w:r>
            <w:r w:rsidR="008A5C86" w:rsidRPr="00A60E79">
              <w:rPr>
                <w:color w:val="000000"/>
                <w:sz w:val="20"/>
                <w:szCs w:val="20"/>
              </w:rPr>
              <w:t xml:space="preserve">, </w:t>
            </w:r>
            <w:r w:rsidR="008A5C86">
              <w:rPr>
                <w:color w:val="000000"/>
                <w:sz w:val="20"/>
                <w:szCs w:val="20"/>
              </w:rPr>
              <w:t xml:space="preserve">a partir de la fecha en que se cumplan </w:t>
            </w:r>
            <w:r w:rsidR="00AD6D7C">
              <w:rPr>
                <w:color w:val="000000"/>
                <w:sz w:val="20"/>
                <w:szCs w:val="20"/>
              </w:rPr>
              <w:t>12 (doce)</w:t>
            </w:r>
            <w:r w:rsidR="008A5C86">
              <w:rPr>
                <w:color w:val="000000"/>
                <w:sz w:val="20"/>
                <w:szCs w:val="20"/>
              </w:rPr>
              <w:t xml:space="preserve"> meses desde la Fecha de Emisión y Liquidación, </w:t>
            </w:r>
            <w:r w:rsidR="008A5C86" w:rsidRPr="001E17A6">
              <w:rPr>
                <w:color w:val="000000"/>
                <w:sz w:val="20"/>
                <w:szCs w:val="20"/>
              </w:rPr>
              <w:t>notificando tal circunstancia con una anticipació</w:t>
            </w:r>
            <w:r w:rsidR="008A5C86">
              <w:rPr>
                <w:color w:val="000000"/>
                <w:sz w:val="20"/>
                <w:szCs w:val="20"/>
              </w:rPr>
              <w:t xml:space="preserve">n no menor a </w:t>
            </w:r>
            <w:r w:rsidR="00AD6D7C">
              <w:rPr>
                <w:color w:val="000000"/>
                <w:sz w:val="20"/>
                <w:szCs w:val="20"/>
              </w:rPr>
              <w:t>5 (</w:t>
            </w:r>
            <w:r w:rsidR="008A5C86">
              <w:rPr>
                <w:color w:val="000000"/>
                <w:sz w:val="20"/>
                <w:szCs w:val="20"/>
              </w:rPr>
              <w:t>cinco</w:t>
            </w:r>
            <w:r w:rsidR="00AD6D7C">
              <w:rPr>
                <w:color w:val="000000"/>
                <w:sz w:val="20"/>
                <w:szCs w:val="20"/>
              </w:rPr>
              <w:t>)</w:t>
            </w:r>
            <w:r w:rsidR="008A5C86">
              <w:rPr>
                <w:color w:val="000000"/>
                <w:sz w:val="20"/>
                <w:szCs w:val="20"/>
              </w:rPr>
              <w:t xml:space="preserve"> Días Hábiles. La</w:t>
            </w:r>
            <w:r w:rsidR="008A5C86" w:rsidRPr="00A60E79">
              <w:rPr>
                <w:color w:val="000000"/>
                <w:sz w:val="20"/>
                <w:szCs w:val="20"/>
              </w:rPr>
              <w:t xml:space="preserve">s </w:t>
            </w:r>
            <w:r w:rsidR="008A5C86">
              <w:rPr>
                <w:color w:val="000000"/>
                <w:sz w:val="20"/>
                <w:szCs w:val="20"/>
              </w:rPr>
              <w:t>Obligaciones Negociables que se rescaten conforme con la</w:t>
            </w:r>
            <w:r w:rsidR="008A5C86" w:rsidRPr="00A60E79">
              <w:rPr>
                <w:color w:val="000000"/>
                <w:sz w:val="20"/>
                <w:szCs w:val="20"/>
              </w:rPr>
              <w:t xml:space="preserve"> presente cláusula se rescatarán por un importe equivalente al mont</w:t>
            </w:r>
            <w:r w:rsidR="008A5C86">
              <w:rPr>
                <w:color w:val="000000"/>
                <w:sz w:val="20"/>
                <w:szCs w:val="20"/>
              </w:rPr>
              <w:t>o de capital no amortizado de la</w:t>
            </w:r>
            <w:r w:rsidR="008A5C86" w:rsidRPr="00A60E79">
              <w:rPr>
                <w:color w:val="000000"/>
                <w:sz w:val="20"/>
                <w:szCs w:val="20"/>
              </w:rPr>
              <w:t xml:space="preserve">s </w:t>
            </w:r>
            <w:r w:rsidR="008A5C86">
              <w:rPr>
                <w:color w:val="000000"/>
                <w:sz w:val="20"/>
                <w:szCs w:val="20"/>
              </w:rPr>
              <w:t>Obligaciones Negociables así rescatada</w:t>
            </w:r>
            <w:r w:rsidR="008A5C86" w:rsidRPr="00A60E79">
              <w:rPr>
                <w:color w:val="000000"/>
                <w:sz w:val="20"/>
                <w:szCs w:val="20"/>
              </w:rPr>
              <w:t xml:space="preserve">s, más los intereses devengados e impagos sobre aquellos a la fecha del rescate en cuestión, más cualquier monto adicional pagadero e impago en ese </w:t>
            </w:r>
            <w:r w:rsidR="008A5C86" w:rsidRPr="00A60E79">
              <w:rPr>
                <w:color w:val="000000"/>
                <w:sz w:val="20"/>
                <w:szCs w:val="20"/>
              </w:rPr>
              <w:lastRenderedPageBreak/>
              <w:t>momento respecto de aquellos, más cualquier otro</w:t>
            </w:r>
            <w:r w:rsidR="008A5C86">
              <w:rPr>
                <w:color w:val="000000"/>
                <w:sz w:val="20"/>
                <w:szCs w:val="20"/>
              </w:rPr>
              <w:t xml:space="preserve"> monto adeudado e impago bajo la</w:t>
            </w:r>
            <w:r w:rsidR="008A5C86" w:rsidRPr="00A60E79">
              <w:rPr>
                <w:color w:val="000000"/>
                <w:sz w:val="20"/>
                <w:szCs w:val="20"/>
              </w:rPr>
              <w:t xml:space="preserve">s </w:t>
            </w:r>
            <w:r w:rsidR="008A5C86">
              <w:rPr>
                <w:color w:val="000000"/>
                <w:sz w:val="20"/>
                <w:szCs w:val="20"/>
              </w:rPr>
              <w:t>Obligaciones Negociables.</w:t>
            </w:r>
          </w:p>
        </w:tc>
      </w:tr>
      <w:tr w:rsidR="008A5C86" w:rsidRPr="001C2C31" w14:paraId="3FFED408" w14:textId="77777777" w:rsidTr="005464A7">
        <w:tc>
          <w:tcPr>
            <w:tcW w:w="2983" w:type="dxa"/>
          </w:tcPr>
          <w:p w14:paraId="7C7A081A" w14:textId="77777777" w:rsidR="008A5C86" w:rsidRPr="001C2C31" w:rsidRDefault="008A5C86" w:rsidP="008A5C86">
            <w:pPr>
              <w:spacing w:after="0"/>
              <w:rPr>
                <w:rFonts w:eastAsia="Times New Roman"/>
                <w:b/>
                <w:sz w:val="20"/>
                <w:szCs w:val="20"/>
                <w:lang w:eastAsia="es-ES"/>
              </w:rPr>
            </w:pPr>
            <w:r w:rsidRPr="001C2C31">
              <w:rPr>
                <w:rFonts w:eastAsia="Times New Roman"/>
                <w:b/>
                <w:sz w:val="20"/>
                <w:szCs w:val="20"/>
                <w:lang w:eastAsia="es-ES"/>
              </w:rPr>
              <w:lastRenderedPageBreak/>
              <w:t>Ley Aplicable:</w:t>
            </w:r>
          </w:p>
        </w:tc>
        <w:tc>
          <w:tcPr>
            <w:tcW w:w="6233" w:type="dxa"/>
          </w:tcPr>
          <w:p w14:paraId="7095DAFB" w14:textId="77777777" w:rsidR="008A5C86" w:rsidRPr="001C2C31" w:rsidRDefault="008A5C86" w:rsidP="008A5C86">
            <w:pPr>
              <w:spacing w:after="0"/>
              <w:jc w:val="both"/>
              <w:rPr>
                <w:rFonts w:eastAsia="Times New Roman"/>
                <w:sz w:val="20"/>
                <w:szCs w:val="20"/>
                <w:lang w:eastAsia="es-ES"/>
              </w:rPr>
            </w:pPr>
            <w:r w:rsidRPr="001C2C31">
              <w:rPr>
                <w:rFonts w:eastAsia="Times New Roman"/>
                <w:sz w:val="20"/>
                <w:szCs w:val="20"/>
                <w:lang w:eastAsia="es-ES"/>
              </w:rPr>
              <w:t xml:space="preserve">Argentina. </w:t>
            </w:r>
          </w:p>
        </w:tc>
      </w:tr>
      <w:tr w:rsidR="008A5C86" w:rsidRPr="001C2C31" w14:paraId="758776FE" w14:textId="77777777" w:rsidTr="005464A7">
        <w:tc>
          <w:tcPr>
            <w:tcW w:w="2983" w:type="dxa"/>
          </w:tcPr>
          <w:p w14:paraId="2E1912B2" w14:textId="77777777" w:rsidR="008A5C86" w:rsidRPr="001C2C31" w:rsidRDefault="008A5C86" w:rsidP="008A5C86">
            <w:pPr>
              <w:spacing w:after="0"/>
              <w:rPr>
                <w:rFonts w:eastAsia="Times New Roman"/>
                <w:b/>
                <w:sz w:val="20"/>
                <w:szCs w:val="20"/>
                <w:lang w:eastAsia="es-ES"/>
              </w:rPr>
            </w:pPr>
            <w:r w:rsidRPr="001C2C31">
              <w:rPr>
                <w:rFonts w:eastAsia="Times New Roman"/>
                <w:b/>
                <w:sz w:val="20"/>
                <w:szCs w:val="20"/>
                <w:lang w:eastAsia="es-ES"/>
              </w:rPr>
              <w:t>Jurisdicción:</w:t>
            </w:r>
          </w:p>
        </w:tc>
        <w:tc>
          <w:tcPr>
            <w:tcW w:w="6233" w:type="dxa"/>
          </w:tcPr>
          <w:p w14:paraId="12EEFDB3" w14:textId="77777777" w:rsidR="008A5C86" w:rsidRPr="001C2C31" w:rsidRDefault="008A5C86" w:rsidP="008A5C86">
            <w:pPr>
              <w:spacing w:after="0"/>
              <w:jc w:val="both"/>
              <w:rPr>
                <w:rFonts w:eastAsia="Times New Roman"/>
                <w:sz w:val="20"/>
                <w:szCs w:val="20"/>
                <w:highlight w:val="yellow"/>
                <w:lang w:eastAsia="es-ES"/>
              </w:rPr>
            </w:pPr>
            <w:r w:rsidRPr="001C2C31">
              <w:rPr>
                <w:rFonts w:eastAsia="Times New Roman"/>
                <w:sz w:val="20"/>
                <w:szCs w:val="20"/>
                <w:lang w:eastAsia="es-ES"/>
              </w:rPr>
              <w:t xml:space="preserve">Toda controversia que se suscite entre el Emisor y los tenedores de las Obligaciones Negociables en relación con las Obligaciones Negociables se resolverá definitivamente por el Tribunal de Arbitraje General de la BCBA, o el que se cree en el futuro en la BCBA, en virtud de la delegación de facultades otorgadas por </w:t>
            </w:r>
            <w:r>
              <w:rPr>
                <w:rFonts w:eastAsia="Times New Roman"/>
                <w:sz w:val="20"/>
                <w:szCs w:val="20"/>
                <w:lang w:eastAsia="es-ES"/>
              </w:rPr>
              <w:t>BYMA</w:t>
            </w:r>
            <w:r w:rsidRPr="001C2C31">
              <w:rPr>
                <w:rFonts w:eastAsia="Times New Roman"/>
                <w:sz w:val="20"/>
                <w:szCs w:val="20"/>
                <w:lang w:eastAsia="es-ES"/>
              </w:rPr>
              <w:t xml:space="preserve"> a la BCBA en materia de constitución de tribunales arbitrales, de conformidad con lo dispuesto en la Resolución </w:t>
            </w:r>
            <w:r>
              <w:rPr>
                <w:rFonts w:eastAsia="Times New Roman"/>
                <w:sz w:val="20"/>
                <w:szCs w:val="20"/>
                <w:lang w:eastAsia="es-ES"/>
              </w:rPr>
              <w:t xml:space="preserve">18.629 </w:t>
            </w:r>
            <w:r w:rsidRPr="001C2C31">
              <w:rPr>
                <w:rFonts w:eastAsia="Times New Roman"/>
                <w:sz w:val="20"/>
                <w:szCs w:val="20"/>
                <w:lang w:eastAsia="es-ES"/>
              </w:rPr>
              <w:t xml:space="preserve">de la CNV. No obstante lo anterior, de conformidad con el Artículo 46 de la Ley de Mercado de Capitales, los inversores tendrán el derecho de optar por acudir a los tribunales judiciales competentes. Asimismo, en los casos en que las normas vigentes establezcan la acumulación de acciones entabladas con idéntica finalidad ante un solo tribunal, la acumulación se efectuará ante el tribunal judicial competente. </w:t>
            </w:r>
          </w:p>
        </w:tc>
      </w:tr>
      <w:tr w:rsidR="008A5C86" w:rsidRPr="001C2C31" w14:paraId="4DC432B2" w14:textId="77777777" w:rsidTr="005464A7">
        <w:tc>
          <w:tcPr>
            <w:tcW w:w="2983" w:type="dxa"/>
          </w:tcPr>
          <w:p w14:paraId="68ECEC9A" w14:textId="77777777" w:rsidR="008A5C86" w:rsidRPr="001C2C31" w:rsidRDefault="008A5C86" w:rsidP="008A5C86">
            <w:pPr>
              <w:spacing w:after="0"/>
              <w:rPr>
                <w:rFonts w:eastAsia="Times New Roman"/>
                <w:b/>
                <w:sz w:val="20"/>
                <w:szCs w:val="20"/>
                <w:lang w:eastAsia="es-ES"/>
              </w:rPr>
            </w:pPr>
            <w:r w:rsidRPr="001C2C31">
              <w:rPr>
                <w:rFonts w:eastAsia="Times New Roman"/>
                <w:b/>
                <w:sz w:val="20"/>
                <w:szCs w:val="20"/>
                <w:lang w:eastAsia="es-ES"/>
              </w:rPr>
              <w:t>Acción Ejecutiva:</w:t>
            </w:r>
          </w:p>
        </w:tc>
        <w:tc>
          <w:tcPr>
            <w:tcW w:w="6233" w:type="dxa"/>
          </w:tcPr>
          <w:p w14:paraId="643DB360" w14:textId="77777777" w:rsidR="008A5C86" w:rsidRPr="001C2C31" w:rsidRDefault="008A5C86" w:rsidP="008A5C86">
            <w:pPr>
              <w:spacing w:after="0"/>
              <w:jc w:val="both"/>
              <w:rPr>
                <w:rFonts w:eastAsia="Times New Roman"/>
                <w:sz w:val="20"/>
                <w:szCs w:val="20"/>
                <w:lang w:eastAsia="es-ES"/>
              </w:rPr>
            </w:pPr>
            <w:r w:rsidRPr="001C2C31">
              <w:rPr>
                <w:rFonts w:eastAsia="Times New Roman"/>
                <w:sz w:val="20"/>
                <w:szCs w:val="20"/>
                <w:lang w:eastAsia="es-ES"/>
              </w:rPr>
              <w:t xml:space="preserve">En virtud del artículo 29 de la Ley de Obligaciones Negociables, en caso de incumplimiento por parte del Emisor en el pago de cualquier monto adeudado bajo las Obligaciones Negociables, los tenedores de las mismas tendrán derecho a iniciar acciones ejecutivas para recobrar el pago de dicho monto. </w:t>
            </w:r>
          </w:p>
          <w:p w14:paraId="2E174524" w14:textId="77777777" w:rsidR="008A5C86" w:rsidRPr="001C2C31" w:rsidRDefault="008A5C86" w:rsidP="008A5C86">
            <w:pPr>
              <w:spacing w:after="0"/>
              <w:jc w:val="both"/>
              <w:rPr>
                <w:rFonts w:eastAsia="Times New Roman"/>
                <w:sz w:val="20"/>
                <w:szCs w:val="20"/>
                <w:lang w:eastAsia="es-ES"/>
              </w:rPr>
            </w:pPr>
            <w:r w:rsidRPr="001C2C31">
              <w:rPr>
                <w:rFonts w:eastAsia="Times New Roman"/>
                <w:sz w:val="20"/>
                <w:szCs w:val="20"/>
                <w:lang w:eastAsia="es-ES"/>
              </w:rPr>
              <w:t>En virtud del régimen de depósito colectivo establecido de conformidad con los términos de la Ley N° 24.587, CVSA podrá expedir certificados de tenencia a favor de los titulares registrales en cuestión a solicitud de estos y estos podrán iniciar con tales certificados las acciones ejecutivas mencionadas.</w:t>
            </w:r>
          </w:p>
        </w:tc>
      </w:tr>
      <w:tr w:rsidR="008A5C86" w:rsidRPr="001C2C31" w14:paraId="260101F2" w14:textId="77777777" w:rsidTr="005464A7">
        <w:tc>
          <w:tcPr>
            <w:tcW w:w="2983" w:type="dxa"/>
          </w:tcPr>
          <w:p w14:paraId="7AD9AE7A" w14:textId="77777777" w:rsidR="008A5C86" w:rsidRPr="001C2C31" w:rsidRDefault="008A5C86" w:rsidP="008A5C86">
            <w:pPr>
              <w:spacing w:after="0"/>
              <w:rPr>
                <w:rFonts w:eastAsia="Times New Roman"/>
                <w:b/>
                <w:sz w:val="20"/>
                <w:szCs w:val="20"/>
                <w:lang w:eastAsia="es-ES"/>
              </w:rPr>
            </w:pPr>
            <w:r w:rsidRPr="001C2C31">
              <w:rPr>
                <w:rFonts w:eastAsia="Times New Roman"/>
                <w:b/>
                <w:sz w:val="20"/>
                <w:szCs w:val="20"/>
                <w:lang w:eastAsia="es-ES"/>
              </w:rPr>
              <w:t>Pagos:</w:t>
            </w:r>
          </w:p>
        </w:tc>
        <w:tc>
          <w:tcPr>
            <w:tcW w:w="6233" w:type="dxa"/>
          </w:tcPr>
          <w:p w14:paraId="0C077A08" w14:textId="5FE07B66" w:rsidR="008A5C86" w:rsidRPr="001C2C31" w:rsidRDefault="00947FC0" w:rsidP="008A5C86">
            <w:pPr>
              <w:spacing w:after="0"/>
              <w:jc w:val="both"/>
              <w:rPr>
                <w:rFonts w:eastAsia="Times New Roman"/>
                <w:sz w:val="20"/>
                <w:szCs w:val="20"/>
                <w:lang w:eastAsia="es-ES"/>
              </w:rPr>
            </w:pPr>
            <w:r>
              <w:rPr>
                <w:rFonts w:eastAsia="Times New Roman"/>
                <w:sz w:val="20"/>
                <w:szCs w:val="20"/>
                <w:lang w:eastAsia="es-ES"/>
              </w:rPr>
              <w:t>El pago</w:t>
            </w:r>
            <w:r w:rsidR="008A5C86" w:rsidRPr="001C2C31">
              <w:rPr>
                <w:rFonts w:eastAsia="Times New Roman"/>
                <w:sz w:val="20"/>
                <w:szCs w:val="20"/>
                <w:lang w:eastAsia="es-ES"/>
              </w:rPr>
              <w:t xml:space="preserve"> bajo la</w:t>
            </w:r>
            <w:r>
              <w:rPr>
                <w:rFonts w:eastAsia="Times New Roman"/>
                <w:sz w:val="20"/>
                <w:szCs w:val="20"/>
                <w:lang w:eastAsia="es-ES"/>
              </w:rPr>
              <w:t>s Obligaciones Negociables será efectuado</w:t>
            </w:r>
            <w:r w:rsidR="008A5C86" w:rsidRPr="001C2C31">
              <w:rPr>
                <w:rFonts w:eastAsia="Times New Roman"/>
                <w:sz w:val="20"/>
                <w:szCs w:val="20"/>
                <w:lang w:eastAsia="es-ES"/>
              </w:rPr>
              <w:t xml:space="preserve"> en pesos.</w:t>
            </w:r>
          </w:p>
          <w:p w14:paraId="15E13430" w14:textId="2B46EBA9" w:rsidR="008A5C86" w:rsidRPr="001C2C31" w:rsidRDefault="00947FC0" w:rsidP="008A5C86">
            <w:pPr>
              <w:spacing w:after="0"/>
              <w:jc w:val="both"/>
              <w:rPr>
                <w:rFonts w:eastAsia="Times New Roman"/>
                <w:sz w:val="20"/>
                <w:szCs w:val="20"/>
                <w:lang w:eastAsia="es-ES"/>
              </w:rPr>
            </w:pPr>
            <w:r>
              <w:rPr>
                <w:rFonts w:eastAsia="Times New Roman"/>
                <w:sz w:val="20"/>
                <w:szCs w:val="20"/>
                <w:lang w:eastAsia="es-ES"/>
              </w:rPr>
              <w:t>El pago</w:t>
            </w:r>
            <w:r w:rsidR="008A5C86" w:rsidRPr="001C2C31">
              <w:rPr>
                <w:rFonts w:eastAsia="Times New Roman"/>
                <w:sz w:val="20"/>
                <w:szCs w:val="20"/>
                <w:lang w:eastAsia="es-ES"/>
              </w:rPr>
              <w:t xml:space="preserve"> de capital, intereses, montos adicionales y/o cualquier otro monto adeudad</w:t>
            </w:r>
            <w:r>
              <w:rPr>
                <w:rFonts w:eastAsia="Times New Roman"/>
                <w:sz w:val="20"/>
                <w:szCs w:val="20"/>
                <w:lang w:eastAsia="es-ES"/>
              </w:rPr>
              <w:t>o será efectuado</w:t>
            </w:r>
            <w:r w:rsidR="008A5C86" w:rsidRPr="001C2C31">
              <w:rPr>
                <w:rFonts w:eastAsia="Times New Roman"/>
                <w:sz w:val="20"/>
                <w:szCs w:val="20"/>
                <w:lang w:eastAsia="es-ES"/>
              </w:rPr>
              <w:t xml:space="preserve"> a través de CVSA de acuerdo con los procedimientos aplicables de CVSA.</w:t>
            </w:r>
          </w:p>
          <w:p w14:paraId="7B9BE083" w14:textId="01C0B23C" w:rsidR="008A5C86" w:rsidRPr="001C2C31" w:rsidRDefault="008A5C86" w:rsidP="00947FC0">
            <w:pPr>
              <w:spacing w:after="0"/>
              <w:jc w:val="both"/>
              <w:rPr>
                <w:rFonts w:eastAsia="Times New Roman"/>
                <w:sz w:val="20"/>
                <w:szCs w:val="20"/>
                <w:lang w:eastAsia="es-ES"/>
              </w:rPr>
            </w:pPr>
            <w:r w:rsidRPr="001C2C31">
              <w:rPr>
                <w:rFonts w:eastAsia="Times New Roman"/>
                <w:sz w:val="20"/>
                <w:szCs w:val="20"/>
                <w:lang w:eastAsia="es-ES"/>
              </w:rPr>
              <w:t xml:space="preserve">Si el correspondiente día de pago de capital, intereses, montos adicionales y/o cualquier otro monto adeudado no fuera un Día Hábil, </w:t>
            </w:r>
            <w:r w:rsidR="00947FC0">
              <w:rPr>
                <w:rFonts w:eastAsia="Times New Roman"/>
                <w:sz w:val="20"/>
                <w:szCs w:val="20"/>
                <w:lang w:eastAsia="es-ES"/>
              </w:rPr>
              <w:t>el</w:t>
            </w:r>
            <w:r w:rsidRPr="001C2C31">
              <w:rPr>
                <w:rFonts w:eastAsia="Times New Roman"/>
                <w:sz w:val="20"/>
                <w:szCs w:val="20"/>
                <w:lang w:eastAsia="es-ES"/>
              </w:rPr>
              <w:t xml:space="preserve"> pago será efectuado el Día Hábil inmediatamente posterior. Cualquier pago de capital, intereses, montos adicionales y/o cualquier otro monto adeudado efectuado en ese Día Hábil inmediatamente posterior tendrá la misma validez que si hubiera sido efectuado en la fecha en la cual vencía el pago de capital, intereses, montos adicionales y/o cualquier otro monto adeudado en cuestión, </w:t>
            </w:r>
            <w:r w:rsidR="00C539E7" w:rsidRPr="00C539E7">
              <w:rPr>
                <w:rFonts w:eastAsia="Times New Roman"/>
                <w:sz w:val="20"/>
                <w:szCs w:val="20"/>
                <w:lang w:eastAsia="es-ES"/>
              </w:rPr>
              <w:t>devengándose intereses durante el período comprendido entre tal fecha y el Día Hábil inmediato posterior.</w:t>
            </w:r>
          </w:p>
        </w:tc>
      </w:tr>
      <w:tr w:rsidR="008A5C86" w:rsidRPr="001C2C31" w14:paraId="3292788D" w14:textId="77777777" w:rsidTr="005464A7">
        <w:tc>
          <w:tcPr>
            <w:tcW w:w="2983" w:type="dxa"/>
          </w:tcPr>
          <w:p w14:paraId="24030F1F" w14:textId="77777777" w:rsidR="008A5C86" w:rsidRPr="001C2C31" w:rsidRDefault="008A5C86" w:rsidP="008A5C86">
            <w:pPr>
              <w:spacing w:after="0"/>
              <w:rPr>
                <w:rFonts w:eastAsia="Times New Roman"/>
                <w:sz w:val="20"/>
                <w:szCs w:val="20"/>
                <w:lang w:eastAsia="es-ES"/>
              </w:rPr>
            </w:pPr>
            <w:r w:rsidRPr="001C2C31">
              <w:rPr>
                <w:rFonts w:eastAsia="Times New Roman"/>
                <w:b/>
                <w:sz w:val="20"/>
                <w:szCs w:val="20"/>
                <w:lang w:eastAsia="es-ES"/>
              </w:rPr>
              <w:t>Listado y Negociación:</w:t>
            </w:r>
            <w:r w:rsidRPr="001C2C31">
              <w:rPr>
                <w:rFonts w:eastAsia="Times New Roman"/>
                <w:sz w:val="20"/>
                <w:szCs w:val="20"/>
                <w:lang w:eastAsia="es-ES"/>
              </w:rPr>
              <w:t xml:space="preserve"> </w:t>
            </w:r>
          </w:p>
          <w:p w14:paraId="2467E84A" w14:textId="77777777" w:rsidR="008A5C86" w:rsidRPr="001C2C31" w:rsidRDefault="008A5C86" w:rsidP="008A5C86">
            <w:pPr>
              <w:spacing w:after="0"/>
              <w:rPr>
                <w:rFonts w:eastAsia="Times New Roman"/>
                <w:sz w:val="20"/>
                <w:szCs w:val="20"/>
                <w:lang w:eastAsia="es-ES"/>
              </w:rPr>
            </w:pPr>
          </w:p>
          <w:p w14:paraId="274C26C8" w14:textId="77777777" w:rsidR="00CD405B" w:rsidRDefault="00CD405B" w:rsidP="008A5C86">
            <w:pPr>
              <w:spacing w:after="0"/>
              <w:rPr>
                <w:rFonts w:eastAsia="Times New Roman"/>
                <w:b/>
                <w:sz w:val="20"/>
                <w:szCs w:val="20"/>
                <w:lang w:eastAsia="es-ES"/>
              </w:rPr>
            </w:pPr>
          </w:p>
          <w:p w14:paraId="3E312229" w14:textId="77777777" w:rsidR="00CD405B" w:rsidRDefault="00CD405B" w:rsidP="008A5C86">
            <w:pPr>
              <w:spacing w:after="0"/>
              <w:rPr>
                <w:rFonts w:eastAsia="Times New Roman"/>
                <w:b/>
                <w:sz w:val="20"/>
                <w:szCs w:val="20"/>
                <w:lang w:eastAsia="es-ES"/>
              </w:rPr>
            </w:pPr>
          </w:p>
          <w:p w14:paraId="3896D6D1" w14:textId="77777777" w:rsidR="00CD405B" w:rsidRDefault="00CD405B" w:rsidP="008A5C86">
            <w:pPr>
              <w:spacing w:after="0"/>
              <w:rPr>
                <w:rFonts w:eastAsia="Times New Roman"/>
                <w:b/>
                <w:sz w:val="20"/>
                <w:szCs w:val="20"/>
                <w:lang w:eastAsia="es-ES"/>
              </w:rPr>
            </w:pPr>
          </w:p>
          <w:p w14:paraId="4147120F" w14:textId="7DF845B3" w:rsidR="008A5C86" w:rsidRPr="001C2C31" w:rsidRDefault="008A5C86" w:rsidP="008A5C86">
            <w:pPr>
              <w:spacing w:after="0"/>
              <w:rPr>
                <w:rFonts w:eastAsia="Times New Roman"/>
                <w:b/>
                <w:sz w:val="20"/>
                <w:szCs w:val="20"/>
                <w:lang w:eastAsia="es-ES"/>
              </w:rPr>
            </w:pPr>
            <w:r w:rsidRPr="001C2C31">
              <w:rPr>
                <w:rFonts w:eastAsia="Times New Roman"/>
                <w:b/>
                <w:sz w:val="20"/>
                <w:szCs w:val="20"/>
                <w:lang w:eastAsia="es-ES"/>
              </w:rPr>
              <w:t>Calificación de Riesgo:</w:t>
            </w:r>
          </w:p>
        </w:tc>
        <w:tc>
          <w:tcPr>
            <w:tcW w:w="6233" w:type="dxa"/>
          </w:tcPr>
          <w:p w14:paraId="5E8CA59C" w14:textId="0E9C73C9" w:rsidR="008A5C86" w:rsidRPr="001C2C31" w:rsidRDefault="008A5C86" w:rsidP="008A5C86">
            <w:pPr>
              <w:spacing w:after="0"/>
              <w:jc w:val="both"/>
              <w:rPr>
                <w:rFonts w:eastAsia="Times New Roman"/>
                <w:sz w:val="20"/>
                <w:szCs w:val="20"/>
                <w:lang w:eastAsia="es-ES"/>
              </w:rPr>
            </w:pPr>
            <w:r w:rsidRPr="001C2C31">
              <w:rPr>
                <w:rFonts w:eastAsia="Times New Roman"/>
                <w:sz w:val="20"/>
                <w:szCs w:val="20"/>
                <w:lang w:eastAsia="es-ES"/>
              </w:rPr>
              <w:t xml:space="preserve">Se solicitará el listado y negociación de las Obligaciones Negociables en </w:t>
            </w:r>
            <w:r>
              <w:rPr>
                <w:rFonts w:eastAsia="Times New Roman"/>
                <w:sz w:val="20"/>
                <w:szCs w:val="20"/>
                <w:lang w:eastAsia="es-ES"/>
              </w:rPr>
              <w:t>BYMA</w:t>
            </w:r>
            <w:r w:rsidRPr="001C2C31">
              <w:rPr>
                <w:rFonts w:eastAsia="Times New Roman"/>
                <w:sz w:val="20"/>
                <w:szCs w:val="20"/>
                <w:lang w:eastAsia="es-ES"/>
              </w:rPr>
              <w:t>, a través de la BCBA, en virtud del ejercicio de la facultad delegada por el MVBA a la BCBA, conforme lo</w:t>
            </w:r>
            <w:r w:rsidR="00A56AD0">
              <w:rPr>
                <w:rFonts w:eastAsia="Times New Roman"/>
                <w:sz w:val="20"/>
                <w:szCs w:val="20"/>
                <w:lang w:eastAsia="es-ES"/>
              </w:rPr>
              <w:t xml:space="preserve"> dispuesto por la Resolución N°</w:t>
            </w:r>
            <w:r w:rsidRPr="001C2C31">
              <w:rPr>
                <w:rFonts w:eastAsia="Times New Roman"/>
                <w:sz w:val="20"/>
                <w:szCs w:val="20"/>
                <w:lang w:eastAsia="es-ES"/>
              </w:rPr>
              <w:t xml:space="preserve"> </w:t>
            </w:r>
            <w:r>
              <w:rPr>
                <w:rFonts w:eastAsia="Times New Roman"/>
                <w:sz w:val="20"/>
                <w:szCs w:val="20"/>
                <w:lang w:eastAsia="es-ES"/>
              </w:rPr>
              <w:t xml:space="preserve">18.629 </w:t>
            </w:r>
            <w:r w:rsidRPr="001C2C31">
              <w:rPr>
                <w:rFonts w:eastAsia="Times New Roman"/>
                <w:sz w:val="20"/>
                <w:szCs w:val="20"/>
                <w:lang w:eastAsia="es-ES"/>
              </w:rPr>
              <w:t>de la CNV, y su listado y negociación en el MAE.</w:t>
            </w:r>
          </w:p>
          <w:p w14:paraId="54BA3B8B" w14:textId="77777777" w:rsidR="008A5C86" w:rsidRPr="001C2C31" w:rsidRDefault="008A5C86" w:rsidP="008A5C86">
            <w:pPr>
              <w:spacing w:after="0"/>
              <w:jc w:val="both"/>
              <w:rPr>
                <w:rFonts w:eastAsia="Times New Roman"/>
                <w:b/>
                <w:sz w:val="16"/>
                <w:szCs w:val="16"/>
                <w:lang w:val="es-MX" w:eastAsia="es-ES"/>
              </w:rPr>
            </w:pPr>
          </w:p>
          <w:p w14:paraId="02B9F256" w14:textId="6F6DB725" w:rsidR="008A5C86" w:rsidRPr="001C2C31" w:rsidRDefault="008A5C86">
            <w:pPr>
              <w:spacing w:after="0"/>
              <w:jc w:val="both"/>
              <w:rPr>
                <w:rFonts w:eastAsia="Times New Roman"/>
                <w:sz w:val="20"/>
                <w:szCs w:val="20"/>
                <w:lang w:eastAsia="es-ES"/>
              </w:rPr>
            </w:pPr>
            <w:r w:rsidRPr="001C2C31">
              <w:rPr>
                <w:rFonts w:eastAsia="Times New Roman"/>
                <w:sz w:val="20"/>
                <w:szCs w:val="20"/>
                <w:lang w:eastAsia="es-ES"/>
              </w:rPr>
              <w:t>Las Obligaciones Negociables no cuentan con una Calificación de Riesgo, sin perjuicio de ello, el Emisor podrá optar en el futuro por solicitar su calificación.</w:t>
            </w:r>
          </w:p>
        </w:tc>
      </w:tr>
    </w:tbl>
    <w:p w14:paraId="3827929E" w14:textId="77777777" w:rsidR="001B0F8E" w:rsidRDefault="001B0F8E" w:rsidP="00916F81">
      <w:pPr>
        <w:spacing w:after="0"/>
        <w:jc w:val="both"/>
        <w:rPr>
          <w:rFonts w:eastAsia="Times New Roman"/>
          <w:b/>
          <w:i/>
          <w:sz w:val="20"/>
          <w:szCs w:val="24"/>
          <w:lang w:eastAsia="es-ES"/>
        </w:rPr>
      </w:pPr>
    </w:p>
    <w:p w14:paraId="61307643" w14:textId="77777777" w:rsidR="001C2C31" w:rsidRPr="001C2C31" w:rsidRDefault="001C2C31" w:rsidP="00916F81">
      <w:pPr>
        <w:spacing w:after="0"/>
        <w:jc w:val="both"/>
        <w:rPr>
          <w:rFonts w:eastAsia="Times New Roman"/>
          <w:b/>
          <w:i/>
          <w:sz w:val="20"/>
          <w:szCs w:val="24"/>
          <w:lang w:eastAsia="es-ES"/>
        </w:rPr>
      </w:pPr>
      <w:r w:rsidRPr="001C2C31">
        <w:rPr>
          <w:rFonts w:eastAsia="Times New Roman"/>
          <w:b/>
          <w:i/>
          <w:sz w:val="20"/>
          <w:szCs w:val="24"/>
          <w:lang w:eastAsia="es-ES"/>
        </w:rPr>
        <w:lastRenderedPageBreak/>
        <w:t xml:space="preserve">Compromisos </w:t>
      </w:r>
    </w:p>
    <w:p w14:paraId="1B35D164" w14:textId="77777777" w:rsidR="004F3733" w:rsidRDefault="004F3733" w:rsidP="00916F81">
      <w:pPr>
        <w:spacing w:after="0"/>
        <w:jc w:val="both"/>
        <w:rPr>
          <w:rFonts w:eastAsia="Times New Roman"/>
          <w:sz w:val="20"/>
          <w:szCs w:val="24"/>
          <w:lang w:eastAsia="es-ES"/>
        </w:rPr>
      </w:pPr>
    </w:p>
    <w:p w14:paraId="7AAEB620" w14:textId="77777777"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El Emisor se obliga a cumplir los siguientes compromisos en tanto existan Obligaciones Negociables en circulación:</w:t>
      </w:r>
    </w:p>
    <w:p w14:paraId="1B8DF0CC" w14:textId="77777777" w:rsidR="004F3733" w:rsidRPr="00916F81" w:rsidRDefault="004F3733" w:rsidP="00916F81">
      <w:pPr>
        <w:spacing w:after="0"/>
        <w:jc w:val="both"/>
        <w:rPr>
          <w:rFonts w:eastAsia="Times New Roman"/>
          <w:sz w:val="20"/>
          <w:szCs w:val="24"/>
          <w:lang w:eastAsia="es-ES"/>
        </w:rPr>
      </w:pPr>
    </w:p>
    <w:p w14:paraId="2F5B8FA9" w14:textId="77777777" w:rsidR="001C2C31" w:rsidRPr="001C2C31" w:rsidRDefault="001C2C31" w:rsidP="00916F81">
      <w:pPr>
        <w:spacing w:after="0"/>
        <w:jc w:val="both"/>
        <w:rPr>
          <w:rFonts w:eastAsia="Times New Roman"/>
          <w:i/>
          <w:sz w:val="20"/>
          <w:szCs w:val="24"/>
          <w:lang w:eastAsia="es-ES"/>
        </w:rPr>
      </w:pPr>
      <w:r w:rsidRPr="001C2C31">
        <w:rPr>
          <w:rFonts w:eastAsia="Times New Roman"/>
          <w:i/>
          <w:sz w:val="20"/>
          <w:szCs w:val="24"/>
          <w:lang w:eastAsia="es-ES"/>
        </w:rPr>
        <w:t>Compromisos de Hacer</w:t>
      </w:r>
    </w:p>
    <w:p w14:paraId="66A32028" w14:textId="77777777" w:rsidR="004F3733" w:rsidRDefault="004F3733" w:rsidP="00916F81">
      <w:pPr>
        <w:spacing w:after="0"/>
        <w:ind w:firstLine="720"/>
        <w:jc w:val="both"/>
        <w:rPr>
          <w:rFonts w:eastAsia="Times New Roman"/>
          <w:i/>
          <w:sz w:val="20"/>
          <w:szCs w:val="24"/>
          <w:lang w:eastAsia="es-ES"/>
        </w:rPr>
      </w:pPr>
    </w:p>
    <w:p w14:paraId="1B158F9A" w14:textId="77777777" w:rsidR="001C2C31" w:rsidRDefault="001C2C31" w:rsidP="00916F81">
      <w:pPr>
        <w:spacing w:after="0"/>
        <w:ind w:firstLine="720"/>
        <w:jc w:val="both"/>
        <w:rPr>
          <w:rFonts w:eastAsia="Times New Roman"/>
          <w:i/>
          <w:sz w:val="20"/>
          <w:szCs w:val="24"/>
          <w:lang w:eastAsia="es-ES"/>
        </w:rPr>
      </w:pPr>
      <w:r w:rsidRPr="001C2C31">
        <w:rPr>
          <w:rFonts w:eastAsia="Times New Roman"/>
          <w:i/>
          <w:sz w:val="20"/>
          <w:szCs w:val="24"/>
          <w:lang w:eastAsia="es-ES"/>
        </w:rPr>
        <w:t>Estados Contables, Libros, Cuentas y Registros</w:t>
      </w:r>
    </w:p>
    <w:p w14:paraId="2532BE18" w14:textId="77777777" w:rsidR="00DB2A45" w:rsidRPr="001C2C31" w:rsidRDefault="00DB2A45" w:rsidP="00916F81">
      <w:pPr>
        <w:spacing w:after="0"/>
        <w:ind w:firstLine="720"/>
        <w:jc w:val="both"/>
        <w:rPr>
          <w:rFonts w:eastAsia="Times New Roman"/>
          <w:i/>
          <w:sz w:val="20"/>
          <w:szCs w:val="24"/>
          <w:lang w:eastAsia="es-ES"/>
        </w:rPr>
      </w:pPr>
    </w:p>
    <w:p w14:paraId="26B36C92" w14:textId="77777777"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El Emisor preparará sus estados contables de acuerdo con los principios de contabilidad generalmente aceptados según fueran aplicados en la Argentina, las normas contables vigentes y las demás normas aplicables (incluyendo, sin limitación, las Normas de la CNV), y los mismos serán dados a conocer entre el público inversor a través de los medios previstos por las normas vigentes. Asimismo, la Sociedad llevará libros, cuentas y registros de acuerdo con los principios de contabilidad generalmente aceptados según fueran aplicados en la Argentina, las normas contables vigentes y las demás normas aplicables (incluyendo, sin limitación, las Normas de la CNV).</w:t>
      </w:r>
    </w:p>
    <w:p w14:paraId="4C58EC50" w14:textId="77777777" w:rsidR="004F3733" w:rsidRDefault="004F3733" w:rsidP="00916F81">
      <w:pPr>
        <w:spacing w:after="0"/>
        <w:ind w:firstLine="720"/>
        <w:jc w:val="both"/>
        <w:rPr>
          <w:rFonts w:eastAsia="Times New Roman"/>
          <w:i/>
          <w:sz w:val="20"/>
          <w:szCs w:val="24"/>
          <w:lang w:eastAsia="es-ES"/>
        </w:rPr>
      </w:pPr>
    </w:p>
    <w:p w14:paraId="0A6E99A6" w14:textId="0A87D99C" w:rsidR="001C2C31" w:rsidRDefault="001C2C31" w:rsidP="00916F81">
      <w:pPr>
        <w:spacing w:after="0"/>
        <w:ind w:firstLine="720"/>
        <w:jc w:val="both"/>
        <w:rPr>
          <w:rFonts w:eastAsia="Times New Roman"/>
          <w:i/>
          <w:sz w:val="20"/>
          <w:szCs w:val="24"/>
          <w:lang w:eastAsia="es-ES"/>
        </w:rPr>
      </w:pPr>
      <w:r w:rsidRPr="001C2C31">
        <w:rPr>
          <w:rFonts w:eastAsia="Times New Roman"/>
          <w:i/>
          <w:sz w:val="20"/>
          <w:szCs w:val="24"/>
          <w:lang w:eastAsia="es-ES"/>
        </w:rPr>
        <w:t>Personería Jurídica</w:t>
      </w:r>
    </w:p>
    <w:p w14:paraId="50092DF3" w14:textId="77777777" w:rsidR="00DB2A45" w:rsidRPr="00916F81" w:rsidRDefault="00DB2A45" w:rsidP="00916F81">
      <w:pPr>
        <w:spacing w:after="0"/>
        <w:ind w:firstLine="720"/>
        <w:jc w:val="both"/>
        <w:rPr>
          <w:rFonts w:eastAsia="Times New Roman"/>
          <w:sz w:val="20"/>
          <w:szCs w:val="24"/>
          <w:lang w:eastAsia="es-ES"/>
        </w:rPr>
      </w:pPr>
    </w:p>
    <w:p w14:paraId="0B34A968" w14:textId="2632739C"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 xml:space="preserve">El Emisor deberá mantener vigente su personería jurídica (sin perjuicio de lo previsto en </w:t>
      </w:r>
      <w:r w:rsidRPr="001C2C31">
        <w:rPr>
          <w:rFonts w:eastAsia="Times New Roman"/>
          <w:i/>
          <w:sz w:val="20"/>
          <w:szCs w:val="24"/>
          <w:lang w:eastAsia="es-ES"/>
        </w:rPr>
        <w:t>“Compromisos – Compromisos de No Hacer – Fusiones, Ventas y Locaciones”</w:t>
      </w:r>
      <w:r w:rsidRPr="001C2C31">
        <w:rPr>
          <w:rFonts w:eastAsia="Times New Roman"/>
          <w:sz w:val="20"/>
          <w:szCs w:val="24"/>
          <w:lang w:eastAsia="es-ES"/>
        </w:rPr>
        <w:t xml:space="preserve"> del presente</w:t>
      </w:r>
      <w:r w:rsidRPr="00EC009E">
        <w:rPr>
          <w:rFonts w:eastAsia="Times New Roman"/>
          <w:sz w:val="20"/>
          <w:szCs w:val="24"/>
          <w:lang w:eastAsia="es-ES"/>
        </w:rPr>
        <w:t>)</w:t>
      </w:r>
    </w:p>
    <w:p w14:paraId="7E53C45B" w14:textId="77777777" w:rsidR="004F3733" w:rsidRDefault="004F3733" w:rsidP="00916F81">
      <w:pPr>
        <w:spacing w:after="0"/>
        <w:ind w:firstLine="720"/>
        <w:jc w:val="both"/>
        <w:rPr>
          <w:rFonts w:eastAsia="Times New Roman"/>
          <w:i/>
          <w:sz w:val="20"/>
          <w:szCs w:val="24"/>
          <w:lang w:eastAsia="es-ES"/>
        </w:rPr>
      </w:pPr>
    </w:p>
    <w:p w14:paraId="6EA0E57F" w14:textId="77777777" w:rsidR="001C2C31" w:rsidRDefault="001C2C31" w:rsidP="00916F81">
      <w:pPr>
        <w:spacing w:after="0"/>
        <w:ind w:firstLine="720"/>
        <w:jc w:val="both"/>
        <w:rPr>
          <w:rFonts w:eastAsia="Times New Roman"/>
          <w:i/>
          <w:sz w:val="20"/>
          <w:szCs w:val="24"/>
          <w:lang w:eastAsia="es-ES"/>
        </w:rPr>
      </w:pPr>
      <w:r w:rsidRPr="001C2C31">
        <w:rPr>
          <w:rFonts w:eastAsia="Times New Roman"/>
          <w:i/>
          <w:sz w:val="20"/>
          <w:szCs w:val="24"/>
          <w:lang w:eastAsia="es-ES"/>
        </w:rPr>
        <w:t>Mantenimiento de Oficinas</w:t>
      </w:r>
    </w:p>
    <w:p w14:paraId="2D911E84" w14:textId="77777777" w:rsidR="00DB2A45" w:rsidRPr="00916F81" w:rsidRDefault="00DB2A45" w:rsidP="00916F81">
      <w:pPr>
        <w:spacing w:after="0"/>
        <w:ind w:firstLine="720"/>
        <w:jc w:val="both"/>
        <w:rPr>
          <w:rFonts w:eastAsia="Times New Roman"/>
          <w:sz w:val="20"/>
          <w:szCs w:val="24"/>
          <w:lang w:eastAsia="es-ES"/>
        </w:rPr>
      </w:pPr>
    </w:p>
    <w:p w14:paraId="334C7EA7" w14:textId="77777777"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En tanto existan Obligaciones Negociables en circulación, el Emisor mantendrá una oficina en la Ciudad Autónoma de Buenos Aires donde se le podrán enviar, en su caso, notificaciones e intimaciones en relación con las Obligaciones Negociables. A la fecha de este Suplemento de Precio, la oficina del Emisor se encuentra detallada en la contratapa de este documento. En caso de modificarse esta dirección, esta situación se informará por medio de un hecho relevante a ser publicado en la</w:t>
      </w:r>
      <w:r w:rsidRPr="001C2C31">
        <w:rPr>
          <w:rFonts w:eastAsia="Times New Roman"/>
          <w:sz w:val="20"/>
          <w:szCs w:val="20"/>
          <w:lang w:eastAsia="es-ES"/>
        </w:rPr>
        <w:t xml:space="preserve"> Página Web de la CNV.</w:t>
      </w:r>
    </w:p>
    <w:p w14:paraId="18A39833" w14:textId="77777777" w:rsidR="004F3733" w:rsidRDefault="004F3733" w:rsidP="00916F81">
      <w:pPr>
        <w:spacing w:after="0"/>
        <w:ind w:firstLine="720"/>
        <w:jc w:val="both"/>
        <w:rPr>
          <w:rFonts w:eastAsia="Times New Roman"/>
          <w:i/>
          <w:sz w:val="20"/>
          <w:szCs w:val="24"/>
          <w:lang w:eastAsia="es-ES"/>
        </w:rPr>
      </w:pPr>
    </w:p>
    <w:p w14:paraId="57129399" w14:textId="77777777" w:rsidR="001C2C31" w:rsidRDefault="001C2C31" w:rsidP="00916F81">
      <w:pPr>
        <w:spacing w:after="0"/>
        <w:ind w:firstLine="720"/>
        <w:jc w:val="both"/>
        <w:rPr>
          <w:rFonts w:eastAsia="Times New Roman"/>
          <w:i/>
          <w:sz w:val="20"/>
          <w:szCs w:val="24"/>
          <w:lang w:eastAsia="es-ES"/>
        </w:rPr>
      </w:pPr>
      <w:r w:rsidRPr="001C2C31">
        <w:rPr>
          <w:rFonts w:eastAsia="Times New Roman"/>
          <w:i/>
          <w:sz w:val="20"/>
          <w:szCs w:val="24"/>
          <w:lang w:eastAsia="es-ES"/>
        </w:rPr>
        <w:t>Notificación de Incumplimiento</w:t>
      </w:r>
    </w:p>
    <w:p w14:paraId="7EB541D3" w14:textId="77777777" w:rsidR="00DB2A45" w:rsidRPr="00916F81" w:rsidRDefault="00DB2A45" w:rsidP="00916F81">
      <w:pPr>
        <w:spacing w:after="0"/>
        <w:ind w:firstLine="720"/>
        <w:jc w:val="both"/>
        <w:rPr>
          <w:rFonts w:eastAsia="Times New Roman"/>
          <w:sz w:val="20"/>
          <w:szCs w:val="24"/>
          <w:lang w:eastAsia="es-ES"/>
        </w:rPr>
      </w:pPr>
    </w:p>
    <w:p w14:paraId="0AAB356A" w14:textId="77777777"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El Emisor notificará inmediatamente a los tenedores de Obligaciones Negociables en circulación, a través de un aviso en el Boletín Diario de la BCBA, la ocurrencia de cualquier Evento de Incumplimiento (según se define más adelante), salvo que el mismo sea remediado y/o dispensado. Dicha notificación especificará el Evento de Incumplimiento y las medidas que GST se proponga adoptar en relación con el mismo.</w:t>
      </w:r>
    </w:p>
    <w:p w14:paraId="652CDD6D" w14:textId="77777777" w:rsidR="004F3733" w:rsidRDefault="004F3733" w:rsidP="00916F81">
      <w:pPr>
        <w:keepNext/>
        <w:spacing w:after="0"/>
        <w:ind w:firstLine="720"/>
        <w:jc w:val="both"/>
        <w:rPr>
          <w:rFonts w:eastAsia="Times New Roman"/>
          <w:i/>
          <w:sz w:val="20"/>
          <w:szCs w:val="24"/>
          <w:lang w:eastAsia="es-ES"/>
        </w:rPr>
      </w:pPr>
    </w:p>
    <w:p w14:paraId="0537881A" w14:textId="77777777" w:rsidR="001C2C31" w:rsidRDefault="001C2C31" w:rsidP="00916F81">
      <w:pPr>
        <w:keepNext/>
        <w:spacing w:after="0"/>
        <w:ind w:firstLine="720"/>
        <w:jc w:val="both"/>
        <w:rPr>
          <w:rFonts w:eastAsia="Times New Roman"/>
          <w:i/>
          <w:sz w:val="20"/>
          <w:szCs w:val="24"/>
          <w:lang w:eastAsia="es-ES"/>
        </w:rPr>
      </w:pPr>
      <w:r w:rsidRPr="001C2C31">
        <w:rPr>
          <w:rFonts w:eastAsia="Times New Roman"/>
          <w:i/>
          <w:sz w:val="20"/>
          <w:szCs w:val="24"/>
          <w:lang w:eastAsia="es-ES"/>
        </w:rPr>
        <w:t>Listado y Negociación</w:t>
      </w:r>
    </w:p>
    <w:p w14:paraId="3E6CF755" w14:textId="77777777" w:rsidR="00DB2A45" w:rsidRPr="001C2C31" w:rsidRDefault="00DB2A45" w:rsidP="00916F81">
      <w:pPr>
        <w:keepNext/>
        <w:spacing w:after="0"/>
        <w:ind w:firstLine="720"/>
        <w:jc w:val="both"/>
        <w:rPr>
          <w:rFonts w:eastAsia="Times New Roman"/>
          <w:i/>
          <w:sz w:val="20"/>
          <w:szCs w:val="24"/>
          <w:lang w:eastAsia="es-ES"/>
        </w:rPr>
      </w:pPr>
    </w:p>
    <w:p w14:paraId="75593FF5" w14:textId="77777777" w:rsidR="001C2C31" w:rsidRPr="001C2C31" w:rsidRDefault="001C2C31" w:rsidP="00916F81">
      <w:pPr>
        <w:keepNext/>
        <w:spacing w:after="0"/>
        <w:jc w:val="both"/>
        <w:rPr>
          <w:rFonts w:eastAsia="Times New Roman"/>
          <w:sz w:val="20"/>
          <w:szCs w:val="24"/>
          <w:lang w:eastAsia="es-ES"/>
        </w:rPr>
      </w:pPr>
      <w:r w:rsidRPr="001C2C31">
        <w:rPr>
          <w:rFonts w:eastAsia="Times New Roman"/>
          <w:sz w:val="20"/>
          <w:szCs w:val="24"/>
          <w:lang w:eastAsia="es-ES"/>
        </w:rPr>
        <w:t xml:space="preserve">El Emisor realizará sus mejores esfuerzos para obtener y mantener las autorizaciones para el listado y la negociación de las Obligaciones Negociables en los mercados indicados en la sección </w:t>
      </w:r>
      <w:r w:rsidRPr="001C2C31">
        <w:rPr>
          <w:rFonts w:eastAsia="Times New Roman"/>
          <w:i/>
          <w:sz w:val="20"/>
          <w:szCs w:val="24"/>
          <w:lang w:eastAsia="es-ES"/>
        </w:rPr>
        <w:t>“Listado y Negociación”</w:t>
      </w:r>
      <w:r w:rsidRPr="001C2C31">
        <w:rPr>
          <w:rFonts w:eastAsia="Times New Roman"/>
          <w:sz w:val="20"/>
          <w:szCs w:val="24"/>
          <w:lang w:eastAsia="es-ES"/>
        </w:rPr>
        <w:t xml:space="preserve"> más arriba, y para cumplir con los requisitos establecidos por los mercados autorizados.</w:t>
      </w:r>
    </w:p>
    <w:p w14:paraId="7BF7902A" w14:textId="77777777" w:rsidR="004F3733" w:rsidRDefault="004F3733" w:rsidP="00916F81">
      <w:pPr>
        <w:spacing w:after="0"/>
        <w:ind w:firstLine="720"/>
        <w:jc w:val="both"/>
        <w:rPr>
          <w:rFonts w:eastAsia="Times New Roman"/>
          <w:i/>
          <w:sz w:val="20"/>
          <w:szCs w:val="24"/>
          <w:lang w:eastAsia="es-ES"/>
        </w:rPr>
      </w:pPr>
    </w:p>
    <w:p w14:paraId="63628654" w14:textId="77777777" w:rsidR="001C2C31" w:rsidRDefault="001C2C31" w:rsidP="00916F81">
      <w:pPr>
        <w:spacing w:after="0"/>
        <w:ind w:firstLine="720"/>
        <w:jc w:val="both"/>
        <w:rPr>
          <w:rFonts w:eastAsia="Times New Roman"/>
          <w:i/>
          <w:sz w:val="20"/>
          <w:szCs w:val="24"/>
          <w:lang w:eastAsia="es-ES"/>
        </w:rPr>
      </w:pPr>
      <w:r w:rsidRPr="001C2C31">
        <w:rPr>
          <w:rFonts w:eastAsia="Times New Roman"/>
          <w:i/>
          <w:sz w:val="20"/>
          <w:szCs w:val="24"/>
          <w:lang w:eastAsia="es-ES"/>
        </w:rPr>
        <w:t>Cumplimiento de Normas y Otros Acuerdos</w:t>
      </w:r>
    </w:p>
    <w:p w14:paraId="55C83415" w14:textId="77777777" w:rsidR="00DB2A45" w:rsidRPr="001C2C31" w:rsidRDefault="00DB2A45" w:rsidP="00916F81">
      <w:pPr>
        <w:spacing w:after="0"/>
        <w:ind w:firstLine="720"/>
        <w:jc w:val="both"/>
        <w:rPr>
          <w:rFonts w:eastAsia="Times New Roman"/>
          <w:i/>
          <w:sz w:val="20"/>
          <w:szCs w:val="24"/>
          <w:lang w:eastAsia="es-ES"/>
        </w:rPr>
      </w:pPr>
    </w:p>
    <w:p w14:paraId="7C82F539" w14:textId="77777777"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 xml:space="preserve">La Entidad cumplirá con todas las normas vigentes que le sean aplicables y con todas las obligaciones asumidas bajo cualquier acuerdo del cual sea parte, salvo cuando el incumplimiento de dichas normas o acuerdos no </w:t>
      </w:r>
      <w:r w:rsidRPr="001C2C31">
        <w:rPr>
          <w:rFonts w:eastAsia="Times New Roman"/>
          <w:sz w:val="20"/>
          <w:szCs w:val="24"/>
          <w:lang w:eastAsia="es-ES"/>
        </w:rPr>
        <w:lastRenderedPageBreak/>
        <w:t>tuviera un efecto significativo adverso en la situación financiera, los resultados, las operaciones o los negocios del Emisor.</w:t>
      </w:r>
    </w:p>
    <w:p w14:paraId="4706859E" w14:textId="77777777" w:rsidR="004F3733" w:rsidRDefault="004F3733" w:rsidP="00916F81">
      <w:pPr>
        <w:spacing w:after="0"/>
        <w:ind w:firstLine="720"/>
        <w:jc w:val="both"/>
        <w:rPr>
          <w:rFonts w:eastAsia="Times New Roman"/>
          <w:i/>
          <w:sz w:val="20"/>
          <w:szCs w:val="24"/>
          <w:lang w:eastAsia="es-ES"/>
        </w:rPr>
      </w:pPr>
    </w:p>
    <w:p w14:paraId="6040C641" w14:textId="77777777" w:rsidR="001C2C31" w:rsidRDefault="001C2C31" w:rsidP="00916F81">
      <w:pPr>
        <w:spacing w:after="0"/>
        <w:ind w:firstLine="720"/>
        <w:jc w:val="both"/>
        <w:rPr>
          <w:rFonts w:eastAsia="Times New Roman"/>
          <w:i/>
          <w:sz w:val="20"/>
          <w:szCs w:val="24"/>
          <w:lang w:eastAsia="es-ES"/>
        </w:rPr>
      </w:pPr>
      <w:r w:rsidRPr="001C2C31">
        <w:rPr>
          <w:rFonts w:eastAsia="Times New Roman"/>
          <w:i/>
          <w:sz w:val="20"/>
          <w:szCs w:val="24"/>
          <w:lang w:eastAsia="es-ES"/>
        </w:rPr>
        <w:t>Transacciones con Partes Relacionadas</w:t>
      </w:r>
    </w:p>
    <w:p w14:paraId="30028CDF" w14:textId="77777777" w:rsidR="001B0F8E" w:rsidRPr="001C2C31" w:rsidRDefault="001B0F8E" w:rsidP="00916F81">
      <w:pPr>
        <w:spacing w:after="0"/>
        <w:ind w:firstLine="720"/>
        <w:jc w:val="both"/>
        <w:rPr>
          <w:rFonts w:eastAsia="Times New Roman"/>
          <w:i/>
          <w:sz w:val="20"/>
          <w:szCs w:val="24"/>
          <w:lang w:eastAsia="es-ES"/>
        </w:rPr>
      </w:pPr>
    </w:p>
    <w:p w14:paraId="6CE31802" w14:textId="77777777"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La Sociedad realizará y celebrará cualquier transacción y/o serie de transacciones que califiquen como actos o contratos con partes relacionadas bajo la Ley de Mercado de Capitales y las demás normas vigentes en cumplimiento de los requisitos establecidos por dicha ley y/o por las demás normas vigentes.</w:t>
      </w:r>
    </w:p>
    <w:p w14:paraId="5F1CEC20" w14:textId="77777777" w:rsidR="004F3733" w:rsidRDefault="004F3733" w:rsidP="00916F81">
      <w:pPr>
        <w:spacing w:after="0"/>
        <w:jc w:val="both"/>
        <w:rPr>
          <w:rFonts w:eastAsia="Times New Roman"/>
          <w:i/>
          <w:sz w:val="20"/>
          <w:szCs w:val="24"/>
          <w:lang w:eastAsia="es-ES"/>
        </w:rPr>
      </w:pPr>
    </w:p>
    <w:p w14:paraId="739B7AF0" w14:textId="77777777" w:rsidR="001C2C31" w:rsidRPr="001C2C31" w:rsidRDefault="001C2C31" w:rsidP="00916F81">
      <w:pPr>
        <w:spacing w:after="0"/>
        <w:jc w:val="both"/>
        <w:rPr>
          <w:rFonts w:eastAsia="Times New Roman"/>
          <w:sz w:val="20"/>
          <w:szCs w:val="24"/>
          <w:lang w:eastAsia="es-ES"/>
        </w:rPr>
      </w:pPr>
      <w:r w:rsidRPr="001C2C31">
        <w:rPr>
          <w:rFonts w:eastAsia="Times New Roman"/>
          <w:i/>
          <w:sz w:val="20"/>
          <w:szCs w:val="24"/>
          <w:lang w:eastAsia="es-ES"/>
        </w:rPr>
        <w:t>Compromisos de No Hacer</w:t>
      </w:r>
    </w:p>
    <w:p w14:paraId="2EC837EF" w14:textId="77777777" w:rsidR="004F3733" w:rsidRDefault="004F3733" w:rsidP="00916F81">
      <w:pPr>
        <w:spacing w:after="0"/>
        <w:ind w:firstLine="720"/>
        <w:jc w:val="both"/>
        <w:rPr>
          <w:rFonts w:eastAsia="Times New Roman"/>
          <w:i/>
          <w:sz w:val="20"/>
          <w:szCs w:val="24"/>
          <w:lang w:eastAsia="es-ES"/>
        </w:rPr>
      </w:pPr>
    </w:p>
    <w:p w14:paraId="52169148" w14:textId="6420D5AE" w:rsidR="001C2C31" w:rsidRPr="004811E7" w:rsidRDefault="001C2C31" w:rsidP="00916F81">
      <w:pPr>
        <w:spacing w:after="0"/>
        <w:ind w:firstLine="720"/>
        <w:jc w:val="both"/>
        <w:rPr>
          <w:rFonts w:eastAsia="Times New Roman"/>
          <w:i/>
          <w:sz w:val="20"/>
          <w:szCs w:val="24"/>
          <w:lang w:eastAsia="es-ES"/>
        </w:rPr>
      </w:pPr>
      <w:r w:rsidRPr="004811E7">
        <w:rPr>
          <w:rFonts w:eastAsia="Times New Roman"/>
          <w:i/>
          <w:sz w:val="20"/>
          <w:szCs w:val="24"/>
          <w:lang w:eastAsia="es-ES"/>
        </w:rPr>
        <w:t>Fusiones, Ventas y Locaciones</w:t>
      </w:r>
    </w:p>
    <w:p w14:paraId="46D05F9B" w14:textId="77777777" w:rsidR="00DB2A45" w:rsidRPr="004811E7" w:rsidRDefault="00DB2A45" w:rsidP="00916F81">
      <w:pPr>
        <w:spacing w:after="0"/>
        <w:ind w:firstLine="720"/>
        <w:jc w:val="both"/>
        <w:rPr>
          <w:rFonts w:eastAsia="Times New Roman"/>
          <w:i/>
          <w:sz w:val="20"/>
          <w:szCs w:val="24"/>
          <w:lang w:eastAsia="es-ES"/>
        </w:rPr>
      </w:pPr>
    </w:p>
    <w:p w14:paraId="42F09F17" w14:textId="77777777" w:rsidR="001C2C31" w:rsidRPr="001C2C31" w:rsidRDefault="001C2C31" w:rsidP="00916F81">
      <w:pPr>
        <w:spacing w:after="0"/>
        <w:jc w:val="both"/>
        <w:rPr>
          <w:rFonts w:eastAsia="Times New Roman"/>
          <w:sz w:val="20"/>
          <w:szCs w:val="24"/>
          <w:lang w:eastAsia="es-ES"/>
        </w:rPr>
      </w:pPr>
      <w:r w:rsidRPr="004811E7">
        <w:rPr>
          <w:rFonts w:eastAsia="Times New Roman"/>
          <w:sz w:val="20"/>
          <w:szCs w:val="24"/>
          <w:lang w:eastAsia="es-ES"/>
        </w:rPr>
        <w:t>El Emisor no se fusionará, ni venderá, alquilará y/o de cualquier otro modo transferirá a otra persona la totalidad o una parte sustancial de sus bienes; salvo que, inmediatamente después de dicha fusión, venta, alquiler y/o transferencia: (i) no ocurra y subsista un Evento de Incumplimiento y/o cualquier supuesto que con cualquier notificación y/o el transcurso del tiempo podría constituir un Evento de Incumplimiento, y (ii) toda sociedad que se incorpore en el supuesto de fusión por absorción o toda sociedad constituida como consecuencia de una fusión propiamente dicha con el Emisor o toda otra persona que adquiriera por venta, alquiler y/o cualquier otro modo de transferencia los bienes asuma expresamente todas las obligaciones de la Entidad bajo las Obligaciones Negociables de acuerdo con sus términos y condiciones.</w:t>
      </w:r>
    </w:p>
    <w:p w14:paraId="241410C5" w14:textId="77777777" w:rsidR="004F3733" w:rsidRDefault="004F3733" w:rsidP="004F3733">
      <w:pPr>
        <w:spacing w:after="0"/>
        <w:jc w:val="both"/>
        <w:rPr>
          <w:rFonts w:eastAsia="Times New Roman"/>
          <w:b/>
          <w:i/>
          <w:sz w:val="20"/>
          <w:szCs w:val="24"/>
          <w:lang w:eastAsia="es-ES"/>
        </w:rPr>
      </w:pPr>
    </w:p>
    <w:p w14:paraId="30D4201F" w14:textId="77777777" w:rsidR="001C2C31" w:rsidRPr="001C2C31" w:rsidRDefault="001C2C31" w:rsidP="00916F81">
      <w:pPr>
        <w:spacing w:after="0"/>
        <w:jc w:val="both"/>
        <w:rPr>
          <w:rFonts w:eastAsia="Times New Roman"/>
          <w:b/>
          <w:i/>
          <w:sz w:val="20"/>
          <w:szCs w:val="24"/>
          <w:lang w:eastAsia="es-ES"/>
        </w:rPr>
      </w:pPr>
      <w:r w:rsidRPr="001C2C31">
        <w:rPr>
          <w:rFonts w:eastAsia="Times New Roman"/>
          <w:b/>
          <w:i/>
          <w:sz w:val="20"/>
          <w:szCs w:val="24"/>
          <w:lang w:eastAsia="es-ES"/>
        </w:rPr>
        <w:t>Eventos de Incumplimiento</w:t>
      </w:r>
      <w:r w:rsidRPr="001C2C31">
        <w:rPr>
          <w:rFonts w:eastAsia="Times New Roman"/>
          <w:b/>
          <w:i/>
          <w:sz w:val="20"/>
          <w:szCs w:val="24"/>
          <w:lang w:eastAsia="es-ES"/>
        </w:rPr>
        <w:tab/>
      </w:r>
    </w:p>
    <w:p w14:paraId="54E114D6" w14:textId="77777777" w:rsidR="004F3733" w:rsidRDefault="004F3733" w:rsidP="00916F81">
      <w:pPr>
        <w:spacing w:after="0"/>
        <w:jc w:val="both"/>
        <w:rPr>
          <w:rFonts w:eastAsia="Times New Roman"/>
          <w:sz w:val="20"/>
          <w:szCs w:val="24"/>
          <w:lang w:eastAsia="es-ES"/>
        </w:rPr>
      </w:pPr>
    </w:p>
    <w:p w14:paraId="59E92BD5" w14:textId="5AB26B0C" w:rsid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Los siguientes eventos constituirán, cada uno de ellos, un “Evento de Incumplimiento”:</w:t>
      </w:r>
    </w:p>
    <w:p w14:paraId="61437F44" w14:textId="77777777" w:rsidR="004F3733" w:rsidRPr="001C2C31" w:rsidRDefault="004F3733" w:rsidP="00916F81">
      <w:pPr>
        <w:spacing w:after="0"/>
        <w:jc w:val="both"/>
        <w:rPr>
          <w:rFonts w:eastAsia="Times New Roman"/>
          <w:sz w:val="20"/>
          <w:szCs w:val="24"/>
          <w:lang w:eastAsia="es-ES"/>
        </w:rPr>
      </w:pPr>
    </w:p>
    <w:p w14:paraId="75763B53" w14:textId="77777777"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(i)</w:t>
      </w:r>
      <w:r w:rsidRPr="001C2C31">
        <w:rPr>
          <w:rFonts w:eastAsia="Times New Roman"/>
          <w:sz w:val="20"/>
          <w:szCs w:val="24"/>
          <w:lang w:eastAsia="es-ES"/>
        </w:rPr>
        <w:tab/>
        <w:t>incumplimiento por parte del Emisor en el pago a su vencimiento de cualquier monto de capital adeudado bajo las Obligaciones Negociables (incluyendo montos adicionales), y dicho incumplimiento subsista durante un período de tres Días Hábiles;</w:t>
      </w:r>
    </w:p>
    <w:p w14:paraId="53CEE75F" w14:textId="7751B516"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(ii)</w:t>
      </w:r>
      <w:r w:rsidRPr="001C2C31">
        <w:rPr>
          <w:rFonts w:eastAsia="Times New Roman"/>
          <w:sz w:val="20"/>
          <w:szCs w:val="24"/>
          <w:lang w:eastAsia="es-ES"/>
        </w:rPr>
        <w:tab/>
        <w:t xml:space="preserve">incumplimiento por parte del Emisor en el pago a su vencimiento de cualquier monto de intereses y/o cualquier otro monto adeudado, que no sea capital, bajo las Obligaciones Negociables (incluyendo montos adicionales), y dicho incumplimiento subsista durante un período de </w:t>
      </w:r>
      <w:r w:rsidR="006D0EED">
        <w:rPr>
          <w:rFonts w:eastAsia="Times New Roman"/>
          <w:sz w:val="20"/>
          <w:szCs w:val="24"/>
          <w:lang w:eastAsia="es-ES"/>
        </w:rPr>
        <w:t>5 (</w:t>
      </w:r>
      <w:r w:rsidRPr="001C2C31">
        <w:rPr>
          <w:rFonts w:eastAsia="Times New Roman"/>
          <w:sz w:val="20"/>
          <w:szCs w:val="24"/>
          <w:lang w:eastAsia="es-ES"/>
        </w:rPr>
        <w:t>cinco</w:t>
      </w:r>
      <w:r w:rsidR="006D0EED">
        <w:rPr>
          <w:rFonts w:eastAsia="Times New Roman"/>
          <w:sz w:val="20"/>
          <w:szCs w:val="24"/>
          <w:lang w:eastAsia="es-ES"/>
        </w:rPr>
        <w:t>)</w:t>
      </w:r>
      <w:r w:rsidRPr="001C2C31">
        <w:rPr>
          <w:rFonts w:eastAsia="Times New Roman"/>
          <w:sz w:val="20"/>
          <w:szCs w:val="24"/>
          <w:lang w:eastAsia="es-ES"/>
        </w:rPr>
        <w:t xml:space="preserve"> Días Hábiles;</w:t>
      </w:r>
    </w:p>
    <w:p w14:paraId="438F0A0B" w14:textId="1B01E42D"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 xml:space="preserve">(iii) </w:t>
      </w:r>
      <w:r w:rsidRPr="001C2C31">
        <w:rPr>
          <w:rFonts w:eastAsia="Times New Roman"/>
          <w:sz w:val="20"/>
          <w:szCs w:val="24"/>
          <w:lang w:eastAsia="es-ES"/>
        </w:rPr>
        <w:tab/>
        <w:t xml:space="preserve">incumplimiento por parte del Emisor de cualquier obligación bajo las Obligaciones Negociables (distinta de las referidas en los incisos (i) y/o (ii) anteriores) y dicho incumplimiento subsista durante un período de 30 </w:t>
      </w:r>
      <w:r w:rsidR="006D0EED">
        <w:rPr>
          <w:rFonts w:eastAsia="Times New Roman"/>
          <w:sz w:val="20"/>
          <w:szCs w:val="24"/>
          <w:lang w:eastAsia="es-ES"/>
        </w:rPr>
        <w:t xml:space="preserve">(treinta) </w:t>
      </w:r>
      <w:r w:rsidRPr="001C2C31">
        <w:rPr>
          <w:rFonts w:eastAsia="Times New Roman"/>
          <w:sz w:val="20"/>
          <w:szCs w:val="24"/>
          <w:lang w:eastAsia="es-ES"/>
        </w:rPr>
        <w:t>días contados a partir de la fecha en la cual la Entidad haya recibido de cualquier tenedor una notificación, por escrito y en forma fehaciente, en la que se especifique dicho incumplimiento y se solicite su subsanación;</w:t>
      </w:r>
    </w:p>
    <w:p w14:paraId="61811C5D" w14:textId="3EFD666A"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(iv)</w:t>
      </w:r>
      <w:r w:rsidRPr="001C2C31">
        <w:rPr>
          <w:rFonts w:eastAsia="Times New Roman"/>
          <w:sz w:val="20"/>
          <w:szCs w:val="24"/>
          <w:lang w:eastAsia="es-ES"/>
        </w:rPr>
        <w:tab/>
        <w:t xml:space="preserve">se trabara cualquier medida cautelar, se iniciara cualquier tipo de ejecución y/o se trabara y/o iniciara cualquier otro procedimiento con efecto similar sobre o contra la totalidad o una parte sustancial de los bienes y/o ingresos del Emisor, y dicha medida cautelar, ejecución y/u otro procedimiento similar no fuera revocado y/o suspendido dentro de un período de 60 </w:t>
      </w:r>
      <w:r w:rsidR="006D0EED">
        <w:rPr>
          <w:rFonts w:eastAsia="Times New Roman"/>
          <w:sz w:val="20"/>
          <w:szCs w:val="24"/>
          <w:lang w:eastAsia="es-ES"/>
        </w:rPr>
        <w:t xml:space="preserve">(sesenta) </w:t>
      </w:r>
      <w:r w:rsidRPr="001C2C31">
        <w:rPr>
          <w:rFonts w:eastAsia="Times New Roman"/>
          <w:sz w:val="20"/>
          <w:szCs w:val="24"/>
          <w:lang w:eastAsia="es-ES"/>
        </w:rPr>
        <w:t>días contados desde su notificación a la Entidad, siempre que afectare bienes y/o ingresos por un valor igual o superior a U.S.$20.000.000</w:t>
      </w:r>
      <w:r w:rsidR="006D0EED">
        <w:rPr>
          <w:rFonts w:eastAsia="Times New Roman"/>
          <w:sz w:val="20"/>
          <w:szCs w:val="24"/>
          <w:lang w:eastAsia="es-ES"/>
        </w:rPr>
        <w:t xml:space="preserve"> (Dólares veinte millones)</w:t>
      </w:r>
      <w:r w:rsidRPr="001C2C31">
        <w:rPr>
          <w:rFonts w:eastAsia="Times New Roman"/>
          <w:sz w:val="20"/>
          <w:szCs w:val="24"/>
          <w:lang w:eastAsia="es-ES"/>
        </w:rPr>
        <w:t>;</w:t>
      </w:r>
    </w:p>
    <w:p w14:paraId="312A09DB" w14:textId="1CF341AE"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(v)</w:t>
      </w:r>
      <w:r w:rsidRPr="001C2C31">
        <w:rPr>
          <w:rFonts w:eastAsia="Times New Roman"/>
          <w:sz w:val="20"/>
          <w:szCs w:val="24"/>
          <w:lang w:eastAsia="es-ES"/>
        </w:rPr>
        <w:tab/>
        <w:t xml:space="preserve">incumplimiento por parte del Emisor de cualquier pago dispuesto por una sentencia firme dictada por un tribunal competente y pasada en autoridad de cosa juzgada, siempre que el importe a pagar dispuesto por dicha sentencia sea igual o superior a US$20.000.000 </w:t>
      </w:r>
      <w:r w:rsidR="006D0EED">
        <w:rPr>
          <w:rFonts w:eastAsia="Times New Roman"/>
          <w:sz w:val="20"/>
          <w:szCs w:val="24"/>
          <w:lang w:eastAsia="es-ES"/>
        </w:rPr>
        <w:t xml:space="preserve">(Dólares Veinte millones) </w:t>
      </w:r>
      <w:r w:rsidRPr="001C2C31">
        <w:rPr>
          <w:rFonts w:eastAsia="Times New Roman"/>
          <w:sz w:val="20"/>
          <w:szCs w:val="24"/>
          <w:lang w:eastAsia="es-ES"/>
        </w:rPr>
        <w:t xml:space="preserve">o su equivalente en otras monedas y hayan transcurrido 30 </w:t>
      </w:r>
      <w:r w:rsidR="009D3235">
        <w:rPr>
          <w:rFonts w:eastAsia="Times New Roman"/>
          <w:sz w:val="20"/>
          <w:szCs w:val="24"/>
          <w:lang w:eastAsia="es-ES"/>
        </w:rPr>
        <w:t>(tr</w:t>
      </w:r>
      <w:r w:rsidR="00EC009E">
        <w:rPr>
          <w:rFonts w:eastAsia="Times New Roman"/>
          <w:sz w:val="20"/>
          <w:szCs w:val="24"/>
          <w:lang w:eastAsia="es-ES"/>
        </w:rPr>
        <w:t>e</w:t>
      </w:r>
      <w:r w:rsidR="009D3235">
        <w:rPr>
          <w:rFonts w:eastAsia="Times New Roman"/>
          <w:sz w:val="20"/>
          <w:szCs w:val="24"/>
          <w:lang w:eastAsia="es-ES"/>
        </w:rPr>
        <w:t xml:space="preserve">inta) </w:t>
      </w:r>
      <w:r w:rsidRPr="001C2C31">
        <w:rPr>
          <w:rFonts w:eastAsia="Times New Roman"/>
          <w:sz w:val="20"/>
          <w:szCs w:val="24"/>
          <w:lang w:eastAsia="es-ES"/>
        </w:rPr>
        <w:t>días desde la fecha de pago dispuesta por la respectiva sentencia;</w:t>
      </w:r>
    </w:p>
    <w:p w14:paraId="34C8E9E1" w14:textId="77777777"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lastRenderedPageBreak/>
        <w:t>(vi)</w:t>
      </w:r>
      <w:r w:rsidRPr="001C2C31">
        <w:rPr>
          <w:rFonts w:eastAsia="Times New Roman"/>
          <w:sz w:val="20"/>
          <w:szCs w:val="24"/>
          <w:lang w:eastAsia="es-ES"/>
        </w:rPr>
        <w:tab/>
        <w:t>la Entidad (a) es declarada en concurso preventivo o en quiebra por una sentencia firme dictada por un tribunal competente, y/o la Entidad se declara en cesación de pagos, y/o interrumpe y/o suspende el pago de la totalidad o de una parte sustancial de sus deudas; (b) pide su propio concurso preventivo o quiebra conforme con las normas vigentes; (c) propone y/o celebra una cesión general y/o un acuerdo general con o para beneficio de sus acreedores con respecto a la totalidad o a una parte sustancial de sus deudas (incluyendo, sin limitación, un acuerdo preventivo extrajudicial) y/o declara una moratoria con respecto a dichas deudas; y/o (d) consiente la designación de un administrador y/o interventor de la Entidad, respecto de la totalidad o de una parte sustancial de los bienes y/o ingresos de la Entidad;</w:t>
      </w:r>
    </w:p>
    <w:p w14:paraId="1AC135FB" w14:textId="77777777"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(vii)</w:t>
      </w:r>
      <w:r w:rsidRPr="001C2C31">
        <w:rPr>
          <w:rFonts w:eastAsia="Times New Roman"/>
          <w:sz w:val="20"/>
          <w:szCs w:val="24"/>
          <w:lang w:eastAsia="es-ES"/>
        </w:rPr>
        <w:tab/>
        <w:t xml:space="preserve">la Entidad interrumpe el desarrollo de la totalidad o de una parte sustancial de sus actividades u operaciones, excepto con el fin de llevar a cabo una fusión en los términos establecidos en </w:t>
      </w:r>
      <w:r w:rsidRPr="001C2C31">
        <w:rPr>
          <w:rFonts w:eastAsia="Times New Roman"/>
          <w:i/>
          <w:sz w:val="20"/>
          <w:szCs w:val="24"/>
          <w:lang w:eastAsia="es-ES"/>
        </w:rPr>
        <w:t xml:space="preserve">“Compromisos – Compromisos de No Hacer – Fusiones, Ventas y Locaciones” </w:t>
      </w:r>
      <w:r w:rsidRPr="001C2C31">
        <w:rPr>
          <w:rFonts w:eastAsia="Times New Roman"/>
          <w:sz w:val="20"/>
          <w:szCs w:val="24"/>
          <w:lang w:eastAsia="es-ES"/>
        </w:rPr>
        <w:t>del presente o de realizar tareas de mantenimiento o reparación de los bienes con los que desarrolla sus operaciones;</w:t>
      </w:r>
    </w:p>
    <w:p w14:paraId="01409E7A" w14:textId="400F8F6A"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(viii)</w:t>
      </w:r>
      <w:r w:rsidRPr="001C2C31">
        <w:rPr>
          <w:rFonts w:eastAsia="Times New Roman"/>
          <w:sz w:val="20"/>
          <w:szCs w:val="24"/>
          <w:lang w:eastAsia="es-ES"/>
        </w:rPr>
        <w:tab/>
        <w:t xml:space="preserve">cualquier tribunal o autoridad gubernamental competente (i) expropia, nacionaliza y/o confisca la totalidad o una parte sustancial de los bienes y/o ingresos de la Entidad y/o de su capital accionario; (ii) toma una medida efectiva para la disolución y/o liquidación de la Sociedad, salvo con el objeto de llevar a cabo una fusión de acuerdo con lo previsto en </w:t>
      </w:r>
      <w:r w:rsidRPr="001C2C31">
        <w:rPr>
          <w:rFonts w:eastAsia="Times New Roman"/>
          <w:i/>
          <w:sz w:val="20"/>
          <w:szCs w:val="24"/>
          <w:lang w:eastAsia="es-ES"/>
        </w:rPr>
        <w:t>“Compromisos – Compromisos de No Hacer – Fusiones, Ventas y Locaciones”</w:t>
      </w:r>
      <w:r w:rsidRPr="001C2C31">
        <w:rPr>
          <w:rFonts w:eastAsia="Times New Roman"/>
          <w:sz w:val="20"/>
          <w:szCs w:val="24"/>
          <w:lang w:eastAsia="es-ES"/>
        </w:rPr>
        <w:t xml:space="preserve"> del presente; y/o (iii) toma cualquier acción (1) por la cual asuma la custodia y/o el control de la totalidad o una parte sustancial de los bienes y/o ingresos de la Entidad y/o de las actividades u operaciones de la Entidad y/o del capital accionario de la Entidad, y/o (2) que impida a la Entidad y/o a sus directores, gerentes y/o empleados desarrollar la totalidad o una parte sustancial de sus actividades u operaciones en forma habitual, siempre que dicha acción subsista por un plazo de 30 </w:t>
      </w:r>
      <w:r w:rsidR="009D3235">
        <w:rPr>
          <w:rFonts w:eastAsia="Times New Roman"/>
          <w:sz w:val="20"/>
          <w:szCs w:val="24"/>
          <w:lang w:eastAsia="es-ES"/>
        </w:rPr>
        <w:t xml:space="preserve">(treinta) </w:t>
      </w:r>
      <w:r w:rsidRPr="001C2C31">
        <w:rPr>
          <w:rFonts w:eastAsia="Times New Roman"/>
          <w:sz w:val="20"/>
          <w:szCs w:val="24"/>
          <w:lang w:eastAsia="es-ES"/>
        </w:rPr>
        <w:t>días y/o tenga un efecto significativo adverso sobre los negocios de la Entidad y/o la capacidad de repago de las Obligaciones Negociables;</w:t>
      </w:r>
    </w:p>
    <w:p w14:paraId="270C5BF4" w14:textId="77777777"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(ix)</w:t>
      </w:r>
      <w:r w:rsidRPr="001C2C31">
        <w:rPr>
          <w:rFonts w:eastAsia="Times New Roman"/>
          <w:sz w:val="20"/>
          <w:szCs w:val="24"/>
          <w:lang w:eastAsia="es-ES"/>
        </w:rPr>
        <w:tab/>
        <w:t>sea ilícito el cumplimiento por parte del Emisor de cualquier obligación asumida en relación con las Obligaciones Negociables, y/o cualquiera de dichas obligaciones dejara de ser válida, obligatoria y ejecutable; y/o</w:t>
      </w:r>
    </w:p>
    <w:p w14:paraId="20306ADF" w14:textId="77777777"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(x)</w:t>
      </w:r>
      <w:r w:rsidRPr="001C2C31">
        <w:rPr>
          <w:rFonts w:eastAsia="Times New Roman"/>
          <w:sz w:val="20"/>
          <w:szCs w:val="24"/>
          <w:lang w:eastAsia="es-ES"/>
        </w:rPr>
        <w:tab/>
        <w:t xml:space="preserve">los accionistas y/o directores del Emisor dispongan su disolución y/o liquidación, excepto con el fin de llevar a cabo una fusión en los términos establecidos en </w:t>
      </w:r>
      <w:r w:rsidRPr="001C2C31">
        <w:rPr>
          <w:rFonts w:eastAsia="Times New Roman"/>
          <w:i/>
          <w:sz w:val="20"/>
          <w:szCs w:val="24"/>
          <w:lang w:eastAsia="es-ES"/>
        </w:rPr>
        <w:t>“Compromisos – Compromisos de No Hacer – Fusiones, Ventas y Locaciones”</w:t>
      </w:r>
      <w:r w:rsidRPr="001C2C31">
        <w:rPr>
          <w:rFonts w:eastAsia="Times New Roman"/>
          <w:sz w:val="20"/>
          <w:szCs w:val="24"/>
          <w:lang w:eastAsia="es-ES"/>
        </w:rPr>
        <w:t xml:space="preserve"> del presente.</w:t>
      </w:r>
    </w:p>
    <w:p w14:paraId="7C80BA12" w14:textId="77777777" w:rsidR="004F3733" w:rsidRDefault="004F3733" w:rsidP="00916F81">
      <w:pPr>
        <w:spacing w:after="0"/>
        <w:jc w:val="both"/>
        <w:rPr>
          <w:rFonts w:eastAsia="Times New Roman"/>
          <w:sz w:val="20"/>
          <w:szCs w:val="24"/>
          <w:lang w:eastAsia="es-ES"/>
        </w:rPr>
      </w:pPr>
    </w:p>
    <w:p w14:paraId="716F50EA" w14:textId="77777777" w:rsid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t xml:space="preserve">Si se produce y subsiste uno más Eventos de Incumplimiento los tenedores de Obligaciones Negociables que representen como mínimo el 25% del monto de capital total de las Obligaciones Negociables en circulación podrán, mediante notificación escrita al Emisor, declarar la caducidad de los plazos para el pago de capital, intereses, montos adicionales y/o cualquier otro monto adeudado bajo las Obligaciones Negociables, deviniendo la totalidad de tales montos exigibles y pagaderos en forma inmediata. En caso que se hubiera producido la caducidad de los plazos para el pago de capital, intereses, montos adicionales y/o cualquier otro monto adeudado bajo las Obligaciones Negociables, los tenedores de Obligaciones Negociables en circulación que representen como mínimo el 51% del monto de capital total de las Obligaciones Negociables en circulación podrán, mediante notificación escrita a la Entidad, dejar sin efecto la caducidad de los plazos para el pago de capital, intereses, montos adicionales y/o cualquier otro monto adeudado bajo las Obligaciones Negociables, siempre y cuando la totalidad de los Eventos de Incumplimiento hubieran sido subsanados y/o dispensados. Las Obligaciones Negociables que hayan sido rescatadas y/o adquiridas por </w:t>
      </w:r>
      <w:r w:rsidR="00A419A9">
        <w:rPr>
          <w:rFonts w:eastAsia="Times New Roman"/>
          <w:sz w:val="20"/>
          <w:szCs w:val="24"/>
          <w:lang w:eastAsia="es-ES"/>
        </w:rPr>
        <w:t>el Emisor</w:t>
      </w:r>
      <w:r w:rsidRPr="001C2C31">
        <w:rPr>
          <w:rFonts w:eastAsia="Times New Roman"/>
          <w:sz w:val="20"/>
          <w:szCs w:val="24"/>
          <w:lang w:eastAsia="es-ES"/>
        </w:rPr>
        <w:t>, y/o hayan sido adquiridas por cualquier parte relacio</w:t>
      </w:r>
      <w:r w:rsidR="00A419A9">
        <w:rPr>
          <w:rFonts w:eastAsia="Times New Roman"/>
          <w:sz w:val="20"/>
          <w:szCs w:val="24"/>
          <w:lang w:eastAsia="es-ES"/>
        </w:rPr>
        <w:t>nada del Emisor</w:t>
      </w:r>
      <w:r w:rsidRPr="001C2C31">
        <w:rPr>
          <w:rFonts w:eastAsia="Times New Roman"/>
          <w:sz w:val="20"/>
          <w:szCs w:val="24"/>
          <w:lang w:eastAsia="es-ES"/>
        </w:rPr>
        <w:t>, mientras se ma</w:t>
      </w:r>
      <w:r w:rsidR="00A419A9">
        <w:rPr>
          <w:rFonts w:eastAsia="Times New Roman"/>
          <w:sz w:val="20"/>
          <w:szCs w:val="24"/>
          <w:lang w:eastAsia="es-ES"/>
        </w:rPr>
        <w:t>ntengan en cartera por parte del Emisor</w:t>
      </w:r>
      <w:r w:rsidRPr="001C2C31">
        <w:rPr>
          <w:rFonts w:eastAsia="Times New Roman"/>
          <w:sz w:val="20"/>
          <w:szCs w:val="24"/>
          <w:lang w:eastAsia="es-ES"/>
        </w:rPr>
        <w:t xml:space="preserve"> y/o tal parte relacionada, no serán consideradas en circulación a los efectos de calcular los porcentajes contemplados en este párrafo.</w:t>
      </w:r>
    </w:p>
    <w:p w14:paraId="568019B7" w14:textId="77777777" w:rsidR="004F3733" w:rsidRPr="001C2C31" w:rsidRDefault="004F3733" w:rsidP="00916F81">
      <w:pPr>
        <w:spacing w:after="0"/>
        <w:jc w:val="both"/>
        <w:rPr>
          <w:rFonts w:eastAsia="Times New Roman"/>
          <w:sz w:val="20"/>
          <w:szCs w:val="24"/>
          <w:lang w:eastAsia="es-ES"/>
        </w:rPr>
      </w:pPr>
    </w:p>
    <w:p w14:paraId="0B67734D" w14:textId="77777777" w:rsidR="001C2C31" w:rsidRPr="001C2C31" w:rsidRDefault="001C2C31" w:rsidP="00916F81">
      <w:pPr>
        <w:spacing w:after="0"/>
        <w:jc w:val="both"/>
        <w:rPr>
          <w:rFonts w:eastAsia="Times New Roman"/>
          <w:sz w:val="20"/>
          <w:szCs w:val="24"/>
          <w:lang w:eastAsia="es-ES"/>
        </w:rPr>
      </w:pPr>
      <w:r w:rsidRPr="001C2C31">
        <w:rPr>
          <w:rFonts w:eastAsia="Times New Roman"/>
          <w:sz w:val="20"/>
          <w:szCs w:val="24"/>
          <w:lang w:eastAsia="es-ES"/>
        </w:rPr>
        <w:lastRenderedPageBreak/>
        <w:t>Las disposiciones anteriores se aplicarán sin perjuicio de los derechos de cada tenedor individual de Obligaciones Negociables de iniciar una acción contra el Emisor por el pago de capital, intereses, montos adicionales y/o cualquier otro monto vencido e impago bajo las Obligaciones Negociables.</w:t>
      </w:r>
    </w:p>
    <w:bookmarkEnd w:id="17"/>
    <w:bookmarkEnd w:id="18"/>
    <w:p w14:paraId="1ABF0114" w14:textId="77777777" w:rsidR="001C2C31" w:rsidRPr="001C2C31" w:rsidRDefault="001C2C31" w:rsidP="008A5C86">
      <w:pPr>
        <w:pStyle w:val="Puesto"/>
        <w:jc w:val="left"/>
        <w:rPr>
          <w:szCs w:val="24"/>
        </w:rPr>
      </w:pPr>
    </w:p>
    <w:p w14:paraId="2C992745" w14:textId="77777777" w:rsidR="001C2C31" w:rsidRPr="001C2C31" w:rsidRDefault="001C2C31" w:rsidP="008A5C86">
      <w:pPr>
        <w:pStyle w:val="Puesto"/>
      </w:pPr>
      <w:r w:rsidRPr="001C2C31">
        <w:br w:type="page"/>
      </w:r>
      <w:bookmarkStart w:id="19" w:name="_Toc240884511"/>
      <w:bookmarkStart w:id="20" w:name="_Toc293064302"/>
      <w:bookmarkStart w:id="21" w:name="_Toc356987196"/>
      <w:bookmarkStart w:id="22" w:name="_Toc20327134"/>
      <w:r w:rsidR="008A5C86">
        <w:lastRenderedPageBreak/>
        <w:t>I</w:t>
      </w:r>
      <w:r w:rsidRPr="001C2C31">
        <w:t xml:space="preserve">V. </w:t>
      </w:r>
      <w:bookmarkEnd w:id="19"/>
      <w:bookmarkEnd w:id="20"/>
      <w:r w:rsidRPr="001C2C31">
        <w:t>PLAN DE DISTRIBUCIÓN DE LAS OBLIGACIONES NEGOCIABLES</w:t>
      </w:r>
      <w:bookmarkEnd w:id="21"/>
      <w:bookmarkEnd w:id="22"/>
    </w:p>
    <w:p w14:paraId="0A845517" w14:textId="77777777" w:rsidR="001C2C31" w:rsidRPr="001C2C31" w:rsidRDefault="001C2C31" w:rsidP="00916F81">
      <w:pPr>
        <w:spacing w:after="0"/>
        <w:jc w:val="both"/>
        <w:rPr>
          <w:rFonts w:eastAsia="Times New Roman"/>
          <w:sz w:val="20"/>
          <w:szCs w:val="20"/>
          <w:lang w:eastAsia="es-ES"/>
        </w:rPr>
      </w:pPr>
    </w:p>
    <w:p w14:paraId="11C110BA" w14:textId="77777777" w:rsidR="001C2C31" w:rsidRPr="001C2C31" w:rsidRDefault="001C2C31" w:rsidP="00916F81">
      <w:pPr>
        <w:spacing w:after="0"/>
        <w:jc w:val="both"/>
        <w:rPr>
          <w:rFonts w:eastAsia="Times New Roman"/>
          <w:b/>
          <w:sz w:val="20"/>
          <w:szCs w:val="20"/>
          <w:lang w:eastAsia="es-ES"/>
        </w:rPr>
      </w:pPr>
      <w:bookmarkStart w:id="23" w:name="_DV_M28"/>
      <w:bookmarkStart w:id="24" w:name="_DV_M29"/>
      <w:bookmarkEnd w:id="23"/>
      <w:bookmarkEnd w:id="24"/>
      <w:r w:rsidRPr="001C2C31">
        <w:rPr>
          <w:rFonts w:eastAsia="Times New Roman"/>
          <w:b/>
          <w:sz w:val="20"/>
          <w:szCs w:val="20"/>
          <w:lang w:eastAsia="es-ES"/>
        </w:rPr>
        <w:t>General</w:t>
      </w:r>
    </w:p>
    <w:p w14:paraId="36AB59FB" w14:textId="77777777" w:rsidR="00EF22DE" w:rsidRDefault="00EF22DE" w:rsidP="00916F81">
      <w:pPr>
        <w:spacing w:after="0"/>
        <w:jc w:val="both"/>
        <w:rPr>
          <w:rFonts w:eastAsia="Times New Roman"/>
          <w:sz w:val="20"/>
          <w:szCs w:val="20"/>
          <w:lang w:eastAsia="es-ES"/>
        </w:rPr>
      </w:pPr>
    </w:p>
    <w:p w14:paraId="66A7C4AD"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 xml:space="preserve">Las Obligaciones Negociables serán colocadas por oferta pública entre inversores interesados, conforme con los términos de la Ley de Mercado de Capitales, las Normas de la CNV, y las demás normas aplicables. </w:t>
      </w:r>
    </w:p>
    <w:p w14:paraId="4D312086" w14:textId="77777777" w:rsidR="00EF22DE" w:rsidRPr="001C2C31" w:rsidRDefault="00EF22DE" w:rsidP="00916F81">
      <w:pPr>
        <w:spacing w:after="0"/>
        <w:jc w:val="both"/>
        <w:rPr>
          <w:rFonts w:eastAsia="Times New Roman"/>
          <w:sz w:val="20"/>
          <w:szCs w:val="20"/>
          <w:lang w:eastAsia="es-ES"/>
        </w:rPr>
      </w:pPr>
    </w:p>
    <w:p w14:paraId="70B9A24C"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De conformidad con lo establecido por el art. 27</w:t>
      </w:r>
      <w:r w:rsidR="00DB2A45">
        <w:rPr>
          <w:rFonts w:eastAsia="Times New Roman"/>
          <w:sz w:val="20"/>
          <w:szCs w:val="20"/>
          <w:lang w:eastAsia="es-ES"/>
        </w:rPr>
        <w:t xml:space="preserve"> de la Sección IV,</w:t>
      </w:r>
      <w:r w:rsidRPr="001C2C31">
        <w:rPr>
          <w:rFonts w:eastAsia="Times New Roman"/>
          <w:sz w:val="20"/>
          <w:szCs w:val="20"/>
          <w:lang w:eastAsia="es-ES"/>
        </w:rPr>
        <w:t xml:space="preserve"> del Capítulo V, Título II, de las Normas de la CNV, serán ofrecidas y colocadas a través de un proceso licitatorio o subasta pública que será llevado adelante a través del sistema denominado SIOPEL de propiedad de, y operado por, el MAE. Por lo expuesto, aquellos inversores interesados que quieran suscribir Obligaciones Negociables deberán presentar sus correspondientes órdenes de compra en los términos descriptos más abajo y las cuales deberán ser ingresadas como ofertas por agentes del MAE y/o adherentes del mismo a través del módulo de licitaciones del sistema “SIOPEL” del MAE.</w:t>
      </w:r>
    </w:p>
    <w:p w14:paraId="1C9433D9" w14:textId="77777777" w:rsidR="00EF22DE" w:rsidRPr="001C2C31" w:rsidRDefault="00EF22DE" w:rsidP="00916F81">
      <w:pPr>
        <w:spacing w:after="0"/>
        <w:jc w:val="both"/>
        <w:rPr>
          <w:rFonts w:eastAsia="Times New Roman"/>
          <w:sz w:val="20"/>
          <w:szCs w:val="20"/>
          <w:lang w:eastAsia="es-ES"/>
        </w:rPr>
      </w:pPr>
    </w:p>
    <w:p w14:paraId="7C95D795"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BST</w:t>
      </w:r>
      <w:r w:rsidRPr="001C2C31" w:rsidDel="00EE3756">
        <w:rPr>
          <w:rFonts w:eastAsia="Times New Roman"/>
          <w:sz w:val="20"/>
          <w:szCs w:val="20"/>
          <w:lang w:eastAsia="es-ES"/>
        </w:rPr>
        <w:t xml:space="preserve"> </w:t>
      </w:r>
      <w:r w:rsidRPr="001C2C31">
        <w:rPr>
          <w:rFonts w:eastAsia="Times New Roman"/>
          <w:sz w:val="20"/>
          <w:szCs w:val="20"/>
          <w:lang w:eastAsia="es-ES"/>
        </w:rPr>
        <w:t xml:space="preserve">será el agente colocador de las Obligaciones Negociables (el </w:t>
      </w:r>
      <w:r w:rsidRPr="001C2C31">
        <w:rPr>
          <w:rFonts w:eastAsia="Times New Roman"/>
          <w:b/>
          <w:sz w:val="20"/>
          <w:szCs w:val="20"/>
          <w:lang w:eastAsia="es-ES"/>
        </w:rPr>
        <w:t>“Agente Colocador”</w:t>
      </w:r>
      <w:r w:rsidRPr="001C2C31">
        <w:rPr>
          <w:rFonts w:eastAsia="Times New Roman"/>
          <w:sz w:val="20"/>
          <w:szCs w:val="20"/>
          <w:lang w:eastAsia="es-ES"/>
        </w:rPr>
        <w:t xml:space="preserve">). BST actuará sobre la base de sus mejores esfuerzos conforme con los procedimientos usuales en el mercado de capitales de Argentina, pero no asumirá compromiso alguno de colocación o suscripción en firme. A fin de colocar las Obligaciones Negociables, el Agente Colocador llevará adelante las actividades usuales para la difusión pública de la información referida al Emisor y a las Obligaciones Negociables, y para invitar a inversores a presentar las correspondientes órdenes de compra para suscribir Obligaciones Negociables. Dichas actividades incluirán, entre otros, uno o más de los siguientes actos: </w:t>
      </w:r>
      <w:r w:rsidRPr="001C2C31">
        <w:rPr>
          <w:rFonts w:eastAsia="Times New Roman"/>
          <w:b/>
          <w:sz w:val="20"/>
          <w:szCs w:val="20"/>
          <w:lang w:eastAsia="es-ES"/>
        </w:rPr>
        <w:t>(1)</w:t>
      </w:r>
      <w:r w:rsidRPr="001C2C31">
        <w:rPr>
          <w:rFonts w:eastAsia="Times New Roman"/>
          <w:sz w:val="20"/>
          <w:szCs w:val="20"/>
          <w:lang w:eastAsia="es-ES"/>
        </w:rPr>
        <w:t xml:space="preserve"> distribuir el Prospecto y el presente </w:t>
      </w:r>
      <w:r w:rsidR="00DB2A45">
        <w:rPr>
          <w:rFonts w:eastAsia="Times New Roman"/>
          <w:sz w:val="20"/>
          <w:szCs w:val="20"/>
          <w:lang w:eastAsia="es-ES"/>
        </w:rPr>
        <w:t xml:space="preserve">Suplemento de Precio </w:t>
      </w:r>
      <w:r w:rsidRPr="001C2C31">
        <w:rPr>
          <w:rFonts w:eastAsia="Times New Roman"/>
          <w:sz w:val="20"/>
          <w:szCs w:val="20"/>
          <w:lang w:eastAsia="es-ES"/>
        </w:rPr>
        <w:t xml:space="preserve">(y/o versiones preliminares de los mismos) y/u otros documentos que resuman información contenida en el mismo, por medios físicos y/o electrónicos; </w:t>
      </w:r>
      <w:r w:rsidRPr="001C2C31">
        <w:rPr>
          <w:rFonts w:eastAsia="Times New Roman"/>
          <w:b/>
          <w:sz w:val="20"/>
          <w:szCs w:val="20"/>
          <w:lang w:eastAsia="es-ES"/>
        </w:rPr>
        <w:t>(2)</w:t>
      </w:r>
      <w:r w:rsidRPr="001C2C31">
        <w:rPr>
          <w:rFonts w:eastAsia="Times New Roman"/>
          <w:sz w:val="20"/>
          <w:szCs w:val="20"/>
          <w:lang w:eastAsia="es-ES"/>
        </w:rPr>
        <w:t xml:space="preserve"> realizar reuniones informativas individuales y/o grupales; </w:t>
      </w:r>
      <w:r w:rsidRPr="001C2C31">
        <w:rPr>
          <w:rFonts w:eastAsia="Times New Roman"/>
          <w:b/>
          <w:sz w:val="20"/>
          <w:szCs w:val="20"/>
          <w:lang w:eastAsia="es-ES"/>
        </w:rPr>
        <w:t>(3)</w:t>
      </w:r>
      <w:r w:rsidRPr="001C2C31">
        <w:rPr>
          <w:rFonts w:eastAsia="Times New Roman"/>
          <w:sz w:val="20"/>
          <w:szCs w:val="20"/>
          <w:lang w:eastAsia="es-ES"/>
        </w:rPr>
        <w:t xml:space="preserve"> enviar correos electrónicos; </w:t>
      </w:r>
      <w:r w:rsidRPr="001C2C31">
        <w:rPr>
          <w:rFonts w:eastAsia="Times New Roman"/>
          <w:b/>
          <w:sz w:val="20"/>
          <w:szCs w:val="20"/>
          <w:lang w:eastAsia="es-ES"/>
        </w:rPr>
        <w:t>(4)</w:t>
      </w:r>
      <w:r w:rsidRPr="001C2C31">
        <w:rPr>
          <w:rFonts w:eastAsia="Times New Roman"/>
          <w:sz w:val="20"/>
          <w:szCs w:val="20"/>
          <w:lang w:eastAsia="es-ES"/>
        </w:rPr>
        <w:t xml:space="preserve"> realizar contactos y/u ofrecimientos personales y/o telefónicos; </w:t>
      </w:r>
      <w:r w:rsidRPr="001C2C31">
        <w:rPr>
          <w:rFonts w:eastAsia="Times New Roman"/>
          <w:b/>
          <w:sz w:val="20"/>
          <w:szCs w:val="20"/>
          <w:lang w:eastAsia="es-ES"/>
        </w:rPr>
        <w:t>(5)</w:t>
      </w:r>
      <w:r w:rsidRPr="001C2C31">
        <w:rPr>
          <w:rFonts w:eastAsia="Times New Roman"/>
          <w:sz w:val="20"/>
          <w:szCs w:val="20"/>
          <w:lang w:eastAsia="es-ES"/>
        </w:rPr>
        <w:t xml:space="preserve"> publicar avisos ofreciendo las Obligaciones Negociables; </w:t>
      </w:r>
      <w:r w:rsidRPr="001C2C31">
        <w:rPr>
          <w:rFonts w:eastAsia="Times New Roman"/>
          <w:b/>
          <w:sz w:val="20"/>
          <w:szCs w:val="20"/>
          <w:lang w:eastAsia="es-ES"/>
        </w:rPr>
        <w:t>(6)</w:t>
      </w:r>
      <w:r w:rsidRPr="001C2C31">
        <w:rPr>
          <w:rFonts w:eastAsia="Times New Roman"/>
          <w:sz w:val="20"/>
          <w:szCs w:val="20"/>
          <w:lang w:eastAsia="es-ES"/>
        </w:rPr>
        <w:t xml:space="preserve"> realizar conferencias telefónicas; y/o </w:t>
      </w:r>
      <w:r w:rsidRPr="001C2C31">
        <w:rPr>
          <w:rFonts w:eastAsia="Times New Roman"/>
          <w:b/>
          <w:sz w:val="20"/>
          <w:szCs w:val="20"/>
          <w:lang w:eastAsia="es-ES"/>
        </w:rPr>
        <w:t>(7)</w:t>
      </w:r>
      <w:r w:rsidRPr="001C2C31">
        <w:rPr>
          <w:rFonts w:eastAsia="Times New Roman"/>
          <w:sz w:val="20"/>
          <w:szCs w:val="20"/>
          <w:lang w:eastAsia="es-ES"/>
        </w:rPr>
        <w:t xml:space="preserve"> realizar otros actos que considere convenientes y/o necesarios.</w:t>
      </w:r>
    </w:p>
    <w:p w14:paraId="1B7C6179" w14:textId="77777777" w:rsidR="00EF22DE" w:rsidRPr="001C2C31" w:rsidRDefault="00EF22DE" w:rsidP="00916F81">
      <w:pPr>
        <w:spacing w:after="0"/>
        <w:jc w:val="both"/>
        <w:rPr>
          <w:rFonts w:eastAsia="Times New Roman"/>
          <w:sz w:val="20"/>
          <w:szCs w:val="20"/>
          <w:lang w:eastAsia="es-ES"/>
        </w:rPr>
      </w:pPr>
    </w:p>
    <w:p w14:paraId="0DB419A1" w14:textId="77777777" w:rsidR="001C2C31" w:rsidRDefault="001C2C31" w:rsidP="00916F81">
      <w:pPr>
        <w:spacing w:after="0"/>
        <w:jc w:val="both"/>
        <w:rPr>
          <w:rFonts w:eastAsia="Times New Roman"/>
          <w:b/>
          <w:sz w:val="20"/>
          <w:szCs w:val="20"/>
          <w:lang w:eastAsia="es-ES"/>
        </w:rPr>
      </w:pPr>
      <w:r w:rsidRPr="001C2C31">
        <w:rPr>
          <w:rFonts w:eastAsia="Times New Roman"/>
          <w:b/>
          <w:sz w:val="20"/>
          <w:szCs w:val="20"/>
          <w:lang w:eastAsia="es-ES"/>
        </w:rPr>
        <w:t>Período de Difusión Pública y Período de Licitación Pública</w:t>
      </w:r>
    </w:p>
    <w:p w14:paraId="5147F194" w14:textId="77777777" w:rsidR="00EF22DE" w:rsidRPr="001C2C31" w:rsidRDefault="00EF22DE" w:rsidP="00916F81">
      <w:pPr>
        <w:spacing w:after="0"/>
        <w:jc w:val="both"/>
        <w:rPr>
          <w:rFonts w:eastAsia="Times New Roman"/>
          <w:b/>
          <w:sz w:val="20"/>
          <w:szCs w:val="20"/>
          <w:lang w:eastAsia="es-ES"/>
        </w:rPr>
      </w:pPr>
    </w:p>
    <w:p w14:paraId="500BAE87" w14:textId="247D5498"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 xml:space="preserve">En la oportunidad que determine el Emisor, luego de aprobada la oferta pública de las Obligaciones Negociables por la CNV y en simultáneo o con posterioridad a la publicación de este Suplemento de Precio en la Página Web de la CNV, en el Boletín Diario de la BCBA, </w:t>
      </w:r>
      <w:r w:rsidRPr="001C2C31">
        <w:rPr>
          <w:rFonts w:eastAsia="Times New Roman"/>
          <w:color w:val="000000"/>
          <w:sz w:val="20"/>
          <w:szCs w:val="20"/>
          <w:lang w:eastAsia="es-ES"/>
        </w:rPr>
        <w:t xml:space="preserve">en la </w:t>
      </w:r>
      <w:hyperlink r:id="rId11" w:history="1">
        <w:r w:rsidRPr="001C2C31">
          <w:rPr>
            <w:rFonts w:eastAsia="Times New Roman"/>
            <w:color w:val="000000"/>
            <w:sz w:val="20"/>
            <w:szCs w:val="20"/>
            <w:lang w:eastAsia="es-ES"/>
          </w:rPr>
          <w:t>Página</w:t>
        </w:r>
      </w:hyperlink>
      <w:r w:rsidRPr="001C2C31">
        <w:rPr>
          <w:rFonts w:eastAsia="Times New Roman"/>
          <w:color w:val="000000"/>
          <w:sz w:val="20"/>
          <w:szCs w:val="20"/>
          <w:lang w:eastAsia="es-ES"/>
        </w:rPr>
        <w:t xml:space="preserve"> Web </w:t>
      </w:r>
      <w:r w:rsidRPr="001C2C31">
        <w:rPr>
          <w:rFonts w:eastAsia="Times New Roman"/>
          <w:sz w:val="20"/>
          <w:szCs w:val="20"/>
          <w:lang w:eastAsia="es-ES"/>
        </w:rPr>
        <w:t xml:space="preserve">del Emisor y en el micro sitio web de licitaciones del sistema “SIOPEL” del MAE, el Emisor publicará un aviso de suscripción en la Página Web de la CNV, y por un día en el Boletín Diario de la BCBA y en el Boletín Electrónico del MAE y por todo el Período de Difusión Pública y el Período de Licitación Pública (según dichos términos se definen más abajo) en el micro sitio web de licitaciones del sistema “SIOPEL” del MAE, en el que se indicará entre otros datos </w:t>
      </w:r>
      <w:r w:rsidRPr="001C2C31">
        <w:rPr>
          <w:rFonts w:eastAsia="Times New Roman"/>
          <w:b/>
          <w:sz w:val="20"/>
          <w:szCs w:val="20"/>
          <w:lang w:eastAsia="es-ES"/>
        </w:rPr>
        <w:t>(1)</w:t>
      </w:r>
      <w:r w:rsidRPr="001C2C31">
        <w:rPr>
          <w:rFonts w:eastAsia="Times New Roman"/>
          <w:sz w:val="20"/>
          <w:szCs w:val="20"/>
          <w:lang w:eastAsia="es-ES"/>
        </w:rPr>
        <w:t xml:space="preserve"> la fecha de inicio y de finalización del período de difusión pública de las Obligaciones Negociables, el cual tendrá una duración no inferior a </w:t>
      </w:r>
      <w:r w:rsidR="007E0752">
        <w:rPr>
          <w:rFonts w:eastAsia="Times New Roman"/>
          <w:sz w:val="20"/>
          <w:szCs w:val="20"/>
          <w:lang w:eastAsia="es-ES"/>
        </w:rPr>
        <w:t>tres (3)</w:t>
      </w:r>
      <w:r w:rsidRPr="001C2C31">
        <w:rPr>
          <w:rFonts w:eastAsia="Times New Roman"/>
          <w:sz w:val="20"/>
          <w:szCs w:val="20"/>
          <w:lang w:eastAsia="es-ES"/>
        </w:rPr>
        <w:t xml:space="preserve"> Días Hábiles y durante el cual se realizará la difusión pública de la información referida al Emisor y a las Obligaciones Negociables y se invitará a inversores interesados a presentar las correspondientes órdenes de compra para suscribir Obligaciones Negociables (el “</w:t>
      </w:r>
      <w:r w:rsidRPr="001C2C31">
        <w:rPr>
          <w:rFonts w:eastAsia="Times New Roman"/>
          <w:b/>
          <w:sz w:val="20"/>
          <w:szCs w:val="20"/>
          <w:lang w:eastAsia="es-ES"/>
        </w:rPr>
        <w:t>Período de Difusión Pública</w:t>
      </w:r>
      <w:r w:rsidRPr="001C2C31">
        <w:rPr>
          <w:rFonts w:eastAsia="Times New Roman"/>
          <w:sz w:val="20"/>
          <w:szCs w:val="20"/>
          <w:lang w:eastAsia="es-ES"/>
        </w:rPr>
        <w:t xml:space="preserve">”); </w:t>
      </w:r>
      <w:r w:rsidRPr="001C2C31">
        <w:rPr>
          <w:rFonts w:eastAsia="Times New Roman"/>
          <w:b/>
          <w:sz w:val="20"/>
          <w:szCs w:val="20"/>
          <w:lang w:eastAsia="es-ES"/>
        </w:rPr>
        <w:t>(2)</w:t>
      </w:r>
      <w:r w:rsidRPr="001C2C31">
        <w:rPr>
          <w:rFonts w:eastAsia="Times New Roman"/>
          <w:sz w:val="20"/>
          <w:szCs w:val="20"/>
          <w:lang w:eastAsia="es-ES"/>
        </w:rPr>
        <w:t xml:space="preserve"> la fecha de inicio y de finalización del período de licitación pública de las Obligaciones Negociables, el cual tendrá una duración </w:t>
      </w:r>
      <w:r w:rsidR="00E12107">
        <w:rPr>
          <w:rFonts w:eastAsia="Times New Roman"/>
          <w:sz w:val="20"/>
          <w:szCs w:val="20"/>
          <w:lang w:eastAsia="es-ES"/>
        </w:rPr>
        <w:t xml:space="preserve">de </w:t>
      </w:r>
      <w:r w:rsidRPr="001C2C31">
        <w:rPr>
          <w:rFonts w:eastAsia="Times New Roman"/>
          <w:sz w:val="20"/>
          <w:szCs w:val="20"/>
          <w:lang w:eastAsia="es-ES"/>
        </w:rPr>
        <w:t>un Día Hábil y durante el cual, sobre la base de tales órdenes de compra de inversores interesados, los agentes del MAE y/o adherentes del mismo podrán presentar las correspondientes ofertas a través del módulo de licitaciones del sistema “SIOPEL” del MAE (el “</w:t>
      </w:r>
      <w:r w:rsidRPr="001C2C31">
        <w:rPr>
          <w:rFonts w:eastAsia="Times New Roman"/>
          <w:b/>
          <w:sz w:val="20"/>
          <w:szCs w:val="20"/>
          <w:lang w:eastAsia="es-ES"/>
        </w:rPr>
        <w:t>Período de Licitación Pública</w:t>
      </w:r>
      <w:r w:rsidRPr="001C2C31">
        <w:rPr>
          <w:rFonts w:eastAsia="Times New Roman"/>
          <w:sz w:val="20"/>
          <w:szCs w:val="20"/>
          <w:lang w:eastAsia="es-ES"/>
        </w:rPr>
        <w:t xml:space="preserve">”), </w:t>
      </w:r>
      <w:r w:rsidRPr="001C2C31">
        <w:rPr>
          <w:rFonts w:eastAsia="Times New Roman"/>
          <w:b/>
          <w:sz w:val="20"/>
          <w:szCs w:val="20"/>
          <w:lang w:eastAsia="es-ES"/>
        </w:rPr>
        <w:t>(3)</w:t>
      </w:r>
      <w:r w:rsidRPr="001C2C31">
        <w:rPr>
          <w:rFonts w:eastAsia="Times New Roman"/>
          <w:sz w:val="20"/>
          <w:szCs w:val="20"/>
          <w:lang w:eastAsia="es-ES"/>
        </w:rPr>
        <w:t xml:space="preserve"> los datos de contacto del Agente Colocador, y </w:t>
      </w:r>
      <w:r w:rsidRPr="001C2C31">
        <w:rPr>
          <w:rFonts w:eastAsia="Times New Roman"/>
          <w:b/>
          <w:sz w:val="20"/>
          <w:szCs w:val="20"/>
          <w:lang w:eastAsia="es-ES"/>
        </w:rPr>
        <w:t>(4)</w:t>
      </w:r>
      <w:r w:rsidRPr="001C2C31">
        <w:rPr>
          <w:rFonts w:eastAsia="Times New Roman"/>
          <w:sz w:val="20"/>
          <w:szCs w:val="20"/>
          <w:lang w:eastAsia="es-ES"/>
        </w:rPr>
        <w:t xml:space="preserve"> demás datos que pudieran ser necesarios(el “</w:t>
      </w:r>
      <w:r w:rsidRPr="001C2C31">
        <w:rPr>
          <w:rFonts w:eastAsia="Times New Roman"/>
          <w:b/>
          <w:sz w:val="20"/>
          <w:szCs w:val="20"/>
          <w:lang w:eastAsia="es-ES"/>
        </w:rPr>
        <w:t>Aviso de Suscripción</w:t>
      </w:r>
      <w:r w:rsidRPr="001C2C31">
        <w:rPr>
          <w:rFonts w:eastAsia="Times New Roman"/>
          <w:sz w:val="20"/>
          <w:szCs w:val="20"/>
          <w:lang w:eastAsia="es-ES"/>
        </w:rPr>
        <w:t>”). En todos los casos el Período de Licitación Pública deberá ser posterior al Período de Difusión Pública.</w:t>
      </w:r>
    </w:p>
    <w:p w14:paraId="6B33633B" w14:textId="77777777" w:rsidR="00EF22DE" w:rsidRPr="001C2C31" w:rsidRDefault="00EF22DE" w:rsidP="00916F81">
      <w:pPr>
        <w:spacing w:after="0"/>
        <w:jc w:val="both"/>
        <w:rPr>
          <w:rFonts w:eastAsia="Times New Roman"/>
          <w:sz w:val="20"/>
          <w:szCs w:val="20"/>
          <w:lang w:eastAsia="es-ES"/>
        </w:rPr>
      </w:pPr>
    </w:p>
    <w:p w14:paraId="2D72C7BE" w14:textId="77777777" w:rsidR="00E12107" w:rsidRDefault="001C2C31" w:rsidP="00916F81">
      <w:pPr>
        <w:spacing w:after="0"/>
        <w:jc w:val="both"/>
        <w:rPr>
          <w:rFonts w:eastAsia="Times New Roman"/>
          <w:sz w:val="20"/>
          <w:szCs w:val="20"/>
          <w:lang w:eastAsia="es-ES"/>
        </w:rPr>
      </w:pPr>
      <w:r w:rsidRPr="001C2C31">
        <w:rPr>
          <w:rFonts w:eastAsia="Times New Roman"/>
          <w:sz w:val="20"/>
          <w:szCs w:val="20"/>
          <w:lang w:eastAsia="es-ES"/>
        </w:rPr>
        <w:lastRenderedPageBreak/>
        <w:t>Durante el Período de Difusión Pública, se realizará la difusión pública de la información referida al Emisor y a las Obligaciones Negociables, y se invitará a inversores a presentar oportunamente a cualquier agente del MAE y/o adherente del mismo, las correspondientes órdenes de compra para suscribir Obligaciones Negociables, dejándose expresamente establecido que en dicho período no se recibirán órdenes de compra.</w:t>
      </w:r>
    </w:p>
    <w:p w14:paraId="0917BDD6" w14:textId="77777777" w:rsidR="00C36BD2" w:rsidRDefault="00C36BD2" w:rsidP="00916F81">
      <w:pPr>
        <w:spacing w:after="0"/>
        <w:jc w:val="both"/>
        <w:rPr>
          <w:rFonts w:eastAsia="Times New Roman"/>
          <w:sz w:val="20"/>
          <w:szCs w:val="20"/>
          <w:lang w:eastAsia="es-ES"/>
        </w:rPr>
      </w:pPr>
    </w:p>
    <w:p w14:paraId="00D8F3CA" w14:textId="373AFDAF"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Durante el Período de Licitación Pública, los agentes del MAE (incluyendo, sin limitación, al Agente Colocador) y/o adherentes del mismo podrán ingresar como ofertas a través del módulo de licitaciones del sistema “SIOPEL” del MAE (las “</w:t>
      </w:r>
      <w:r w:rsidRPr="001C2C31">
        <w:rPr>
          <w:rFonts w:eastAsia="Times New Roman"/>
          <w:b/>
          <w:sz w:val="20"/>
          <w:szCs w:val="20"/>
          <w:lang w:eastAsia="es-ES"/>
        </w:rPr>
        <w:t>Ofertas</w:t>
      </w:r>
      <w:r w:rsidRPr="001C2C31">
        <w:rPr>
          <w:rFonts w:eastAsia="Times New Roman"/>
          <w:sz w:val="20"/>
          <w:szCs w:val="20"/>
          <w:lang w:eastAsia="es-ES"/>
        </w:rPr>
        <w:t xml:space="preserve">”), las órdenes de compra que hayan recibido de inversores interesados. Dichas </w:t>
      </w:r>
      <w:r w:rsidR="00E12107">
        <w:rPr>
          <w:rFonts w:eastAsia="Times New Roman"/>
          <w:sz w:val="20"/>
          <w:szCs w:val="20"/>
          <w:lang w:eastAsia="es-ES"/>
        </w:rPr>
        <w:t>Ofertas</w:t>
      </w:r>
      <w:r w:rsidRPr="001C2C31">
        <w:rPr>
          <w:rFonts w:eastAsia="Times New Roman"/>
          <w:sz w:val="20"/>
          <w:szCs w:val="20"/>
          <w:lang w:eastAsia="es-ES"/>
        </w:rPr>
        <w:t xml:space="preserve"> que oportunamente presenten los inversores interesados deberán detallar, entre otras cuestiones: (i) los datos identificatorios del inversor interesado; (ii) el tipo de inversor: </w:t>
      </w:r>
      <w:r w:rsidRPr="001C2C31">
        <w:rPr>
          <w:rFonts w:eastAsia="Times New Roman"/>
          <w:b/>
          <w:sz w:val="20"/>
          <w:szCs w:val="20"/>
          <w:lang w:eastAsia="es-ES"/>
        </w:rPr>
        <w:t>(a)</w:t>
      </w:r>
      <w:r w:rsidRPr="001C2C31">
        <w:rPr>
          <w:rFonts w:eastAsia="Times New Roman"/>
          <w:sz w:val="20"/>
          <w:szCs w:val="20"/>
          <w:lang w:eastAsia="es-ES"/>
        </w:rPr>
        <w:t xml:space="preserve"> inversor local: persona física, Compañía de Seguros, Fondo Común de Inversión, Entidad Financiera para cartera propia, u otro tipo de inversor local; o </w:t>
      </w:r>
      <w:r w:rsidRPr="001C2C31">
        <w:rPr>
          <w:rFonts w:eastAsia="Times New Roman"/>
          <w:b/>
          <w:sz w:val="20"/>
          <w:szCs w:val="20"/>
          <w:lang w:eastAsia="es-ES"/>
        </w:rPr>
        <w:t>(b)</w:t>
      </w:r>
      <w:r w:rsidRPr="001C2C31">
        <w:rPr>
          <w:rFonts w:eastAsia="Times New Roman"/>
          <w:sz w:val="20"/>
          <w:szCs w:val="20"/>
          <w:lang w:eastAsia="es-ES"/>
        </w:rPr>
        <w:t xml:space="preserve"> inversor extranjero: inversor institucional extranjero para cartera propia, persona física extranjera, otro tipo de inversor extranjero; (iii) el monto de Obligaciones Negociables solicitado y (iv) el margen solicitado, expresado como porcentaje anual truncado a dos decimales (el “</w:t>
      </w:r>
      <w:r w:rsidRPr="001C2C31">
        <w:rPr>
          <w:rFonts w:eastAsia="Times New Roman"/>
          <w:b/>
          <w:sz w:val="20"/>
          <w:szCs w:val="20"/>
          <w:lang w:eastAsia="es-ES"/>
        </w:rPr>
        <w:t>Margen Solicitado</w:t>
      </w:r>
      <w:r w:rsidRPr="001C2C31">
        <w:rPr>
          <w:rFonts w:eastAsia="Times New Roman"/>
          <w:sz w:val="20"/>
          <w:szCs w:val="20"/>
          <w:lang w:eastAsia="es-ES"/>
        </w:rPr>
        <w:t>”). Una vez finalizado el Período de Licitación Pública, no podrán modificarse las Ofertas ingresadas ni podrán ingresarse Ofertas nuevas. Los inversores interesados podrán presentar órdenes de compra sin indicar Margen Solicitado, las cuales serán consideradas como órdenes de compra no competitivas y así serán ingresadas las correspondientes Ofertas. Las órdenes de compra no competitivas no se tomarán en cuenta para la determinación del Margen Aplicable (según se define más adelante).</w:t>
      </w:r>
      <w:r w:rsidRPr="001C2C31">
        <w:rPr>
          <w:rFonts w:eastAsia="Times New Roman"/>
          <w:sz w:val="20"/>
          <w:szCs w:val="24"/>
        </w:rPr>
        <w:t xml:space="preserve"> Las órdenes de compra por un monto igual o superior a $1.000.000 deberán ser cursadas por el tramo competitivo, es decir, deberán indicar Margen Solicitado.</w:t>
      </w:r>
      <w:r w:rsidR="00253A14">
        <w:rPr>
          <w:rFonts w:eastAsia="Times New Roman"/>
          <w:sz w:val="20"/>
          <w:szCs w:val="24"/>
        </w:rPr>
        <w:t xml:space="preserve"> </w:t>
      </w:r>
      <w:r w:rsidR="00253A14" w:rsidRPr="00253A14">
        <w:rPr>
          <w:rFonts w:eastAsia="Times New Roman"/>
          <w:sz w:val="20"/>
          <w:szCs w:val="24"/>
        </w:rPr>
        <w:t>Las órdenes de compra por un monto inferior a $1.000.000 deberán ser cursadas por el tramo no competitivo, es decir, sin indicar Margen Solicitado</w:t>
      </w:r>
      <w:r w:rsidRPr="001C2C31">
        <w:rPr>
          <w:rFonts w:eastAsia="Times New Roman"/>
          <w:sz w:val="20"/>
          <w:szCs w:val="24"/>
        </w:rPr>
        <w:t xml:space="preserve"> </w:t>
      </w:r>
      <w:r w:rsidRPr="001C2C31">
        <w:rPr>
          <w:rFonts w:eastAsia="Times New Roman"/>
          <w:sz w:val="20"/>
          <w:szCs w:val="20"/>
          <w:lang w:eastAsia="es-ES"/>
        </w:rPr>
        <w:t>Cada uno de los inversores podrá presentar sin limitación alguna, más de una orden de compra, que contengan montos y/o Margen Solicitado distintos entre las distintas órdenes de compra del mismo inversor.</w:t>
      </w:r>
    </w:p>
    <w:p w14:paraId="1E0D3406" w14:textId="77777777" w:rsidR="00E12107" w:rsidRPr="001C2C31" w:rsidRDefault="00E12107" w:rsidP="00916F81">
      <w:pPr>
        <w:spacing w:after="0"/>
        <w:jc w:val="both"/>
        <w:rPr>
          <w:rFonts w:eastAsia="Times New Roman"/>
          <w:sz w:val="20"/>
          <w:szCs w:val="20"/>
          <w:lang w:eastAsia="es-ES"/>
        </w:rPr>
      </w:pPr>
    </w:p>
    <w:p w14:paraId="7B918106" w14:textId="625B20AE"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En virtud que solamente los agentes del MAE (incluyendo, sin limitación, al Agente Colocador) y/o adherentes del mismo pueden ingresar las Ofertas correspondientes a través del módulo de licitaciones del sistema “SIOPEL” del MAE, los inversores que no sean agentes del MAE y/o adherentes del mismo deberán mediante las órdenes de compra correspondientes instruir a cualquier agente del MAE (incluyendo, sin limitación, al Agente Colocador) y/o adherentes del mismo para que, por cuenta y orden de los inversores en cuestión, presenten las correspondientes Ofertas antes de que finalice el Período de Licitación Pública. El Agente Colocador no tendrá responsabilidad alguna por las órdenes de compra presentadas a agentes del MAE y/o adherentes del mismo distintos de él. Dichas órdenes de compra a cualquier agente del MAE (incluyendo, sin limitación, al Agente Colocador) y/o adherentes del mismo podrán ser otorgadas por los inversores antes de, o durante, el Período de Licitación Pública. Los inversores interesados en presentar órdenes de compra, deberán contactar a cualquier agente del MAE (incluyendo, sin limitación, al Agente Colocador) y/o adherentes del mismo con suficiente anticipación a la finalización del Período de Licitación Pública, a fin de posibilitar que las correspondientes Ofertas sean presentadas a través del sistema “SIOPEL” del MAE antes de que finalice e</w:t>
      </w:r>
      <w:r w:rsidR="00253A14">
        <w:rPr>
          <w:rFonts w:eastAsia="Times New Roman"/>
          <w:sz w:val="20"/>
          <w:szCs w:val="20"/>
          <w:lang w:eastAsia="es-ES"/>
        </w:rPr>
        <w:t>l Período de Licitación Pública</w:t>
      </w:r>
      <w:r w:rsidR="00A0531E">
        <w:rPr>
          <w:rFonts w:cs="Garamond"/>
          <w:sz w:val="20"/>
          <w:szCs w:val="20"/>
          <w:lang w:val="es-ES"/>
        </w:rPr>
        <w:t>.</w:t>
      </w:r>
      <w:r w:rsidRPr="001C2C31">
        <w:rPr>
          <w:rFonts w:eastAsia="Times New Roman"/>
          <w:sz w:val="20"/>
          <w:szCs w:val="20"/>
          <w:lang w:eastAsia="es-ES"/>
        </w:rPr>
        <w:t xml:space="preserve"> El Emisor no pagará comisión y/o reembolsará gasto alguno a los agentes del MAE y/o adherentes del mismo a través de los cuales se presenten Ofertas, sin perjuicio que estos últimos podrían cobrar comisiones y/o gastos directamente a los inversores que presenten Ofertas a través de los mismos.</w:t>
      </w:r>
    </w:p>
    <w:p w14:paraId="180FCD63" w14:textId="77777777" w:rsidR="00EF22DE" w:rsidRPr="001C2C31" w:rsidRDefault="00EF22DE" w:rsidP="00916F81">
      <w:pPr>
        <w:spacing w:after="0"/>
        <w:jc w:val="both"/>
        <w:rPr>
          <w:rFonts w:eastAsia="Times New Roman"/>
          <w:sz w:val="20"/>
          <w:szCs w:val="20"/>
          <w:lang w:eastAsia="es-ES"/>
        </w:rPr>
      </w:pPr>
    </w:p>
    <w:p w14:paraId="3147171F" w14:textId="797F373E" w:rsidR="001C2C31" w:rsidRPr="007E0752" w:rsidRDefault="006056E2" w:rsidP="007E0752">
      <w:pPr>
        <w:spacing w:after="120"/>
        <w:jc w:val="both"/>
        <w:rPr>
          <w:sz w:val="20"/>
        </w:rPr>
      </w:pPr>
      <w:r>
        <w:rPr>
          <w:sz w:val="20"/>
        </w:rPr>
        <w:t xml:space="preserve">La rueda de licitación pública tendrá la modalidad abierta. </w:t>
      </w:r>
      <w:r w:rsidR="007E0752" w:rsidRPr="007A398E">
        <w:rPr>
          <w:sz w:val="20"/>
        </w:rPr>
        <w:t>En virtud</w:t>
      </w:r>
      <w:r w:rsidR="007E0752" w:rsidRPr="00341081">
        <w:rPr>
          <w:sz w:val="20"/>
        </w:rPr>
        <w:t xml:space="preserve"> de </w:t>
      </w:r>
      <w:r w:rsidR="007E0752" w:rsidRPr="007A398E">
        <w:rPr>
          <w:sz w:val="20"/>
        </w:rPr>
        <w:t xml:space="preserve">ello, todos los agentes del MAE </w:t>
      </w:r>
      <w:r w:rsidR="007E0752" w:rsidRPr="001C2C31">
        <w:rPr>
          <w:rFonts w:eastAsia="Times New Roman"/>
          <w:sz w:val="20"/>
          <w:szCs w:val="20"/>
          <w:lang w:eastAsia="es-ES"/>
        </w:rPr>
        <w:t>(incluyendo, sin limitación, al Agente Colocador)</w:t>
      </w:r>
      <w:r w:rsidR="007E0752" w:rsidRPr="007A398E">
        <w:rPr>
          <w:sz w:val="20"/>
        </w:rPr>
        <w:t xml:space="preserve"> y/o </w:t>
      </w:r>
      <w:bookmarkStart w:id="25" w:name="_DV_C130"/>
      <w:r w:rsidR="007E0752" w:rsidRPr="00341081">
        <w:rPr>
          <w:sz w:val="20"/>
        </w:rPr>
        <w:t xml:space="preserve">agentes adherentes </w:t>
      </w:r>
      <w:r w:rsidR="007E0752">
        <w:rPr>
          <w:sz w:val="20"/>
        </w:rPr>
        <w:t>del</w:t>
      </w:r>
      <w:r w:rsidR="007E0752" w:rsidRPr="00341081">
        <w:rPr>
          <w:sz w:val="20"/>
        </w:rPr>
        <w:t xml:space="preserve"> </w:t>
      </w:r>
      <w:r w:rsidR="007E0752">
        <w:rPr>
          <w:sz w:val="20"/>
        </w:rPr>
        <w:t>mismo</w:t>
      </w:r>
      <w:r w:rsidR="007E0752" w:rsidRPr="00341081">
        <w:rPr>
          <w:sz w:val="20"/>
        </w:rPr>
        <w:t xml:space="preserve"> podrán </w:t>
      </w:r>
      <w:r w:rsidR="007E0752" w:rsidRPr="007A398E">
        <w:rPr>
          <w:sz w:val="20"/>
        </w:rPr>
        <w:t xml:space="preserve">ver las </w:t>
      </w:r>
      <w:r w:rsidR="007E0752">
        <w:rPr>
          <w:sz w:val="20"/>
        </w:rPr>
        <w:t>Ofertas</w:t>
      </w:r>
      <w:r w:rsidR="007E0752" w:rsidRPr="007A398E">
        <w:rPr>
          <w:sz w:val="20"/>
        </w:rPr>
        <w:t xml:space="preserve"> </w:t>
      </w:r>
      <w:r w:rsidR="007E0752">
        <w:rPr>
          <w:sz w:val="20"/>
        </w:rPr>
        <w:t>que</w:t>
      </w:r>
      <w:r w:rsidR="007E0752" w:rsidRPr="007A398E">
        <w:rPr>
          <w:sz w:val="20"/>
        </w:rPr>
        <w:t xml:space="preserve"> se vayan ingresando en el sistema</w:t>
      </w:r>
      <w:bookmarkEnd w:id="25"/>
      <w:r w:rsidR="007E0752" w:rsidRPr="00341081">
        <w:rPr>
          <w:sz w:val="20"/>
        </w:rPr>
        <w:t>.</w:t>
      </w:r>
      <w:r w:rsidR="007E0752">
        <w:rPr>
          <w:sz w:val="20"/>
        </w:rPr>
        <w:t xml:space="preserve"> </w:t>
      </w:r>
      <w:r w:rsidR="001C2C31" w:rsidRPr="001C2C31">
        <w:rPr>
          <w:rFonts w:eastAsia="Times New Roman"/>
          <w:sz w:val="20"/>
          <w:szCs w:val="20"/>
          <w:lang w:eastAsia="es-ES"/>
        </w:rPr>
        <w:t xml:space="preserve">Todas las Ofertas serán irrevocables, firmes, vinculantes y definitivas a todos los efectos que pudiera corresponder, sin necesidad de ser ratificadas ni posibilidad de ser retiradas, salvo en caso de terminación, suspensión o prórroga del Período de Difusión Pública y/o el Período de Licitación Pública, tal como se describe más adelante. Respetando el trato igualitario entre inversores, los agentes del MAE </w:t>
      </w:r>
      <w:r w:rsidR="001C2C31" w:rsidRPr="001C2C31">
        <w:rPr>
          <w:rFonts w:eastAsia="Times New Roman"/>
          <w:sz w:val="20"/>
          <w:szCs w:val="20"/>
          <w:lang w:eastAsia="es-ES"/>
        </w:rPr>
        <w:lastRenderedPageBreak/>
        <w:t xml:space="preserve">(incluyendo, sin limitación, al Agente Colocador) y/o adherentes del mismo que reciban órdenes de compra en relación con las Obligaciones Negociables, podrán rechazar las órdenes de compra presentadas a los mismos que no cumplan con las normas aplicables y/o los requisitos establecidos en relación con las mismas, y/o con la normativa sobre encubrimiento y lavado de activos regulada por la Ley </w:t>
      </w:r>
      <w:r w:rsidR="00101518">
        <w:rPr>
          <w:rFonts w:eastAsia="Times New Roman"/>
          <w:sz w:val="20"/>
          <w:szCs w:val="20"/>
          <w:lang w:eastAsia="es-ES"/>
        </w:rPr>
        <w:t>N° 25.246 (la “</w:t>
      </w:r>
      <w:r w:rsidR="00101518" w:rsidRPr="00A3148A">
        <w:rPr>
          <w:rFonts w:eastAsia="Times New Roman"/>
          <w:sz w:val="20"/>
          <w:szCs w:val="20"/>
          <w:u w:val="single"/>
          <w:lang w:eastAsia="es-ES"/>
        </w:rPr>
        <w:t xml:space="preserve">Ley </w:t>
      </w:r>
      <w:r w:rsidR="001C2C31" w:rsidRPr="00A3148A">
        <w:rPr>
          <w:rFonts w:eastAsia="Times New Roman"/>
          <w:sz w:val="20"/>
          <w:szCs w:val="20"/>
          <w:u w:val="single"/>
          <w:lang w:eastAsia="es-ES"/>
        </w:rPr>
        <w:t>de Prevención del Lavado de Activos y Lucha Contra el Terrorismo</w:t>
      </w:r>
      <w:r w:rsidR="00101518">
        <w:rPr>
          <w:rFonts w:eastAsia="Times New Roman"/>
          <w:sz w:val="20"/>
          <w:szCs w:val="20"/>
          <w:lang w:eastAsia="es-ES"/>
        </w:rPr>
        <w:t>”)</w:t>
      </w:r>
      <w:r w:rsidR="001C2C31" w:rsidRPr="001C2C31">
        <w:rPr>
          <w:rFonts w:eastAsia="Times New Roman"/>
          <w:sz w:val="20"/>
          <w:szCs w:val="20"/>
          <w:lang w:eastAsia="es-ES"/>
        </w:rPr>
        <w:t xml:space="preserve"> y la normativa emitida por la UIF, aun cuando dichas órdenes de compra contengan un Margen Solicitado inferior o igual al Margen Aplicable (o se trate de órdenes de compra no competitivas), sin que tal circunstancia otorgue a los inversores que hayan presentado tales órdenes de compra derecho a compensación y/o indemnización alguna (siempre respetando el trato igualitario entre inversores). Las órdenes de compra rechazadas quedarán automáticamente sin efecto. Los agentes del MAE (incluyendo, sin limitación, al Agente Colocador) y/o adherentes del mismo a través de los cuales los correspondientes inversores presenten Ofertas, podrán solicitar a los mismos a su solo criterio y como condición previa a presentar las Ofertas por su cuenta y orden, información y/o documentación necesaria para verificar el cumplimiento de la normativa sobre encubrimiento y lavado de activos regulada por la Ley de Prevención del Lavado de Activos y Lucha Contra el Terrorismo y/o garantías suficientes que aseguren la integración de tales Ofertas en caso de resultar adjudicadas, y en caso que los correspondientes inversores no las suministraren, ningún agente del MAE (incluyendo, sin limitación, al Agente Colocador) ni ningún adherente del mismo estará obligado a presentar las Ofertas en cuestión. En el caso de las Ofertas que se presenten a través de agentes del MAE y/o adherentes del mismo distintos del Agente Colocador, tales agentes del MAE y/o adherentes del mismo serán respecto de tales Ofertas, los responsables de verificar el cumplimiento de la normativa sobre encubrimiento y lavado de activos regulada por la Ley de Prevención del Lavado de Activos y Lucha Contra el Terrorismo y de que existan garantías suficientes que aseguren la integración de tales Ofertas en caso de resultar adjudicadas, no teniendo el Agente Colocador ni el Emisor responsabilidad alguna al respecto.</w:t>
      </w:r>
    </w:p>
    <w:p w14:paraId="0F4ED708" w14:textId="77777777" w:rsidR="00EF22DE" w:rsidRPr="001C2C31" w:rsidRDefault="00EF22DE" w:rsidP="00916F81">
      <w:pPr>
        <w:spacing w:after="0"/>
        <w:jc w:val="both"/>
        <w:rPr>
          <w:rFonts w:eastAsia="Times New Roman"/>
          <w:sz w:val="20"/>
          <w:szCs w:val="20"/>
          <w:lang w:eastAsia="es-ES"/>
        </w:rPr>
      </w:pPr>
    </w:p>
    <w:p w14:paraId="5E9C0E6B"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 xml:space="preserve">No podrán presentar </w:t>
      </w:r>
      <w:r w:rsidR="00101518">
        <w:rPr>
          <w:rFonts w:eastAsia="Times New Roman"/>
          <w:sz w:val="20"/>
          <w:szCs w:val="20"/>
          <w:lang w:eastAsia="es-ES"/>
        </w:rPr>
        <w:t>Ofertas</w:t>
      </w:r>
      <w:r w:rsidRPr="001C2C31">
        <w:rPr>
          <w:rFonts w:eastAsia="Times New Roman"/>
          <w:sz w:val="20"/>
          <w:szCs w:val="20"/>
          <w:lang w:eastAsia="es-ES"/>
        </w:rPr>
        <w:t xml:space="preserve"> aquellas personas o entidades con domicilio, constituidas y/o residentes de los denominados “</w:t>
      </w:r>
      <w:r w:rsidR="00101518">
        <w:rPr>
          <w:rFonts w:eastAsia="Times New Roman"/>
          <w:sz w:val="20"/>
          <w:szCs w:val="20"/>
          <w:lang w:eastAsia="es-ES"/>
        </w:rPr>
        <w:t>jurisdicciones no cooperantes</w:t>
      </w:r>
      <w:r w:rsidRPr="001C2C31">
        <w:rPr>
          <w:rFonts w:eastAsia="Times New Roman"/>
          <w:sz w:val="20"/>
          <w:szCs w:val="20"/>
          <w:lang w:eastAsia="es-ES"/>
        </w:rPr>
        <w:t>”, y/o aquellas personas o entidades que, a efectos de la suscripción de las Obligaciones Negociables, utilicen cuentas bancarias localizadas o abiertas en entidades financieras ubicadas en jurisdicciones de los denominados “</w:t>
      </w:r>
      <w:r w:rsidR="00101518">
        <w:rPr>
          <w:rFonts w:eastAsia="Times New Roman"/>
          <w:sz w:val="20"/>
          <w:szCs w:val="20"/>
          <w:lang w:eastAsia="es-ES"/>
        </w:rPr>
        <w:t>no cooperantes</w:t>
      </w:r>
      <w:r w:rsidRPr="001C2C31">
        <w:rPr>
          <w:rFonts w:eastAsia="Times New Roman"/>
          <w:sz w:val="20"/>
          <w:szCs w:val="20"/>
          <w:lang w:eastAsia="es-ES"/>
        </w:rPr>
        <w:t>”. L</w:t>
      </w:r>
      <w:r w:rsidR="00101518">
        <w:rPr>
          <w:rFonts w:eastAsia="Times New Roman"/>
          <w:sz w:val="20"/>
          <w:szCs w:val="20"/>
          <w:lang w:eastAsia="es-ES"/>
        </w:rPr>
        <w:t>a</w:t>
      </w:r>
      <w:r w:rsidRPr="001C2C31">
        <w:rPr>
          <w:rFonts w:eastAsia="Times New Roman"/>
          <w:sz w:val="20"/>
          <w:szCs w:val="20"/>
          <w:lang w:eastAsia="es-ES"/>
        </w:rPr>
        <w:t>s “</w:t>
      </w:r>
      <w:r w:rsidR="00101518">
        <w:rPr>
          <w:rFonts w:eastAsia="Times New Roman"/>
          <w:sz w:val="20"/>
          <w:szCs w:val="20"/>
          <w:lang w:eastAsia="es-ES"/>
        </w:rPr>
        <w:t>jurisdicciones no cooperantes</w:t>
      </w:r>
      <w:r w:rsidRPr="001C2C31">
        <w:rPr>
          <w:rFonts w:eastAsia="Times New Roman"/>
          <w:sz w:val="20"/>
          <w:szCs w:val="20"/>
          <w:lang w:eastAsia="es-ES"/>
        </w:rPr>
        <w:t xml:space="preserve">” son los dominios, jurisdicciones, territorios, estados asociados o regímenes tributarios especiales de baja o nula tributación, según la legislación argentina, a los que se refiere el art. 15 de la Ley de Impuesto a las Ganancias, y que de conformidad con el Decreto N° 589/2013 son países considerados no cooperadores a los fines de la transparencia fiscal, atento a que no suscribieron con el </w:t>
      </w:r>
      <w:r w:rsidR="00385CD8">
        <w:rPr>
          <w:rFonts w:eastAsia="Times New Roman"/>
          <w:sz w:val="20"/>
          <w:szCs w:val="20"/>
          <w:lang w:eastAsia="es-ES"/>
        </w:rPr>
        <w:t>Gobierno Argentino</w:t>
      </w:r>
      <w:r w:rsidRPr="001C2C31">
        <w:rPr>
          <w:rFonts w:eastAsia="Times New Roman"/>
          <w:sz w:val="20"/>
          <w:szCs w:val="20"/>
          <w:lang w:eastAsia="es-ES"/>
        </w:rPr>
        <w:t xml:space="preserve"> un acuerdo de intercambio de información en materia tributaria o un convenio para evitar la doble imposición internacional con cláusula de intercambio de información amplio, o aquellos países que hubieren celebrado tales convenios pero no se hubiere cumplimentado el efectivo intercambio de información.</w:t>
      </w:r>
    </w:p>
    <w:p w14:paraId="23E207C6" w14:textId="77777777" w:rsidR="00101518" w:rsidRPr="001C2C31" w:rsidRDefault="00101518" w:rsidP="00916F81">
      <w:pPr>
        <w:spacing w:after="0"/>
        <w:jc w:val="both"/>
        <w:rPr>
          <w:rFonts w:eastAsia="Times New Roman"/>
          <w:sz w:val="20"/>
          <w:szCs w:val="20"/>
          <w:lang w:eastAsia="es-ES"/>
        </w:rPr>
      </w:pPr>
    </w:p>
    <w:p w14:paraId="3150F5CC"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El Emisor a su solo criterio podrá terminar y dejar sin efecto, suspender y/o prorrogar el Período de Difusión Pública y/o el Período de Licitación Pública, respecto de las Obligaciones Negociables, en cualquier momento del mismo, lo cual, en su caso, será informado (</w:t>
      </w:r>
      <w:r w:rsidR="00101518">
        <w:rPr>
          <w:rFonts w:eastAsia="Times New Roman"/>
          <w:sz w:val="20"/>
          <w:szCs w:val="20"/>
          <w:lang w:eastAsia="es-ES"/>
        </w:rPr>
        <w:t>antes</w:t>
      </w:r>
      <w:r w:rsidRPr="001C2C31">
        <w:rPr>
          <w:rFonts w:eastAsia="Times New Roman"/>
          <w:sz w:val="20"/>
          <w:szCs w:val="20"/>
          <w:lang w:eastAsia="es-ES"/>
        </w:rPr>
        <w:t xml:space="preserve"> que finalice el período de que se trate) mediante un aviso complementario al presente que será publicado en la Página Web de la CNV y en la Página Web del Emisor, y por un día en el Boletín Diario de la BCBA y en el micro sitio web de licitaciones del sistema “SIOPEL” y el Boletín Electrónico del MAE. La terminación, suspensión y/o prórroga del Período de Difusión Pública y/o del Período de Licitación Pública no generará responsabilidad alguna al Emisor ni al Agente Colocador ni otorgará a los inversores que hayan presentado órdenes de compra, ni a los agentes del MAE y/o adherentes del mismo que hayan presentado Ofertas, derecho a compensación y/o indemnización alguna. En caso de terminación del Período de Difusión Pública y/o del Período de Licitación Pública, todas las Ofertas que, en su caso, se hayan presentado hasta ese momento, quedarán automáticamente sin efecto. En caso de suspensión y/o prórroga del Período de Difusión Pública y/o del Período de Licitación Pública, las Ofertas presentadas con anterioridad a </w:t>
      </w:r>
      <w:r w:rsidRPr="001C2C31">
        <w:rPr>
          <w:rFonts w:eastAsia="Times New Roman"/>
          <w:sz w:val="20"/>
          <w:szCs w:val="20"/>
          <w:lang w:eastAsia="es-ES"/>
        </w:rPr>
        <w:lastRenderedPageBreak/>
        <w:t>dicha suspensión y/o prórroga podrán ser retiradas en cualquier momento anterior a la finalización del Período de Licitación Pública, sin penalidad alguna.</w:t>
      </w:r>
    </w:p>
    <w:p w14:paraId="09F255CD" w14:textId="77777777" w:rsidR="00EF22DE" w:rsidRPr="001C2C31" w:rsidRDefault="00EF22DE" w:rsidP="00916F81">
      <w:pPr>
        <w:spacing w:after="0"/>
        <w:jc w:val="both"/>
        <w:rPr>
          <w:rFonts w:eastAsia="Times New Roman"/>
          <w:sz w:val="20"/>
          <w:szCs w:val="20"/>
          <w:lang w:eastAsia="es-ES"/>
        </w:rPr>
      </w:pPr>
    </w:p>
    <w:p w14:paraId="30D23FEA"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Ni el Emisor ni el Agente Colocador serán responsables por problemas, fallas, pérdidas de enlace, errores en la aplicación y/o caídas del software al utilizar el sistema “SIOPEL” del MAE. Para mayor información respecto de la utilización del sistema “SIOPEL” del MAE, se recomienda a los interesados leer detalladamente el “Manual del Usuario - Colocadores” y documentación relacionada publicada en la página web del MAE.</w:t>
      </w:r>
    </w:p>
    <w:p w14:paraId="0CEAAE75" w14:textId="77777777" w:rsidR="00EF22DE" w:rsidRPr="001C2C31" w:rsidRDefault="00EF22DE" w:rsidP="00916F81">
      <w:pPr>
        <w:spacing w:after="0"/>
        <w:jc w:val="both"/>
        <w:rPr>
          <w:rFonts w:eastAsia="Times New Roman"/>
          <w:sz w:val="20"/>
          <w:szCs w:val="20"/>
          <w:lang w:eastAsia="es-ES"/>
        </w:rPr>
      </w:pPr>
    </w:p>
    <w:p w14:paraId="223365B2" w14:textId="77777777" w:rsidR="001C2C31" w:rsidRDefault="001C2C31" w:rsidP="00916F81">
      <w:pPr>
        <w:spacing w:after="0"/>
        <w:jc w:val="both"/>
        <w:rPr>
          <w:rFonts w:eastAsia="Times New Roman"/>
          <w:b/>
          <w:sz w:val="20"/>
          <w:szCs w:val="20"/>
          <w:lang w:eastAsia="es-ES"/>
        </w:rPr>
      </w:pPr>
      <w:r w:rsidRPr="001C2C31">
        <w:rPr>
          <w:rFonts w:eastAsia="Times New Roman"/>
          <w:b/>
          <w:sz w:val="20"/>
          <w:szCs w:val="20"/>
          <w:lang w:eastAsia="es-ES"/>
        </w:rPr>
        <w:t>Determinación del Margen Aplicable; Adjudicación</w:t>
      </w:r>
    </w:p>
    <w:p w14:paraId="28D11111" w14:textId="77777777" w:rsidR="00EF22DE" w:rsidRPr="001C2C31" w:rsidRDefault="00EF22DE" w:rsidP="00916F81">
      <w:pPr>
        <w:spacing w:after="0"/>
        <w:jc w:val="both"/>
        <w:rPr>
          <w:rFonts w:eastAsia="Times New Roman"/>
          <w:b/>
          <w:sz w:val="20"/>
          <w:szCs w:val="20"/>
          <w:lang w:eastAsia="es-ES"/>
        </w:rPr>
      </w:pPr>
    </w:p>
    <w:p w14:paraId="778883E0"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Tan pronto como sea posible luego de finalizado el Período de Licitación Pública, las Ofertas serán ordenadas en forma ascendente en el sistema “SIOPEL” del MAE, sobre la base del Margen Solicitado. Las Ofertas no competitivas serán agrupadas por separado. El Emisor, teniendo en cuenta las condiciones de mercado vigentes, determinará si opta por adjudicar las Obligaciones Negociables y su monto, o si opta por declarar desierta la colocación de las Obligaciones Negociables.</w:t>
      </w:r>
    </w:p>
    <w:p w14:paraId="4B382C40" w14:textId="77777777" w:rsidR="00EF22DE" w:rsidRPr="001C2C31" w:rsidRDefault="00EF22DE" w:rsidP="00916F81">
      <w:pPr>
        <w:spacing w:after="0"/>
        <w:jc w:val="both"/>
        <w:rPr>
          <w:rFonts w:eastAsia="Times New Roman"/>
          <w:sz w:val="20"/>
          <w:szCs w:val="20"/>
          <w:lang w:eastAsia="es-ES"/>
        </w:rPr>
      </w:pPr>
    </w:p>
    <w:p w14:paraId="4506611A" w14:textId="54EF033A"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En caso que el Emisor decida adjudicar las Obligaciones Negociables, determinará el monto efectivo de las Obligaciones Negociables a emitir y el margen aplicable, expresado como porcentaje anual truncado a dos decimales (el “</w:t>
      </w:r>
      <w:r w:rsidRPr="001C2C31">
        <w:rPr>
          <w:rFonts w:eastAsia="Times New Roman"/>
          <w:b/>
          <w:sz w:val="20"/>
          <w:szCs w:val="20"/>
          <w:lang w:eastAsia="es-ES"/>
        </w:rPr>
        <w:t>Margen Aplicable</w:t>
      </w:r>
      <w:r w:rsidRPr="001C2C31">
        <w:rPr>
          <w:rFonts w:eastAsia="Times New Roman"/>
          <w:sz w:val="20"/>
          <w:szCs w:val="20"/>
          <w:lang w:eastAsia="es-ES"/>
        </w:rPr>
        <w:t xml:space="preserve">”). Dicha determinación será realizada mediante el sistema denominado “subasta o licitación pública” y a través del sistema “SIOPEL” del MAE, en virtud del cual </w:t>
      </w:r>
      <w:r w:rsidRPr="001C2C31">
        <w:rPr>
          <w:rFonts w:eastAsia="Times New Roman"/>
          <w:b/>
          <w:sz w:val="20"/>
          <w:szCs w:val="20"/>
          <w:lang w:eastAsia="es-ES"/>
        </w:rPr>
        <w:t>(i)</w:t>
      </w:r>
      <w:r w:rsidRPr="001C2C31">
        <w:rPr>
          <w:rFonts w:eastAsia="Times New Roman"/>
          <w:sz w:val="20"/>
          <w:szCs w:val="20"/>
          <w:lang w:eastAsia="es-ES"/>
        </w:rPr>
        <w:t xml:space="preserve"> todas las Ofertas correspondientes a las Obligaciones Negociables con Margen Solicitado inferior al Margen Aplicable y todas las Ofertas correspondientes a las Obligaciones Negociables no competitivas, serán adjudicadas al Margen Aplicable, estableciéndose, sin embargo, que a las Ofertas no competitivas en ningún caso se les adjudicará un monto de Obligaciones Negociables superior al 50% del monto final de las Obligaciones Negociables que sea efectivamente emitido, y estableciéndose, asimismo, que en caso que las Ofertas no competitivas superen dicho 50%, éstas serán adjudicadas a prorrata sobre la base del monto solicitado y sin excluir ninguna Oferta no competitiva; </w:t>
      </w:r>
      <w:r w:rsidRPr="001C2C31">
        <w:rPr>
          <w:rFonts w:eastAsia="Times New Roman"/>
          <w:b/>
          <w:sz w:val="20"/>
          <w:szCs w:val="20"/>
          <w:lang w:eastAsia="es-ES"/>
        </w:rPr>
        <w:t>(ii)</w:t>
      </w:r>
      <w:r w:rsidRPr="001C2C31">
        <w:rPr>
          <w:rFonts w:eastAsia="Times New Roman"/>
          <w:sz w:val="20"/>
          <w:szCs w:val="20"/>
          <w:lang w:eastAsia="es-ES"/>
        </w:rPr>
        <w:t xml:space="preserve"> todas las Ofertas correspondientes a las Obligaciones Negociables con Margen Solicitado igual al Margen Aplicable serán adjudicadas al Margen Aplicable a prorrata sobre la base del monto solicitado y sin excluir ninguna Oferta; y </w:t>
      </w:r>
      <w:r w:rsidRPr="001C2C31">
        <w:rPr>
          <w:rFonts w:eastAsia="Times New Roman"/>
          <w:b/>
          <w:sz w:val="20"/>
          <w:szCs w:val="20"/>
          <w:lang w:eastAsia="es-ES"/>
        </w:rPr>
        <w:t>(iii)</w:t>
      </w:r>
      <w:r w:rsidRPr="001C2C31">
        <w:rPr>
          <w:rFonts w:eastAsia="Times New Roman"/>
          <w:sz w:val="20"/>
          <w:szCs w:val="20"/>
          <w:lang w:eastAsia="es-ES"/>
        </w:rPr>
        <w:t xml:space="preserve"> todas las Ofertas correspondientes a las Obligaciones Negociables con Margen Solicitado superior al Margen Aplicable no serán adjudicadas. </w:t>
      </w:r>
      <w:r w:rsidR="00365D09" w:rsidRPr="00BA2014">
        <w:rPr>
          <w:sz w:val="20"/>
          <w:szCs w:val="20"/>
        </w:rPr>
        <w:t>Si como resultado de</w:t>
      </w:r>
      <w:r w:rsidR="00365D09">
        <w:rPr>
          <w:sz w:val="20"/>
          <w:szCs w:val="20"/>
        </w:rPr>
        <w:t xml:space="preserve"> </w:t>
      </w:r>
      <w:r w:rsidR="00365D09" w:rsidRPr="00BA2014">
        <w:rPr>
          <w:sz w:val="20"/>
          <w:szCs w:val="20"/>
        </w:rPr>
        <w:t>l</w:t>
      </w:r>
      <w:r w:rsidR="00365D09">
        <w:rPr>
          <w:sz w:val="20"/>
          <w:szCs w:val="20"/>
        </w:rPr>
        <w:t>os</w:t>
      </w:r>
      <w:r w:rsidR="00365D09" w:rsidRPr="00BA2014">
        <w:rPr>
          <w:sz w:val="20"/>
          <w:szCs w:val="20"/>
        </w:rPr>
        <w:t xml:space="preserve"> prorrateo bajo el mecanismo arriba descripto, el valor nominal a adjudicar a un</w:t>
      </w:r>
      <w:r w:rsidR="00365D09">
        <w:rPr>
          <w:sz w:val="20"/>
          <w:szCs w:val="20"/>
        </w:rPr>
        <w:t>a</w:t>
      </w:r>
      <w:r w:rsidR="00365D09" w:rsidRPr="00BA2014">
        <w:rPr>
          <w:sz w:val="20"/>
          <w:szCs w:val="20"/>
        </w:rPr>
        <w:t xml:space="preserve"> </w:t>
      </w:r>
      <w:r w:rsidR="00365D09">
        <w:rPr>
          <w:sz w:val="20"/>
          <w:szCs w:val="20"/>
        </w:rPr>
        <w:t>Oferta</w:t>
      </w:r>
      <w:r w:rsidR="00365D09" w:rsidRPr="00BA2014">
        <w:rPr>
          <w:sz w:val="20"/>
          <w:szCs w:val="20"/>
        </w:rPr>
        <w:t xml:space="preserve"> contiene decimales por debajo de los </w:t>
      </w:r>
      <w:r w:rsidR="00365D09">
        <w:rPr>
          <w:sz w:val="20"/>
          <w:szCs w:val="20"/>
        </w:rPr>
        <w:t>$0,50 (pesos cincuenta centavos)</w:t>
      </w:r>
      <w:r w:rsidR="00365D09" w:rsidRPr="00BA2014">
        <w:rPr>
          <w:sz w:val="20"/>
          <w:szCs w:val="20"/>
        </w:rPr>
        <w:t xml:space="preserve"> los mismos serán suprimidos a efectos de redondear el valor nominal de </w:t>
      </w:r>
      <w:r w:rsidR="00365D09">
        <w:rPr>
          <w:sz w:val="20"/>
          <w:szCs w:val="20"/>
          <w:lang w:val="es-ES"/>
        </w:rPr>
        <w:t xml:space="preserve">las Obligaciones Negociables </w:t>
      </w:r>
      <w:r w:rsidR="00365D09" w:rsidRPr="00BA2014">
        <w:rPr>
          <w:sz w:val="20"/>
          <w:szCs w:val="20"/>
        </w:rPr>
        <w:t xml:space="preserve">a adjudicar. Contrariamente, si contiene decimales iguales o por encima </w:t>
      </w:r>
      <w:r w:rsidR="00365D09">
        <w:rPr>
          <w:sz w:val="20"/>
          <w:szCs w:val="20"/>
        </w:rPr>
        <w:t xml:space="preserve">de $0,50 (pesos cincuenta centavos) para </w:t>
      </w:r>
      <w:r w:rsidR="00365D09">
        <w:rPr>
          <w:sz w:val="20"/>
          <w:szCs w:val="20"/>
          <w:lang w:val="es-ES"/>
        </w:rPr>
        <w:t>las Obligaciones Negociables</w:t>
      </w:r>
      <w:r w:rsidR="00365D09" w:rsidRPr="00BA2014">
        <w:rPr>
          <w:sz w:val="20"/>
          <w:szCs w:val="20"/>
        </w:rPr>
        <w:t xml:space="preserve">, los mismos serán ponderados hacia arriba, otorgando esos </w:t>
      </w:r>
      <w:r w:rsidR="00365D09">
        <w:rPr>
          <w:sz w:val="20"/>
          <w:szCs w:val="20"/>
        </w:rPr>
        <w:t xml:space="preserve">$1 (pesos uno) </w:t>
      </w:r>
      <w:r w:rsidR="00365D09" w:rsidRPr="00BA2014">
        <w:rPr>
          <w:sz w:val="20"/>
          <w:szCs w:val="20"/>
        </w:rPr>
        <w:t xml:space="preserve">al valor nominal de </w:t>
      </w:r>
      <w:r w:rsidR="00365D09">
        <w:rPr>
          <w:sz w:val="20"/>
          <w:szCs w:val="20"/>
          <w:lang w:val="es-ES"/>
        </w:rPr>
        <w:t xml:space="preserve">las Obligaciones Negociables </w:t>
      </w:r>
      <w:r w:rsidR="00365D09" w:rsidRPr="00BA2014">
        <w:rPr>
          <w:sz w:val="20"/>
          <w:szCs w:val="20"/>
        </w:rPr>
        <w:t>a adjudicar</w:t>
      </w:r>
      <w:r w:rsidR="00365D09">
        <w:rPr>
          <w:sz w:val="20"/>
          <w:szCs w:val="20"/>
        </w:rPr>
        <w:t>.</w:t>
      </w:r>
    </w:p>
    <w:p w14:paraId="20C7F1B9" w14:textId="77777777" w:rsidR="00EF22DE" w:rsidRPr="001C2C31" w:rsidRDefault="00EF22DE" w:rsidP="00916F81">
      <w:pPr>
        <w:spacing w:after="0"/>
        <w:jc w:val="both"/>
        <w:rPr>
          <w:rFonts w:eastAsia="Times New Roman"/>
          <w:sz w:val="20"/>
          <w:szCs w:val="20"/>
          <w:lang w:eastAsia="es-ES"/>
        </w:rPr>
      </w:pPr>
    </w:p>
    <w:p w14:paraId="3191006D"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Ni el Emisor ni el Agente Colocador tendrán obligación de informar en forma individual a los agentes del MAE y/o adherentes del mismo (y/o a los inversores que hayan presentado a los mismos las correspondientes órdenes de compra) cuyas Ofertas fueron total o parcialmente excluidas, que las mismas fueron total o parcialmente excluidas. Las Ofertas no adjudicadas quedarán automáticamente sin efecto.</w:t>
      </w:r>
    </w:p>
    <w:p w14:paraId="22CA349C" w14:textId="77777777" w:rsidR="00EF22DE" w:rsidRPr="001C2C31" w:rsidRDefault="00EF22DE" w:rsidP="00916F81">
      <w:pPr>
        <w:spacing w:after="0"/>
        <w:jc w:val="both"/>
        <w:rPr>
          <w:rFonts w:eastAsia="Times New Roman"/>
          <w:sz w:val="20"/>
          <w:szCs w:val="20"/>
          <w:lang w:eastAsia="es-ES"/>
        </w:rPr>
      </w:pPr>
    </w:p>
    <w:p w14:paraId="42510470"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El Emisor a su solo criterio podrá declarar desierta la colocación de las Obligaciones Negociables en cualquier momento. Dicha circunstancia no generará responsabilidad alguna al Emisor ni al Agente Colocador ni otorgará a los agentes del MAE y/o adherentes del mismo que hayan ingresado Ofertas (y/o a los inversores que hayan presentado a los mismos las correspondientes órdenes de compra), derecho a compensación y/o indemnización alguna. En caso que se declare desierta la colocación de las Obligaciones Negociables, dichas Ofertas quedarán automáticamente sin efecto.</w:t>
      </w:r>
    </w:p>
    <w:p w14:paraId="39240645" w14:textId="77777777" w:rsidR="00EF22DE" w:rsidRPr="001C2C31" w:rsidRDefault="00EF22DE" w:rsidP="00916F81">
      <w:pPr>
        <w:spacing w:after="0"/>
        <w:jc w:val="both"/>
        <w:rPr>
          <w:rFonts w:eastAsia="Times New Roman"/>
          <w:sz w:val="20"/>
          <w:szCs w:val="20"/>
          <w:lang w:eastAsia="es-ES"/>
        </w:rPr>
      </w:pPr>
    </w:p>
    <w:p w14:paraId="361146C8"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El Emisor no garantiza a los agentes del MAE y/o adherentes del mismo que presenten Ofertas (y/o a los inversores que hayan presentado a los mismos las correspondientes órdenes de compra), que se les adjudicarán Obligaciones Negociables a tales Ofertas y/o que, en su caso, los montos que se les adjudicarán serán los mismos montos de Obligaciones Negociables solicitados en las Ofertas. Dicha circunstancia no generará responsabilidad alguna al Emisor ni al Agente Colocador ni otorgará a los agentes del MAE y/o adherentes del mismo que hayan ingresado Ofertas (y/o a los inversores que hayan presentado a los mismos las correspondientes órdenes de compra) derecho a compensación y/o indemnización alguna.</w:t>
      </w:r>
    </w:p>
    <w:p w14:paraId="4FD52598" w14:textId="77777777" w:rsidR="00EF22DE" w:rsidRPr="001C2C31" w:rsidRDefault="00EF22DE" w:rsidP="00916F81">
      <w:pPr>
        <w:spacing w:after="0"/>
        <w:jc w:val="both"/>
        <w:rPr>
          <w:rFonts w:eastAsia="Times New Roman"/>
          <w:sz w:val="20"/>
          <w:szCs w:val="20"/>
          <w:lang w:eastAsia="es-ES"/>
        </w:rPr>
      </w:pPr>
    </w:p>
    <w:p w14:paraId="3F10283D" w14:textId="77777777" w:rsidR="001C2C31" w:rsidRDefault="001C2C31" w:rsidP="00916F81">
      <w:pPr>
        <w:spacing w:after="0"/>
        <w:jc w:val="both"/>
        <w:rPr>
          <w:rFonts w:eastAsia="Times New Roman"/>
          <w:b/>
          <w:sz w:val="20"/>
          <w:szCs w:val="24"/>
          <w:lang w:eastAsia="es-ES"/>
        </w:rPr>
      </w:pPr>
      <w:r w:rsidRPr="001C2C31">
        <w:rPr>
          <w:rFonts w:eastAsia="Times New Roman"/>
          <w:b/>
          <w:sz w:val="20"/>
          <w:szCs w:val="24"/>
          <w:lang w:eastAsia="es-ES"/>
        </w:rPr>
        <w:t>Aviso de Resultados</w:t>
      </w:r>
    </w:p>
    <w:p w14:paraId="69E474D7" w14:textId="77777777" w:rsidR="00EF22DE" w:rsidRPr="001C2C31" w:rsidRDefault="00EF22DE" w:rsidP="00916F81">
      <w:pPr>
        <w:spacing w:after="0"/>
        <w:jc w:val="both"/>
        <w:rPr>
          <w:rFonts w:eastAsia="Times New Roman"/>
          <w:b/>
          <w:sz w:val="20"/>
          <w:szCs w:val="24"/>
          <w:lang w:eastAsia="es-ES"/>
        </w:rPr>
      </w:pPr>
    </w:p>
    <w:p w14:paraId="7C633D49"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El monto final de Obligaciones Negociables que será efectivamente emitido, el Margen Aplicable que se determine conforme con lo detallado más arriba, la Fecha de Vencimiento correspondiente y demás datos que pudieran ser necesarios, en su caso, serán informados mediante un aviso de resultados que será publicado el mismo día del cierre del Período de Licitación Pública, en la Página Web de la CNV, en la Página Web del Emisor, y por un día en el Boletín Diario de la BCBA y en el micro sitio web de licitaciones del sistema “SIOPEL” y el Boletín Electrónico del MAE (el “</w:t>
      </w:r>
      <w:r w:rsidRPr="001C2C31">
        <w:rPr>
          <w:rFonts w:eastAsia="Times New Roman"/>
          <w:b/>
          <w:sz w:val="20"/>
          <w:szCs w:val="20"/>
          <w:lang w:eastAsia="es-ES"/>
        </w:rPr>
        <w:t>Aviso de Resultados</w:t>
      </w:r>
      <w:r w:rsidRPr="001C2C31">
        <w:rPr>
          <w:rFonts w:eastAsia="Times New Roman"/>
          <w:sz w:val="20"/>
          <w:szCs w:val="20"/>
          <w:lang w:eastAsia="es-ES"/>
        </w:rPr>
        <w:t>”).</w:t>
      </w:r>
    </w:p>
    <w:p w14:paraId="063309EA" w14:textId="77777777" w:rsidR="00EF22DE" w:rsidRPr="001C2C31" w:rsidRDefault="00EF22DE" w:rsidP="00916F81">
      <w:pPr>
        <w:spacing w:after="0"/>
        <w:jc w:val="both"/>
        <w:rPr>
          <w:rFonts w:eastAsia="Times New Roman"/>
          <w:sz w:val="20"/>
          <w:szCs w:val="20"/>
          <w:lang w:eastAsia="es-ES"/>
        </w:rPr>
      </w:pPr>
    </w:p>
    <w:p w14:paraId="6F101B2A" w14:textId="77777777" w:rsidR="001C2C31" w:rsidRDefault="001C2C31" w:rsidP="00916F81">
      <w:pPr>
        <w:spacing w:after="0"/>
        <w:jc w:val="both"/>
        <w:rPr>
          <w:rFonts w:eastAsia="Times New Roman"/>
          <w:b/>
          <w:sz w:val="20"/>
          <w:szCs w:val="20"/>
          <w:lang w:eastAsia="es-ES"/>
        </w:rPr>
      </w:pPr>
      <w:r w:rsidRPr="001C2C31">
        <w:rPr>
          <w:rFonts w:eastAsia="Times New Roman"/>
          <w:b/>
          <w:sz w:val="20"/>
          <w:szCs w:val="20"/>
          <w:lang w:eastAsia="es-ES"/>
        </w:rPr>
        <w:t>Liquidación</w:t>
      </w:r>
    </w:p>
    <w:p w14:paraId="57EF0D32" w14:textId="77777777" w:rsidR="00EF22DE" w:rsidRPr="001C2C31" w:rsidRDefault="00EF22DE" w:rsidP="00916F81">
      <w:pPr>
        <w:spacing w:after="0"/>
        <w:jc w:val="both"/>
        <w:rPr>
          <w:rFonts w:eastAsia="Times New Roman"/>
          <w:b/>
          <w:sz w:val="20"/>
          <w:szCs w:val="20"/>
          <w:lang w:eastAsia="es-ES"/>
        </w:rPr>
      </w:pPr>
    </w:p>
    <w:p w14:paraId="08DA2995" w14:textId="77230EE0" w:rsidR="00064F44" w:rsidRPr="00A3148A" w:rsidRDefault="001C2C31" w:rsidP="00A3148A">
      <w:pPr>
        <w:spacing w:after="0"/>
        <w:jc w:val="both"/>
        <w:rPr>
          <w:rFonts w:eastAsia="Times New Roman"/>
          <w:sz w:val="20"/>
          <w:szCs w:val="20"/>
          <w:lang w:eastAsia="es-ES"/>
        </w:rPr>
      </w:pPr>
      <w:r w:rsidRPr="001C2C31">
        <w:rPr>
          <w:rFonts w:eastAsia="Times New Roman"/>
          <w:sz w:val="20"/>
          <w:szCs w:val="20"/>
          <w:lang w:eastAsia="es-ES"/>
        </w:rPr>
        <w:t xml:space="preserve">Las sumas correspondientes a las Obligaciones Negociables adjudicadas deberán ser integradas en efectivo hasta las 14 horas de la </w:t>
      </w:r>
      <w:r w:rsidRPr="001C2C31">
        <w:rPr>
          <w:rFonts w:eastAsia="Times New Roman"/>
          <w:sz w:val="20"/>
          <w:szCs w:val="20"/>
          <w:lang w:val="es-MX" w:eastAsia="es-ES"/>
        </w:rPr>
        <w:t>Fecha de Emisión y Liquidación</w:t>
      </w:r>
      <w:r w:rsidRPr="001C2C31">
        <w:rPr>
          <w:rFonts w:eastAsia="Times New Roman"/>
          <w:sz w:val="20"/>
          <w:szCs w:val="20"/>
          <w:lang w:eastAsia="es-ES"/>
        </w:rPr>
        <w:t xml:space="preserve">, mediante </w:t>
      </w:r>
      <w:r w:rsidR="00064F44">
        <w:rPr>
          <w:rFonts w:eastAsia="Times New Roman"/>
          <w:sz w:val="20"/>
          <w:szCs w:val="20"/>
          <w:lang w:eastAsia="es-ES"/>
        </w:rPr>
        <w:t xml:space="preserve">(i) </w:t>
      </w:r>
      <w:r w:rsidRPr="001C2C31">
        <w:rPr>
          <w:rFonts w:eastAsia="Times New Roman"/>
          <w:sz w:val="20"/>
          <w:szCs w:val="20"/>
          <w:lang w:eastAsia="es-ES"/>
        </w:rPr>
        <w:t>la transferencia electrónica de los pesos pertinentes a la cuenta que indique el Agente Colocador</w:t>
      </w:r>
      <w:r w:rsidR="00064F44">
        <w:rPr>
          <w:rFonts w:eastAsia="Times New Roman"/>
          <w:sz w:val="20"/>
          <w:szCs w:val="20"/>
          <w:lang w:eastAsia="es-ES"/>
        </w:rPr>
        <w:t>; o (ii) a través de MAE CLEAR</w:t>
      </w:r>
      <w:r w:rsidRPr="001C2C31">
        <w:rPr>
          <w:rFonts w:eastAsia="Times New Roman"/>
          <w:sz w:val="20"/>
          <w:szCs w:val="20"/>
          <w:lang w:eastAsia="es-ES"/>
        </w:rPr>
        <w:t>.</w:t>
      </w:r>
      <w:r w:rsidR="00064F44">
        <w:rPr>
          <w:rFonts w:eastAsia="Times New Roman"/>
          <w:sz w:val="20"/>
          <w:szCs w:val="20"/>
          <w:lang w:eastAsia="es-ES"/>
        </w:rPr>
        <w:t xml:space="preserve"> </w:t>
      </w:r>
      <w:r w:rsidR="00064F44" w:rsidRPr="00BA2014">
        <w:rPr>
          <w:sz w:val="20"/>
          <w:szCs w:val="20"/>
        </w:rPr>
        <w:t xml:space="preserve">Si se optare por el sistema de compensación MAE CLEAR, deberá indicarse las cuentas de los custodios participantes en el sistema de compensación administrado por MAE CLEAR a ser utilizadas para la liquidación e integración de </w:t>
      </w:r>
      <w:r w:rsidR="00064F44">
        <w:rPr>
          <w:sz w:val="20"/>
          <w:szCs w:val="20"/>
          <w:lang w:val="es-ES"/>
        </w:rPr>
        <w:t>las Obligaciones Negociables</w:t>
      </w:r>
      <w:r w:rsidR="00064F44" w:rsidRPr="00BA2014">
        <w:rPr>
          <w:sz w:val="20"/>
          <w:szCs w:val="20"/>
        </w:rPr>
        <w:t xml:space="preserve"> </w:t>
      </w:r>
      <w:r w:rsidR="00064F44">
        <w:rPr>
          <w:sz w:val="20"/>
          <w:szCs w:val="20"/>
        </w:rPr>
        <w:t>adjudicada</w:t>
      </w:r>
      <w:r w:rsidR="00064F44" w:rsidRPr="00BA2014">
        <w:rPr>
          <w:sz w:val="20"/>
          <w:szCs w:val="20"/>
        </w:rPr>
        <w:t xml:space="preserve">s; estableciéndose que cada agente del MAE sólo podrá indicar una única e idéntica cuenta custodio de su titularidad en el sistema de compensación administrado por MAE CLEAR para la liquidación e integración de </w:t>
      </w:r>
      <w:r w:rsidR="00064F44">
        <w:rPr>
          <w:sz w:val="20"/>
          <w:szCs w:val="20"/>
          <w:lang w:val="es-ES"/>
        </w:rPr>
        <w:t>las Obligaciones Negociables</w:t>
      </w:r>
      <w:r w:rsidR="00064F44" w:rsidRPr="00BA2014">
        <w:rPr>
          <w:sz w:val="20"/>
          <w:szCs w:val="20"/>
        </w:rPr>
        <w:t xml:space="preserve"> a través del sistema de compensación MAE CLEAR. En tal sentido, cada uno de los </w:t>
      </w:r>
      <w:r w:rsidR="0029024C">
        <w:rPr>
          <w:sz w:val="20"/>
          <w:szCs w:val="20"/>
        </w:rPr>
        <w:t>o</w:t>
      </w:r>
      <w:r w:rsidR="00064F44" w:rsidRPr="00BA2014">
        <w:rPr>
          <w:sz w:val="20"/>
          <w:szCs w:val="20"/>
        </w:rPr>
        <w:t xml:space="preserve">ferentes y </w:t>
      </w:r>
      <w:r w:rsidR="00064F44">
        <w:rPr>
          <w:sz w:val="20"/>
          <w:szCs w:val="20"/>
        </w:rPr>
        <w:t>a</w:t>
      </w:r>
      <w:r w:rsidR="00064F44" w:rsidRPr="00BA2014">
        <w:rPr>
          <w:sz w:val="20"/>
          <w:szCs w:val="20"/>
        </w:rPr>
        <w:t>gentes del MAE deberá asegurarse que exista una cantidad de pesos</w:t>
      </w:r>
      <w:r w:rsidR="00064F44">
        <w:rPr>
          <w:sz w:val="20"/>
          <w:szCs w:val="20"/>
        </w:rPr>
        <w:t xml:space="preserve"> </w:t>
      </w:r>
      <w:r w:rsidR="00064F44" w:rsidRPr="00BA2014">
        <w:rPr>
          <w:sz w:val="20"/>
          <w:szCs w:val="20"/>
        </w:rPr>
        <w:t>suficiente</w:t>
      </w:r>
      <w:r w:rsidR="00064F44">
        <w:rPr>
          <w:sz w:val="20"/>
          <w:szCs w:val="20"/>
        </w:rPr>
        <w:t>s</w:t>
      </w:r>
      <w:r w:rsidR="00064F44" w:rsidRPr="00BA2014">
        <w:rPr>
          <w:sz w:val="20"/>
          <w:szCs w:val="20"/>
        </w:rPr>
        <w:t xml:space="preserve"> para cubrir el monto a integrar y que dicha cantidad se encuentre disponible en las cuentas de los custodios participantes en el sistema de compensación administrado por MAE CLEAR indicadas por el Oferente adjudicado y el agente del MAE adjudicado en la Fecha de Emisión y Liquidación. </w:t>
      </w:r>
    </w:p>
    <w:p w14:paraId="3479FA9E" w14:textId="77777777" w:rsidR="00064F44" w:rsidRPr="001C2C31" w:rsidRDefault="00064F44" w:rsidP="00916F81">
      <w:pPr>
        <w:spacing w:after="0"/>
        <w:jc w:val="both"/>
        <w:rPr>
          <w:rFonts w:eastAsia="Times New Roman"/>
          <w:sz w:val="20"/>
          <w:szCs w:val="20"/>
          <w:lang w:eastAsia="es-ES"/>
        </w:rPr>
      </w:pPr>
    </w:p>
    <w:p w14:paraId="46904FCC"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 xml:space="preserve">En la </w:t>
      </w:r>
      <w:r w:rsidRPr="001C2C31">
        <w:rPr>
          <w:rFonts w:eastAsia="Times New Roman"/>
          <w:sz w:val="20"/>
          <w:szCs w:val="20"/>
          <w:lang w:val="es-MX" w:eastAsia="es-ES"/>
        </w:rPr>
        <w:t>Fecha de Emisión y Liquidación</w:t>
      </w:r>
      <w:r w:rsidRPr="001C2C31">
        <w:rPr>
          <w:rFonts w:eastAsia="Times New Roman"/>
          <w:sz w:val="20"/>
          <w:szCs w:val="20"/>
          <w:lang w:eastAsia="es-ES"/>
        </w:rPr>
        <w:t xml:space="preserve"> de las Obligaciones Negociables, una vez efectuada su integración, las mismas serán acreditadas en las cuentas depositante y comitente en CVSA indicadas por los correspondientes agentes del MAE y/o adherentes del mismo. </w:t>
      </w:r>
    </w:p>
    <w:p w14:paraId="29521B21" w14:textId="77777777" w:rsidR="00EF22DE" w:rsidRPr="001C2C31" w:rsidRDefault="00EF22DE" w:rsidP="00916F81">
      <w:pPr>
        <w:spacing w:after="0"/>
        <w:jc w:val="both"/>
        <w:rPr>
          <w:rFonts w:eastAsia="Times New Roman"/>
          <w:sz w:val="20"/>
          <w:szCs w:val="20"/>
          <w:lang w:eastAsia="es-ES"/>
        </w:rPr>
      </w:pPr>
    </w:p>
    <w:p w14:paraId="4DE7888B" w14:textId="77777777" w:rsidR="001C2C31" w:rsidRDefault="001C2C31" w:rsidP="00916F81">
      <w:pPr>
        <w:spacing w:after="0"/>
        <w:jc w:val="both"/>
        <w:rPr>
          <w:rFonts w:eastAsia="Times New Roman"/>
          <w:sz w:val="20"/>
          <w:szCs w:val="20"/>
          <w:lang w:eastAsia="es-ES"/>
        </w:rPr>
      </w:pPr>
      <w:r w:rsidRPr="001C2C31">
        <w:rPr>
          <w:rFonts w:eastAsia="Times New Roman"/>
          <w:sz w:val="20"/>
          <w:szCs w:val="20"/>
          <w:lang w:eastAsia="es-ES"/>
        </w:rPr>
        <w:t xml:space="preserve">En caso que las Ofertas adjudicadas no sean integradas en o antes de las 14 horas de la </w:t>
      </w:r>
      <w:r w:rsidRPr="001C2C31">
        <w:rPr>
          <w:rFonts w:eastAsia="Times New Roman"/>
          <w:sz w:val="20"/>
          <w:szCs w:val="20"/>
          <w:lang w:val="es-MX" w:eastAsia="es-ES"/>
        </w:rPr>
        <w:t>Fecha de Emisión y Liquidación</w:t>
      </w:r>
      <w:r w:rsidRPr="001C2C31">
        <w:rPr>
          <w:rFonts w:eastAsia="Times New Roman"/>
          <w:sz w:val="20"/>
          <w:szCs w:val="20"/>
          <w:lang w:eastAsia="es-ES"/>
        </w:rPr>
        <w:t xml:space="preserve"> de las Obligaciones Negociables, el Emisor podrá decidir, entre otras cosas, la pérdida por parte de los incumplidores del derecho de suscribir las Obligaciones Negociables en cuestión sin necesidad de otorgarle la posibilidad de remediar su incumplimiento, sin perjuicio que dicha circunstancia no generará responsabilidad alguna al Emisor ni al Agente Colocador ni otorgará a los agentes del MAE y/o adherentes del mismo que hayan ingresado las correspondientes Ofertas (y/o a los inversores que hayan presentado a los mismos las correspondientes órdenes de compra) derecho a compensación y/o indemnización alguna, y sin perjuicio, asimismo, de la responsabilidad de los incumplidores por los daños y perjuicios que su incumplimiento ocasione al Emisor y/o al Agente Colocador.</w:t>
      </w:r>
    </w:p>
    <w:p w14:paraId="34A87044" w14:textId="77777777" w:rsidR="00EF22DE" w:rsidRPr="001C2C31" w:rsidRDefault="00EF22DE" w:rsidP="00916F81">
      <w:pPr>
        <w:spacing w:after="0"/>
        <w:jc w:val="both"/>
        <w:rPr>
          <w:rFonts w:eastAsia="Times New Roman"/>
          <w:sz w:val="20"/>
          <w:szCs w:val="20"/>
          <w:lang w:eastAsia="es-ES"/>
        </w:rPr>
      </w:pPr>
      <w:bookmarkStart w:id="26" w:name="_DV_M30"/>
      <w:bookmarkStart w:id="27" w:name="_DV_M33"/>
      <w:bookmarkStart w:id="28" w:name="_DV_M48"/>
      <w:bookmarkStart w:id="29" w:name="_DV_M49"/>
      <w:bookmarkStart w:id="30" w:name="_DV_M50"/>
      <w:bookmarkStart w:id="31" w:name="_DV_M51"/>
      <w:bookmarkStart w:id="32" w:name="_DV_M52"/>
      <w:bookmarkStart w:id="33" w:name="_DV_M53"/>
      <w:bookmarkStart w:id="34" w:name="_DV_M54"/>
      <w:bookmarkStart w:id="35" w:name="_DV_M55"/>
      <w:bookmarkStart w:id="36" w:name="_DV_M56"/>
      <w:bookmarkStart w:id="37" w:name="_DV_M59"/>
      <w:bookmarkStart w:id="38" w:name="_DV_M60"/>
      <w:bookmarkStart w:id="39" w:name="_DV_M61"/>
      <w:bookmarkStart w:id="40" w:name="_DV_M62"/>
      <w:bookmarkStart w:id="41" w:name="_DV_M63"/>
      <w:bookmarkStart w:id="42" w:name="_DV_M64"/>
      <w:bookmarkStart w:id="43" w:name="_DV_M65"/>
      <w:bookmarkStart w:id="44" w:name="_DV_M66"/>
      <w:bookmarkStart w:id="45" w:name="_DV_M67"/>
      <w:bookmarkStart w:id="46" w:name="_DV_M68"/>
      <w:bookmarkStart w:id="47" w:name="_DV_M69"/>
      <w:bookmarkStart w:id="48" w:name="_DV_M70"/>
      <w:bookmarkStart w:id="49" w:name="_DV_M71"/>
      <w:bookmarkStart w:id="50" w:name="_DV_M72"/>
      <w:bookmarkStart w:id="51" w:name="_DV_M73"/>
      <w:bookmarkStart w:id="52" w:name="_DV_M74"/>
      <w:bookmarkStart w:id="53" w:name="_DV_M75"/>
      <w:bookmarkStart w:id="54" w:name="_DV_M76"/>
      <w:bookmarkStart w:id="55" w:name="_DV_M77"/>
      <w:bookmarkStart w:id="56" w:name="_DV_M78"/>
      <w:bookmarkStart w:id="57" w:name="_DV_M79"/>
      <w:bookmarkStart w:id="58" w:name="_DV_M80"/>
      <w:bookmarkStart w:id="59" w:name="_DV_M81"/>
      <w:bookmarkStart w:id="60" w:name="_DV_M82"/>
      <w:bookmarkStart w:id="61" w:name="_DV_M83"/>
      <w:bookmarkStart w:id="62" w:name="_DV_M84"/>
      <w:bookmarkStart w:id="63" w:name="_DV_M85"/>
      <w:bookmarkStart w:id="64" w:name="_DV_M8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CE7BBBE" w14:textId="77777777" w:rsidR="00EF22DE" w:rsidRDefault="00EC4665" w:rsidP="00916F81">
      <w:pPr>
        <w:pStyle w:val="Puesto"/>
      </w:pPr>
      <w:r>
        <w:br w:type="page"/>
      </w:r>
      <w:bookmarkStart w:id="65" w:name="_Toc20327135"/>
      <w:r w:rsidR="008A5C86">
        <w:lastRenderedPageBreak/>
        <w:t>V</w:t>
      </w:r>
      <w:r w:rsidR="00EF22DE" w:rsidRPr="00417966">
        <w:t>. FACTORES DE RIESGO</w:t>
      </w:r>
      <w:bookmarkEnd w:id="65"/>
    </w:p>
    <w:p w14:paraId="211A361A" w14:textId="77777777" w:rsidR="00EF22DE" w:rsidRPr="00916F81" w:rsidRDefault="00EF22DE" w:rsidP="00916F81">
      <w:pPr>
        <w:spacing w:after="0"/>
        <w:jc w:val="both"/>
        <w:rPr>
          <w:rFonts w:eastAsia="Times New Roman"/>
          <w:sz w:val="20"/>
          <w:szCs w:val="20"/>
          <w:lang w:eastAsia="es-ES"/>
        </w:rPr>
      </w:pPr>
    </w:p>
    <w:p w14:paraId="059A4144" w14:textId="77777777" w:rsidR="00EF22DE" w:rsidRPr="00916F81" w:rsidRDefault="00EF22DE" w:rsidP="00916F81">
      <w:pPr>
        <w:spacing w:after="0"/>
        <w:jc w:val="both"/>
        <w:rPr>
          <w:rFonts w:eastAsia="Times New Roman"/>
          <w:sz w:val="20"/>
          <w:szCs w:val="20"/>
          <w:lang w:eastAsia="es-ES"/>
        </w:rPr>
      </w:pPr>
      <w:r w:rsidRPr="00916F81">
        <w:rPr>
          <w:rFonts w:eastAsia="Times New Roman"/>
          <w:sz w:val="20"/>
          <w:szCs w:val="20"/>
          <w:lang w:eastAsia="es-ES"/>
        </w:rPr>
        <w:t>Invertir en las Obligaciones Negociables implica asumir ciertos riesgos. Antes de tomar decisiones de inversión respecto de las Obligaciones Negociables, el público inversor deberá considerar los factores de riesgo que se describen en la Sección “Factores de Riesgo” del Prospecto y los factores de riesgo de las Obligaciones Negociables que se describen a continuación.</w:t>
      </w:r>
    </w:p>
    <w:p w14:paraId="09C67B90" w14:textId="77777777" w:rsidR="00B20B49" w:rsidRPr="00916F81" w:rsidRDefault="00B20B49" w:rsidP="00916F81">
      <w:pPr>
        <w:spacing w:after="0"/>
        <w:jc w:val="both"/>
        <w:rPr>
          <w:rFonts w:eastAsia="Times New Roman"/>
          <w:sz w:val="20"/>
          <w:szCs w:val="20"/>
          <w:lang w:eastAsia="es-ES"/>
        </w:rPr>
      </w:pPr>
    </w:p>
    <w:p w14:paraId="1E7EFD16" w14:textId="77777777" w:rsidR="00B20B49" w:rsidRPr="00916F81" w:rsidRDefault="00B20B49" w:rsidP="00916F81">
      <w:pPr>
        <w:spacing w:after="0"/>
        <w:jc w:val="both"/>
        <w:rPr>
          <w:rFonts w:eastAsia="Times New Roman"/>
          <w:b/>
          <w:sz w:val="20"/>
          <w:szCs w:val="20"/>
          <w:lang w:eastAsia="es-ES"/>
        </w:rPr>
      </w:pPr>
      <w:r w:rsidRPr="00916F81">
        <w:rPr>
          <w:rFonts w:eastAsia="Times New Roman"/>
          <w:b/>
          <w:sz w:val="20"/>
          <w:szCs w:val="20"/>
          <w:lang w:eastAsia="es-ES"/>
        </w:rPr>
        <w:t>Riesgos relacionados con las Obligaciones Negociables</w:t>
      </w:r>
    </w:p>
    <w:p w14:paraId="08BFEA32" w14:textId="77777777" w:rsidR="00B20B49" w:rsidRPr="00916F81" w:rsidRDefault="00B20B49" w:rsidP="00916F81">
      <w:pPr>
        <w:spacing w:after="0"/>
        <w:jc w:val="both"/>
        <w:rPr>
          <w:rFonts w:eastAsia="Times New Roman"/>
          <w:sz w:val="20"/>
          <w:szCs w:val="20"/>
          <w:lang w:eastAsia="es-ES"/>
        </w:rPr>
      </w:pPr>
    </w:p>
    <w:p w14:paraId="4588324B" w14:textId="77777777" w:rsidR="00B20B49" w:rsidRPr="00916F81" w:rsidRDefault="00B20B49" w:rsidP="00916F81">
      <w:pPr>
        <w:spacing w:after="0"/>
        <w:jc w:val="both"/>
        <w:rPr>
          <w:rFonts w:eastAsia="Times New Roman"/>
          <w:i/>
          <w:sz w:val="20"/>
          <w:szCs w:val="20"/>
          <w:lang w:eastAsia="es-ES"/>
        </w:rPr>
      </w:pPr>
      <w:r w:rsidRPr="00916F81">
        <w:rPr>
          <w:rFonts w:eastAsia="Times New Roman"/>
          <w:i/>
          <w:sz w:val="20"/>
          <w:szCs w:val="20"/>
          <w:lang w:eastAsia="es-ES"/>
        </w:rPr>
        <w:t>Riesgo relacionado con la volatilidad y posible inexistencia de un mercado activo para la negociación de las Obligaciones Negociables.</w:t>
      </w:r>
    </w:p>
    <w:p w14:paraId="14FE2E95" w14:textId="77777777" w:rsidR="00B20B49" w:rsidRPr="00916F81" w:rsidRDefault="00B20B49" w:rsidP="00916F81">
      <w:pPr>
        <w:spacing w:after="0"/>
        <w:jc w:val="both"/>
        <w:rPr>
          <w:rFonts w:eastAsia="Times New Roman"/>
          <w:sz w:val="20"/>
          <w:szCs w:val="20"/>
          <w:lang w:eastAsia="es-ES"/>
        </w:rPr>
      </w:pPr>
    </w:p>
    <w:p w14:paraId="764DBA9B" w14:textId="77777777" w:rsidR="00B20B49" w:rsidRPr="00916F81" w:rsidRDefault="00B20B49" w:rsidP="00916F81">
      <w:pPr>
        <w:spacing w:after="0"/>
        <w:jc w:val="both"/>
        <w:rPr>
          <w:rFonts w:eastAsia="Times New Roman"/>
          <w:sz w:val="20"/>
          <w:szCs w:val="20"/>
          <w:lang w:eastAsia="es-ES"/>
        </w:rPr>
      </w:pPr>
      <w:r w:rsidRPr="00916F81">
        <w:rPr>
          <w:rFonts w:eastAsia="Times New Roman"/>
          <w:sz w:val="20"/>
          <w:szCs w:val="20"/>
          <w:lang w:eastAsia="es-ES"/>
        </w:rPr>
        <w:t xml:space="preserve">A la fecha del presente </w:t>
      </w:r>
      <w:r w:rsidR="008F7FD0">
        <w:rPr>
          <w:rFonts w:eastAsia="Times New Roman"/>
          <w:sz w:val="20"/>
          <w:szCs w:val="20"/>
          <w:lang w:eastAsia="es-ES"/>
        </w:rPr>
        <w:t>Suplemento de Precio</w:t>
      </w:r>
      <w:r w:rsidRPr="00916F81">
        <w:rPr>
          <w:rFonts w:eastAsia="Times New Roman"/>
          <w:sz w:val="20"/>
          <w:szCs w:val="20"/>
          <w:lang w:eastAsia="es-ES"/>
        </w:rPr>
        <w:t>, no existe un mercado público activo de valores negociables representativos de deuda emitidos por la Sociedad, y no puede garantizarse que se podrá desarrollar o mantener un mercado activo para las Obligaciones Negociables una vez efectuada la oferta de las mismas bajo el Programa. Tampoco puede asegurarse que los futuros precios de negociación de las Obligaciones Negociables no serán inferiores al precio al que fueron inicialmente ofrecidas al público, ya sea por motivos inherentes a la Sociedad o por factores totalmente ajenos a la misma. Asimismo, la liquidez y el mercado de las Obligaciones Negociables pueden verse afectados por las variaciones en la tasa de interés y por el decaimiento y la volatilidad de los mercados para títulos valores similares, así como también por cualquier modificación en la liquidez, la situación patrimonial, económica, financiera y/o de otro tipo, la solvencia y los resultados del Emisor, la capacidad de GST de cumplir con sus obligaciones en general y/o con sus obligaciones bajo las Obligaciones Negociables en particular.</w:t>
      </w:r>
    </w:p>
    <w:p w14:paraId="1EFCBA28" w14:textId="77777777" w:rsidR="00B20B49" w:rsidRPr="00916F81" w:rsidRDefault="00B20B49" w:rsidP="00916F81">
      <w:pPr>
        <w:spacing w:after="0"/>
        <w:jc w:val="both"/>
        <w:rPr>
          <w:rFonts w:eastAsia="Times New Roman"/>
          <w:sz w:val="20"/>
          <w:szCs w:val="20"/>
          <w:lang w:eastAsia="es-ES"/>
        </w:rPr>
      </w:pPr>
    </w:p>
    <w:p w14:paraId="607E4F18" w14:textId="77777777" w:rsidR="00B20B49" w:rsidRPr="00916F81" w:rsidRDefault="00B20B49" w:rsidP="00916F81">
      <w:pPr>
        <w:spacing w:after="0"/>
        <w:jc w:val="both"/>
        <w:rPr>
          <w:rFonts w:eastAsia="Times New Roman"/>
          <w:i/>
          <w:sz w:val="20"/>
          <w:szCs w:val="20"/>
          <w:lang w:eastAsia="es-ES"/>
        </w:rPr>
      </w:pPr>
      <w:r w:rsidRPr="00916F81">
        <w:rPr>
          <w:rFonts w:eastAsia="Times New Roman"/>
          <w:i/>
          <w:sz w:val="20"/>
          <w:szCs w:val="20"/>
          <w:lang w:eastAsia="es-ES"/>
        </w:rPr>
        <w:t>Riesgo relacionado con la volatilidad y los acontecimientos en otros países con mercados emergentes.</w:t>
      </w:r>
    </w:p>
    <w:p w14:paraId="68AD3F42" w14:textId="77777777" w:rsidR="00B20B49" w:rsidRPr="00916F81" w:rsidRDefault="00B20B49" w:rsidP="00916F81">
      <w:pPr>
        <w:spacing w:after="0"/>
        <w:jc w:val="both"/>
        <w:rPr>
          <w:rFonts w:eastAsia="Times New Roman"/>
          <w:sz w:val="20"/>
          <w:szCs w:val="20"/>
          <w:lang w:eastAsia="es-ES"/>
        </w:rPr>
      </w:pPr>
    </w:p>
    <w:p w14:paraId="5960A443" w14:textId="77777777" w:rsidR="00B20B49" w:rsidRPr="00916F81" w:rsidRDefault="00B20B49" w:rsidP="00916F81">
      <w:pPr>
        <w:spacing w:after="0"/>
        <w:jc w:val="both"/>
        <w:rPr>
          <w:rFonts w:eastAsia="Times New Roman"/>
          <w:sz w:val="20"/>
          <w:szCs w:val="20"/>
          <w:lang w:eastAsia="es-ES"/>
        </w:rPr>
      </w:pPr>
      <w:r w:rsidRPr="00916F81">
        <w:rPr>
          <w:rFonts w:eastAsia="Times New Roman"/>
          <w:sz w:val="20"/>
          <w:szCs w:val="20"/>
          <w:lang w:eastAsia="es-ES"/>
        </w:rPr>
        <w:t>El mercado para los títulos valores emitidos por sociedades argentinas está influenciado por las condiciones económicas, políticas y de mercado imperantes en la Argentina y, en diverso grado, por las de otros países con mercados emergentes. Aunque las condiciones económicas son diferentes en cada país, el valor de las Obligaciones Negociables podría ser afectado en forma adversa por los acontecimientos económicos, políticos y/o de mercado en uno o más de los otros países con mercados emergentes. No es posible asegurar que los mercados financieros y bursátiles no serán afectados en forma adversa por los acontecimientos de la Argentina y/o de otros países con mercados emergentes, o que tales efectos no afectarán en forma adversa el valor de las Obligaciones Negociables.</w:t>
      </w:r>
    </w:p>
    <w:p w14:paraId="6B8A7DA5" w14:textId="77777777" w:rsidR="00B20B49" w:rsidRPr="00916F81" w:rsidRDefault="00B20B49" w:rsidP="00916F81">
      <w:pPr>
        <w:spacing w:after="0"/>
        <w:jc w:val="both"/>
        <w:rPr>
          <w:rFonts w:eastAsia="Times New Roman"/>
          <w:sz w:val="20"/>
          <w:szCs w:val="20"/>
          <w:lang w:eastAsia="es-ES"/>
        </w:rPr>
      </w:pPr>
    </w:p>
    <w:p w14:paraId="3B0324F1" w14:textId="77777777" w:rsidR="00B20B49" w:rsidRPr="00916F81" w:rsidRDefault="00B20B49" w:rsidP="00916F81">
      <w:pPr>
        <w:spacing w:after="0"/>
        <w:jc w:val="both"/>
        <w:rPr>
          <w:rFonts w:eastAsia="Times New Roman"/>
          <w:i/>
          <w:sz w:val="20"/>
          <w:szCs w:val="20"/>
          <w:lang w:eastAsia="es-ES"/>
        </w:rPr>
      </w:pPr>
      <w:r w:rsidRPr="00916F81">
        <w:rPr>
          <w:rFonts w:eastAsia="Times New Roman"/>
          <w:i/>
          <w:sz w:val="20"/>
          <w:szCs w:val="20"/>
          <w:lang w:eastAsia="es-ES"/>
        </w:rPr>
        <w:t>Las Obligaciones Negociables estarán subordinadas efectivamente al pago a los acreedores privilegiados.</w:t>
      </w:r>
    </w:p>
    <w:p w14:paraId="02AD1117" w14:textId="77777777" w:rsidR="00B20B49" w:rsidRPr="00916F81" w:rsidRDefault="00B20B49" w:rsidP="00916F81">
      <w:pPr>
        <w:spacing w:after="0"/>
        <w:jc w:val="both"/>
        <w:rPr>
          <w:rFonts w:eastAsia="Times New Roman"/>
          <w:sz w:val="20"/>
          <w:szCs w:val="20"/>
          <w:lang w:eastAsia="es-ES"/>
        </w:rPr>
      </w:pPr>
    </w:p>
    <w:p w14:paraId="4475432C" w14:textId="77777777" w:rsidR="00B20B49" w:rsidRPr="00916F81" w:rsidRDefault="00BA4CB5" w:rsidP="00916F81">
      <w:pPr>
        <w:spacing w:after="0"/>
        <w:jc w:val="both"/>
        <w:rPr>
          <w:rFonts w:eastAsia="Times New Roman"/>
          <w:sz w:val="20"/>
          <w:szCs w:val="20"/>
          <w:lang w:eastAsia="es-ES"/>
        </w:rPr>
      </w:pPr>
      <w:r>
        <w:rPr>
          <w:rFonts w:eastAsia="Times New Roman"/>
          <w:sz w:val="20"/>
          <w:szCs w:val="20"/>
          <w:lang w:eastAsia="es-ES"/>
        </w:rPr>
        <w:t>La</w:t>
      </w:r>
      <w:r w:rsidR="00B20B49" w:rsidRPr="00916F81">
        <w:rPr>
          <w:rFonts w:eastAsia="Times New Roman"/>
          <w:sz w:val="20"/>
          <w:szCs w:val="20"/>
          <w:lang w:eastAsia="es-ES"/>
        </w:rPr>
        <w:t>s Obligaciones Negociables tendrán, al menos, igual prioridad de pago que toda la deuda no garantizada y no subordinada del Emisor, existente y futura, salvo las obligaciones que gozan de preferencia por ley, incluidos, entre otros, los acreedores fiscales y laborales de la Sociedad y los acreedores garantizados, respecto de los fondos provenientes de los activos que constituyen la garantía de dichos acreedores.</w:t>
      </w:r>
    </w:p>
    <w:p w14:paraId="619EC215" w14:textId="77777777" w:rsidR="001C2C31" w:rsidRPr="00916F81" w:rsidRDefault="001C2C31" w:rsidP="00916F81">
      <w:pPr>
        <w:pStyle w:val="Puesto"/>
      </w:pPr>
      <w:r w:rsidRPr="00916F81">
        <w:rPr>
          <w:kern w:val="0"/>
        </w:rPr>
        <w:br w:type="page"/>
      </w:r>
      <w:bookmarkStart w:id="66" w:name="_Hlt150842092"/>
      <w:bookmarkStart w:id="67" w:name="_Toc344920584"/>
      <w:bookmarkStart w:id="68" w:name="_Toc20327136"/>
      <w:bookmarkEnd w:id="66"/>
      <w:r w:rsidR="008A5C86">
        <w:lastRenderedPageBreak/>
        <w:t>VI</w:t>
      </w:r>
      <w:r w:rsidRPr="00417966">
        <w:t xml:space="preserve">. </w:t>
      </w:r>
      <w:bookmarkEnd w:id="67"/>
      <w:r w:rsidR="008F7FD0" w:rsidRPr="00916F81">
        <w:t>INFORMACIÓN FINANCIERA</w:t>
      </w:r>
      <w:bookmarkEnd w:id="68"/>
    </w:p>
    <w:p w14:paraId="22887AF8" w14:textId="77777777" w:rsidR="00EF22DE" w:rsidRDefault="00EF22DE" w:rsidP="00916F81">
      <w:pPr>
        <w:spacing w:after="0"/>
        <w:jc w:val="both"/>
        <w:rPr>
          <w:rFonts w:eastAsia="Times New Roman"/>
          <w:sz w:val="20"/>
          <w:szCs w:val="24"/>
          <w:lang w:eastAsia="es-ES"/>
        </w:rPr>
      </w:pPr>
    </w:p>
    <w:p w14:paraId="68E23FAD" w14:textId="517A2AFC" w:rsidR="003E7C97" w:rsidRDefault="003E7C97" w:rsidP="003E7C97">
      <w:pPr>
        <w:spacing w:after="0"/>
        <w:jc w:val="both"/>
        <w:rPr>
          <w:rFonts w:eastAsia="Times New Roman"/>
          <w:sz w:val="20"/>
          <w:szCs w:val="24"/>
          <w:lang w:eastAsia="es-ES"/>
        </w:rPr>
      </w:pPr>
      <w:r w:rsidRPr="006C6C73">
        <w:rPr>
          <w:bCs/>
          <w:sz w:val="20"/>
          <w:szCs w:val="20"/>
        </w:rPr>
        <w:t xml:space="preserve">La siguiente información contable y financiera sobre </w:t>
      </w:r>
      <w:r w:rsidR="00425929">
        <w:rPr>
          <w:bCs/>
          <w:sz w:val="20"/>
          <w:szCs w:val="20"/>
        </w:rPr>
        <w:t>el emisor</w:t>
      </w:r>
      <w:r w:rsidRPr="006C6C73">
        <w:rPr>
          <w:bCs/>
          <w:sz w:val="20"/>
          <w:szCs w:val="20"/>
        </w:rPr>
        <w:t xml:space="preserve"> surge de </w:t>
      </w:r>
      <w:r w:rsidRPr="001C2C31">
        <w:rPr>
          <w:rFonts w:eastAsia="Times New Roman"/>
          <w:sz w:val="20"/>
          <w:szCs w:val="24"/>
          <w:lang w:eastAsia="es-ES"/>
        </w:rPr>
        <w:t xml:space="preserve">Los estados contables consolidados por el período de </w:t>
      </w:r>
      <w:r w:rsidR="00D53660">
        <w:rPr>
          <w:rFonts w:eastAsia="Times New Roman"/>
          <w:sz w:val="20"/>
          <w:szCs w:val="24"/>
          <w:lang w:eastAsia="es-ES"/>
        </w:rPr>
        <w:t>nueve</w:t>
      </w:r>
      <w:r w:rsidR="00D53660" w:rsidRPr="001C2C31">
        <w:rPr>
          <w:rFonts w:eastAsia="Times New Roman"/>
          <w:sz w:val="20"/>
          <w:szCs w:val="24"/>
          <w:lang w:eastAsia="es-ES"/>
        </w:rPr>
        <w:t xml:space="preserve"> </w:t>
      </w:r>
      <w:r w:rsidRPr="001C2C31">
        <w:rPr>
          <w:rFonts w:eastAsia="Times New Roman"/>
          <w:sz w:val="20"/>
          <w:szCs w:val="24"/>
          <w:lang w:eastAsia="es-ES"/>
        </w:rPr>
        <w:t xml:space="preserve">meses finalizado el 30 de </w:t>
      </w:r>
      <w:r w:rsidR="00D53660">
        <w:rPr>
          <w:rFonts w:eastAsia="Times New Roman"/>
          <w:sz w:val="20"/>
          <w:szCs w:val="24"/>
          <w:lang w:eastAsia="es-ES"/>
        </w:rPr>
        <w:t>septiembre</w:t>
      </w:r>
      <w:r w:rsidR="00D53660" w:rsidRPr="001C2C31">
        <w:rPr>
          <w:rFonts w:eastAsia="Times New Roman"/>
          <w:sz w:val="20"/>
          <w:szCs w:val="24"/>
          <w:lang w:eastAsia="es-ES"/>
        </w:rPr>
        <w:t xml:space="preserve"> </w:t>
      </w:r>
      <w:r w:rsidRPr="001C2C31">
        <w:rPr>
          <w:rFonts w:eastAsia="Times New Roman"/>
          <w:sz w:val="20"/>
          <w:szCs w:val="24"/>
          <w:lang w:eastAsia="es-ES"/>
        </w:rPr>
        <w:t>de 201</w:t>
      </w:r>
      <w:r>
        <w:rPr>
          <w:rFonts w:eastAsia="Times New Roman"/>
          <w:sz w:val="20"/>
          <w:szCs w:val="24"/>
          <w:lang w:eastAsia="es-ES"/>
        </w:rPr>
        <w:t>9</w:t>
      </w:r>
      <w:r w:rsidRPr="001C2C31">
        <w:rPr>
          <w:rFonts w:eastAsia="Times New Roman"/>
          <w:sz w:val="20"/>
          <w:szCs w:val="24"/>
          <w:lang w:eastAsia="es-ES"/>
        </w:rPr>
        <w:t xml:space="preserve">, </w:t>
      </w:r>
      <w:r>
        <w:rPr>
          <w:rFonts w:eastAsia="Times New Roman"/>
          <w:sz w:val="20"/>
          <w:szCs w:val="24"/>
          <w:lang w:eastAsia="es-ES"/>
        </w:rPr>
        <w:t>se encuentra presentada</w:t>
      </w:r>
      <w:r w:rsidRPr="001C2C31">
        <w:rPr>
          <w:rFonts w:eastAsia="Times New Roman"/>
          <w:sz w:val="20"/>
          <w:szCs w:val="24"/>
          <w:lang w:eastAsia="es-ES"/>
        </w:rPr>
        <w:t xml:space="preserve"> en forma comparativa</w:t>
      </w:r>
      <w:r>
        <w:rPr>
          <w:rFonts w:eastAsia="Times New Roman"/>
          <w:sz w:val="20"/>
          <w:szCs w:val="24"/>
          <w:lang w:eastAsia="es-ES"/>
        </w:rPr>
        <w:t xml:space="preserve"> y</w:t>
      </w:r>
      <w:r w:rsidRPr="001C2C31">
        <w:rPr>
          <w:rFonts w:eastAsia="Times New Roman"/>
          <w:sz w:val="20"/>
          <w:szCs w:val="20"/>
          <w:lang w:eastAsia="es-ES"/>
        </w:rPr>
        <w:t xml:space="preserve"> a disposición del público inversor en la Página Web de la CNV</w:t>
      </w:r>
      <w:r>
        <w:rPr>
          <w:rFonts w:eastAsia="Times New Roman"/>
          <w:sz w:val="20"/>
          <w:szCs w:val="20"/>
          <w:lang w:eastAsia="es-ES"/>
        </w:rPr>
        <w:t xml:space="preserve"> bajo </w:t>
      </w:r>
      <w:r w:rsidRPr="00D90C2A">
        <w:rPr>
          <w:rFonts w:eastAsia="Times New Roman"/>
          <w:sz w:val="20"/>
          <w:szCs w:val="24"/>
          <w:lang w:eastAsia="es-ES"/>
        </w:rPr>
        <w:t xml:space="preserve">el ID- </w:t>
      </w:r>
      <w:r w:rsidR="00851E18" w:rsidRPr="00D72C32">
        <w:rPr>
          <w:rFonts w:eastAsia="Times New Roman"/>
          <w:sz w:val="20"/>
          <w:szCs w:val="24"/>
          <w:lang w:eastAsia="es-ES"/>
        </w:rPr>
        <w:t>2545594</w:t>
      </w:r>
      <w:r w:rsidRPr="00D90C2A">
        <w:rPr>
          <w:rFonts w:eastAsia="Times New Roman"/>
          <w:sz w:val="20"/>
          <w:szCs w:val="24"/>
          <w:lang w:eastAsia="es-ES"/>
        </w:rPr>
        <w:t>, que</w:t>
      </w:r>
      <w:r>
        <w:rPr>
          <w:rFonts w:eastAsia="Times New Roman"/>
          <w:sz w:val="20"/>
          <w:szCs w:val="20"/>
          <w:lang w:eastAsia="es-ES"/>
        </w:rPr>
        <w:t xml:space="preserve"> se incorpora</w:t>
      </w:r>
      <w:r w:rsidRPr="001C2C31">
        <w:rPr>
          <w:rFonts w:eastAsia="Times New Roman"/>
          <w:sz w:val="20"/>
          <w:szCs w:val="20"/>
          <w:lang w:eastAsia="es-ES"/>
        </w:rPr>
        <w:t xml:space="preserve"> al presente por referencia.</w:t>
      </w:r>
    </w:p>
    <w:p w14:paraId="4AB1C9E8" w14:textId="77777777" w:rsidR="00230365" w:rsidRDefault="00230365" w:rsidP="00916F81">
      <w:pPr>
        <w:keepNext/>
        <w:spacing w:after="0"/>
        <w:jc w:val="both"/>
        <w:rPr>
          <w:rFonts w:eastAsia="Times New Roman"/>
          <w:sz w:val="20"/>
          <w:szCs w:val="20"/>
          <w:lang w:eastAsia="es-ES"/>
        </w:rPr>
      </w:pPr>
    </w:p>
    <w:p w14:paraId="219B9F00" w14:textId="77777777" w:rsidR="00230365" w:rsidRPr="00524EDD" w:rsidRDefault="00230365" w:rsidP="00230365">
      <w:pPr>
        <w:spacing w:after="0"/>
        <w:jc w:val="both"/>
        <w:rPr>
          <w:rFonts w:eastAsia="Times New Roman"/>
          <w:b/>
          <w:sz w:val="20"/>
          <w:szCs w:val="20"/>
          <w:u w:val="single"/>
          <w:lang w:eastAsia="es-ES"/>
        </w:rPr>
      </w:pPr>
      <w:r w:rsidRPr="00524EDD">
        <w:rPr>
          <w:rFonts w:eastAsia="Times New Roman"/>
          <w:b/>
          <w:sz w:val="20"/>
          <w:szCs w:val="20"/>
          <w:u w:val="single"/>
          <w:lang w:eastAsia="es-ES"/>
        </w:rPr>
        <w:t>Estados Financieros</w:t>
      </w:r>
    </w:p>
    <w:p w14:paraId="6A2F950B" w14:textId="77777777" w:rsidR="00230365" w:rsidRDefault="00230365" w:rsidP="00230365">
      <w:pPr>
        <w:spacing w:after="0"/>
        <w:jc w:val="both"/>
        <w:rPr>
          <w:rFonts w:eastAsia="Times New Roman"/>
          <w:sz w:val="20"/>
          <w:szCs w:val="20"/>
          <w:lang w:eastAsia="es-ES"/>
        </w:rPr>
      </w:pPr>
    </w:p>
    <w:p w14:paraId="3E75C33A" w14:textId="77777777" w:rsidR="00230365" w:rsidRPr="00524EDD" w:rsidRDefault="00230365" w:rsidP="00230365">
      <w:pPr>
        <w:spacing w:after="0"/>
        <w:jc w:val="both"/>
        <w:rPr>
          <w:rFonts w:eastAsia="Times New Roman"/>
          <w:i/>
          <w:sz w:val="20"/>
          <w:szCs w:val="24"/>
          <w:lang w:eastAsia="es-ES"/>
        </w:rPr>
      </w:pPr>
      <w:r w:rsidRPr="00524EDD">
        <w:rPr>
          <w:rFonts w:eastAsia="Times New Roman"/>
          <w:i/>
          <w:sz w:val="20"/>
          <w:szCs w:val="24"/>
          <w:lang w:eastAsia="es-ES"/>
        </w:rPr>
        <w:t>Estado de Resultados y Otros Resultados Integrales</w:t>
      </w:r>
    </w:p>
    <w:p w14:paraId="46CF680E" w14:textId="77777777" w:rsidR="00230365" w:rsidRDefault="00230365" w:rsidP="00230365">
      <w:pPr>
        <w:spacing w:after="0"/>
        <w:jc w:val="both"/>
        <w:rPr>
          <w:rFonts w:eastAsia="Times New Roman"/>
          <w:sz w:val="20"/>
          <w:szCs w:val="24"/>
          <w:lang w:eastAsia="es-ES"/>
        </w:rPr>
      </w:pPr>
    </w:p>
    <w:p w14:paraId="1DD7AEB7" w14:textId="77777777" w:rsidR="00230365" w:rsidRPr="00524EDD" w:rsidRDefault="00230365" w:rsidP="00230365">
      <w:pPr>
        <w:spacing w:after="0"/>
        <w:jc w:val="center"/>
        <w:rPr>
          <w:rFonts w:eastAsia="Times New Roman"/>
          <w:b/>
          <w:sz w:val="20"/>
          <w:szCs w:val="24"/>
          <w:lang w:eastAsia="es-ES"/>
        </w:rPr>
      </w:pPr>
      <w:r w:rsidRPr="00524EDD">
        <w:rPr>
          <w:rFonts w:eastAsia="Times New Roman"/>
          <w:b/>
          <w:sz w:val="20"/>
          <w:szCs w:val="24"/>
          <w:lang w:eastAsia="es-ES"/>
        </w:rPr>
        <w:t>ESTADO DE RESULTADOS CONDENSADOS CONSOLIDADOS INTERMEDIOS</w:t>
      </w:r>
    </w:p>
    <w:p w14:paraId="76565CD9" w14:textId="71BF1C80" w:rsidR="00230365" w:rsidRPr="00524EDD" w:rsidRDefault="00230365" w:rsidP="00230365">
      <w:pPr>
        <w:spacing w:after="0"/>
        <w:jc w:val="center"/>
        <w:rPr>
          <w:rFonts w:eastAsia="Times New Roman"/>
          <w:b/>
          <w:sz w:val="20"/>
          <w:szCs w:val="24"/>
          <w:lang w:eastAsia="es-ES"/>
        </w:rPr>
      </w:pPr>
      <w:r w:rsidRPr="00524EDD">
        <w:rPr>
          <w:rFonts w:eastAsia="Times New Roman"/>
          <w:b/>
          <w:sz w:val="20"/>
          <w:szCs w:val="24"/>
          <w:lang w:eastAsia="es-ES"/>
        </w:rPr>
        <w:t xml:space="preserve">correspondiente al período de </w:t>
      </w:r>
      <w:r w:rsidR="00DA6560">
        <w:rPr>
          <w:rFonts w:eastAsia="Times New Roman"/>
          <w:b/>
          <w:sz w:val="20"/>
          <w:szCs w:val="24"/>
          <w:lang w:eastAsia="es-ES"/>
        </w:rPr>
        <w:t>nueve</w:t>
      </w:r>
      <w:r w:rsidR="00DA6560" w:rsidRPr="00524EDD">
        <w:rPr>
          <w:rFonts w:eastAsia="Times New Roman"/>
          <w:b/>
          <w:sz w:val="20"/>
          <w:szCs w:val="24"/>
          <w:lang w:eastAsia="es-ES"/>
        </w:rPr>
        <w:t xml:space="preserve"> </w:t>
      </w:r>
      <w:r w:rsidRPr="00524EDD">
        <w:rPr>
          <w:rFonts w:eastAsia="Times New Roman"/>
          <w:b/>
          <w:sz w:val="20"/>
          <w:szCs w:val="24"/>
          <w:lang w:eastAsia="es-ES"/>
        </w:rPr>
        <w:t xml:space="preserve">meses finalizado el 30 de </w:t>
      </w:r>
      <w:r w:rsidR="00E7386A">
        <w:rPr>
          <w:rFonts w:eastAsia="Times New Roman"/>
          <w:b/>
          <w:sz w:val="20"/>
          <w:szCs w:val="24"/>
          <w:lang w:eastAsia="es-ES"/>
        </w:rPr>
        <w:t>septiembre</w:t>
      </w:r>
      <w:r w:rsidR="00E7386A" w:rsidRPr="00524EDD">
        <w:rPr>
          <w:rFonts w:eastAsia="Times New Roman"/>
          <w:b/>
          <w:sz w:val="20"/>
          <w:szCs w:val="24"/>
          <w:lang w:eastAsia="es-ES"/>
        </w:rPr>
        <w:t xml:space="preserve"> </w:t>
      </w:r>
      <w:r w:rsidRPr="00524EDD">
        <w:rPr>
          <w:rFonts w:eastAsia="Times New Roman"/>
          <w:b/>
          <w:sz w:val="20"/>
          <w:szCs w:val="24"/>
          <w:lang w:eastAsia="es-ES"/>
        </w:rPr>
        <w:t>de 2019</w:t>
      </w:r>
    </w:p>
    <w:p w14:paraId="6A34DDC7" w14:textId="77777777" w:rsidR="00230365" w:rsidRPr="00524EDD" w:rsidRDefault="00230365" w:rsidP="00230365">
      <w:pPr>
        <w:spacing w:after="0"/>
        <w:jc w:val="center"/>
        <w:rPr>
          <w:rFonts w:eastAsia="Times New Roman"/>
          <w:b/>
          <w:sz w:val="20"/>
          <w:szCs w:val="24"/>
          <w:lang w:eastAsia="es-ES"/>
        </w:rPr>
      </w:pPr>
      <w:r w:rsidRPr="00524EDD">
        <w:rPr>
          <w:rFonts w:eastAsia="Times New Roman"/>
          <w:b/>
          <w:sz w:val="20"/>
          <w:szCs w:val="24"/>
          <w:lang w:eastAsia="es-ES"/>
        </w:rPr>
        <w:t>comparativo con igual período del ejercicio anterior (cifras expresadas en miles de pesos)</w:t>
      </w:r>
    </w:p>
    <w:p w14:paraId="092CF955" w14:textId="304744B5" w:rsidR="00230365" w:rsidRDefault="00230365" w:rsidP="00230365">
      <w:pPr>
        <w:spacing w:after="0"/>
        <w:jc w:val="both"/>
        <w:rPr>
          <w:rFonts w:eastAsia="Times New Roman"/>
          <w:sz w:val="20"/>
          <w:szCs w:val="24"/>
          <w:lang w:eastAsia="es-ES"/>
        </w:rPr>
      </w:pPr>
    </w:p>
    <w:p w14:paraId="39239637" w14:textId="2A2A99E1" w:rsidR="00E7386A" w:rsidRDefault="00E7386A" w:rsidP="00230365">
      <w:pPr>
        <w:spacing w:after="0"/>
        <w:jc w:val="both"/>
        <w:rPr>
          <w:rFonts w:eastAsia="Times New Roman"/>
          <w:sz w:val="20"/>
          <w:szCs w:val="24"/>
          <w:lang w:eastAsia="es-ES"/>
        </w:rPr>
      </w:pPr>
      <w:r w:rsidRPr="00E7386A">
        <w:rPr>
          <w:rFonts w:eastAsia="Times New Roman"/>
          <w:noProof/>
          <w:sz w:val="20"/>
          <w:szCs w:val="24"/>
          <w:lang w:val="es-US" w:eastAsia="es-US"/>
        </w:rPr>
        <w:drawing>
          <wp:inline distT="0" distB="0" distL="0" distR="0" wp14:anchorId="2364B60D" wp14:editId="0B04E6C6">
            <wp:extent cx="5760085" cy="4051300"/>
            <wp:effectExtent l="0" t="0" r="0" b="63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4051300"/>
                    </a:xfrm>
                    <a:prstGeom prst="rect">
                      <a:avLst/>
                    </a:prstGeom>
                    <a:noFill/>
                    <a:ln>
                      <a:noFill/>
                    </a:ln>
                  </pic:spPr>
                </pic:pic>
              </a:graphicData>
            </a:graphic>
          </wp:inline>
        </w:drawing>
      </w:r>
    </w:p>
    <w:p w14:paraId="422FB678" w14:textId="361B9968" w:rsidR="00E7386A" w:rsidRDefault="00E7386A" w:rsidP="00230365">
      <w:pPr>
        <w:spacing w:after="0"/>
        <w:jc w:val="both"/>
        <w:rPr>
          <w:rFonts w:eastAsia="Times New Roman"/>
          <w:sz w:val="20"/>
          <w:szCs w:val="24"/>
          <w:lang w:eastAsia="es-ES"/>
        </w:rPr>
      </w:pPr>
    </w:p>
    <w:p w14:paraId="1D65E3C9" w14:textId="19E5D848" w:rsidR="00230365" w:rsidRDefault="00230365" w:rsidP="00230365">
      <w:pPr>
        <w:spacing w:after="0"/>
        <w:jc w:val="both"/>
        <w:rPr>
          <w:rFonts w:eastAsia="Times New Roman"/>
          <w:sz w:val="20"/>
          <w:szCs w:val="24"/>
          <w:lang w:eastAsia="es-ES"/>
        </w:rPr>
      </w:pPr>
    </w:p>
    <w:p w14:paraId="7F48209E" w14:textId="77777777" w:rsidR="00230365" w:rsidRPr="00524EDD" w:rsidRDefault="00230365" w:rsidP="00230365">
      <w:pPr>
        <w:keepNext/>
        <w:spacing w:after="0"/>
        <w:jc w:val="center"/>
        <w:rPr>
          <w:rFonts w:eastAsia="Times New Roman"/>
          <w:b/>
          <w:sz w:val="20"/>
          <w:szCs w:val="24"/>
          <w:lang w:eastAsia="es-ES"/>
        </w:rPr>
      </w:pPr>
      <w:r w:rsidRPr="00524EDD">
        <w:rPr>
          <w:rFonts w:eastAsia="Times New Roman"/>
          <w:b/>
          <w:sz w:val="20"/>
          <w:szCs w:val="24"/>
          <w:lang w:eastAsia="es-ES"/>
        </w:rPr>
        <w:lastRenderedPageBreak/>
        <w:t>ESTADO DE OTROS RESULTADOS INTEGRALES CONDENSADOS CONSOLIDADOS INTERMEDIOS</w:t>
      </w:r>
    </w:p>
    <w:p w14:paraId="0D183A1F" w14:textId="4BB56052" w:rsidR="00230365" w:rsidRPr="00524EDD" w:rsidRDefault="00230365" w:rsidP="00230365">
      <w:pPr>
        <w:keepNext/>
        <w:spacing w:after="0"/>
        <w:jc w:val="center"/>
        <w:rPr>
          <w:rFonts w:eastAsia="Times New Roman"/>
          <w:b/>
          <w:sz w:val="20"/>
          <w:szCs w:val="24"/>
          <w:lang w:eastAsia="es-ES"/>
        </w:rPr>
      </w:pPr>
      <w:r w:rsidRPr="00524EDD">
        <w:rPr>
          <w:rFonts w:eastAsia="Times New Roman"/>
          <w:b/>
          <w:sz w:val="20"/>
          <w:szCs w:val="24"/>
          <w:lang w:eastAsia="es-ES"/>
        </w:rPr>
        <w:t xml:space="preserve">correspondiente al período de </w:t>
      </w:r>
      <w:r w:rsidR="00DA6560">
        <w:rPr>
          <w:rFonts w:eastAsia="Times New Roman"/>
          <w:b/>
          <w:sz w:val="20"/>
          <w:szCs w:val="24"/>
          <w:lang w:eastAsia="es-ES"/>
        </w:rPr>
        <w:t>nueve</w:t>
      </w:r>
      <w:r w:rsidR="00DA6560" w:rsidRPr="00524EDD">
        <w:rPr>
          <w:rFonts w:eastAsia="Times New Roman"/>
          <w:b/>
          <w:sz w:val="20"/>
          <w:szCs w:val="24"/>
          <w:lang w:eastAsia="es-ES"/>
        </w:rPr>
        <w:t xml:space="preserve"> </w:t>
      </w:r>
      <w:r w:rsidRPr="00524EDD">
        <w:rPr>
          <w:rFonts w:eastAsia="Times New Roman"/>
          <w:b/>
          <w:sz w:val="20"/>
          <w:szCs w:val="24"/>
          <w:lang w:eastAsia="es-ES"/>
        </w:rPr>
        <w:t xml:space="preserve">meses finalizado el 30 de </w:t>
      </w:r>
      <w:r w:rsidR="00E7386A">
        <w:rPr>
          <w:rFonts w:eastAsia="Times New Roman"/>
          <w:b/>
          <w:sz w:val="20"/>
          <w:szCs w:val="24"/>
          <w:lang w:eastAsia="es-ES"/>
        </w:rPr>
        <w:t>septiembre</w:t>
      </w:r>
      <w:r w:rsidR="00E7386A" w:rsidRPr="00524EDD">
        <w:rPr>
          <w:rFonts w:eastAsia="Times New Roman"/>
          <w:b/>
          <w:sz w:val="20"/>
          <w:szCs w:val="24"/>
          <w:lang w:eastAsia="es-ES"/>
        </w:rPr>
        <w:t xml:space="preserve"> </w:t>
      </w:r>
      <w:r w:rsidRPr="00524EDD">
        <w:rPr>
          <w:rFonts w:eastAsia="Times New Roman"/>
          <w:b/>
          <w:sz w:val="20"/>
          <w:szCs w:val="24"/>
          <w:lang w:eastAsia="es-ES"/>
        </w:rPr>
        <w:t>de 2019</w:t>
      </w:r>
    </w:p>
    <w:p w14:paraId="757A8050" w14:textId="77777777" w:rsidR="00230365" w:rsidRPr="00524EDD" w:rsidRDefault="00230365" w:rsidP="00230365">
      <w:pPr>
        <w:keepNext/>
        <w:spacing w:after="0"/>
        <w:jc w:val="center"/>
        <w:rPr>
          <w:rFonts w:eastAsia="Times New Roman"/>
          <w:b/>
          <w:sz w:val="20"/>
          <w:szCs w:val="24"/>
          <w:lang w:eastAsia="es-ES"/>
        </w:rPr>
      </w:pPr>
      <w:r w:rsidRPr="00524EDD">
        <w:rPr>
          <w:rFonts w:eastAsia="Times New Roman"/>
          <w:b/>
          <w:sz w:val="20"/>
          <w:szCs w:val="24"/>
          <w:lang w:eastAsia="es-ES"/>
        </w:rPr>
        <w:t>comparativo con igual período del ejercicio anterior (cifras expresadas en miles de pesos)</w:t>
      </w:r>
    </w:p>
    <w:p w14:paraId="77998115" w14:textId="5BD8F496" w:rsidR="00230365" w:rsidRDefault="00230365" w:rsidP="00230365">
      <w:pPr>
        <w:keepNext/>
        <w:spacing w:after="0"/>
        <w:jc w:val="both"/>
        <w:rPr>
          <w:rFonts w:eastAsia="Times New Roman"/>
          <w:sz w:val="20"/>
          <w:szCs w:val="24"/>
          <w:lang w:eastAsia="es-ES"/>
        </w:rPr>
      </w:pPr>
    </w:p>
    <w:p w14:paraId="2D2BF51C" w14:textId="423EBC64" w:rsidR="00E7386A" w:rsidRDefault="00E7386A" w:rsidP="00230365">
      <w:pPr>
        <w:keepNext/>
        <w:spacing w:after="0"/>
        <w:jc w:val="both"/>
        <w:rPr>
          <w:rFonts w:eastAsia="Times New Roman"/>
          <w:sz w:val="20"/>
          <w:szCs w:val="24"/>
          <w:lang w:eastAsia="es-ES"/>
        </w:rPr>
      </w:pPr>
      <w:r w:rsidRPr="00E7386A">
        <w:rPr>
          <w:rFonts w:eastAsia="Times New Roman"/>
          <w:noProof/>
          <w:sz w:val="20"/>
          <w:szCs w:val="24"/>
          <w:lang w:val="es-US" w:eastAsia="es-US"/>
        </w:rPr>
        <w:drawing>
          <wp:inline distT="0" distB="0" distL="0" distR="0" wp14:anchorId="4291EB6F" wp14:editId="3E16DE9A">
            <wp:extent cx="5760085" cy="2832100"/>
            <wp:effectExtent l="0" t="0" r="0" b="635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2832100"/>
                    </a:xfrm>
                    <a:prstGeom prst="rect">
                      <a:avLst/>
                    </a:prstGeom>
                    <a:noFill/>
                    <a:ln>
                      <a:noFill/>
                    </a:ln>
                  </pic:spPr>
                </pic:pic>
              </a:graphicData>
            </a:graphic>
          </wp:inline>
        </w:drawing>
      </w:r>
    </w:p>
    <w:p w14:paraId="4240123A" w14:textId="77777777" w:rsidR="00E7386A" w:rsidRDefault="00E7386A" w:rsidP="00230365">
      <w:pPr>
        <w:keepNext/>
        <w:spacing w:after="0"/>
        <w:jc w:val="both"/>
        <w:rPr>
          <w:rFonts w:eastAsia="Times New Roman"/>
          <w:sz w:val="20"/>
          <w:szCs w:val="24"/>
          <w:lang w:eastAsia="es-ES"/>
        </w:rPr>
      </w:pPr>
    </w:p>
    <w:p w14:paraId="56FA04EE" w14:textId="650BB03C" w:rsidR="00230365" w:rsidRDefault="00230365" w:rsidP="00230365">
      <w:pPr>
        <w:keepNext/>
        <w:spacing w:after="0"/>
        <w:jc w:val="both"/>
        <w:rPr>
          <w:rFonts w:eastAsia="Times New Roman"/>
          <w:sz w:val="20"/>
          <w:szCs w:val="24"/>
          <w:lang w:eastAsia="es-ES"/>
        </w:rPr>
      </w:pPr>
    </w:p>
    <w:p w14:paraId="09D97BED" w14:textId="77777777" w:rsidR="00230365" w:rsidRDefault="00230365" w:rsidP="00916F81">
      <w:pPr>
        <w:keepNext/>
        <w:spacing w:after="0"/>
        <w:jc w:val="both"/>
        <w:rPr>
          <w:rFonts w:eastAsia="Times New Roman"/>
          <w:i/>
          <w:sz w:val="20"/>
          <w:szCs w:val="24"/>
          <w:lang w:eastAsia="es-ES"/>
        </w:rPr>
      </w:pPr>
      <w:r w:rsidRPr="00524EDD">
        <w:rPr>
          <w:rFonts w:eastAsia="Times New Roman"/>
          <w:i/>
          <w:sz w:val="20"/>
          <w:szCs w:val="24"/>
          <w:lang w:eastAsia="es-ES"/>
        </w:rPr>
        <w:t>Estado de Situación Financiera</w:t>
      </w:r>
    </w:p>
    <w:p w14:paraId="7773E153" w14:textId="77777777" w:rsidR="00230365" w:rsidRDefault="00230365" w:rsidP="00916F81">
      <w:pPr>
        <w:keepNext/>
        <w:spacing w:after="0"/>
        <w:jc w:val="both"/>
        <w:rPr>
          <w:rFonts w:eastAsia="Times New Roman"/>
          <w:i/>
          <w:sz w:val="20"/>
          <w:szCs w:val="24"/>
          <w:lang w:eastAsia="es-ES"/>
        </w:rPr>
      </w:pPr>
    </w:p>
    <w:p w14:paraId="33983021" w14:textId="77777777" w:rsidR="00230365" w:rsidRPr="00524EDD" w:rsidRDefault="00230365" w:rsidP="00916F81">
      <w:pPr>
        <w:keepNext/>
        <w:spacing w:after="0"/>
        <w:jc w:val="center"/>
        <w:rPr>
          <w:rFonts w:eastAsia="Times New Roman"/>
          <w:b/>
          <w:sz w:val="20"/>
          <w:szCs w:val="24"/>
          <w:lang w:eastAsia="es-ES"/>
        </w:rPr>
      </w:pPr>
      <w:r w:rsidRPr="00524EDD">
        <w:rPr>
          <w:rFonts w:eastAsia="Times New Roman"/>
          <w:b/>
          <w:sz w:val="20"/>
          <w:szCs w:val="24"/>
          <w:lang w:eastAsia="es-ES"/>
        </w:rPr>
        <w:t>ESTADO DE SITUACIÓN FINANCIERA CONSOLIDADO INTERMEDIOS</w:t>
      </w:r>
    </w:p>
    <w:p w14:paraId="707B28F1" w14:textId="009486C8" w:rsidR="00230365" w:rsidRPr="00524EDD" w:rsidRDefault="00230365" w:rsidP="00916F81">
      <w:pPr>
        <w:keepNext/>
        <w:spacing w:after="0"/>
        <w:jc w:val="center"/>
        <w:rPr>
          <w:rFonts w:eastAsia="Times New Roman"/>
          <w:b/>
          <w:sz w:val="20"/>
          <w:szCs w:val="24"/>
          <w:lang w:eastAsia="es-ES"/>
        </w:rPr>
      </w:pPr>
      <w:r w:rsidRPr="00524EDD">
        <w:rPr>
          <w:rFonts w:eastAsia="Times New Roman"/>
          <w:b/>
          <w:sz w:val="20"/>
          <w:szCs w:val="24"/>
          <w:lang w:eastAsia="es-ES"/>
        </w:rPr>
        <w:t xml:space="preserve">Al 30 de </w:t>
      </w:r>
      <w:r w:rsidR="00E7386A">
        <w:rPr>
          <w:rFonts w:eastAsia="Times New Roman"/>
          <w:b/>
          <w:sz w:val="20"/>
          <w:szCs w:val="24"/>
          <w:lang w:eastAsia="es-ES"/>
        </w:rPr>
        <w:t>septiembre</w:t>
      </w:r>
      <w:r w:rsidR="00E7386A" w:rsidRPr="00524EDD">
        <w:rPr>
          <w:rFonts w:eastAsia="Times New Roman"/>
          <w:b/>
          <w:sz w:val="20"/>
          <w:szCs w:val="24"/>
          <w:lang w:eastAsia="es-ES"/>
        </w:rPr>
        <w:t xml:space="preserve"> </w:t>
      </w:r>
      <w:r w:rsidRPr="00524EDD">
        <w:rPr>
          <w:rFonts w:eastAsia="Times New Roman"/>
          <w:b/>
          <w:sz w:val="20"/>
          <w:szCs w:val="24"/>
          <w:lang w:eastAsia="es-ES"/>
        </w:rPr>
        <w:t>de 2019 comparativo con el 31 de diciembre de 2018</w:t>
      </w:r>
    </w:p>
    <w:p w14:paraId="3FDEA647" w14:textId="65AB65B4" w:rsidR="00230365" w:rsidRDefault="00230365" w:rsidP="00916F81">
      <w:pPr>
        <w:keepNext/>
        <w:spacing w:after="0"/>
        <w:jc w:val="center"/>
        <w:rPr>
          <w:rFonts w:eastAsia="Times New Roman"/>
          <w:b/>
          <w:sz w:val="20"/>
          <w:szCs w:val="24"/>
          <w:lang w:eastAsia="es-ES"/>
        </w:rPr>
      </w:pPr>
      <w:r w:rsidRPr="00524EDD">
        <w:rPr>
          <w:rFonts w:eastAsia="Times New Roman"/>
          <w:b/>
          <w:sz w:val="20"/>
          <w:szCs w:val="24"/>
          <w:lang w:eastAsia="es-ES"/>
        </w:rPr>
        <w:t>(cifras expresadas en miles de pesos)</w:t>
      </w:r>
    </w:p>
    <w:p w14:paraId="7B699E9A" w14:textId="781FEFDD" w:rsidR="00E7386A" w:rsidRDefault="00E7386A" w:rsidP="00916F81">
      <w:pPr>
        <w:keepNext/>
        <w:spacing w:after="0"/>
        <w:jc w:val="center"/>
        <w:rPr>
          <w:rFonts w:eastAsia="Times New Roman"/>
          <w:b/>
          <w:sz w:val="20"/>
          <w:szCs w:val="24"/>
          <w:lang w:eastAsia="es-ES"/>
        </w:rPr>
      </w:pPr>
    </w:p>
    <w:p w14:paraId="7C41F588" w14:textId="08735903" w:rsidR="00E7386A" w:rsidRDefault="00E7386A" w:rsidP="00916F81">
      <w:pPr>
        <w:keepNext/>
        <w:spacing w:after="0"/>
        <w:jc w:val="center"/>
        <w:rPr>
          <w:rFonts w:eastAsia="Times New Roman"/>
          <w:b/>
          <w:sz w:val="20"/>
          <w:szCs w:val="24"/>
          <w:lang w:eastAsia="es-ES"/>
        </w:rPr>
      </w:pPr>
      <w:r w:rsidRPr="00E7386A">
        <w:rPr>
          <w:rFonts w:eastAsia="Times New Roman"/>
          <w:b/>
          <w:noProof/>
          <w:sz w:val="20"/>
          <w:szCs w:val="24"/>
          <w:lang w:val="es-US" w:eastAsia="es-US"/>
        </w:rPr>
        <w:lastRenderedPageBreak/>
        <w:drawing>
          <wp:inline distT="0" distB="0" distL="0" distR="0" wp14:anchorId="17F3E8C5" wp14:editId="0AB97969">
            <wp:extent cx="5760085" cy="4547870"/>
            <wp:effectExtent l="0" t="0" r="0" b="508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4547870"/>
                    </a:xfrm>
                    <a:prstGeom prst="rect">
                      <a:avLst/>
                    </a:prstGeom>
                    <a:noFill/>
                    <a:ln>
                      <a:noFill/>
                    </a:ln>
                  </pic:spPr>
                </pic:pic>
              </a:graphicData>
            </a:graphic>
          </wp:inline>
        </w:drawing>
      </w:r>
    </w:p>
    <w:p w14:paraId="4C2A6D7B" w14:textId="4DD38FEC" w:rsidR="00E7386A" w:rsidRPr="00524EDD" w:rsidRDefault="00E7386A" w:rsidP="00916F81">
      <w:pPr>
        <w:keepNext/>
        <w:spacing w:after="0"/>
        <w:jc w:val="center"/>
        <w:rPr>
          <w:rFonts w:eastAsia="Times New Roman"/>
          <w:b/>
          <w:sz w:val="20"/>
          <w:szCs w:val="24"/>
          <w:lang w:eastAsia="es-ES"/>
        </w:rPr>
      </w:pPr>
      <w:r w:rsidRPr="00E7386A">
        <w:rPr>
          <w:rFonts w:eastAsia="Times New Roman"/>
          <w:b/>
          <w:noProof/>
          <w:sz w:val="20"/>
          <w:szCs w:val="24"/>
          <w:lang w:val="es-US" w:eastAsia="es-US"/>
        </w:rPr>
        <w:drawing>
          <wp:inline distT="0" distB="0" distL="0" distR="0" wp14:anchorId="178B11C2" wp14:editId="4D6FA1E9">
            <wp:extent cx="5760085" cy="3194685"/>
            <wp:effectExtent l="0" t="0" r="0" b="571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3194685"/>
                    </a:xfrm>
                    <a:prstGeom prst="rect">
                      <a:avLst/>
                    </a:prstGeom>
                    <a:noFill/>
                    <a:ln>
                      <a:noFill/>
                    </a:ln>
                  </pic:spPr>
                </pic:pic>
              </a:graphicData>
            </a:graphic>
          </wp:inline>
        </w:drawing>
      </w:r>
    </w:p>
    <w:p w14:paraId="5B9DCE07" w14:textId="4EA349A6" w:rsidR="00230365" w:rsidRDefault="00230365" w:rsidP="00916F81">
      <w:pPr>
        <w:keepNext/>
        <w:spacing w:after="0"/>
        <w:jc w:val="both"/>
        <w:rPr>
          <w:rFonts w:eastAsia="Times New Roman"/>
          <w:sz w:val="20"/>
          <w:szCs w:val="24"/>
          <w:lang w:eastAsia="es-ES"/>
        </w:rPr>
      </w:pPr>
    </w:p>
    <w:p w14:paraId="694D559F" w14:textId="41669DDB" w:rsidR="00E7386A" w:rsidRDefault="00E7386A" w:rsidP="00916F81">
      <w:pPr>
        <w:keepNext/>
        <w:spacing w:after="0"/>
        <w:jc w:val="both"/>
        <w:rPr>
          <w:rFonts w:eastAsia="Times New Roman"/>
          <w:sz w:val="20"/>
          <w:szCs w:val="24"/>
          <w:lang w:eastAsia="es-ES"/>
        </w:rPr>
      </w:pPr>
      <w:r w:rsidRPr="00E7386A">
        <w:rPr>
          <w:rFonts w:eastAsia="Times New Roman"/>
          <w:noProof/>
          <w:sz w:val="20"/>
          <w:szCs w:val="24"/>
          <w:lang w:val="es-US" w:eastAsia="es-US"/>
        </w:rPr>
        <w:lastRenderedPageBreak/>
        <w:drawing>
          <wp:inline distT="0" distB="0" distL="0" distR="0" wp14:anchorId="6069219A" wp14:editId="220F8279">
            <wp:extent cx="5760085" cy="2184400"/>
            <wp:effectExtent l="0" t="0" r="0" b="635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2184400"/>
                    </a:xfrm>
                    <a:prstGeom prst="rect">
                      <a:avLst/>
                    </a:prstGeom>
                    <a:noFill/>
                    <a:ln>
                      <a:noFill/>
                    </a:ln>
                  </pic:spPr>
                </pic:pic>
              </a:graphicData>
            </a:graphic>
          </wp:inline>
        </w:drawing>
      </w:r>
    </w:p>
    <w:p w14:paraId="4FF5D362" w14:textId="3769360C" w:rsidR="00230365" w:rsidRDefault="00230365" w:rsidP="00916F81">
      <w:pPr>
        <w:keepNext/>
        <w:spacing w:after="0"/>
        <w:jc w:val="both"/>
        <w:rPr>
          <w:rFonts w:eastAsia="Times New Roman"/>
          <w:sz w:val="20"/>
          <w:szCs w:val="24"/>
          <w:lang w:eastAsia="es-ES"/>
        </w:rPr>
      </w:pPr>
    </w:p>
    <w:p w14:paraId="24BB4593" w14:textId="23588099" w:rsidR="00230365" w:rsidRDefault="00230365" w:rsidP="00916F81">
      <w:pPr>
        <w:keepNext/>
        <w:spacing w:after="0"/>
        <w:jc w:val="both"/>
        <w:rPr>
          <w:rFonts w:eastAsia="Times New Roman"/>
          <w:sz w:val="20"/>
          <w:szCs w:val="24"/>
          <w:lang w:eastAsia="es-ES"/>
        </w:rPr>
      </w:pPr>
    </w:p>
    <w:p w14:paraId="3F68CC41" w14:textId="6B87F3B9" w:rsidR="00230365" w:rsidRPr="00524EDD" w:rsidRDefault="00230365" w:rsidP="00230365">
      <w:pPr>
        <w:spacing w:after="0"/>
        <w:jc w:val="both"/>
        <w:rPr>
          <w:rFonts w:eastAsia="Times New Roman"/>
          <w:sz w:val="20"/>
          <w:szCs w:val="24"/>
          <w:lang w:eastAsia="es-ES"/>
        </w:rPr>
      </w:pPr>
    </w:p>
    <w:p w14:paraId="3270A7C4" w14:textId="77777777" w:rsidR="00230365" w:rsidRDefault="00230365" w:rsidP="00230365">
      <w:pPr>
        <w:keepNext/>
        <w:spacing w:after="0"/>
        <w:jc w:val="both"/>
        <w:rPr>
          <w:rFonts w:eastAsia="Times New Roman"/>
          <w:i/>
          <w:sz w:val="20"/>
          <w:szCs w:val="24"/>
          <w:lang w:eastAsia="es-ES"/>
        </w:rPr>
      </w:pPr>
      <w:r>
        <w:rPr>
          <w:rFonts w:eastAsia="Times New Roman"/>
          <w:i/>
          <w:sz w:val="20"/>
          <w:szCs w:val="24"/>
          <w:lang w:eastAsia="es-ES"/>
        </w:rPr>
        <w:t>Estado de Cambios en el Patrimonio</w:t>
      </w:r>
    </w:p>
    <w:p w14:paraId="26E0CEFD" w14:textId="77777777" w:rsidR="00230365" w:rsidRDefault="00230365" w:rsidP="00230365">
      <w:pPr>
        <w:keepNext/>
        <w:spacing w:after="0"/>
        <w:jc w:val="center"/>
        <w:rPr>
          <w:rFonts w:eastAsia="Times New Roman"/>
          <w:sz w:val="20"/>
          <w:szCs w:val="24"/>
          <w:lang w:eastAsia="es-ES"/>
        </w:rPr>
      </w:pPr>
    </w:p>
    <w:p w14:paraId="19719003" w14:textId="77777777" w:rsidR="00230365" w:rsidRPr="00524EDD" w:rsidRDefault="00230365" w:rsidP="00230365">
      <w:pPr>
        <w:keepNext/>
        <w:spacing w:after="0"/>
        <w:jc w:val="center"/>
        <w:rPr>
          <w:rFonts w:eastAsia="Times New Roman"/>
          <w:b/>
          <w:sz w:val="20"/>
          <w:szCs w:val="24"/>
          <w:lang w:eastAsia="es-ES"/>
        </w:rPr>
      </w:pPr>
      <w:r w:rsidRPr="00524EDD">
        <w:rPr>
          <w:rFonts w:eastAsia="Times New Roman"/>
          <w:b/>
          <w:sz w:val="20"/>
          <w:szCs w:val="24"/>
          <w:lang w:eastAsia="es-ES"/>
        </w:rPr>
        <w:t>ESTADO DE CAMBIOS EN EL PATRIMONIO CONDENSADO CONSOLIDADO INTERMEDIOS</w:t>
      </w:r>
    </w:p>
    <w:p w14:paraId="34AE7D3C" w14:textId="083D1384" w:rsidR="00230365" w:rsidRPr="00524EDD" w:rsidRDefault="00230365" w:rsidP="00230365">
      <w:pPr>
        <w:keepNext/>
        <w:spacing w:after="0"/>
        <w:jc w:val="center"/>
        <w:rPr>
          <w:rFonts w:eastAsia="Times New Roman"/>
          <w:b/>
          <w:sz w:val="20"/>
          <w:szCs w:val="24"/>
          <w:lang w:eastAsia="es-ES"/>
        </w:rPr>
      </w:pPr>
      <w:r w:rsidRPr="00524EDD">
        <w:rPr>
          <w:rFonts w:eastAsia="Times New Roman"/>
          <w:b/>
          <w:sz w:val="20"/>
          <w:szCs w:val="24"/>
          <w:lang w:eastAsia="es-ES"/>
        </w:rPr>
        <w:t xml:space="preserve">Correspondiente al período de </w:t>
      </w:r>
      <w:r w:rsidR="00DA6560">
        <w:rPr>
          <w:rFonts w:eastAsia="Times New Roman"/>
          <w:b/>
          <w:sz w:val="20"/>
          <w:szCs w:val="24"/>
          <w:lang w:eastAsia="es-ES"/>
        </w:rPr>
        <w:t>nueve</w:t>
      </w:r>
      <w:r w:rsidR="00DA6560" w:rsidRPr="00524EDD">
        <w:rPr>
          <w:rFonts w:eastAsia="Times New Roman"/>
          <w:b/>
          <w:sz w:val="20"/>
          <w:szCs w:val="24"/>
          <w:lang w:eastAsia="es-ES"/>
        </w:rPr>
        <w:t xml:space="preserve"> </w:t>
      </w:r>
      <w:r w:rsidRPr="00524EDD">
        <w:rPr>
          <w:rFonts w:eastAsia="Times New Roman"/>
          <w:b/>
          <w:sz w:val="20"/>
          <w:szCs w:val="24"/>
          <w:lang w:eastAsia="es-ES"/>
        </w:rPr>
        <w:t xml:space="preserve">meses finalizado el 30 de </w:t>
      </w:r>
      <w:r w:rsidR="00D44219">
        <w:rPr>
          <w:rFonts w:eastAsia="Times New Roman"/>
          <w:b/>
          <w:sz w:val="20"/>
          <w:szCs w:val="24"/>
          <w:lang w:eastAsia="es-ES"/>
        </w:rPr>
        <w:t>septiembre</w:t>
      </w:r>
      <w:r w:rsidR="00D44219" w:rsidRPr="00524EDD">
        <w:rPr>
          <w:rFonts w:eastAsia="Times New Roman"/>
          <w:b/>
          <w:sz w:val="20"/>
          <w:szCs w:val="24"/>
          <w:lang w:eastAsia="es-ES"/>
        </w:rPr>
        <w:t xml:space="preserve"> </w:t>
      </w:r>
      <w:r w:rsidRPr="00524EDD">
        <w:rPr>
          <w:rFonts w:eastAsia="Times New Roman"/>
          <w:b/>
          <w:sz w:val="20"/>
          <w:szCs w:val="24"/>
          <w:lang w:eastAsia="es-ES"/>
        </w:rPr>
        <w:t xml:space="preserve">de 2019 </w:t>
      </w:r>
    </w:p>
    <w:p w14:paraId="25073ED7" w14:textId="6F3652BC" w:rsidR="00230365" w:rsidRDefault="00230365" w:rsidP="00230365">
      <w:pPr>
        <w:keepNext/>
        <w:spacing w:after="0"/>
        <w:jc w:val="center"/>
        <w:rPr>
          <w:rFonts w:eastAsia="Times New Roman"/>
          <w:b/>
          <w:sz w:val="20"/>
          <w:szCs w:val="24"/>
          <w:lang w:eastAsia="es-ES"/>
        </w:rPr>
      </w:pPr>
      <w:r w:rsidRPr="00524EDD">
        <w:rPr>
          <w:rFonts w:eastAsia="Times New Roman"/>
          <w:b/>
          <w:sz w:val="20"/>
          <w:szCs w:val="24"/>
          <w:lang w:eastAsia="es-ES"/>
        </w:rPr>
        <w:t>(cifras expresadas en miles de pesos)</w:t>
      </w:r>
    </w:p>
    <w:p w14:paraId="1210DD54" w14:textId="36B331DD" w:rsidR="00D44219" w:rsidRDefault="00D44219" w:rsidP="00230365">
      <w:pPr>
        <w:keepNext/>
        <w:spacing w:after="0"/>
        <w:jc w:val="center"/>
        <w:rPr>
          <w:rFonts w:eastAsia="Times New Roman"/>
          <w:b/>
          <w:sz w:val="20"/>
          <w:szCs w:val="24"/>
          <w:lang w:eastAsia="es-ES"/>
        </w:rPr>
      </w:pPr>
    </w:p>
    <w:p w14:paraId="34050FA0" w14:textId="49E6F4FB" w:rsidR="00D44219" w:rsidRDefault="00D44219" w:rsidP="00230365">
      <w:pPr>
        <w:keepNext/>
        <w:spacing w:after="0"/>
        <w:jc w:val="center"/>
        <w:rPr>
          <w:rFonts w:eastAsia="Times New Roman"/>
          <w:b/>
          <w:sz w:val="20"/>
          <w:szCs w:val="24"/>
          <w:lang w:eastAsia="es-ES"/>
        </w:rPr>
      </w:pPr>
    </w:p>
    <w:p w14:paraId="138CB16C" w14:textId="4F3546B9" w:rsidR="00D44219" w:rsidRPr="00524EDD" w:rsidRDefault="00D44219" w:rsidP="00230365">
      <w:pPr>
        <w:keepNext/>
        <w:spacing w:after="0"/>
        <w:jc w:val="center"/>
        <w:rPr>
          <w:rFonts w:eastAsia="Times New Roman"/>
          <w:b/>
          <w:sz w:val="20"/>
          <w:szCs w:val="24"/>
          <w:lang w:eastAsia="es-ES"/>
        </w:rPr>
      </w:pPr>
      <w:r w:rsidRPr="00D44219">
        <w:rPr>
          <w:rFonts w:eastAsia="Times New Roman"/>
          <w:b/>
          <w:noProof/>
          <w:sz w:val="20"/>
          <w:szCs w:val="24"/>
          <w:lang w:val="es-US" w:eastAsia="es-US"/>
        </w:rPr>
        <w:drawing>
          <wp:anchor distT="0" distB="0" distL="114300" distR="114300" simplePos="0" relativeHeight="251661312" behindDoc="0" locked="0" layoutInCell="1" allowOverlap="1" wp14:anchorId="1E53DBC8" wp14:editId="03B08B17">
            <wp:simplePos x="0" y="0"/>
            <wp:positionH relativeFrom="column">
              <wp:posOffset>-1933</wp:posOffset>
            </wp:positionH>
            <wp:positionV relativeFrom="paragraph">
              <wp:posOffset>-3258</wp:posOffset>
            </wp:positionV>
            <wp:extent cx="6303600" cy="2127600"/>
            <wp:effectExtent l="0" t="0" r="2540" b="635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3600" cy="212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0281FE" w14:textId="604A1DF2" w:rsidR="00230365" w:rsidRDefault="00F975C5" w:rsidP="00230365">
      <w:pPr>
        <w:keepNext/>
        <w:spacing w:after="0"/>
        <w:jc w:val="center"/>
        <w:rPr>
          <w:rFonts w:eastAsia="Times New Roman"/>
          <w:sz w:val="20"/>
          <w:szCs w:val="24"/>
          <w:lang w:eastAsia="es-ES"/>
        </w:rPr>
      </w:pPr>
      <w:r w:rsidRPr="00D44219">
        <w:rPr>
          <w:rFonts w:eastAsia="Times New Roman"/>
          <w:b/>
          <w:noProof/>
          <w:sz w:val="20"/>
          <w:szCs w:val="24"/>
          <w:lang w:val="es-US" w:eastAsia="es-US"/>
        </w:rPr>
        <w:drawing>
          <wp:anchor distT="0" distB="0" distL="114300" distR="114300" simplePos="0" relativeHeight="251662336" behindDoc="0" locked="0" layoutInCell="1" allowOverlap="1" wp14:anchorId="690BC086" wp14:editId="78000AAB">
            <wp:simplePos x="0" y="0"/>
            <wp:positionH relativeFrom="column">
              <wp:posOffset>-105628</wp:posOffset>
            </wp:positionH>
            <wp:positionV relativeFrom="paragraph">
              <wp:posOffset>214497</wp:posOffset>
            </wp:positionV>
            <wp:extent cx="6209665" cy="1303020"/>
            <wp:effectExtent l="0" t="0" r="635" b="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09665" cy="1303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6DD780" w14:textId="11F2C476" w:rsidR="00D44219" w:rsidRPr="00524EDD" w:rsidRDefault="00D44219" w:rsidP="00230365">
      <w:pPr>
        <w:keepNext/>
        <w:spacing w:after="0"/>
        <w:jc w:val="center"/>
        <w:rPr>
          <w:rFonts w:eastAsia="Times New Roman"/>
          <w:sz w:val="20"/>
          <w:szCs w:val="24"/>
          <w:lang w:eastAsia="es-ES"/>
        </w:rPr>
      </w:pPr>
    </w:p>
    <w:p w14:paraId="5541B67A" w14:textId="604163F6" w:rsidR="00230365" w:rsidRPr="00524EDD" w:rsidRDefault="00230365" w:rsidP="00230365">
      <w:pPr>
        <w:keepNext/>
        <w:spacing w:after="0"/>
        <w:jc w:val="both"/>
        <w:rPr>
          <w:rFonts w:eastAsia="Times New Roman"/>
          <w:sz w:val="20"/>
          <w:szCs w:val="24"/>
          <w:lang w:eastAsia="es-ES"/>
        </w:rPr>
      </w:pPr>
    </w:p>
    <w:p w14:paraId="550251EB" w14:textId="5D13AA9A" w:rsidR="00230365" w:rsidRPr="00524EDD" w:rsidRDefault="00230365" w:rsidP="00230365">
      <w:pPr>
        <w:keepNext/>
        <w:spacing w:after="0"/>
        <w:jc w:val="both"/>
        <w:rPr>
          <w:rFonts w:eastAsia="Times New Roman"/>
          <w:sz w:val="20"/>
          <w:szCs w:val="24"/>
          <w:lang w:eastAsia="es-ES"/>
        </w:rPr>
      </w:pPr>
    </w:p>
    <w:p w14:paraId="550D77EA" w14:textId="041AF81D" w:rsidR="00230365" w:rsidRDefault="00230365" w:rsidP="00230365">
      <w:pPr>
        <w:spacing w:after="0"/>
        <w:jc w:val="both"/>
        <w:rPr>
          <w:rFonts w:eastAsia="Times New Roman"/>
          <w:i/>
          <w:sz w:val="20"/>
          <w:szCs w:val="24"/>
          <w:lang w:eastAsia="es-ES"/>
        </w:rPr>
      </w:pPr>
    </w:p>
    <w:p w14:paraId="00BE3A28" w14:textId="77777777" w:rsidR="00230365" w:rsidRDefault="00230365" w:rsidP="00230365">
      <w:pPr>
        <w:keepNext/>
        <w:spacing w:after="0"/>
        <w:jc w:val="both"/>
        <w:rPr>
          <w:rFonts w:eastAsia="Times New Roman"/>
          <w:i/>
          <w:sz w:val="20"/>
          <w:szCs w:val="24"/>
          <w:lang w:eastAsia="es-ES"/>
        </w:rPr>
      </w:pPr>
      <w:r>
        <w:rPr>
          <w:rFonts w:eastAsia="Times New Roman"/>
          <w:i/>
          <w:sz w:val="20"/>
          <w:szCs w:val="24"/>
          <w:lang w:eastAsia="es-ES"/>
        </w:rPr>
        <w:lastRenderedPageBreak/>
        <w:t>Estado de Flujo de Efectivo</w:t>
      </w:r>
    </w:p>
    <w:p w14:paraId="1CC9C476" w14:textId="77777777" w:rsidR="00230365" w:rsidRDefault="00230365" w:rsidP="00230365">
      <w:pPr>
        <w:keepNext/>
        <w:spacing w:after="0"/>
        <w:jc w:val="both"/>
        <w:rPr>
          <w:rFonts w:eastAsia="Times New Roman"/>
          <w:sz w:val="20"/>
          <w:szCs w:val="24"/>
          <w:lang w:eastAsia="es-ES"/>
        </w:rPr>
      </w:pPr>
    </w:p>
    <w:p w14:paraId="038291A1" w14:textId="77777777" w:rsidR="00230365" w:rsidRPr="00524EDD" w:rsidRDefault="00230365" w:rsidP="00230365">
      <w:pPr>
        <w:keepNext/>
        <w:spacing w:after="0"/>
        <w:jc w:val="center"/>
        <w:rPr>
          <w:rFonts w:eastAsia="Times New Roman"/>
          <w:b/>
          <w:sz w:val="20"/>
          <w:szCs w:val="24"/>
          <w:lang w:eastAsia="es-ES"/>
        </w:rPr>
      </w:pPr>
      <w:r w:rsidRPr="00524EDD">
        <w:rPr>
          <w:rFonts w:eastAsia="Times New Roman"/>
          <w:b/>
          <w:sz w:val="20"/>
          <w:szCs w:val="24"/>
          <w:lang w:eastAsia="es-ES"/>
        </w:rPr>
        <w:t>ESTADO DE FLUJO DE EFECTIVO CONDENSADO CONSOLIDADO INTERMEDIO</w:t>
      </w:r>
    </w:p>
    <w:p w14:paraId="4319734A" w14:textId="05D8F41C" w:rsidR="00230365" w:rsidRPr="00524EDD" w:rsidRDefault="00230365" w:rsidP="00230365">
      <w:pPr>
        <w:keepNext/>
        <w:spacing w:after="0"/>
        <w:jc w:val="center"/>
        <w:rPr>
          <w:rFonts w:eastAsia="Times New Roman"/>
          <w:b/>
          <w:sz w:val="20"/>
          <w:szCs w:val="24"/>
          <w:lang w:eastAsia="es-ES"/>
        </w:rPr>
      </w:pPr>
      <w:r w:rsidRPr="00524EDD">
        <w:rPr>
          <w:rFonts w:eastAsia="Times New Roman"/>
          <w:b/>
          <w:sz w:val="20"/>
          <w:szCs w:val="24"/>
          <w:lang w:eastAsia="es-ES"/>
        </w:rPr>
        <w:t xml:space="preserve">Correspondiente al período de </w:t>
      </w:r>
      <w:r w:rsidR="00DA6560">
        <w:rPr>
          <w:rFonts w:eastAsia="Times New Roman"/>
          <w:b/>
          <w:sz w:val="20"/>
          <w:szCs w:val="24"/>
          <w:lang w:eastAsia="es-ES"/>
        </w:rPr>
        <w:t>nueve</w:t>
      </w:r>
      <w:r w:rsidR="00DA6560" w:rsidRPr="00524EDD">
        <w:rPr>
          <w:rFonts w:eastAsia="Times New Roman"/>
          <w:b/>
          <w:sz w:val="20"/>
          <w:szCs w:val="24"/>
          <w:lang w:eastAsia="es-ES"/>
        </w:rPr>
        <w:t xml:space="preserve"> </w:t>
      </w:r>
      <w:r w:rsidRPr="00524EDD">
        <w:rPr>
          <w:rFonts w:eastAsia="Times New Roman"/>
          <w:b/>
          <w:sz w:val="20"/>
          <w:szCs w:val="24"/>
          <w:lang w:eastAsia="es-ES"/>
        </w:rPr>
        <w:t xml:space="preserve">meses finalizado el 30 de </w:t>
      </w:r>
      <w:r w:rsidR="00DA6560">
        <w:rPr>
          <w:rFonts w:eastAsia="Times New Roman"/>
          <w:b/>
          <w:sz w:val="20"/>
          <w:szCs w:val="24"/>
          <w:lang w:eastAsia="es-ES"/>
        </w:rPr>
        <w:t>septiembre</w:t>
      </w:r>
      <w:r w:rsidR="00DA6560" w:rsidRPr="00524EDD">
        <w:rPr>
          <w:rFonts w:eastAsia="Times New Roman"/>
          <w:b/>
          <w:sz w:val="20"/>
          <w:szCs w:val="24"/>
          <w:lang w:eastAsia="es-ES"/>
        </w:rPr>
        <w:t xml:space="preserve"> </w:t>
      </w:r>
      <w:r w:rsidRPr="00524EDD">
        <w:rPr>
          <w:rFonts w:eastAsia="Times New Roman"/>
          <w:b/>
          <w:sz w:val="20"/>
          <w:szCs w:val="24"/>
          <w:lang w:eastAsia="es-ES"/>
        </w:rPr>
        <w:t>de 2019</w:t>
      </w:r>
    </w:p>
    <w:p w14:paraId="4268BD01" w14:textId="38EB90F7" w:rsidR="00230365" w:rsidRDefault="00230365" w:rsidP="00230365">
      <w:pPr>
        <w:keepNext/>
        <w:spacing w:after="0"/>
        <w:jc w:val="center"/>
        <w:rPr>
          <w:rFonts w:eastAsia="Times New Roman"/>
          <w:b/>
          <w:sz w:val="20"/>
          <w:szCs w:val="24"/>
          <w:lang w:eastAsia="es-ES"/>
        </w:rPr>
      </w:pPr>
      <w:r w:rsidRPr="00524EDD">
        <w:rPr>
          <w:rFonts w:eastAsia="Times New Roman"/>
          <w:b/>
          <w:sz w:val="20"/>
          <w:szCs w:val="24"/>
          <w:lang w:eastAsia="es-ES"/>
        </w:rPr>
        <w:t>Comparativo con igual período del ejercicio anterior (cifras expresadas en miles de pesos)</w:t>
      </w:r>
    </w:p>
    <w:p w14:paraId="40251930" w14:textId="145F6C88" w:rsidR="00D44219" w:rsidRDefault="00D44219" w:rsidP="00230365">
      <w:pPr>
        <w:keepNext/>
        <w:spacing w:after="0"/>
        <w:jc w:val="center"/>
        <w:rPr>
          <w:rFonts w:eastAsia="Times New Roman"/>
          <w:b/>
          <w:sz w:val="20"/>
          <w:szCs w:val="24"/>
          <w:lang w:eastAsia="es-ES"/>
        </w:rPr>
      </w:pPr>
    </w:p>
    <w:p w14:paraId="4727ACB9" w14:textId="62939020" w:rsidR="00230365" w:rsidRPr="003E1F5A" w:rsidRDefault="00D44219" w:rsidP="003E1F5A">
      <w:pPr>
        <w:keepNext/>
        <w:spacing w:after="0"/>
        <w:jc w:val="center"/>
        <w:rPr>
          <w:rFonts w:eastAsia="Times New Roman"/>
          <w:b/>
          <w:sz w:val="20"/>
          <w:szCs w:val="24"/>
          <w:lang w:eastAsia="es-ES"/>
        </w:rPr>
      </w:pPr>
      <w:r w:rsidRPr="00D44219">
        <w:rPr>
          <w:rFonts w:eastAsia="Times New Roman"/>
          <w:b/>
          <w:noProof/>
          <w:sz w:val="20"/>
          <w:szCs w:val="24"/>
          <w:lang w:val="es-US" w:eastAsia="es-US"/>
        </w:rPr>
        <w:drawing>
          <wp:anchor distT="0" distB="0" distL="114300" distR="114300" simplePos="0" relativeHeight="251663360" behindDoc="0" locked="0" layoutInCell="1" allowOverlap="1" wp14:anchorId="1E9103A8" wp14:editId="7440338A">
            <wp:simplePos x="0" y="0"/>
            <wp:positionH relativeFrom="column">
              <wp:posOffset>322</wp:posOffset>
            </wp:positionH>
            <wp:positionV relativeFrom="paragraph">
              <wp:posOffset>-588</wp:posOffset>
            </wp:positionV>
            <wp:extent cx="5760000" cy="6937200"/>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00" cy="693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1A1B7C" w14:textId="1297C9BA" w:rsidR="00230365" w:rsidRPr="001578BE" w:rsidRDefault="00230365" w:rsidP="00230365">
      <w:pPr>
        <w:keepNext/>
        <w:spacing w:after="0"/>
        <w:jc w:val="both"/>
        <w:rPr>
          <w:rFonts w:eastAsia="Times New Roman"/>
          <w:sz w:val="20"/>
          <w:szCs w:val="24"/>
          <w:lang w:eastAsia="es-ES"/>
        </w:rPr>
      </w:pPr>
    </w:p>
    <w:p w14:paraId="7C9D3B8F" w14:textId="3C9950F5" w:rsidR="00230365" w:rsidRDefault="00230365" w:rsidP="00230365">
      <w:pPr>
        <w:spacing w:after="0"/>
        <w:jc w:val="center"/>
        <w:rPr>
          <w:rFonts w:eastAsia="Times New Roman"/>
          <w:sz w:val="20"/>
          <w:szCs w:val="24"/>
          <w:lang w:eastAsia="es-ES"/>
        </w:rPr>
      </w:pPr>
    </w:p>
    <w:p w14:paraId="3702E326" w14:textId="77777777" w:rsidR="00230365" w:rsidRDefault="00230365" w:rsidP="00230365">
      <w:pPr>
        <w:spacing w:after="0"/>
        <w:jc w:val="center"/>
        <w:rPr>
          <w:rFonts w:eastAsia="Times New Roman"/>
          <w:sz w:val="20"/>
          <w:szCs w:val="24"/>
          <w:lang w:eastAsia="es-ES"/>
        </w:rPr>
      </w:pPr>
    </w:p>
    <w:p w14:paraId="04D0E893" w14:textId="77777777" w:rsidR="00230365" w:rsidRPr="003E7C97" w:rsidRDefault="00230365" w:rsidP="00230365">
      <w:pPr>
        <w:keepNext/>
        <w:keepLines/>
        <w:spacing w:after="0"/>
        <w:jc w:val="both"/>
        <w:rPr>
          <w:rFonts w:eastAsia="Times New Roman"/>
          <w:i/>
          <w:sz w:val="20"/>
          <w:szCs w:val="24"/>
          <w:lang w:eastAsia="es-ES"/>
        </w:rPr>
      </w:pPr>
      <w:r w:rsidRPr="003E7C97">
        <w:rPr>
          <w:rFonts w:eastAsia="Times New Roman"/>
          <w:i/>
          <w:sz w:val="20"/>
          <w:szCs w:val="24"/>
          <w:lang w:eastAsia="es-ES"/>
        </w:rPr>
        <w:t>Indicadores Financieros</w:t>
      </w:r>
    </w:p>
    <w:p w14:paraId="5D76F29E" w14:textId="50E962E4" w:rsidR="00230365" w:rsidRDefault="00230365" w:rsidP="00230365">
      <w:pPr>
        <w:keepNext/>
        <w:keepLines/>
        <w:spacing w:after="0"/>
        <w:jc w:val="both"/>
        <w:rPr>
          <w:rFonts w:eastAsia="Times New Roman"/>
          <w:b/>
          <w:sz w:val="20"/>
          <w:szCs w:val="24"/>
          <w:u w:val="single"/>
          <w:lang w:eastAsia="es-ES"/>
        </w:rPr>
      </w:pPr>
    </w:p>
    <w:tbl>
      <w:tblPr>
        <w:tblW w:w="10338" w:type="dxa"/>
        <w:jc w:val="center"/>
        <w:tblCellMar>
          <w:left w:w="70" w:type="dxa"/>
          <w:right w:w="70" w:type="dxa"/>
        </w:tblCellMar>
        <w:tblLook w:val="04A0" w:firstRow="1" w:lastRow="0" w:firstColumn="1" w:lastColumn="0" w:noHBand="0" w:noVBand="1"/>
      </w:tblPr>
      <w:tblGrid>
        <w:gridCol w:w="4739"/>
        <w:gridCol w:w="195"/>
        <w:gridCol w:w="1640"/>
        <w:gridCol w:w="195"/>
        <w:gridCol w:w="1640"/>
        <w:gridCol w:w="195"/>
        <w:gridCol w:w="1734"/>
      </w:tblGrid>
      <w:tr w:rsidR="009E6CF2" w:rsidRPr="009E6CF2" w14:paraId="34C47FA0" w14:textId="77777777" w:rsidTr="00DA6560">
        <w:trPr>
          <w:trHeight w:val="315"/>
          <w:jc w:val="center"/>
        </w:trPr>
        <w:tc>
          <w:tcPr>
            <w:tcW w:w="10338" w:type="dxa"/>
            <w:gridSpan w:val="7"/>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BE03E58" w14:textId="77777777" w:rsidR="009E6CF2" w:rsidRPr="009E6CF2" w:rsidRDefault="009E6CF2" w:rsidP="009E6CF2">
            <w:pPr>
              <w:spacing w:after="0" w:line="240" w:lineRule="auto"/>
              <w:jc w:val="center"/>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INDICES- ESTADOS DE SITUACION FINANCIERA CONSOLIDADOS</w:t>
            </w:r>
          </w:p>
        </w:tc>
      </w:tr>
      <w:tr w:rsidR="009E6CF2" w:rsidRPr="009E6CF2" w14:paraId="2D5CF105" w14:textId="77777777" w:rsidTr="00DA6560">
        <w:trPr>
          <w:trHeight w:val="300"/>
          <w:jc w:val="center"/>
        </w:trPr>
        <w:tc>
          <w:tcPr>
            <w:tcW w:w="10338" w:type="dxa"/>
            <w:gridSpan w:val="7"/>
            <w:tcBorders>
              <w:top w:val="single" w:sz="8" w:space="0" w:color="auto"/>
              <w:left w:val="nil"/>
              <w:bottom w:val="nil"/>
              <w:right w:val="nil"/>
            </w:tcBorders>
            <w:shd w:val="clear" w:color="000000" w:fill="FFFFFF"/>
            <w:noWrap/>
            <w:vAlign w:val="center"/>
            <w:hideMark/>
          </w:tcPr>
          <w:p w14:paraId="7160E5CE" w14:textId="77777777" w:rsidR="009E6CF2" w:rsidRPr="009E6CF2" w:rsidRDefault="009E6CF2" w:rsidP="009E6CF2">
            <w:pPr>
              <w:spacing w:after="0" w:line="240" w:lineRule="auto"/>
              <w:jc w:val="center"/>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Cifras expresadas en miles de pesos</w:t>
            </w:r>
          </w:p>
        </w:tc>
      </w:tr>
      <w:tr w:rsidR="009E6CF2" w:rsidRPr="009E6CF2" w14:paraId="30092EB5" w14:textId="77777777" w:rsidTr="00DA6560">
        <w:trPr>
          <w:trHeight w:val="315"/>
          <w:jc w:val="center"/>
        </w:trPr>
        <w:tc>
          <w:tcPr>
            <w:tcW w:w="4739" w:type="dxa"/>
            <w:tcBorders>
              <w:top w:val="nil"/>
              <w:left w:val="nil"/>
              <w:bottom w:val="single" w:sz="8" w:space="0" w:color="auto"/>
              <w:right w:val="nil"/>
            </w:tcBorders>
            <w:shd w:val="clear" w:color="000000" w:fill="FFFFFF"/>
            <w:noWrap/>
            <w:vAlign w:val="center"/>
            <w:hideMark/>
          </w:tcPr>
          <w:p w14:paraId="619716EB"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7C5727DC"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single" w:sz="8" w:space="0" w:color="auto"/>
              <w:right w:val="nil"/>
            </w:tcBorders>
            <w:shd w:val="clear" w:color="000000" w:fill="FFFFFF"/>
            <w:noWrap/>
            <w:vAlign w:val="center"/>
            <w:hideMark/>
          </w:tcPr>
          <w:p w14:paraId="36A111BE"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5C327260"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single" w:sz="8" w:space="0" w:color="auto"/>
              <w:right w:val="nil"/>
            </w:tcBorders>
            <w:shd w:val="clear" w:color="000000" w:fill="FFFFFF"/>
            <w:noWrap/>
            <w:vAlign w:val="center"/>
            <w:hideMark/>
          </w:tcPr>
          <w:p w14:paraId="165AAA3D"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2F41A613"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nil"/>
              <w:left w:val="nil"/>
              <w:bottom w:val="single" w:sz="8" w:space="0" w:color="auto"/>
              <w:right w:val="nil"/>
            </w:tcBorders>
            <w:shd w:val="clear" w:color="000000" w:fill="FFFFFF"/>
            <w:noWrap/>
            <w:vAlign w:val="center"/>
            <w:hideMark/>
          </w:tcPr>
          <w:p w14:paraId="048CFE6C"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r>
      <w:tr w:rsidR="009E6CF2" w:rsidRPr="009E6CF2" w14:paraId="74E0C16E" w14:textId="77777777" w:rsidTr="00DA6560">
        <w:trPr>
          <w:trHeight w:val="315"/>
          <w:jc w:val="center"/>
        </w:trPr>
        <w:tc>
          <w:tcPr>
            <w:tcW w:w="4739" w:type="dxa"/>
            <w:tcBorders>
              <w:top w:val="nil"/>
              <w:left w:val="single" w:sz="8" w:space="0" w:color="auto"/>
              <w:bottom w:val="single" w:sz="8" w:space="0" w:color="auto"/>
              <w:right w:val="single" w:sz="8" w:space="0" w:color="auto"/>
            </w:tcBorders>
            <w:shd w:val="clear" w:color="000000" w:fill="FFFFFF"/>
            <w:noWrap/>
            <w:vAlign w:val="center"/>
            <w:hideMark/>
          </w:tcPr>
          <w:p w14:paraId="6B519571" w14:textId="77777777" w:rsidR="009E6CF2" w:rsidRPr="009E6CF2" w:rsidRDefault="009E6CF2" w:rsidP="009E6CF2">
            <w:pPr>
              <w:spacing w:after="0" w:line="240" w:lineRule="auto"/>
              <w:jc w:val="both"/>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PATRIMONIO</w:t>
            </w:r>
          </w:p>
        </w:tc>
        <w:tc>
          <w:tcPr>
            <w:tcW w:w="0" w:type="auto"/>
            <w:tcBorders>
              <w:top w:val="nil"/>
              <w:left w:val="nil"/>
              <w:bottom w:val="nil"/>
              <w:right w:val="nil"/>
            </w:tcBorders>
            <w:shd w:val="clear" w:color="000000" w:fill="FFFFFF"/>
            <w:noWrap/>
            <w:vAlign w:val="center"/>
            <w:hideMark/>
          </w:tcPr>
          <w:p w14:paraId="33DEF907"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0C044774" w14:textId="77777777" w:rsidR="009E6CF2" w:rsidRPr="009E6CF2" w:rsidRDefault="009E6CF2" w:rsidP="009E6CF2">
            <w:pPr>
              <w:spacing w:after="0" w:line="240" w:lineRule="auto"/>
              <w:jc w:val="center"/>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30/09/2019</w:t>
            </w:r>
          </w:p>
        </w:tc>
        <w:tc>
          <w:tcPr>
            <w:tcW w:w="0" w:type="auto"/>
            <w:tcBorders>
              <w:top w:val="nil"/>
              <w:left w:val="nil"/>
              <w:bottom w:val="nil"/>
              <w:right w:val="nil"/>
            </w:tcBorders>
            <w:shd w:val="clear" w:color="000000" w:fill="FFFFFF"/>
            <w:noWrap/>
            <w:vAlign w:val="center"/>
            <w:hideMark/>
          </w:tcPr>
          <w:p w14:paraId="1B35F2AD"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FAB9FE6" w14:textId="77777777" w:rsidR="009E6CF2" w:rsidRPr="009E6CF2" w:rsidRDefault="009E6CF2" w:rsidP="009E6CF2">
            <w:pPr>
              <w:spacing w:after="0" w:line="240" w:lineRule="auto"/>
              <w:jc w:val="center"/>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31/12/2018</w:t>
            </w:r>
          </w:p>
        </w:tc>
        <w:tc>
          <w:tcPr>
            <w:tcW w:w="0" w:type="auto"/>
            <w:tcBorders>
              <w:top w:val="nil"/>
              <w:left w:val="nil"/>
              <w:bottom w:val="nil"/>
              <w:right w:val="nil"/>
            </w:tcBorders>
            <w:shd w:val="clear" w:color="000000" w:fill="FFFFFF"/>
            <w:noWrap/>
            <w:vAlign w:val="center"/>
            <w:hideMark/>
          </w:tcPr>
          <w:p w14:paraId="76223E93"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nil"/>
              <w:left w:val="single" w:sz="8" w:space="0" w:color="auto"/>
              <w:bottom w:val="single" w:sz="8" w:space="0" w:color="auto"/>
              <w:right w:val="single" w:sz="8" w:space="0" w:color="auto"/>
            </w:tcBorders>
            <w:shd w:val="clear" w:color="000000" w:fill="FFFFFF"/>
            <w:noWrap/>
            <w:vAlign w:val="center"/>
            <w:hideMark/>
          </w:tcPr>
          <w:p w14:paraId="1AC78FB5" w14:textId="77777777" w:rsidR="009E6CF2" w:rsidRPr="009E6CF2" w:rsidRDefault="009E6CF2" w:rsidP="009E6CF2">
            <w:pPr>
              <w:spacing w:after="0" w:line="240" w:lineRule="auto"/>
              <w:jc w:val="center"/>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31/12/2017</w:t>
            </w:r>
          </w:p>
        </w:tc>
      </w:tr>
      <w:tr w:rsidR="009E6CF2" w:rsidRPr="009E6CF2" w14:paraId="4D8287B0"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6D699F61"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Activos</w:t>
            </w:r>
          </w:p>
        </w:tc>
        <w:tc>
          <w:tcPr>
            <w:tcW w:w="0" w:type="auto"/>
            <w:tcBorders>
              <w:top w:val="nil"/>
              <w:left w:val="nil"/>
              <w:bottom w:val="nil"/>
              <w:right w:val="nil"/>
            </w:tcBorders>
            <w:shd w:val="clear" w:color="000000" w:fill="FFFFFF"/>
            <w:noWrap/>
            <w:vAlign w:val="center"/>
            <w:hideMark/>
          </w:tcPr>
          <w:p w14:paraId="08144759"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0D01E598"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7.625.624 </w:t>
            </w:r>
          </w:p>
        </w:tc>
        <w:tc>
          <w:tcPr>
            <w:tcW w:w="0" w:type="auto"/>
            <w:tcBorders>
              <w:top w:val="nil"/>
              <w:left w:val="nil"/>
              <w:bottom w:val="nil"/>
              <w:right w:val="nil"/>
            </w:tcBorders>
            <w:shd w:val="clear" w:color="000000" w:fill="FFFFFF"/>
            <w:noWrap/>
            <w:vAlign w:val="center"/>
            <w:hideMark/>
          </w:tcPr>
          <w:p w14:paraId="1CD1BDE8"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356F1DE9"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5.904.101 </w:t>
            </w:r>
          </w:p>
        </w:tc>
        <w:tc>
          <w:tcPr>
            <w:tcW w:w="0" w:type="auto"/>
            <w:tcBorders>
              <w:top w:val="nil"/>
              <w:left w:val="nil"/>
              <w:bottom w:val="nil"/>
              <w:right w:val="nil"/>
            </w:tcBorders>
            <w:shd w:val="clear" w:color="000000" w:fill="FFFFFF"/>
            <w:noWrap/>
            <w:vAlign w:val="center"/>
            <w:hideMark/>
          </w:tcPr>
          <w:p w14:paraId="02DB4911"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318EC75A"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5.086.158 </w:t>
            </w:r>
          </w:p>
        </w:tc>
      </w:tr>
      <w:tr w:rsidR="009E6CF2" w:rsidRPr="009E6CF2" w14:paraId="53B9B9CE"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239C3A10"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Pasivos</w:t>
            </w:r>
          </w:p>
        </w:tc>
        <w:tc>
          <w:tcPr>
            <w:tcW w:w="0" w:type="auto"/>
            <w:tcBorders>
              <w:top w:val="nil"/>
              <w:left w:val="nil"/>
              <w:bottom w:val="nil"/>
              <w:right w:val="nil"/>
            </w:tcBorders>
            <w:shd w:val="clear" w:color="000000" w:fill="FFFFFF"/>
            <w:noWrap/>
            <w:vAlign w:val="center"/>
            <w:hideMark/>
          </w:tcPr>
          <w:p w14:paraId="3B6C4A76"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447151C1"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7.368.014 </w:t>
            </w:r>
          </w:p>
        </w:tc>
        <w:tc>
          <w:tcPr>
            <w:tcW w:w="0" w:type="auto"/>
            <w:tcBorders>
              <w:top w:val="nil"/>
              <w:left w:val="nil"/>
              <w:bottom w:val="nil"/>
              <w:right w:val="nil"/>
            </w:tcBorders>
            <w:shd w:val="clear" w:color="000000" w:fill="FFFFFF"/>
            <w:noWrap/>
            <w:vAlign w:val="center"/>
            <w:hideMark/>
          </w:tcPr>
          <w:p w14:paraId="4A5A3E7E"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031C3866"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5.766.706 </w:t>
            </w:r>
          </w:p>
        </w:tc>
        <w:tc>
          <w:tcPr>
            <w:tcW w:w="0" w:type="auto"/>
            <w:tcBorders>
              <w:top w:val="nil"/>
              <w:left w:val="nil"/>
              <w:bottom w:val="nil"/>
              <w:right w:val="nil"/>
            </w:tcBorders>
            <w:shd w:val="clear" w:color="000000" w:fill="FFFFFF"/>
            <w:noWrap/>
            <w:vAlign w:val="center"/>
            <w:hideMark/>
          </w:tcPr>
          <w:p w14:paraId="6CAC659D"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2CC31998"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4.907.944 </w:t>
            </w:r>
          </w:p>
        </w:tc>
      </w:tr>
      <w:tr w:rsidR="009E6CF2" w:rsidRPr="009E6CF2" w14:paraId="291B1DF4"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1719E8A8"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Patrimonio neto</w:t>
            </w:r>
          </w:p>
        </w:tc>
        <w:tc>
          <w:tcPr>
            <w:tcW w:w="0" w:type="auto"/>
            <w:tcBorders>
              <w:top w:val="nil"/>
              <w:left w:val="nil"/>
              <w:bottom w:val="nil"/>
              <w:right w:val="nil"/>
            </w:tcBorders>
            <w:shd w:val="clear" w:color="000000" w:fill="FFFFFF"/>
            <w:noWrap/>
            <w:vAlign w:val="center"/>
            <w:hideMark/>
          </w:tcPr>
          <w:p w14:paraId="57FF402F"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764E2C07"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257.610 </w:t>
            </w:r>
          </w:p>
        </w:tc>
        <w:tc>
          <w:tcPr>
            <w:tcW w:w="0" w:type="auto"/>
            <w:tcBorders>
              <w:top w:val="nil"/>
              <w:left w:val="nil"/>
              <w:bottom w:val="nil"/>
              <w:right w:val="nil"/>
            </w:tcBorders>
            <w:shd w:val="clear" w:color="000000" w:fill="FFFFFF"/>
            <w:noWrap/>
            <w:vAlign w:val="center"/>
            <w:hideMark/>
          </w:tcPr>
          <w:p w14:paraId="2FFC0A65"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73279649"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137.395 </w:t>
            </w:r>
          </w:p>
        </w:tc>
        <w:tc>
          <w:tcPr>
            <w:tcW w:w="0" w:type="auto"/>
            <w:tcBorders>
              <w:top w:val="nil"/>
              <w:left w:val="nil"/>
              <w:bottom w:val="nil"/>
              <w:right w:val="nil"/>
            </w:tcBorders>
            <w:shd w:val="clear" w:color="000000" w:fill="FFFFFF"/>
            <w:noWrap/>
            <w:vAlign w:val="center"/>
            <w:hideMark/>
          </w:tcPr>
          <w:p w14:paraId="50BD674E"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0D30EDB0"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178.214 </w:t>
            </w:r>
          </w:p>
        </w:tc>
      </w:tr>
      <w:tr w:rsidR="009E6CF2" w:rsidRPr="009E6CF2" w14:paraId="25048484"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1058E925"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Resultado del ejercicio(Pérdida)/Ganancia</w:t>
            </w:r>
          </w:p>
        </w:tc>
        <w:tc>
          <w:tcPr>
            <w:tcW w:w="0" w:type="auto"/>
            <w:tcBorders>
              <w:top w:val="nil"/>
              <w:left w:val="nil"/>
              <w:bottom w:val="nil"/>
              <w:right w:val="nil"/>
            </w:tcBorders>
            <w:shd w:val="clear" w:color="000000" w:fill="FFFFFF"/>
            <w:noWrap/>
            <w:vAlign w:val="center"/>
            <w:hideMark/>
          </w:tcPr>
          <w:p w14:paraId="3DF4D934"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753D7289"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(32.871) </w:t>
            </w:r>
          </w:p>
        </w:tc>
        <w:tc>
          <w:tcPr>
            <w:tcW w:w="0" w:type="auto"/>
            <w:tcBorders>
              <w:top w:val="nil"/>
              <w:left w:val="nil"/>
              <w:bottom w:val="nil"/>
              <w:right w:val="nil"/>
            </w:tcBorders>
            <w:shd w:val="clear" w:color="000000" w:fill="FFFFFF"/>
            <w:noWrap/>
            <w:vAlign w:val="center"/>
            <w:hideMark/>
          </w:tcPr>
          <w:p w14:paraId="515FD905"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65157A58"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259.546 </w:t>
            </w:r>
          </w:p>
        </w:tc>
        <w:tc>
          <w:tcPr>
            <w:tcW w:w="0" w:type="auto"/>
            <w:tcBorders>
              <w:top w:val="nil"/>
              <w:left w:val="nil"/>
              <w:bottom w:val="nil"/>
              <w:right w:val="nil"/>
            </w:tcBorders>
            <w:shd w:val="clear" w:color="000000" w:fill="FFFFFF"/>
            <w:noWrap/>
            <w:vAlign w:val="center"/>
            <w:hideMark/>
          </w:tcPr>
          <w:p w14:paraId="04036088"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109AFDBA"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(96.698) </w:t>
            </w:r>
          </w:p>
        </w:tc>
      </w:tr>
      <w:tr w:rsidR="009E6CF2" w:rsidRPr="009E6CF2" w14:paraId="53B45720" w14:textId="77777777" w:rsidTr="00DA6560">
        <w:trPr>
          <w:trHeight w:val="315"/>
          <w:jc w:val="center"/>
        </w:trPr>
        <w:tc>
          <w:tcPr>
            <w:tcW w:w="4739" w:type="dxa"/>
            <w:tcBorders>
              <w:top w:val="nil"/>
              <w:left w:val="nil"/>
              <w:bottom w:val="nil"/>
              <w:right w:val="nil"/>
            </w:tcBorders>
            <w:shd w:val="clear" w:color="000000" w:fill="FFFFFF"/>
            <w:noWrap/>
            <w:vAlign w:val="center"/>
            <w:hideMark/>
          </w:tcPr>
          <w:p w14:paraId="395C7B6B"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2BF78BF1"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nil"/>
              <w:right w:val="nil"/>
            </w:tcBorders>
            <w:shd w:val="clear" w:color="000000" w:fill="FFFFFF"/>
            <w:noWrap/>
            <w:vAlign w:val="center"/>
            <w:hideMark/>
          </w:tcPr>
          <w:p w14:paraId="52C06EBF"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3B657931"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nil"/>
              <w:right w:val="nil"/>
            </w:tcBorders>
            <w:shd w:val="clear" w:color="000000" w:fill="FFFFFF"/>
            <w:noWrap/>
            <w:vAlign w:val="center"/>
            <w:hideMark/>
          </w:tcPr>
          <w:p w14:paraId="3EE7248B"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4471B6DF"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nil"/>
              <w:left w:val="nil"/>
              <w:bottom w:val="nil"/>
              <w:right w:val="nil"/>
            </w:tcBorders>
            <w:shd w:val="clear" w:color="000000" w:fill="FFFFFF"/>
            <w:noWrap/>
            <w:vAlign w:val="center"/>
            <w:hideMark/>
          </w:tcPr>
          <w:p w14:paraId="598162B3"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r>
      <w:tr w:rsidR="009E6CF2" w:rsidRPr="009E6CF2" w14:paraId="5A23702B" w14:textId="77777777" w:rsidTr="00DA6560">
        <w:trPr>
          <w:trHeight w:val="315"/>
          <w:jc w:val="center"/>
        </w:trPr>
        <w:tc>
          <w:tcPr>
            <w:tcW w:w="473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87F4842" w14:textId="77777777" w:rsidR="009E6CF2" w:rsidRPr="009E6CF2" w:rsidRDefault="009E6CF2" w:rsidP="009E6CF2">
            <w:pPr>
              <w:spacing w:after="0" w:line="240" w:lineRule="auto"/>
              <w:jc w:val="both"/>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CAPITAL DE TRABAJO</w:t>
            </w:r>
          </w:p>
        </w:tc>
        <w:tc>
          <w:tcPr>
            <w:tcW w:w="0" w:type="auto"/>
            <w:tcBorders>
              <w:top w:val="nil"/>
              <w:left w:val="nil"/>
              <w:bottom w:val="nil"/>
              <w:right w:val="nil"/>
            </w:tcBorders>
            <w:shd w:val="clear" w:color="000000" w:fill="FFFFFF"/>
            <w:noWrap/>
            <w:vAlign w:val="center"/>
            <w:hideMark/>
          </w:tcPr>
          <w:p w14:paraId="5603D974"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CBA09EF" w14:textId="77777777" w:rsidR="009E6CF2" w:rsidRPr="009E6CF2" w:rsidRDefault="009E6CF2" w:rsidP="009E6CF2">
            <w:pPr>
              <w:spacing w:after="0" w:line="240" w:lineRule="auto"/>
              <w:jc w:val="center"/>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30/09/2019</w:t>
            </w:r>
          </w:p>
        </w:tc>
        <w:tc>
          <w:tcPr>
            <w:tcW w:w="0" w:type="auto"/>
            <w:tcBorders>
              <w:top w:val="nil"/>
              <w:left w:val="nil"/>
              <w:bottom w:val="nil"/>
              <w:right w:val="nil"/>
            </w:tcBorders>
            <w:shd w:val="clear" w:color="000000" w:fill="FFFFFF"/>
            <w:noWrap/>
            <w:vAlign w:val="center"/>
            <w:hideMark/>
          </w:tcPr>
          <w:p w14:paraId="381C0B03"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6DF4F3A" w14:textId="77777777" w:rsidR="009E6CF2" w:rsidRPr="009E6CF2" w:rsidRDefault="009E6CF2" w:rsidP="009E6CF2">
            <w:pPr>
              <w:spacing w:after="0" w:line="240" w:lineRule="auto"/>
              <w:jc w:val="center"/>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31/12/2018</w:t>
            </w:r>
          </w:p>
        </w:tc>
        <w:tc>
          <w:tcPr>
            <w:tcW w:w="0" w:type="auto"/>
            <w:tcBorders>
              <w:top w:val="nil"/>
              <w:left w:val="nil"/>
              <w:bottom w:val="nil"/>
              <w:right w:val="nil"/>
            </w:tcBorders>
            <w:shd w:val="clear" w:color="000000" w:fill="FFFFFF"/>
            <w:noWrap/>
            <w:vAlign w:val="center"/>
            <w:hideMark/>
          </w:tcPr>
          <w:p w14:paraId="5FEF3571"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6E213ED" w14:textId="77777777" w:rsidR="009E6CF2" w:rsidRPr="009E6CF2" w:rsidRDefault="009E6CF2" w:rsidP="009E6CF2">
            <w:pPr>
              <w:spacing w:after="0" w:line="240" w:lineRule="auto"/>
              <w:jc w:val="center"/>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31/12/2018</w:t>
            </w:r>
          </w:p>
        </w:tc>
      </w:tr>
      <w:tr w:rsidR="009E6CF2" w:rsidRPr="009E6CF2" w14:paraId="3F7BFA9A"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1C93123E"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Activo corriente</w:t>
            </w:r>
          </w:p>
        </w:tc>
        <w:tc>
          <w:tcPr>
            <w:tcW w:w="0" w:type="auto"/>
            <w:tcBorders>
              <w:top w:val="nil"/>
              <w:left w:val="nil"/>
              <w:bottom w:val="nil"/>
              <w:right w:val="nil"/>
            </w:tcBorders>
            <w:shd w:val="clear" w:color="000000" w:fill="FFFFFF"/>
            <w:noWrap/>
            <w:vAlign w:val="center"/>
            <w:hideMark/>
          </w:tcPr>
          <w:p w14:paraId="512F8839"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2789D949"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7.407.560 </w:t>
            </w:r>
          </w:p>
        </w:tc>
        <w:tc>
          <w:tcPr>
            <w:tcW w:w="0" w:type="auto"/>
            <w:tcBorders>
              <w:top w:val="nil"/>
              <w:left w:val="nil"/>
              <w:bottom w:val="nil"/>
              <w:right w:val="nil"/>
            </w:tcBorders>
            <w:shd w:val="clear" w:color="000000" w:fill="FFFFFF"/>
            <w:noWrap/>
            <w:vAlign w:val="center"/>
            <w:hideMark/>
          </w:tcPr>
          <w:p w14:paraId="6E61928B"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303FD436"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5.727.816 </w:t>
            </w:r>
          </w:p>
        </w:tc>
        <w:tc>
          <w:tcPr>
            <w:tcW w:w="0" w:type="auto"/>
            <w:tcBorders>
              <w:top w:val="nil"/>
              <w:left w:val="nil"/>
              <w:bottom w:val="nil"/>
              <w:right w:val="nil"/>
            </w:tcBorders>
            <w:shd w:val="clear" w:color="000000" w:fill="FFFFFF"/>
            <w:noWrap/>
            <w:vAlign w:val="center"/>
            <w:hideMark/>
          </w:tcPr>
          <w:p w14:paraId="1BBCDCE2"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37728598"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5.010.427 </w:t>
            </w:r>
          </w:p>
        </w:tc>
      </w:tr>
      <w:tr w:rsidR="009E6CF2" w:rsidRPr="009E6CF2" w14:paraId="40CFFCD0"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1249AC62"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Pasivo corriente</w:t>
            </w:r>
          </w:p>
        </w:tc>
        <w:tc>
          <w:tcPr>
            <w:tcW w:w="0" w:type="auto"/>
            <w:tcBorders>
              <w:top w:val="nil"/>
              <w:left w:val="nil"/>
              <w:bottom w:val="nil"/>
              <w:right w:val="nil"/>
            </w:tcBorders>
            <w:shd w:val="clear" w:color="000000" w:fill="FFFFFF"/>
            <w:noWrap/>
            <w:vAlign w:val="center"/>
            <w:hideMark/>
          </w:tcPr>
          <w:p w14:paraId="2F66D530"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170D6503"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7.058.148 </w:t>
            </w:r>
          </w:p>
        </w:tc>
        <w:tc>
          <w:tcPr>
            <w:tcW w:w="0" w:type="auto"/>
            <w:tcBorders>
              <w:top w:val="nil"/>
              <w:left w:val="nil"/>
              <w:bottom w:val="nil"/>
              <w:right w:val="nil"/>
            </w:tcBorders>
            <w:shd w:val="clear" w:color="000000" w:fill="FFFFFF"/>
            <w:noWrap/>
            <w:vAlign w:val="center"/>
            <w:hideMark/>
          </w:tcPr>
          <w:p w14:paraId="77E8DE02"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3B99DC3A"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5.530.611 </w:t>
            </w:r>
          </w:p>
        </w:tc>
        <w:tc>
          <w:tcPr>
            <w:tcW w:w="0" w:type="auto"/>
            <w:tcBorders>
              <w:top w:val="nil"/>
              <w:left w:val="nil"/>
              <w:bottom w:val="nil"/>
              <w:right w:val="nil"/>
            </w:tcBorders>
            <w:shd w:val="clear" w:color="000000" w:fill="FFFFFF"/>
            <w:noWrap/>
            <w:vAlign w:val="center"/>
            <w:hideMark/>
          </w:tcPr>
          <w:p w14:paraId="18A26D52"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2A48AADF" w14:textId="77777777" w:rsidR="009E6CF2" w:rsidRPr="009E6CF2" w:rsidRDefault="009E6CF2" w:rsidP="00DA6560">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4.633.182 </w:t>
            </w:r>
          </w:p>
        </w:tc>
      </w:tr>
      <w:tr w:rsidR="009E6CF2" w:rsidRPr="009E6CF2" w14:paraId="279F3D23"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06227C33"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Capital de Trabajo = Activo corriente - Pasivo corriente</w:t>
            </w:r>
          </w:p>
        </w:tc>
        <w:tc>
          <w:tcPr>
            <w:tcW w:w="0" w:type="auto"/>
            <w:tcBorders>
              <w:top w:val="nil"/>
              <w:left w:val="nil"/>
              <w:bottom w:val="nil"/>
              <w:right w:val="nil"/>
            </w:tcBorders>
            <w:shd w:val="clear" w:color="000000" w:fill="FFFFFF"/>
            <w:noWrap/>
            <w:vAlign w:val="center"/>
            <w:hideMark/>
          </w:tcPr>
          <w:p w14:paraId="740372B0"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4353B2B0"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349.412,00 </w:t>
            </w:r>
          </w:p>
        </w:tc>
        <w:tc>
          <w:tcPr>
            <w:tcW w:w="0" w:type="auto"/>
            <w:tcBorders>
              <w:top w:val="nil"/>
              <w:left w:val="nil"/>
              <w:bottom w:val="nil"/>
              <w:right w:val="nil"/>
            </w:tcBorders>
            <w:shd w:val="clear" w:color="000000" w:fill="FFFFFF"/>
            <w:noWrap/>
            <w:vAlign w:val="center"/>
            <w:hideMark/>
          </w:tcPr>
          <w:p w14:paraId="7CFAE160"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3FA51F1B"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197.205,00 </w:t>
            </w:r>
          </w:p>
        </w:tc>
        <w:tc>
          <w:tcPr>
            <w:tcW w:w="0" w:type="auto"/>
            <w:tcBorders>
              <w:top w:val="nil"/>
              <w:left w:val="nil"/>
              <w:bottom w:val="nil"/>
              <w:right w:val="nil"/>
            </w:tcBorders>
            <w:shd w:val="clear" w:color="000000" w:fill="FFFFFF"/>
            <w:noWrap/>
            <w:vAlign w:val="center"/>
            <w:hideMark/>
          </w:tcPr>
          <w:p w14:paraId="3CA712C5"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7087DFBD"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377.245,00 </w:t>
            </w:r>
          </w:p>
        </w:tc>
      </w:tr>
      <w:tr w:rsidR="009E6CF2" w:rsidRPr="009E6CF2" w14:paraId="381D19F2" w14:textId="77777777" w:rsidTr="00DA6560">
        <w:trPr>
          <w:trHeight w:val="315"/>
          <w:jc w:val="center"/>
        </w:trPr>
        <w:tc>
          <w:tcPr>
            <w:tcW w:w="4739" w:type="dxa"/>
            <w:tcBorders>
              <w:top w:val="nil"/>
              <w:left w:val="nil"/>
              <w:bottom w:val="nil"/>
              <w:right w:val="nil"/>
            </w:tcBorders>
            <w:shd w:val="clear" w:color="000000" w:fill="FFFFFF"/>
            <w:noWrap/>
            <w:vAlign w:val="center"/>
            <w:hideMark/>
          </w:tcPr>
          <w:p w14:paraId="22F93BB6"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4E748058"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nil"/>
              <w:right w:val="nil"/>
            </w:tcBorders>
            <w:shd w:val="clear" w:color="000000" w:fill="FFFFFF"/>
            <w:noWrap/>
            <w:vAlign w:val="center"/>
            <w:hideMark/>
          </w:tcPr>
          <w:p w14:paraId="666C97E4"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6F0C038E"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nil"/>
              <w:right w:val="nil"/>
            </w:tcBorders>
            <w:shd w:val="clear" w:color="000000" w:fill="FFFFFF"/>
            <w:noWrap/>
            <w:vAlign w:val="center"/>
            <w:hideMark/>
          </w:tcPr>
          <w:p w14:paraId="3AF156D9"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579D8AD6"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nil"/>
              <w:left w:val="nil"/>
              <w:bottom w:val="nil"/>
              <w:right w:val="nil"/>
            </w:tcBorders>
            <w:shd w:val="clear" w:color="000000" w:fill="FFFFFF"/>
            <w:noWrap/>
            <w:vAlign w:val="center"/>
            <w:hideMark/>
          </w:tcPr>
          <w:p w14:paraId="51E422EF"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r>
      <w:tr w:rsidR="009E6CF2" w:rsidRPr="009E6CF2" w14:paraId="706311EB" w14:textId="77777777" w:rsidTr="00DA6560">
        <w:trPr>
          <w:trHeight w:val="315"/>
          <w:jc w:val="center"/>
        </w:trPr>
        <w:tc>
          <w:tcPr>
            <w:tcW w:w="473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F791AB3" w14:textId="77777777" w:rsidR="009E6CF2" w:rsidRPr="009E6CF2" w:rsidRDefault="009E6CF2" w:rsidP="009E6CF2">
            <w:pPr>
              <w:spacing w:after="0" w:line="240" w:lineRule="auto"/>
              <w:jc w:val="both"/>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LIQUIDEZ</w:t>
            </w:r>
          </w:p>
        </w:tc>
        <w:tc>
          <w:tcPr>
            <w:tcW w:w="0" w:type="auto"/>
            <w:tcBorders>
              <w:top w:val="nil"/>
              <w:left w:val="nil"/>
              <w:bottom w:val="nil"/>
              <w:right w:val="nil"/>
            </w:tcBorders>
            <w:shd w:val="clear" w:color="000000" w:fill="FFFFFF"/>
            <w:noWrap/>
            <w:vAlign w:val="center"/>
            <w:hideMark/>
          </w:tcPr>
          <w:p w14:paraId="7402314C"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32A1C82" w14:textId="77777777" w:rsidR="009E6CF2" w:rsidRPr="009E6CF2" w:rsidRDefault="009E6CF2" w:rsidP="009E6CF2">
            <w:pPr>
              <w:spacing w:after="0" w:line="240" w:lineRule="auto"/>
              <w:jc w:val="center"/>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30/09/2019</w:t>
            </w:r>
          </w:p>
        </w:tc>
        <w:tc>
          <w:tcPr>
            <w:tcW w:w="0" w:type="auto"/>
            <w:tcBorders>
              <w:top w:val="nil"/>
              <w:left w:val="nil"/>
              <w:bottom w:val="nil"/>
              <w:right w:val="nil"/>
            </w:tcBorders>
            <w:shd w:val="clear" w:color="000000" w:fill="FFFFFF"/>
            <w:noWrap/>
            <w:vAlign w:val="center"/>
            <w:hideMark/>
          </w:tcPr>
          <w:p w14:paraId="51947048"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6A457D1" w14:textId="77777777" w:rsidR="009E6CF2" w:rsidRPr="009E6CF2" w:rsidRDefault="009E6CF2" w:rsidP="009E6CF2">
            <w:pPr>
              <w:spacing w:after="0" w:line="240" w:lineRule="auto"/>
              <w:jc w:val="center"/>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31/12/2018</w:t>
            </w:r>
          </w:p>
        </w:tc>
        <w:tc>
          <w:tcPr>
            <w:tcW w:w="0" w:type="auto"/>
            <w:tcBorders>
              <w:top w:val="nil"/>
              <w:left w:val="nil"/>
              <w:bottom w:val="nil"/>
              <w:right w:val="nil"/>
            </w:tcBorders>
            <w:shd w:val="clear" w:color="000000" w:fill="FFFFFF"/>
            <w:noWrap/>
            <w:vAlign w:val="center"/>
            <w:hideMark/>
          </w:tcPr>
          <w:p w14:paraId="29C9C8B7"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D25DB83" w14:textId="77777777" w:rsidR="009E6CF2" w:rsidRPr="009E6CF2" w:rsidRDefault="009E6CF2" w:rsidP="009E6CF2">
            <w:pPr>
              <w:spacing w:after="0" w:line="240" w:lineRule="auto"/>
              <w:jc w:val="center"/>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31/12/2018</w:t>
            </w:r>
          </w:p>
        </w:tc>
      </w:tr>
      <w:tr w:rsidR="009E6CF2" w:rsidRPr="009E6CF2" w14:paraId="20941012"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23B362B4"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Activo corriente</w:t>
            </w:r>
          </w:p>
        </w:tc>
        <w:tc>
          <w:tcPr>
            <w:tcW w:w="0" w:type="auto"/>
            <w:tcBorders>
              <w:top w:val="nil"/>
              <w:left w:val="nil"/>
              <w:bottom w:val="nil"/>
              <w:right w:val="nil"/>
            </w:tcBorders>
            <w:shd w:val="clear" w:color="000000" w:fill="FFFFFF"/>
            <w:noWrap/>
            <w:vAlign w:val="center"/>
            <w:hideMark/>
          </w:tcPr>
          <w:p w14:paraId="33DE5075"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72C173C4"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7.407.560 </w:t>
            </w:r>
          </w:p>
        </w:tc>
        <w:tc>
          <w:tcPr>
            <w:tcW w:w="0" w:type="auto"/>
            <w:tcBorders>
              <w:top w:val="nil"/>
              <w:left w:val="nil"/>
              <w:bottom w:val="nil"/>
              <w:right w:val="nil"/>
            </w:tcBorders>
            <w:shd w:val="clear" w:color="000000" w:fill="FFFFFF"/>
            <w:noWrap/>
            <w:vAlign w:val="center"/>
            <w:hideMark/>
          </w:tcPr>
          <w:p w14:paraId="02830930"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780427F6"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5.727.816 </w:t>
            </w:r>
          </w:p>
        </w:tc>
        <w:tc>
          <w:tcPr>
            <w:tcW w:w="0" w:type="auto"/>
            <w:tcBorders>
              <w:top w:val="nil"/>
              <w:left w:val="nil"/>
              <w:bottom w:val="nil"/>
              <w:right w:val="nil"/>
            </w:tcBorders>
            <w:shd w:val="clear" w:color="000000" w:fill="FFFFFF"/>
            <w:noWrap/>
            <w:vAlign w:val="center"/>
            <w:hideMark/>
          </w:tcPr>
          <w:p w14:paraId="527E0B0B"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487A8D85"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5.010.427 </w:t>
            </w:r>
          </w:p>
        </w:tc>
      </w:tr>
      <w:tr w:rsidR="009E6CF2" w:rsidRPr="009E6CF2" w14:paraId="01D64080"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6B393377"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Activo no corriente</w:t>
            </w:r>
          </w:p>
        </w:tc>
        <w:tc>
          <w:tcPr>
            <w:tcW w:w="0" w:type="auto"/>
            <w:tcBorders>
              <w:top w:val="nil"/>
              <w:left w:val="nil"/>
              <w:bottom w:val="nil"/>
              <w:right w:val="nil"/>
            </w:tcBorders>
            <w:shd w:val="clear" w:color="000000" w:fill="FFFFFF"/>
            <w:noWrap/>
            <w:vAlign w:val="center"/>
            <w:hideMark/>
          </w:tcPr>
          <w:p w14:paraId="0C784D87"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7E42D9BA"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218.064 </w:t>
            </w:r>
          </w:p>
        </w:tc>
        <w:tc>
          <w:tcPr>
            <w:tcW w:w="0" w:type="auto"/>
            <w:tcBorders>
              <w:top w:val="nil"/>
              <w:left w:val="nil"/>
              <w:bottom w:val="nil"/>
              <w:right w:val="nil"/>
            </w:tcBorders>
            <w:shd w:val="clear" w:color="000000" w:fill="FFFFFF"/>
            <w:noWrap/>
            <w:vAlign w:val="center"/>
            <w:hideMark/>
          </w:tcPr>
          <w:p w14:paraId="65A7C2C8"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6FE86991"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176.285 </w:t>
            </w:r>
          </w:p>
        </w:tc>
        <w:tc>
          <w:tcPr>
            <w:tcW w:w="0" w:type="auto"/>
            <w:tcBorders>
              <w:top w:val="nil"/>
              <w:left w:val="nil"/>
              <w:bottom w:val="nil"/>
              <w:right w:val="nil"/>
            </w:tcBorders>
            <w:shd w:val="clear" w:color="000000" w:fill="FFFFFF"/>
            <w:noWrap/>
            <w:vAlign w:val="center"/>
            <w:hideMark/>
          </w:tcPr>
          <w:p w14:paraId="4226C3A1"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642BDD50"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75.731 </w:t>
            </w:r>
          </w:p>
        </w:tc>
      </w:tr>
      <w:tr w:rsidR="009E6CF2" w:rsidRPr="009E6CF2" w14:paraId="096B730A"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13751A56"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Pasivo corriente</w:t>
            </w:r>
          </w:p>
        </w:tc>
        <w:tc>
          <w:tcPr>
            <w:tcW w:w="0" w:type="auto"/>
            <w:tcBorders>
              <w:top w:val="nil"/>
              <w:left w:val="nil"/>
              <w:bottom w:val="nil"/>
              <w:right w:val="nil"/>
            </w:tcBorders>
            <w:shd w:val="clear" w:color="000000" w:fill="FFFFFF"/>
            <w:noWrap/>
            <w:vAlign w:val="center"/>
            <w:hideMark/>
          </w:tcPr>
          <w:p w14:paraId="0E8012B0"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6259B251"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7.058.148 </w:t>
            </w:r>
          </w:p>
        </w:tc>
        <w:tc>
          <w:tcPr>
            <w:tcW w:w="0" w:type="auto"/>
            <w:tcBorders>
              <w:top w:val="nil"/>
              <w:left w:val="nil"/>
              <w:bottom w:val="nil"/>
              <w:right w:val="nil"/>
            </w:tcBorders>
            <w:shd w:val="clear" w:color="000000" w:fill="FFFFFF"/>
            <w:noWrap/>
            <w:vAlign w:val="center"/>
            <w:hideMark/>
          </w:tcPr>
          <w:p w14:paraId="261AB91A"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6A3BCE98"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5.530.611 </w:t>
            </w:r>
          </w:p>
        </w:tc>
        <w:tc>
          <w:tcPr>
            <w:tcW w:w="0" w:type="auto"/>
            <w:tcBorders>
              <w:top w:val="nil"/>
              <w:left w:val="nil"/>
              <w:bottom w:val="nil"/>
              <w:right w:val="nil"/>
            </w:tcBorders>
            <w:shd w:val="clear" w:color="000000" w:fill="FFFFFF"/>
            <w:noWrap/>
            <w:vAlign w:val="center"/>
            <w:hideMark/>
          </w:tcPr>
          <w:p w14:paraId="1371873F"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055E3031" w14:textId="77777777" w:rsidR="009E6CF2" w:rsidRPr="009E6CF2" w:rsidRDefault="009E6CF2" w:rsidP="00DA6560">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4.633.182 </w:t>
            </w:r>
          </w:p>
        </w:tc>
      </w:tr>
      <w:tr w:rsidR="009E6CF2" w:rsidRPr="009E6CF2" w14:paraId="0E42B5A9"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7A28F2B0"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Pasivo no corriente</w:t>
            </w:r>
          </w:p>
        </w:tc>
        <w:tc>
          <w:tcPr>
            <w:tcW w:w="0" w:type="auto"/>
            <w:tcBorders>
              <w:top w:val="nil"/>
              <w:left w:val="nil"/>
              <w:bottom w:val="nil"/>
              <w:right w:val="nil"/>
            </w:tcBorders>
            <w:shd w:val="clear" w:color="000000" w:fill="FFFFFF"/>
            <w:noWrap/>
            <w:vAlign w:val="center"/>
            <w:hideMark/>
          </w:tcPr>
          <w:p w14:paraId="0FF342A6"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0250A5C3"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309.866 </w:t>
            </w:r>
          </w:p>
        </w:tc>
        <w:tc>
          <w:tcPr>
            <w:tcW w:w="0" w:type="auto"/>
            <w:tcBorders>
              <w:top w:val="nil"/>
              <w:left w:val="nil"/>
              <w:bottom w:val="nil"/>
              <w:right w:val="nil"/>
            </w:tcBorders>
            <w:shd w:val="clear" w:color="000000" w:fill="FFFFFF"/>
            <w:noWrap/>
            <w:vAlign w:val="center"/>
            <w:hideMark/>
          </w:tcPr>
          <w:p w14:paraId="6AF3D9F1"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27FCE3EC"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236.095 </w:t>
            </w:r>
          </w:p>
        </w:tc>
        <w:tc>
          <w:tcPr>
            <w:tcW w:w="0" w:type="auto"/>
            <w:tcBorders>
              <w:top w:val="nil"/>
              <w:left w:val="nil"/>
              <w:bottom w:val="nil"/>
              <w:right w:val="nil"/>
            </w:tcBorders>
            <w:shd w:val="clear" w:color="000000" w:fill="FFFFFF"/>
            <w:noWrap/>
            <w:vAlign w:val="center"/>
            <w:hideMark/>
          </w:tcPr>
          <w:p w14:paraId="2BC09865"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16A3355C"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274.762 </w:t>
            </w:r>
          </w:p>
        </w:tc>
      </w:tr>
      <w:tr w:rsidR="009E6CF2" w:rsidRPr="009E6CF2" w14:paraId="1D4C642F"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303FC074"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Liquidez = Activo  corriente/Pasivo corriente</w:t>
            </w:r>
          </w:p>
        </w:tc>
        <w:tc>
          <w:tcPr>
            <w:tcW w:w="0" w:type="auto"/>
            <w:tcBorders>
              <w:top w:val="nil"/>
              <w:left w:val="nil"/>
              <w:bottom w:val="nil"/>
              <w:right w:val="nil"/>
            </w:tcBorders>
            <w:shd w:val="clear" w:color="000000" w:fill="FFFFFF"/>
            <w:noWrap/>
            <w:vAlign w:val="center"/>
            <w:hideMark/>
          </w:tcPr>
          <w:p w14:paraId="18C6F47D"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239E2ACA"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1,05 </w:t>
            </w:r>
          </w:p>
        </w:tc>
        <w:tc>
          <w:tcPr>
            <w:tcW w:w="0" w:type="auto"/>
            <w:tcBorders>
              <w:top w:val="nil"/>
              <w:left w:val="nil"/>
              <w:bottom w:val="nil"/>
              <w:right w:val="nil"/>
            </w:tcBorders>
            <w:shd w:val="clear" w:color="000000" w:fill="FFFFFF"/>
            <w:noWrap/>
            <w:vAlign w:val="center"/>
            <w:hideMark/>
          </w:tcPr>
          <w:p w14:paraId="05DC56E3"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70FDEB39"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1,04 </w:t>
            </w:r>
          </w:p>
        </w:tc>
        <w:tc>
          <w:tcPr>
            <w:tcW w:w="0" w:type="auto"/>
            <w:tcBorders>
              <w:top w:val="nil"/>
              <w:left w:val="nil"/>
              <w:bottom w:val="nil"/>
              <w:right w:val="nil"/>
            </w:tcBorders>
            <w:shd w:val="clear" w:color="000000" w:fill="FFFFFF"/>
            <w:noWrap/>
            <w:vAlign w:val="center"/>
            <w:hideMark/>
          </w:tcPr>
          <w:p w14:paraId="5835E2B7"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26476DCF"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1,08 </w:t>
            </w:r>
          </w:p>
        </w:tc>
      </w:tr>
      <w:tr w:rsidR="009E6CF2" w:rsidRPr="009E6CF2" w14:paraId="19BAD24B" w14:textId="77777777" w:rsidTr="00DA6560">
        <w:trPr>
          <w:trHeight w:val="315"/>
          <w:jc w:val="center"/>
        </w:trPr>
        <w:tc>
          <w:tcPr>
            <w:tcW w:w="4739" w:type="dxa"/>
            <w:tcBorders>
              <w:top w:val="nil"/>
              <w:left w:val="nil"/>
              <w:bottom w:val="nil"/>
              <w:right w:val="nil"/>
            </w:tcBorders>
            <w:shd w:val="clear" w:color="000000" w:fill="FFFFFF"/>
            <w:noWrap/>
            <w:vAlign w:val="center"/>
            <w:hideMark/>
          </w:tcPr>
          <w:p w14:paraId="16AC2B94"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661091B3"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nil"/>
              <w:right w:val="nil"/>
            </w:tcBorders>
            <w:shd w:val="clear" w:color="000000" w:fill="FFFFFF"/>
            <w:noWrap/>
            <w:vAlign w:val="center"/>
            <w:hideMark/>
          </w:tcPr>
          <w:p w14:paraId="24B25E10"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69CF6413"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nil"/>
              <w:right w:val="nil"/>
            </w:tcBorders>
            <w:shd w:val="clear" w:color="000000" w:fill="FFFFFF"/>
            <w:noWrap/>
            <w:vAlign w:val="center"/>
            <w:hideMark/>
          </w:tcPr>
          <w:p w14:paraId="543F2C0E"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1689F84B"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nil"/>
              <w:left w:val="nil"/>
              <w:bottom w:val="nil"/>
              <w:right w:val="nil"/>
            </w:tcBorders>
            <w:shd w:val="clear" w:color="000000" w:fill="FFFFFF"/>
            <w:noWrap/>
            <w:vAlign w:val="center"/>
            <w:hideMark/>
          </w:tcPr>
          <w:p w14:paraId="46071B9B"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r>
      <w:tr w:rsidR="009E6CF2" w:rsidRPr="009E6CF2" w14:paraId="7B645737" w14:textId="77777777" w:rsidTr="00DA6560">
        <w:trPr>
          <w:trHeight w:val="315"/>
          <w:jc w:val="center"/>
        </w:trPr>
        <w:tc>
          <w:tcPr>
            <w:tcW w:w="473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F223794" w14:textId="77777777" w:rsidR="009E6CF2" w:rsidRPr="009E6CF2" w:rsidRDefault="009E6CF2" w:rsidP="009E6CF2">
            <w:pPr>
              <w:spacing w:after="0" w:line="240" w:lineRule="auto"/>
              <w:jc w:val="both"/>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SOLVENCIA</w:t>
            </w:r>
          </w:p>
        </w:tc>
        <w:tc>
          <w:tcPr>
            <w:tcW w:w="0" w:type="auto"/>
            <w:tcBorders>
              <w:top w:val="nil"/>
              <w:left w:val="nil"/>
              <w:bottom w:val="nil"/>
              <w:right w:val="nil"/>
            </w:tcBorders>
            <w:shd w:val="clear" w:color="000000" w:fill="FFFFFF"/>
            <w:noWrap/>
            <w:vAlign w:val="center"/>
            <w:hideMark/>
          </w:tcPr>
          <w:p w14:paraId="4EBAE24F"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288DDB8" w14:textId="77777777" w:rsidR="009E6CF2" w:rsidRPr="009E6CF2" w:rsidRDefault="009E6CF2" w:rsidP="009E6CF2">
            <w:pPr>
              <w:spacing w:after="0" w:line="240" w:lineRule="auto"/>
              <w:jc w:val="right"/>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30/09/2019</w:t>
            </w:r>
          </w:p>
        </w:tc>
        <w:tc>
          <w:tcPr>
            <w:tcW w:w="0" w:type="auto"/>
            <w:tcBorders>
              <w:top w:val="nil"/>
              <w:left w:val="nil"/>
              <w:bottom w:val="nil"/>
              <w:right w:val="nil"/>
            </w:tcBorders>
            <w:shd w:val="clear" w:color="000000" w:fill="FFFFFF"/>
            <w:noWrap/>
            <w:vAlign w:val="center"/>
            <w:hideMark/>
          </w:tcPr>
          <w:p w14:paraId="07AEC0B3"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6235962" w14:textId="77777777" w:rsidR="009E6CF2" w:rsidRPr="009E6CF2" w:rsidRDefault="009E6CF2" w:rsidP="009E6CF2">
            <w:pPr>
              <w:spacing w:after="0" w:line="240" w:lineRule="auto"/>
              <w:jc w:val="right"/>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31/12/2018</w:t>
            </w:r>
          </w:p>
        </w:tc>
        <w:tc>
          <w:tcPr>
            <w:tcW w:w="0" w:type="auto"/>
            <w:tcBorders>
              <w:top w:val="nil"/>
              <w:left w:val="nil"/>
              <w:bottom w:val="nil"/>
              <w:right w:val="nil"/>
            </w:tcBorders>
            <w:shd w:val="clear" w:color="000000" w:fill="FFFFFF"/>
            <w:noWrap/>
            <w:vAlign w:val="center"/>
            <w:hideMark/>
          </w:tcPr>
          <w:p w14:paraId="2528F3F2"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F23619C" w14:textId="77777777" w:rsidR="009E6CF2" w:rsidRPr="009E6CF2" w:rsidRDefault="009E6CF2" w:rsidP="009E6CF2">
            <w:pPr>
              <w:spacing w:after="0" w:line="240" w:lineRule="auto"/>
              <w:jc w:val="right"/>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31/12/2018</w:t>
            </w:r>
          </w:p>
        </w:tc>
      </w:tr>
      <w:tr w:rsidR="009E6CF2" w:rsidRPr="009E6CF2" w14:paraId="3A8DE1B6"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5372C600"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Pasivo total</w:t>
            </w:r>
          </w:p>
        </w:tc>
        <w:tc>
          <w:tcPr>
            <w:tcW w:w="0" w:type="auto"/>
            <w:tcBorders>
              <w:top w:val="nil"/>
              <w:left w:val="nil"/>
              <w:bottom w:val="nil"/>
              <w:right w:val="nil"/>
            </w:tcBorders>
            <w:shd w:val="clear" w:color="000000" w:fill="FFFFFF"/>
            <w:noWrap/>
            <w:vAlign w:val="center"/>
            <w:hideMark/>
          </w:tcPr>
          <w:p w14:paraId="7522D2ED"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5402C1A3"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7.368.014 </w:t>
            </w:r>
          </w:p>
        </w:tc>
        <w:tc>
          <w:tcPr>
            <w:tcW w:w="0" w:type="auto"/>
            <w:tcBorders>
              <w:top w:val="nil"/>
              <w:left w:val="nil"/>
              <w:bottom w:val="nil"/>
              <w:right w:val="nil"/>
            </w:tcBorders>
            <w:shd w:val="clear" w:color="000000" w:fill="FFFFFF"/>
            <w:noWrap/>
            <w:vAlign w:val="center"/>
            <w:hideMark/>
          </w:tcPr>
          <w:p w14:paraId="08CB67A7"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7E54388C"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5.766.706 </w:t>
            </w:r>
          </w:p>
        </w:tc>
        <w:tc>
          <w:tcPr>
            <w:tcW w:w="0" w:type="auto"/>
            <w:tcBorders>
              <w:top w:val="nil"/>
              <w:left w:val="nil"/>
              <w:bottom w:val="nil"/>
              <w:right w:val="nil"/>
            </w:tcBorders>
            <w:shd w:val="clear" w:color="000000" w:fill="FFFFFF"/>
            <w:noWrap/>
            <w:vAlign w:val="center"/>
            <w:hideMark/>
          </w:tcPr>
          <w:p w14:paraId="000A4C9F"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262A29AF" w14:textId="77777777" w:rsidR="009E6CF2" w:rsidRPr="009E6CF2" w:rsidRDefault="009E6CF2" w:rsidP="00DA6560">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4.907.944 </w:t>
            </w:r>
          </w:p>
        </w:tc>
      </w:tr>
      <w:tr w:rsidR="009E6CF2" w:rsidRPr="009E6CF2" w14:paraId="44F8625A"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7018E100"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Patrimonio Neto</w:t>
            </w:r>
          </w:p>
        </w:tc>
        <w:tc>
          <w:tcPr>
            <w:tcW w:w="0" w:type="auto"/>
            <w:tcBorders>
              <w:top w:val="nil"/>
              <w:left w:val="nil"/>
              <w:bottom w:val="nil"/>
              <w:right w:val="nil"/>
            </w:tcBorders>
            <w:shd w:val="clear" w:color="000000" w:fill="FFFFFF"/>
            <w:noWrap/>
            <w:vAlign w:val="center"/>
            <w:hideMark/>
          </w:tcPr>
          <w:p w14:paraId="057CADB2"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1B204056"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257.610 </w:t>
            </w:r>
          </w:p>
        </w:tc>
        <w:tc>
          <w:tcPr>
            <w:tcW w:w="0" w:type="auto"/>
            <w:tcBorders>
              <w:top w:val="nil"/>
              <w:left w:val="nil"/>
              <w:bottom w:val="nil"/>
              <w:right w:val="nil"/>
            </w:tcBorders>
            <w:shd w:val="clear" w:color="000000" w:fill="FFFFFF"/>
            <w:noWrap/>
            <w:vAlign w:val="center"/>
            <w:hideMark/>
          </w:tcPr>
          <w:p w14:paraId="3F50DF56"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1C94B3A5"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137.395 </w:t>
            </w:r>
          </w:p>
        </w:tc>
        <w:tc>
          <w:tcPr>
            <w:tcW w:w="0" w:type="auto"/>
            <w:tcBorders>
              <w:top w:val="nil"/>
              <w:left w:val="nil"/>
              <w:bottom w:val="nil"/>
              <w:right w:val="nil"/>
            </w:tcBorders>
            <w:shd w:val="clear" w:color="000000" w:fill="FFFFFF"/>
            <w:noWrap/>
            <w:vAlign w:val="center"/>
            <w:hideMark/>
          </w:tcPr>
          <w:p w14:paraId="0FBC8CC6"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4F713483"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178.214 </w:t>
            </w:r>
          </w:p>
        </w:tc>
      </w:tr>
      <w:tr w:rsidR="009E6CF2" w:rsidRPr="009E6CF2" w14:paraId="058DE6CB"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07E1EB98"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Solvencia = Patrimonio neto total/Pasivo total</w:t>
            </w:r>
          </w:p>
        </w:tc>
        <w:tc>
          <w:tcPr>
            <w:tcW w:w="0" w:type="auto"/>
            <w:tcBorders>
              <w:top w:val="nil"/>
              <w:left w:val="nil"/>
              <w:bottom w:val="nil"/>
              <w:right w:val="nil"/>
            </w:tcBorders>
            <w:shd w:val="clear" w:color="000000" w:fill="FFFFFF"/>
            <w:noWrap/>
            <w:vAlign w:val="center"/>
            <w:hideMark/>
          </w:tcPr>
          <w:p w14:paraId="0117D1FB"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09DF40A9"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0,03 </w:t>
            </w:r>
          </w:p>
        </w:tc>
        <w:tc>
          <w:tcPr>
            <w:tcW w:w="0" w:type="auto"/>
            <w:tcBorders>
              <w:top w:val="nil"/>
              <w:left w:val="nil"/>
              <w:bottom w:val="nil"/>
              <w:right w:val="nil"/>
            </w:tcBorders>
            <w:shd w:val="clear" w:color="000000" w:fill="FFFFFF"/>
            <w:noWrap/>
            <w:vAlign w:val="center"/>
            <w:hideMark/>
          </w:tcPr>
          <w:p w14:paraId="54C048E5"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6FB952B1"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0,02 </w:t>
            </w:r>
          </w:p>
        </w:tc>
        <w:tc>
          <w:tcPr>
            <w:tcW w:w="0" w:type="auto"/>
            <w:tcBorders>
              <w:top w:val="nil"/>
              <w:left w:val="nil"/>
              <w:bottom w:val="nil"/>
              <w:right w:val="nil"/>
            </w:tcBorders>
            <w:shd w:val="clear" w:color="000000" w:fill="FFFFFF"/>
            <w:noWrap/>
            <w:vAlign w:val="center"/>
            <w:hideMark/>
          </w:tcPr>
          <w:p w14:paraId="33A63C33"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0B603996"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0,04 </w:t>
            </w:r>
          </w:p>
        </w:tc>
      </w:tr>
      <w:tr w:rsidR="009E6CF2" w:rsidRPr="009E6CF2" w14:paraId="6E818A14" w14:textId="77777777" w:rsidTr="00DA6560">
        <w:trPr>
          <w:trHeight w:val="315"/>
          <w:jc w:val="center"/>
        </w:trPr>
        <w:tc>
          <w:tcPr>
            <w:tcW w:w="4739" w:type="dxa"/>
            <w:tcBorders>
              <w:top w:val="nil"/>
              <w:left w:val="nil"/>
              <w:bottom w:val="nil"/>
              <w:right w:val="nil"/>
            </w:tcBorders>
            <w:shd w:val="clear" w:color="000000" w:fill="FFFFFF"/>
            <w:noWrap/>
            <w:vAlign w:val="center"/>
            <w:hideMark/>
          </w:tcPr>
          <w:p w14:paraId="2FDBAF2C"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19DBF205"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nil"/>
              <w:right w:val="nil"/>
            </w:tcBorders>
            <w:shd w:val="clear" w:color="000000" w:fill="FFFFFF"/>
            <w:noWrap/>
            <w:vAlign w:val="center"/>
            <w:hideMark/>
          </w:tcPr>
          <w:p w14:paraId="25E064C9"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2C874AFD"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nil"/>
              <w:right w:val="nil"/>
            </w:tcBorders>
            <w:shd w:val="clear" w:color="000000" w:fill="FFFFFF"/>
            <w:noWrap/>
            <w:vAlign w:val="center"/>
            <w:hideMark/>
          </w:tcPr>
          <w:p w14:paraId="5D5488D3"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0F11FA58"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nil"/>
              <w:left w:val="nil"/>
              <w:bottom w:val="nil"/>
              <w:right w:val="nil"/>
            </w:tcBorders>
            <w:shd w:val="clear" w:color="000000" w:fill="FFFFFF"/>
            <w:noWrap/>
            <w:vAlign w:val="center"/>
            <w:hideMark/>
          </w:tcPr>
          <w:p w14:paraId="3FBDC6D4"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r>
      <w:tr w:rsidR="009E6CF2" w:rsidRPr="009E6CF2" w14:paraId="7B0066FD" w14:textId="77777777" w:rsidTr="00DA6560">
        <w:trPr>
          <w:trHeight w:val="315"/>
          <w:jc w:val="center"/>
        </w:trPr>
        <w:tc>
          <w:tcPr>
            <w:tcW w:w="473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A9B2403" w14:textId="77777777" w:rsidR="009E6CF2" w:rsidRPr="009E6CF2" w:rsidRDefault="009E6CF2" w:rsidP="009E6CF2">
            <w:pPr>
              <w:spacing w:after="0" w:line="240" w:lineRule="auto"/>
              <w:jc w:val="both"/>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INMOVILIZACIÓN DE CAPITAL</w:t>
            </w:r>
          </w:p>
        </w:tc>
        <w:tc>
          <w:tcPr>
            <w:tcW w:w="0" w:type="auto"/>
            <w:tcBorders>
              <w:top w:val="nil"/>
              <w:left w:val="nil"/>
              <w:bottom w:val="nil"/>
              <w:right w:val="nil"/>
            </w:tcBorders>
            <w:shd w:val="clear" w:color="000000" w:fill="FFFFFF"/>
            <w:noWrap/>
            <w:vAlign w:val="center"/>
            <w:hideMark/>
          </w:tcPr>
          <w:p w14:paraId="2CC185F2"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73C5C53" w14:textId="77777777" w:rsidR="009E6CF2" w:rsidRPr="009E6CF2" w:rsidRDefault="009E6CF2" w:rsidP="009E6CF2">
            <w:pPr>
              <w:spacing w:after="0" w:line="240" w:lineRule="auto"/>
              <w:jc w:val="right"/>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30/09/2019</w:t>
            </w:r>
          </w:p>
        </w:tc>
        <w:tc>
          <w:tcPr>
            <w:tcW w:w="0" w:type="auto"/>
            <w:tcBorders>
              <w:top w:val="nil"/>
              <w:left w:val="nil"/>
              <w:bottom w:val="nil"/>
              <w:right w:val="nil"/>
            </w:tcBorders>
            <w:shd w:val="clear" w:color="000000" w:fill="FFFFFF"/>
            <w:noWrap/>
            <w:vAlign w:val="center"/>
            <w:hideMark/>
          </w:tcPr>
          <w:p w14:paraId="01AE939A"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1613E4F" w14:textId="77777777" w:rsidR="009E6CF2" w:rsidRPr="009E6CF2" w:rsidRDefault="009E6CF2" w:rsidP="009E6CF2">
            <w:pPr>
              <w:spacing w:after="0" w:line="240" w:lineRule="auto"/>
              <w:jc w:val="right"/>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31/12/2018</w:t>
            </w:r>
          </w:p>
        </w:tc>
        <w:tc>
          <w:tcPr>
            <w:tcW w:w="0" w:type="auto"/>
            <w:tcBorders>
              <w:top w:val="nil"/>
              <w:left w:val="nil"/>
              <w:bottom w:val="nil"/>
              <w:right w:val="nil"/>
            </w:tcBorders>
            <w:shd w:val="clear" w:color="000000" w:fill="FFFFFF"/>
            <w:noWrap/>
            <w:vAlign w:val="center"/>
            <w:hideMark/>
          </w:tcPr>
          <w:p w14:paraId="2AA01B7E"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B4B837E" w14:textId="77777777" w:rsidR="009E6CF2" w:rsidRPr="009E6CF2" w:rsidRDefault="009E6CF2" w:rsidP="009E6CF2">
            <w:pPr>
              <w:spacing w:after="0" w:line="240" w:lineRule="auto"/>
              <w:jc w:val="right"/>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31/12/2018</w:t>
            </w:r>
          </w:p>
        </w:tc>
      </w:tr>
      <w:tr w:rsidR="009E6CF2" w:rsidRPr="009E6CF2" w14:paraId="14FB7473"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597BFF87"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Activo no corriente</w:t>
            </w:r>
          </w:p>
        </w:tc>
        <w:tc>
          <w:tcPr>
            <w:tcW w:w="0" w:type="auto"/>
            <w:tcBorders>
              <w:top w:val="nil"/>
              <w:left w:val="nil"/>
              <w:bottom w:val="nil"/>
              <w:right w:val="nil"/>
            </w:tcBorders>
            <w:shd w:val="clear" w:color="000000" w:fill="FFFFFF"/>
            <w:noWrap/>
            <w:vAlign w:val="center"/>
            <w:hideMark/>
          </w:tcPr>
          <w:p w14:paraId="0506D58F"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723B778F"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218.064 </w:t>
            </w:r>
          </w:p>
        </w:tc>
        <w:tc>
          <w:tcPr>
            <w:tcW w:w="0" w:type="auto"/>
            <w:tcBorders>
              <w:top w:val="nil"/>
              <w:left w:val="nil"/>
              <w:bottom w:val="nil"/>
              <w:right w:val="nil"/>
            </w:tcBorders>
            <w:shd w:val="clear" w:color="000000" w:fill="FFFFFF"/>
            <w:noWrap/>
            <w:vAlign w:val="center"/>
            <w:hideMark/>
          </w:tcPr>
          <w:p w14:paraId="6E669405"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70497362"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176.285 </w:t>
            </w:r>
          </w:p>
        </w:tc>
        <w:tc>
          <w:tcPr>
            <w:tcW w:w="0" w:type="auto"/>
            <w:tcBorders>
              <w:top w:val="nil"/>
              <w:left w:val="nil"/>
              <w:bottom w:val="nil"/>
              <w:right w:val="nil"/>
            </w:tcBorders>
            <w:shd w:val="clear" w:color="000000" w:fill="FFFFFF"/>
            <w:noWrap/>
            <w:vAlign w:val="center"/>
            <w:hideMark/>
          </w:tcPr>
          <w:p w14:paraId="4CDC6246"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3DB2F205"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75.731 </w:t>
            </w:r>
          </w:p>
        </w:tc>
      </w:tr>
      <w:tr w:rsidR="009E6CF2" w:rsidRPr="009E6CF2" w14:paraId="230C1820"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0DAF0FF6"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Total del activo</w:t>
            </w:r>
          </w:p>
        </w:tc>
        <w:tc>
          <w:tcPr>
            <w:tcW w:w="0" w:type="auto"/>
            <w:tcBorders>
              <w:top w:val="nil"/>
              <w:left w:val="nil"/>
              <w:bottom w:val="nil"/>
              <w:right w:val="nil"/>
            </w:tcBorders>
            <w:shd w:val="clear" w:color="000000" w:fill="FFFFFF"/>
            <w:noWrap/>
            <w:vAlign w:val="center"/>
            <w:hideMark/>
          </w:tcPr>
          <w:p w14:paraId="1003FBFB"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03E674B9"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7.625.624 </w:t>
            </w:r>
          </w:p>
        </w:tc>
        <w:tc>
          <w:tcPr>
            <w:tcW w:w="0" w:type="auto"/>
            <w:tcBorders>
              <w:top w:val="nil"/>
              <w:left w:val="nil"/>
              <w:bottom w:val="nil"/>
              <w:right w:val="nil"/>
            </w:tcBorders>
            <w:shd w:val="clear" w:color="000000" w:fill="FFFFFF"/>
            <w:noWrap/>
            <w:vAlign w:val="center"/>
            <w:hideMark/>
          </w:tcPr>
          <w:p w14:paraId="3B189AF3"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39FD2987"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5.904.101 </w:t>
            </w:r>
          </w:p>
        </w:tc>
        <w:tc>
          <w:tcPr>
            <w:tcW w:w="0" w:type="auto"/>
            <w:tcBorders>
              <w:top w:val="nil"/>
              <w:left w:val="nil"/>
              <w:bottom w:val="nil"/>
              <w:right w:val="nil"/>
            </w:tcBorders>
            <w:shd w:val="clear" w:color="000000" w:fill="FFFFFF"/>
            <w:noWrap/>
            <w:vAlign w:val="center"/>
            <w:hideMark/>
          </w:tcPr>
          <w:p w14:paraId="402F044C"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66C4B2CC"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5.086.158 </w:t>
            </w:r>
          </w:p>
        </w:tc>
      </w:tr>
      <w:tr w:rsidR="009E6CF2" w:rsidRPr="009E6CF2" w14:paraId="7C2AADD9"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22063933"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Inmovilizacion de capital = Activo no corriente/Total del activo</w:t>
            </w:r>
          </w:p>
        </w:tc>
        <w:tc>
          <w:tcPr>
            <w:tcW w:w="0" w:type="auto"/>
            <w:tcBorders>
              <w:top w:val="nil"/>
              <w:left w:val="nil"/>
              <w:bottom w:val="nil"/>
              <w:right w:val="nil"/>
            </w:tcBorders>
            <w:shd w:val="clear" w:color="000000" w:fill="FFFFFF"/>
            <w:noWrap/>
            <w:vAlign w:val="center"/>
            <w:hideMark/>
          </w:tcPr>
          <w:p w14:paraId="63CD2E7F"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517D973A"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0,03 </w:t>
            </w:r>
          </w:p>
        </w:tc>
        <w:tc>
          <w:tcPr>
            <w:tcW w:w="0" w:type="auto"/>
            <w:tcBorders>
              <w:top w:val="nil"/>
              <w:left w:val="nil"/>
              <w:bottom w:val="nil"/>
              <w:right w:val="nil"/>
            </w:tcBorders>
            <w:shd w:val="clear" w:color="000000" w:fill="FFFFFF"/>
            <w:noWrap/>
            <w:vAlign w:val="center"/>
            <w:hideMark/>
          </w:tcPr>
          <w:p w14:paraId="5A1F64C9"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016A4F43"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0,03 </w:t>
            </w:r>
          </w:p>
        </w:tc>
        <w:tc>
          <w:tcPr>
            <w:tcW w:w="0" w:type="auto"/>
            <w:tcBorders>
              <w:top w:val="nil"/>
              <w:left w:val="nil"/>
              <w:bottom w:val="nil"/>
              <w:right w:val="nil"/>
            </w:tcBorders>
            <w:shd w:val="clear" w:color="000000" w:fill="FFFFFF"/>
            <w:noWrap/>
            <w:vAlign w:val="center"/>
            <w:hideMark/>
          </w:tcPr>
          <w:p w14:paraId="666F6174"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59FA8E1C"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0,01 </w:t>
            </w:r>
          </w:p>
        </w:tc>
      </w:tr>
      <w:tr w:rsidR="009E6CF2" w:rsidRPr="009E6CF2" w14:paraId="36EE0485" w14:textId="77777777" w:rsidTr="00DA6560">
        <w:trPr>
          <w:trHeight w:val="315"/>
          <w:jc w:val="center"/>
        </w:trPr>
        <w:tc>
          <w:tcPr>
            <w:tcW w:w="4739" w:type="dxa"/>
            <w:tcBorders>
              <w:top w:val="nil"/>
              <w:left w:val="nil"/>
              <w:bottom w:val="nil"/>
              <w:right w:val="nil"/>
            </w:tcBorders>
            <w:shd w:val="clear" w:color="000000" w:fill="FFFFFF"/>
            <w:noWrap/>
            <w:vAlign w:val="center"/>
            <w:hideMark/>
          </w:tcPr>
          <w:p w14:paraId="0C5C4A55"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4B9C52F4"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nil"/>
              <w:right w:val="nil"/>
            </w:tcBorders>
            <w:shd w:val="clear" w:color="000000" w:fill="FFFFFF"/>
            <w:noWrap/>
            <w:vAlign w:val="center"/>
            <w:hideMark/>
          </w:tcPr>
          <w:p w14:paraId="47273DB2"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4776B473"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nil"/>
              <w:right w:val="nil"/>
            </w:tcBorders>
            <w:shd w:val="clear" w:color="000000" w:fill="FFFFFF"/>
            <w:noWrap/>
            <w:vAlign w:val="center"/>
            <w:hideMark/>
          </w:tcPr>
          <w:p w14:paraId="2FF57100"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75FCE2F1"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nil"/>
              <w:left w:val="nil"/>
              <w:bottom w:val="nil"/>
              <w:right w:val="nil"/>
            </w:tcBorders>
            <w:shd w:val="clear" w:color="000000" w:fill="FFFFFF"/>
            <w:noWrap/>
            <w:vAlign w:val="center"/>
            <w:hideMark/>
          </w:tcPr>
          <w:p w14:paraId="019B1E82"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r>
      <w:tr w:rsidR="009E6CF2" w:rsidRPr="009E6CF2" w14:paraId="5AD69CED" w14:textId="77777777" w:rsidTr="00DA6560">
        <w:trPr>
          <w:trHeight w:val="315"/>
          <w:jc w:val="center"/>
        </w:trPr>
        <w:tc>
          <w:tcPr>
            <w:tcW w:w="473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4302AFF" w14:textId="77777777" w:rsidR="009E6CF2" w:rsidRPr="009E6CF2" w:rsidRDefault="009E6CF2" w:rsidP="009E6CF2">
            <w:pPr>
              <w:spacing w:after="0" w:line="240" w:lineRule="auto"/>
              <w:jc w:val="both"/>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RENTABILIDAD SOBRE PATRIMONIO</w:t>
            </w:r>
          </w:p>
        </w:tc>
        <w:tc>
          <w:tcPr>
            <w:tcW w:w="0" w:type="auto"/>
            <w:tcBorders>
              <w:top w:val="nil"/>
              <w:left w:val="nil"/>
              <w:bottom w:val="nil"/>
              <w:right w:val="nil"/>
            </w:tcBorders>
            <w:shd w:val="clear" w:color="000000" w:fill="FFFFFF"/>
            <w:noWrap/>
            <w:vAlign w:val="center"/>
            <w:hideMark/>
          </w:tcPr>
          <w:p w14:paraId="26EE6549"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2B06389" w14:textId="77777777" w:rsidR="009E6CF2" w:rsidRPr="009E6CF2" w:rsidRDefault="009E6CF2" w:rsidP="009E6CF2">
            <w:pPr>
              <w:spacing w:after="0" w:line="240" w:lineRule="auto"/>
              <w:jc w:val="right"/>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30/09/2019</w:t>
            </w:r>
          </w:p>
        </w:tc>
        <w:tc>
          <w:tcPr>
            <w:tcW w:w="0" w:type="auto"/>
            <w:tcBorders>
              <w:top w:val="nil"/>
              <w:left w:val="nil"/>
              <w:bottom w:val="nil"/>
              <w:right w:val="nil"/>
            </w:tcBorders>
            <w:shd w:val="clear" w:color="000000" w:fill="FFFFFF"/>
            <w:noWrap/>
            <w:vAlign w:val="center"/>
            <w:hideMark/>
          </w:tcPr>
          <w:p w14:paraId="63E73338"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7A4CAE1" w14:textId="77777777" w:rsidR="009E6CF2" w:rsidRPr="009E6CF2" w:rsidRDefault="009E6CF2" w:rsidP="009E6CF2">
            <w:pPr>
              <w:spacing w:after="0" w:line="240" w:lineRule="auto"/>
              <w:jc w:val="right"/>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31/12/2018</w:t>
            </w:r>
          </w:p>
        </w:tc>
        <w:tc>
          <w:tcPr>
            <w:tcW w:w="0" w:type="auto"/>
            <w:tcBorders>
              <w:top w:val="nil"/>
              <w:left w:val="nil"/>
              <w:bottom w:val="nil"/>
              <w:right w:val="nil"/>
            </w:tcBorders>
            <w:shd w:val="clear" w:color="000000" w:fill="FFFFFF"/>
            <w:noWrap/>
            <w:vAlign w:val="center"/>
            <w:hideMark/>
          </w:tcPr>
          <w:p w14:paraId="4807E3EB"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1BF8177" w14:textId="77777777" w:rsidR="009E6CF2" w:rsidRPr="009E6CF2" w:rsidRDefault="009E6CF2" w:rsidP="009E6CF2">
            <w:pPr>
              <w:spacing w:after="0" w:line="240" w:lineRule="auto"/>
              <w:jc w:val="right"/>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31/12/2018</w:t>
            </w:r>
          </w:p>
        </w:tc>
      </w:tr>
      <w:tr w:rsidR="009E6CF2" w:rsidRPr="009E6CF2" w14:paraId="6FDC8A11" w14:textId="77777777" w:rsidTr="00DA6560">
        <w:trPr>
          <w:trHeight w:val="300"/>
          <w:jc w:val="center"/>
        </w:trPr>
        <w:tc>
          <w:tcPr>
            <w:tcW w:w="4739" w:type="dxa"/>
            <w:tcBorders>
              <w:top w:val="nil"/>
              <w:left w:val="nil"/>
              <w:bottom w:val="nil"/>
              <w:right w:val="nil"/>
            </w:tcBorders>
            <w:shd w:val="clear" w:color="000000" w:fill="FFFFFF"/>
            <w:noWrap/>
            <w:vAlign w:val="center"/>
            <w:hideMark/>
          </w:tcPr>
          <w:p w14:paraId="764F231C"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Rentabilidad sobre patrimonio = Resultado del periodo/Patrimonio Neto</w:t>
            </w:r>
          </w:p>
        </w:tc>
        <w:tc>
          <w:tcPr>
            <w:tcW w:w="0" w:type="auto"/>
            <w:tcBorders>
              <w:top w:val="nil"/>
              <w:left w:val="nil"/>
              <w:bottom w:val="nil"/>
              <w:right w:val="nil"/>
            </w:tcBorders>
            <w:shd w:val="clear" w:color="000000" w:fill="FFFFFF"/>
            <w:noWrap/>
            <w:vAlign w:val="center"/>
            <w:hideMark/>
          </w:tcPr>
          <w:p w14:paraId="5502E268"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nil"/>
              <w:right w:val="nil"/>
            </w:tcBorders>
            <w:shd w:val="clear" w:color="000000" w:fill="FFFFFF"/>
            <w:noWrap/>
            <w:vAlign w:val="center"/>
            <w:hideMark/>
          </w:tcPr>
          <w:p w14:paraId="6AB485B9"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(0,13) </w:t>
            </w:r>
          </w:p>
        </w:tc>
        <w:tc>
          <w:tcPr>
            <w:tcW w:w="0" w:type="auto"/>
            <w:tcBorders>
              <w:top w:val="nil"/>
              <w:left w:val="nil"/>
              <w:bottom w:val="nil"/>
              <w:right w:val="nil"/>
            </w:tcBorders>
            <w:shd w:val="clear" w:color="000000" w:fill="FFFFFF"/>
            <w:noWrap/>
            <w:vAlign w:val="center"/>
            <w:hideMark/>
          </w:tcPr>
          <w:p w14:paraId="2A7AF129"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nil"/>
              <w:right w:val="nil"/>
            </w:tcBorders>
            <w:shd w:val="clear" w:color="000000" w:fill="FFFFFF"/>
            <w:noWrap/>
            <w:vAlign w:val="center"/>
            <w:hideMark/>
          </w:tcPr>
          <w:p w14:paraId="49827B66"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1,89 </w:t>
            </w:r>
          </w:p>
        </w:tc>
        <w:tc>
          <w:tcPr>
            <w:tcW w:w="0" w:type="auto"/>
            <w:tcBorders>
              <w:top w:val="nil"/>
              <w:left w:val="nil"/>
              <w:bottom w:val="nil"/>
              <w:right w:val="nil"/>
            </w:tcBorders>
            <w:shd w:val="clear" w:color="000000" w:fill="FFFFFF"/>
            <w:noWrap/>
            <w:vAlign w:val="center"/>
            <w:hideMark/>
          </w:tcPr>
          <w:p w14:paraId="2DC4D92A"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nil"/>
              <w:left w:val="nil"/>
              <w:bottom w:val="nil"/>
              <w:right w:val="nil"/>
            </w:tcBorders>
            <w:shd w:val="clear" w:color="000000" w:fill="FFFFFF"/>
            <w:noWrap/>
            <w:vAlign w:val="center"/>
            <w:hideMark/>
          </w:tcPr>
          <w:p w14:paraId="73CBE351"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(0,54) </w:t>
            </w:r>
          </w:p>
        </w:tc>
      </w:tr>
      <w:tr w:rsidR="009E6CF2" w:rsidRPr="009E6CF2" w14:paraId="7CA0D743" w14:textId="77777777" w:rsidTr="00DA6560">
        <w:trPr>
          <w:trHeight w:val="315"/>
          <w:jc w:val="center"/>
        </w:trPr>
        <w:tc>
          <w:tcPr>
            <w:tcW w:w="4739" w:type="dxa"/>
            <w:tcBorders>
              <w:top w:val="nil"/>
              <w:left w:val="nil"/>
              <w:bottom w:val="nil"/>
              <w:right w:val="nil"/>
            </w:tcBorders>
            <w:shd w:val="clear" w:color="000000" w:fill="FFFFFF"/>
            <w:noWrap/>
            <w:vAlign w:val="center"/>
            <w:hideMark/>
          </w:tcPr>
          <w:p w14:paraId="7AA9A0E3"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588E2843"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nil"/>
              <w:right w:val="nil"/>
            </w:tcBorders>
            <w:shd w:val="clear" w:color="000000" w:fill="FFFFFF"/>
            <w:noWrap/>
            <w:vAlign w:val="center"/>
            <w:hideMark/>
          </w:tcPr>
          <w:p w14:paraId="60AB7FA9"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2E4D50C2"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nil"/>
              <w:right w:val="nil"/>
            </w:tcBorders>
            <w:shd w:val="clear" w:color="000000" w:fill="FFFFFF"/>
            <w:noWrap/>
            <w:vAlign w:val="center"/>
            <w:hideMark/>
          </w:tcPr>
          <w:p w14:paraId="671FFE90"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5175BD38"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nil"/>
              <w:left w:val="nil"/>
              <w:bottom w:val="nil"/>
              <w:right w:val="nil"/>
            </w:tcBorders>
            <w:shd w:val="clear" w:color="000000" w:fill="FFFFFF"/>
            <w:noWrap/>
            <w:vAlign w:val="center"/>
            <w:hideMark/>
          </w:tcPr>
          <w:p w14:paraId="2CE8DE31"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r>
      <w:tr w:rsidR="009E6CF2" w:rsidRPr="009E6CF2" w14:paraId="5A6D05BB" w14:textId="77777777" w:rsidTr="00DA6560">
        <w:trPr>
          <w:trHeight w:val="315"/>
          <w:jc w:val="center"/>
        </w:trPr>
        <w:tc>
          <w:tcPr>
            <w:tcW w:w="473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16F20E6" w14:textId="77777777" w:rsidR="009E6CF2" w:rsidRPr="009E6CF2" w:rsidRDefault="009E6CF2" w:rsidP="009E6CF2">
            <w:pPr>
              <w:spacing w:after="0" w:line="240" w:lineRule="auto"/>
              <w:jc w:val="both"/>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ENDEUDAMIENTO</w:t>
            </w:r>
          </w:p>
        </w:tc>
        <w:tc>
          <w:tcPr>
            <w:tcW w:w="0" w:type="auto"/>
            <w:tcBorders>
              <w:top w:val="nil"/>
              <w:left w:val="nil"/>
              <w:bottom w:val="nil"/>
              <w:right w:val="nil"/>
            </w:tcBorders>
            <w:shd w:val="clear" w:color="000000" w:fill="FFFFFF"/>
            <w:noWrap/>
            <w:vAlign w:val="center"/>
            <w:hideMark/>
          </w:tcPr>
          <w:p w14:paraId="5F4DDF42"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97AE0A9" w14:textId="77777777" w:rsidR="009E6CF2" w:rsidRPr="009E6CF2" w:rsidRDefault="009E6CF2" w:rsidP="009E6CF2">
            <w:pPr>
              <w:spacing w:after="0" w:line="240" w:lineRule="auto"/>
              <w:jc w:val="right"/>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30/09/2019</w:t>
            </w:r>
          </w:p>
        </w:tc>
        <w:tc>
          <w:tcPr>
            <w:tcW w:w="0" w:type="auto"/>
            <w:tcBorders>
              <w:top w:val="nil"/>
              <w:left w:val="nil"/>
              <w:bottom w:val="nil"/>
              <w:right w:val="nil"/>
            </w:tcBorders>
            <w:shd w:val="clear" w:color="000000" w:fill="FFFFFF"/>
            <w:noWrap/>
            <w:vAlign w:val="center"/>
            <w:hideMark/>
          </w:tcPr>
          <w:p w14:paraId="0A098CA3"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B650981" w14:textId="77777777" w:rsidR="009E6CF2" w:rsidRPr="009E6CF2" w:rsidRDefault="009E6CF2" w:rsidP="009E6CF2">
            <w:pPr>
              <w:spacing w:after="0" w:line="240" w:lineRule="auto"/>
              <w:jc w:val="right"/>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31/12/2018</w:t>
            </w:r>
          </w:p>
        </w:tc>
        <w:tc>
          <w:tcPr>
            <w:tcW w:w="0" w:type="auto"/>
            <w:tcBorders>
              <w:top w:val="nil"/>
              <w:left w:val="nil"/>
              <w:bottom w:val="nil"/>
              <w:right w:val="nil"/>
            </w:tcBorders>
            <w:shd w:val="clear" w:color="000000" w:fill="FFFFFF"/>
            <w:noWrap/>
            <w:vAlign w:val="center"/>
            <w:hideMark/>
          </w:tcPr>
          <w:p w14:paraId="5E2A6DDB"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CC55C27" w14:textId="77777777" w:rsidR="009E6CF2" w:rsidRPr="009E6CF2" w:rsidRDefault="009E6CF2" w:rsidP="009E6CF2">
            <w:pPr>
              <w:spacing w:after="0" w:line="240" w:lineRule="auto"/>
              <w:jc w:val="right"/>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31/12/2018</w:t>
            </w:r>
          </w:p>
        </w:tc>
      </w:tr>
      <w:tr w:rsidR="009E6CF2" w:rsidRPr="009E6CF2" w14:paraId="1D368633"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2381AE4D"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Pasivo total</w:t>
            </w:r>
          </w:p>
        </w:tc>
        <w:tc>
          <w:tcPr>
            <w:tcW w:w="0" w:type="auto"/>
            <w:tcBorders>
              <w:top w:val="nil"/>
              <w:left w:val="nil"/>
              <w:bottom w:val="nil"/>
              <w:right w:val="nil"/>
            </w:tcBorders>
            <w:shd w:val="clear" w:color="000000" w:fill="FFFFFF"/>
            <w:noWrap/>
            <w:vAlign w:val="center"/>
            <w:hideMark/>
          </w:tcPr>
          <w:p w14:paraId="410891DF"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00D0DFF2"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7.368.014 </w:t>
            </w:r>
          </w:p>
        </w:tc>
        <w:tc>
          <w:tcPr>
            <w:tcW w:w="0" w:type="auto"/>
            <w:tcBorders>
              <w:top w:val="nil"/>
              <w:left w:val="nil"/>
              <w:bottom w:val="nil"/>
              <w:right w:val="nil"/>
            </w:tcBorders>
            <w:shd w:val="clear" w:color="000000" w:fill="FFFFFF"/>
            <w:noWrap/>
            <w:vAlign w:val="center"/>
            <w:hideMark/>
          </w:tcPr>
          <w:p w14:paraId="682C08C6"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7C59872B"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5.766.706 </w:t>
            </w:r>
          </w:p>
        </w:tc>
        <w:tc>
          <w:tcPr>
            <w:tcW w:w="0" w:type="auto"/>
            <w:tcBorders>
              <w:top w:val="nil"/>
              <w:left w:val="nil"/>
              <w:bottom w:val="nil"/>
              <w:right w:val="nil"/>
            </w:tcBorders>
            <w:shd w:val="clear" w:color="000000" w:fill="FFFFFF"/>
            <w:noWrap/>
            <w:vAlign w:val="center"/>
            <w:hideMark/>
          </w:tcPr>
          <w:p w14:paraId="11A36FDD"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460732D9" w14:textId="77777777" w:rsidR="009E6CF2" w:rsidRPr="009E6CF2" w:rsidRDefault="009E6CF2" w:rsidP="00DA6560">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4.907.944 </w:t>
            </w:r>
          </w:p>
        </w:tc>
      </w:tr>
      <w:tr w:rsidR="009E6CF2" w:rsidRPr="009E6CF2" w14:paraId="047A3946"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4FC7246C"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Patrimonio Neto</w:t>
            </w:r>
          </w:p>
        </w:tc>
        <w:tc>
          <w:tcPr>
            <w:tcW w:w="0" w:type="auto"/>
            <w:tcBorders>
              <w:top w:val="nil"/>
              <w:left w:val="nil"/>
              <w:bottom w:val="nil"/>
              <w:right w:val="nil"/>
            </w:tcBorders>
            <w:shd w:val="clear" w:color="000000" w:fill="FFFFFF"/>
            <w:noWrap/>
            <w:vAlign w:val="center"/>
            <w:hideMark/>
          </w:tcPr>
          <w:p w14:paraId="25CD3188"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4BF1F045"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257.610 </w:t>
            </w:r>
          </w:p>
        </w:tc>
        <w:tc>
          <w:tcPr>
            <w:tcW w:w="0" w:type="auto"/>
            <w:tcBorders>
              <w:top w:val="nil"/>
              <w:left w:val="nil"/>
              <w:bottom w:val="nil"/>
              <w:right w:val="nil"/>
            </w:tcBorders>
            <w:shd w:val="clear" w:color="000000" w:fill="FFFFFF"/>
            <w:noWrap/>
            <w:vAlign w:val="center"/>
            <w:hideMark/>
          </w:tcPr>
          <w:p w14:paraId="1B9B53F2"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30F02C54"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137.395 </w:t>
            </w:r>
          </w:p>
        </w:tc>
        <w:tc>
          <w:tcPr>
            <w:tcW w:w="0" w:type="auto"/>
            <w:tcBorders>
              <w:top w:val="nil"/>
              <w:left w:val="nil"/>
              <w:bottom w:val="nil"/>
              <w:right w:val="nil"/>
            </w:tcBorders>
            <w:shd w:val="clear" w:color="000000" w:fill="FFFFFF"/>
            <w:noWrap/>
            <w:vAlign w:val="center"/>
            <w:hideMark/>
          </w:tcPr>
          <w:p w14:paraId="08E15BF3"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48912D0D"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178.214 </w:t>
            </w:r>
          </w:p>
        </w:tc>
      </w:tr>
      <w:tr w:rsidR="009E6CF2" w:rsidRPr="009E6CF2" w14:paraId="5BA69938"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5FF3D4F8"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Endeudamiento = Pasivo total / Patrimonio Neto</w:t>
            </w:r>
          </w:p>
        </w:tc>
        <w:tc>
          <w:tcPr>
            <w:tcW w:w="0" w:type="auto"/>
            <w:tcBorders>
              <w:top w:val="nil"/>
              <w:left w:val="nil"/>
              <w:bottom w:val="nil"/>
              <w:right w:val="nil"/>
            </w:tcBorders>
            <w:shd w:val="clear" w:color="000000" w:fill="FFFFFF"/>
            <w:noWrap/>
            <w:vAlign w:val="center"/>
            <w:hideMark/>
          </w:tcPr>
          <w:p w14:paraId="283E242F"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72FEDCBD"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28,60 </w:t>
            </w:r>
          </w:p>
        </w:tc>
        <w:tc>
          <w:tcPr>
            <w:tcW w:w="0" w:type="auto"/>
            <w:tcBorders>
              <w:top w:val="nil"/>
              <w:left w:val="nil"/>
              <w:bottom w:val="nil"/>
              <w:right w:val="nil"/>
            </w:tcBorders>
            <w:shd w:val="clear" w:color="000000" w:fill="FFFFFF"/>
            <w:noWrap/>
            <w:vAlign w:val="center"/>
            <w:hideMark/>
          </w:tcPr>
          <w:p w14:paraId="36672B4F"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2EF537DD"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41,97 </w:t>
            </w:r>
          </w:p>
        </w:tc>
        <w:tc>
          <w:tcPr>
            <w:tcW w:w="0" w:type="auto"/>
            <w:tcBorders>
              <w:top w:val="nil"/>
              <w:left w:val="nil"/>
              <w:bottom w:val="nil"/>
              <w:right w:val="nil"/>
            </w:tcBorders>
            <w:shd w:val="clear" w:color="000000" w:fill="FFFFFF"/>
            <w:noWrap/>
            <w:vAlign w:val="center"/>
            <w:hideMark/>
          </w:tcPr>
          <w:p w14:paraId="106CDBAD"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3B342CC7"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27,54 </w:t>
            </w:r>
          </w:p>
        </w:tc>
      </w:tr>
      <w:tr w:rsidR="009E6CF2" w:rsidRPr="009E6CF2" w14:paraId="5152900A" w14:textId="77777777" w:rsidTr="00DA6560">
        <w:trPr>
          <w:trHeight w:val="315"/>
          <w:jc w:val="center"/>
        </w:trPr>
        <w:tc>
          <w:tcPr>
            <w:tcW w:w="4739" w:type="dxa"/>
            <w:tcBorders>
              <w:top w:val="nil"/>
              <w:left w:val="nil"/>
              <w:bottom w:val="nil"/>
              <w:right w:val="nil"/>
            </w:tcBorders>
            <w:shd w:val="clear" w:color="000000" w:fill="FFFFFF"/>
            <w:noWrap/>
            <w:vAlign w:val="center"/>
            <w:hideMark/>
          </w:tcPr>
          <w:p w14:paraId="2150EBC3"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38715954"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nil"/>
              <w:right w:val="nil"/>
            </w:tcBorders>
            <w:shd w:val="clear" w:color="000000" w:fill="FFFFFF"/>
            <w:noWrap/>
            <w:vAlign w:val="center"/>
            <w:hideMark/>
          </w:tcPr>
          <w:p w14:paraId="6F7CBBE9"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1F41D607"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nil"/>
              <w:right w:val="nil"/>
            </w:tcBorders>
            <w:shd w:val="clear" w:color="000000" w:fill="FFFFFF"/>
            <w:noWrap/>
            <w:vAlign w:val="center"/>
            <w:hideMark/>
          </w:tcPr>
          <w:p w14:paraId="3BBC921A"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4C3DB4D4"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nil"/>
              <w:left w:val="nil"/>
              <w:bottom w:val="nil"/>
              <w:right w:val="nil"/>
            </w:tcBorders>
            <w:shd w:val="clear" w:color="000000" w:fill="FFFFFF"/>
            <w:noWrap/>
            <w:vAlign w:val="center"/>
            <w:hideMark/>
          </w:tcPr>
          <w:p w14:paraId="764F0A7F"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r>
      <w:tr w:rsidR="009E6CF2" w:rsidRPr="009E6CF2" w14:paraId="2CA6F9D8" w14:textId="77777777" w:rsidTr="00DA6560">
        <w:trPr>
          <w:trHeight w:val="315"/>
          <w:jc w:val="center"/>
        </w:trPr>
        <w:tc>
          <w:tcPr>
            <w:tcW w:w="473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76CAAAB" w14:textId="77777777" w:rsidR="009E6CF2" w:rsidRPr="009E6CF2" w:rsidRDefault="009E6CF2" w:rsidP="009E6CF2">
            <w:pPr>
              <w:spacing w:after="0" w:line="240" w:lineRule="auto"/>
              <w:jc w:val="both"/>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ENDEUDAMIENTO A CORTO PLAZO</w:t>
            </w:r>
          </w:p>
        </w:tc>
        <w:tc>
          <w:tcPr>
            <w:tcW w:w="0" w:type="auto"/>
            <w:tcBorders>
              <w:top w:val="nil"/>
              <w:left w:val="nil"/>
              <w:bottom w:val="nil"/>
              <w:right w:val="nil"/>
            </w:tcBorders>
            <w:shd w:val="clear" w:color="000000" w:fill="FFFFFF"/>
            <w:noWrap/>
            <w:vAlign w:val="center"/>
            <w:hideMark/>
          </w:tcPr>
          <w:p w14:paraId="4EDC568F"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5F19020" w14:textId="77777777" w:rsidR="009E6CF2" w:rsidRPr="009E6CF2" w:rsidRDefault="009E6CF2" w:rsidP="009E6CF2">
            <w:pPr>
              <w:spacing w:after="0" w:line="240" w:lineRule="auto"/>
              <w:jc w:val="center"/>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30/09/2019</w:t>
            </w:r>
          </w:p>
        </w:tc>
        <w:tc>
          <w:tcPr>
            <w:tcW w:w="0" w:type="auto"/>
            <w:tcBorders>
              <w:top w:val="nil"/>
              <w:left w:val="nil"/>
              <w:bottom w:val="nil"/>
              <w:right w:val="nil"/>
            </w:tcBorders>
            <w:shd w:val="clear" w:color="000000" w:fill="FFFFFF"/>
            <w:noWrap/>
            <w:vAlign w:val="center"/>
            <w:hideMark/>
          </w:tcPr>
          <w:p w14:paraId="4F331635"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5E7CF62" w14:textId="77777777" w:rsidR="009E6CF2" w:rsidRPr="009E6CF2" w:rsidRDefault="009E6CF2" w:rsidP="009E6CF2">
            <w:pPr>
              <w:spacing w:after="0" w:line="240" w:lineRule="auto"/>
              <w:jc w:val="center"/>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31/12/2018</w:t>
            </w:r>
          </w:p>
        </w:tc>
        <w:tc>
          <w:tcPr>
            <w:tcW w:w="0" w:type="auto"/>
            <w:tcBorders>
              <w:top w:val="nil"/>
              <w:left w:val="nil"/>
              <w:bottom w:val="nil"/>
              <w:right w:val="nil"/>
            </w:tcBorders>
            <w:shd w:val="clear" w:color="000000" w:fill="FFFFFF"/>
            <w:noWrap/>
            <w:vAlign w:val="center"/>
            <w:hideMark/>
          </w:tcPr>
          <w:p w14:paraId="590BE487"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84AE7AF" w14:textId="77777777" w:rsidR="009E6CF2" w:rsidRPr="009E6CF2" w:rsidRDefault="009E6CF2" w:rsidP="009E6CF2">
            <w:pPr>
              <w:spacing w:after="0" w:line="240" w:lineRule="auto"/>
              <w:jc w:val="center"/>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31/12/2018</w:t>
            </w:r>
          </w:p>
        </w:tc>
      </w:tr>
      <w:tr w:rsidR="009E6CF2" w:rsidRPr="009E6CF2" w14:paraId="6471736B"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1CCBA212"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Pasivo corriente</w:t>
            </w:r>
          </w:p>
        </w:tc>
        <w:tc>
          <w:tcPr>
            <w:tcW w:w="0" w:type="auto"/>
            <w:tcBorders>
              <w:top w:val="nil"/>
              <w:left w:val="nil"/>
              <w:bottom w:val="nil"/>
              <w:right w:val="nil"/>
            </w:tcBorders>
            <w:shd w:val="clear" w:color="000000" w:fill="FFFFFF"/>
            <w:noWrap/>
            <w:vAlign w:val="center"/>
            <w:hideMark/>
          </w:tcPr>
          <w:p w14:paraId="4B1554C5"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0C61E74E"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7.058.148 </w:t>
            </w:r>
          </w:p>
        </w:tc>
        <w:tc>
          <w:tcPr>
            <w:tcW w:w="0" w:type="auto"/>
            <w:tcBorders>
              <w:top w:val="nil"/>
              <w:left w:val="nil"/>
              <w:bottom w:val="nil"/>
              <w:right w:val="nil"/>
            </w:tcBorders>
            <w:shd w:val="clear" w:color="000000" w:fill="FFFFFF"/>
            <w:noWrap/>
            <w:vAlign w:val="center"/>
            <w:hideMark/>
          </w:tcPr>
          <w:p w14:paraId="22F357BB"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6C7963D8"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5.530.611 </w:t>
            </w:r>
          </w:p>
        </w:tc>
        <w:tc>
          <w:tcPr>
            <w:tcW w:w="0" w:type="auto"/>
            <w:tcBorders>
              <w:top w:val="nil"/>
              <w:left w:val="nil"/>
              <w:bottom w:val="nil"/>
              <w:right w:val="nil"/>
            </w:tcBorders>
            <w:shd w:val="clear" w:color="000000" w:fill="FFFFFF"/>
            <w:noWrap/>
            <w:vAlign w:val="center"/>
            <w:hideMark/>
          </w:tcPr>
          <w:p w14:paraId="07F8372E"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58698DCA" w14:textId="77777777" w:rsidR="009E6CF2" w:rsidRPr="009E6CF2" w:rsidRDefault="009E6CF2" w:rsidP="00DA6560">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4.633.182 </w:t>
            </w:r>
          </w:p>
        </w:tc>
      </w:tr>
      <w:tr w:rsidR="009E6CF2" w:rsidRPr="009E6CF2" w14:paraId="5A4E30E2"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6F65C56E"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Patrimonio Neto</w:t>
            </w:r>
          </w:p>
        </w:tc>
        <w:tc>
          <w:tcPr>
            <w:tcW w:w="0" w:type="auto"/>
            <w:tcBorders>
              <w:top w:val="nil"/>
              <w:left w:val="nil"/>
              <w:bottom w:val="nil"/>
              <w:right w:val="nil"/>
            </w:tcBorders>
            <w:shd w:val="clear" w:color="000000" w:fill="FFFFFF"/>
            <w:noWrap/>
            <w:vAlign w:val="center"/>
            <w:hideMark/>
          </w:tcPr>
          <w:p w14:paraId="2E540CF1"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69813651"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257.610 </w:t>
            </w:r>
          </w:p>
        </w:tc>
        <w:tc>
          <w:tcPr>
            <w:tcW w:w="0" w:type="auto"/>
            <w:tcBorders>
              <w:top w:val="nil"/>
              <w:left w:val="nil"/>
              <w:bottom w:val="nil"/>
              <w:right w:val="nil"/>
            </w:tcBorders>
            <w:shd w:val="clear" w:color="000000" w:fill="FFFFFF"/>
            <w:noWrap/>
            <w:vAlign w:val="center"/>
            <w:hideMark/>
          </w:tcPr>
          <w:p w14:paraId="1D0DA72E"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2FD35CD0"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137.395 </w:t>
            </w:r>
          </w:p>
        </w:tc>
        <w:tc>
          <w:tcPr>
            <w:tcW w:w="0" w:type="auto"/>
            <w:tcBorders>
              <w:top w:val="nil"/>
              <w:left w:val="nil"/>
              <w:bottom w:val="nil"/>
              <w:right w:val="nil"/>
            </w:tcBorders>
            <w:shd w:val="clear" w:color="000000" w:fill="FFFFFF"/>
            <w:noWrap/>
            <w:vAlign w:val="center"/>
            <w:hideMark/>
          </w:tcPr>
          <w:p w14:paraId="5A9C6DE1"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3E30342B"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178.214 </w:t>
            </w:r>
          </w:p>
        </w:tc>
      </w:tr>
      <w:tr w:rsidR="009E6CF2" w:rsidRPr="009E6CF2" w14:paraId="4A2D3BCB"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04B63116"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lastRenderedPageBreak/>
              <w:t>Endeudamiento a corto plazo = Pasivo total / Patrimonio Neto</w:t>
            </w:r>
          </w:p>
        </w:tc>
        <w:tc>
          <w:tcPr>
            <w:tcW w:w="0" w:type="auto"/>
            <w:tcBorders>
              <w:top w:val="nil"/>
              <w:left w:val="nil"/>
              <w:bottom w:val="nil"/>
              <w:right w:val="nil"/>
            </w:tcBorders>
            <w:shd w:val="clear" w:color="000000" w:fill="FFFFFF"/>
            <w:noWrap/>
            <w:vAlign w:val="center"/>
            <w:hideMark/>
          </w:tcPr>
          <w:p w14:paraId="5C85CA72"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13B44CC3"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27,40 </w:t>
            </w:r>
          </w:p>
        </w:tc>
        <w:tc>
          <w:tcPr>
            <w:tcW w:w="0" w:type="auto"/>
            <w:tcBorders>
              <w:top w:val="nil"/>
              <w:left w:val="nil"/>
              <w:bottom w:val="nil"/>
              <w:right w:val="nil"/>
            </w:tcBorders>
            <w:shd w:val="clear" w:color="000000" w:fill="FFFFFF"/>
            <w:noWrap/>
            <w:vAlign w:val="center"/>
            <w:hideMark/>
          </w:tcPr>
          <w:p w14:paraId="06F1840C"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7A638477"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40,25 </w:t>
            </w:r>
          </w:p>
        </w:tc>
        <w:tc>
          <w:tcPr>
            <w:tcW w:w="0" w:type="auto"/>
            <w:tcBorders>
              <w:top w:val="nil"/>
              <w:left w:val="nil"/>
              <w:bottom w:val="nil"/>
              <w:right w:val="nil"/>
            </w:tcBorders>
            <w:shd w:val="clear" w:color="000000" w:fill="FFFFFF"/>
            <w:noWrap/>
            <w:vAlign w:val="center"/>
            <w:hideMark/>
          </w:tcPr>
          <w:p w14:paraId="56DDCDB4"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162951A1"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26,00 </w:t>
            </w:r>
          </w:p>
        </w:tc>
      </w:tr>
      <w:tr w:rsidR="009E6CF2" w:rsidRPr="009E6CF2" w14:paraId="312617B7" w14:textId="77777777" w:rsidTr="00DA6560">
        <w:trPr>
          <w:trHeight w:val="315"/>
          <w:jc w:val="center"/>
        </w:trPr>
        <w:tc>
          <w:tcPr>
            <w:tcW w:w="4739" w:type="dxa"/>
            <w:tcBorders>
              <w:top w:val="nil"/>
              <w:left w:val="nil"/>
              <w:bottom w:val="nil"/>
              <w:right w:val="nil"/>
            </w:tcBorders>
            <w:shd w:val="clear" w:color="000000" w:fill="FFFFFF"/>
            <w:noWrap/>
            <w:vAlign w:val="center"/>
            <w:hideMark/>
          </w:tcPr>
          <w:p w14:paraId="445BBE53"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0EA15F5B"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nil"/>
              <w:right w:val="nil"/>
            </w:tcBorders>
            <w:shd w:val="clear" w:color="000000" w:fill="FFFFFF"/>
            <w:noWrap/>
            <w:vAlign w:val="center"/>
            <w:hideMark/>
          </w:tcPr>
          <w:p w14:paraId="5FD3DA6F"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5D6FACE3"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nil"/>
              <w:left w:val="nil"/>
              <w:bottom w:val="nil"/>
              <w:right w:val="nil"/>
            </w:tcBorders>
            <w:shd w:val="clear" w:color="000000" w:fill="FFFFFF"/>
            <w:noWrap/>
            <w:vAlign w:val="center"/>
            <w:hideMark/>
          </w:tcPr>
          <w:p w14:paraId="20487521"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16C245B6"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nil"/>
              <w:left w:val="nil"/>
              <w:bottom w:val="nil"/>
              <w:right w:val="nil"/>
            </w:tcBorders>
            <w:shd w:val="clear" w:color="000000" w:fill="FFFFFF"/>
            <w:noWrap/>
            <w:vAlign w:val="center"/>
            <w:hideMark/>
          </w:tcPr>
          <w:p w14:paraId="35F91EF9"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r>
      <w:tr w:rsidR="009E6CF2" w:rsidRPr="009E6CF2" w14:paraId="2D5A6C19" w14:textId="77777777" w:rsidTr="00DA6560">
        <w:trPr>
          <w:trHeight w:val="315"/>
          <w:jc w:val="center"/>
        </w:trPr>
        <w:tc>
          <w:tcPr>
            <w:tcW w:w="473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D68987B" w14:textId="77777777" w:rsidR="009E6CF2" w:rsidRPr="009E6CF2" w:rsidRDefault="009E6CF2" w:rsidP="009E6CF2">
            <w:pPr>
              <w:spacing w:after="0" w:line="240" w:lineRule="auto"/>
              <w:jc w:val="both"/>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APALANCAMIENTO</w:t>
            </w:r>
          </w:p>
        </w:tc>
        <w:tc>
          <w:tcPr>
            <w:tcW w:w="0" w:type="auto"/>
            <w:tcBorders>
              <w:top w:val="nil"/>
              <w:left w:val="nil"/>
              <w:bottom w:val="nil"/>
              <w:right w:val="nil"/>
            </w:tcBorders>
            <w:shd w:val="clear" w:color="000000" w:fill="FFFFFF"/>
            <w:noWrap/>
            <w:vAlign w:val="center"/>
            <w:hideMark/>
          </w:tcPr>
          <w:p w14:paraId="50AE67B8"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DCDF128" w14:textId="77777777" w:rsidR="009E6CF2" w:rsidRPr="009E6CF2" w:rsidRDefault="009E6CF2" w:rsidP="009E6CF2">
            <w:pPr>
              <w:spacing w:after="0" w:line="240" w:lineRule="auto"/>
              <w:jc w:val="center"/>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30/09/2019</w:t>
            </w:r>
          </w:p>
        </w:tc>
        <w:tc>
          <w:tcPr>
            <w:tcW w:w="0" w:type="auto"/>
            <w:tcBorders>
              <w:top w:val="nil"/>
              <w:left w:val="nil"/>
              <w:bottom w:val="nil"/>
              <w:right w:val="nil"/>
            </w:tcBorders>
            <w:shd w:val="clear" w:color="000000" w:fill="FFFFFF"/>
            <w:noWrap/>
            <w:vAlign w:val="center"/>
            <w:hideMark/>
          </w:tcPr>
          <w:p w14:paraId="70A97A46"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0C4BB1A" w14:textId="77777777" w:rsidR="009E6CF2" w:rsidRPr="009E6CF2" w:rsidRDefault="009E6CF2" w:rsidP="009E6CF2">
            <w:pPr>
              <w:spacing w:after="0" w:line="240" w:lineRule="auto"/>
              <w:jc w:val="center"/>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31/12/2018</w:t>
            </w:r>
          </w:p>
        </w:tc>
        <w:tc>
          <w:tcPr>
            <w:tcW w:w="0" w:type="auto"/>
            <w:tcBorders>
              <w:top w:val="nil"/>
              <w:left w:val="nil"/>
              <w:bottom w:val="nil"/>
              <w:right w:val="nil"/>
            </w:tcBorders>
            <w:shd w:val="clear" w:color="000000" w:fill="FFFFFF"/>
            <w:noWrap/>
            <w:vAlign w:val="center"/>
            <w:hideMark/>
          </w:tcPr>
          <w:p w14:paraId="064AAF0A"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7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A29B6E5" w14:textId="77777777" w:rsidR="009E6CF2" w:rsidRPr="009E6CF2" w:rsidRDefault="009E6CF2" w:rsidP="009E6CF2">
            <w:pPr>
              <w:spacing w:after="0" w:line="240" w:lineRule="auto"/>
              <w:jc w:val="center"/>
              <w:rPr>
                <w:rFonts w:ascii="Times New Roman" w:eastAsia="Times New Roman" w:hAnsi="Times New Roman"/>
                <w:b/>
                <w:bCs/>
                <w:color w:val="000000"/>
                <w:sz w:val="20"/>
                <w:szCs w:val="20"/>
                <w:lang w:eastAsia="es-AR"/>
              </w:rPr>
            </w:pPr>
            <w:r w:rsidRPr="009E6CF2">
              <w:rPr>
                <w:rFonts w:ascii="Times New Roman" w:eastAsia="Times New Roman" w:hAnsi="Times New Roman"/>
                <w:b/>
                <w:bCs/>
                <w:color w:val="000000"/>
                <w:sz w:val="20"/>
                <w:szCs w:val="20"/>
                <w:lang w:eastAsia="es-AR"/>
              </w:rPr>
              <w:t>31/12/2018</w:t>
            </w:r>
          </w:p>
        </w:tc>
      </w:tr>
      <w:tr w:rsidR="009E6CF2" w:rsidRPr="009E6CF2" w14:paraId="49F5BC82"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00F1CD22"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Activo total</w:t>
            </w:r>
          </w:p>
        </w:tc>
        <w:tc>
          <w:tcPr>
            <w:tcW w:w="0" w:type="auto"/>
            <w:tcBorders>
              <w:top w:val="nil"/>
              <w:left w:val="nil"/>
              <w:bottom w:val="nil"/>
              <w:right w:val="nil"/>
            </w:tcBorders>
            <w:shd w:val="clear" w:color="000000" w:fill="FFFFFF"/>
            <w:noWrap/>
            <w:vAlign w:val="center"/>
            <w:hideMark/>
          </w:tcPr>
          <w:p w14:paraId="575740DB"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495FF18B"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7.625.624 </w:t>
            </w:r>
          </w:p>
        </w:tc>
        <w:tc>
          <w:tcPr>
            <w:tcW w:w="0" w:type="auto"/>
            <w:tcBorders>
              <w:top w:val="nil"/>
              <w:left w:val="nil"/>
              <w:bottom w:val="nil"/>
              <w:right w:val="nil"/>
            </w:tcBorders>
            <w:shd w:val="clear" w:color="000000" w:fill="FFFFFF"/>
            <w:noWrap/>
            <w:vAlign w:val="center"/>
            <w:hideMark/>
          </w:tcPr>
          <w:p w14:paraId="00C23A97"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364E6535"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5.904.101 </w:t>
            </w:r>
          </w:p>
        </w:tc>
        <w:tc>
          <w:tcPr>
            <w:tcW w:w="0" w:type="auto"/>
            <w:tcBorders>
              <w:top w:val="nil"/>
              <w:left w:val="nil"/>
              <w:bottom w:val="nil"/>
              <w:right w:val="nil"/>
            </w:tcBorders>
            <w:shd w:val="clear" w:color="000000" w:fill="FFFFFF"/>
            <w:noWrap/>
            <w:vAlign w:val="center"/>
            <w:hideMark/>
          </w:tcPr>
          <w:p w14:paraId="788D7E7D"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673A7DB7" w14:textId="77777777" w:rsidR="009E6CF2" w:rsidRPr="009E6CF2" w:rsidRDefault="009E6CF2" w:rsidP="00DA6560">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5.086.158 </w:t>
            </w:r>
          </w:p>
        </w:tc>
      </w:tr>
      <w:tr w:rsidR="009E6CF2" w:rsidRPr="009E6CF2" w14:paraId="1BC88471"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734D97B2"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Patrimonio Neto</w:t>
            </w:r>
          </w:p>
        </w:tc>
        <w:tc>
          <w:tcPr>
            <w:tcW w:w="0" w:type="auto"/>
            <w:tcBorders>
              <w:top w:val="nil"/>
              <w:left w:val="nil"/>
              <w:bottom w:val="nil"/>
              <w:right w:val="nil"/>
            </w:tcBorders>
            <w:shd w:val="clear" w:color="000000" w:fill="FFFFFF"/>
            <w:noWrap/>
            <w:vAlign w:val="center"/>
            <w:hideMark/>
          </w:tcPr>
          <w:p w14:paraId="02C18B04"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55FEDBF6"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257.610 </w:t>
            </w:r>
          </w:p>
        </w:tc>
        <w:tc>
          <w:tcPr>
            <w:tcW w:w="0" w:type="auto"/>
            <w:tcBorders>
              <w:top w:val="nil"/>
              <w:left w:val="nil"/>
              <w:bottom w:val="nil"/>
              <w:right w:val="nil"/>
            </w:tcBorders>
            <w:shd w:val="clear" w:color="000000" w:fill="FFFFFF"/>
            <w:noWrap/>
            <w:vAlign w:val="center"/>
            <w:hideMark/>
          </w:tcPr>
          <w:p w14:paraId="2D495F76"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72DFFC58"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137.395 </w:t>
            </w:r>
          </w:p>
        </w:tc>
        <w:tc>
          <w:tcPr>
            <w:tcW w:w="0" w:type="auto"/>
            <w:tcBorders>
              <w:top w:val="nil"/>
              <w:left w:val="nil"/>
              <w:bottom w:val="nil"/>
              <w:right w:val="nil"/>
            </w:tcBorders>
            <w:shd w:val="clear" w:color="000000" w:fill="FFFFFF"/>
            <w:noWrap/>
            <w:vAlign w:val="center"/>
            <w:hideMark/>
          </w:tcPr>
          <w:p w14:paraId="15E0AAF1"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670A9379"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178.214 </w:t>
            </w:r>
          </w:p>
        </w:tc>
      </w:tr>
      <w:tr w:rsidR="009E6CF2" w:rsidRPr="009E6CF2" w14:paraId="415B01A6" w14:textId="77777777" w:rsidTr="00DA6560">
        <w:trPr>
          <w:trHeight w:val="255"/>
          <w:jc w:val="center"/>
        </w:trPr>
        <w:tc>
          <w:tcPr>
            <w:tcW w:w="4739" w:type="dxa"/>
            <w:tcBorders>
              <w:top w:val="nil"/>
              <w:left w:val="nil"/>
              <w:bottom w:val="nil"/>
              <w:right w:val="nil"/>
            </w:tcBorders>
            <w:shd w:val="clear" w:color="000000" w:fill="FFFFFF"/>
            <w:noWrap/>
            <w:vAlign w:val="center"/>
            <w:hideMark/>
          </w:tcPr>
          <w:p w14:paraId="768DA3B6" w14:textId="77777777" w:rsidR="009E6CF2" w:rsidRPr="009E6CF2" w:rsidRDefault="009E6CF2" w:rsidP="009E6CF2">
            <w:pPr>
              <w:spacing w:after="0" w:line="240" w:lineRule="auto"/>
              <w:jc w:val="both"/>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Apalancamiento = Activo total / Patrimonio Neto</w:t>
            </w:r>
          </w:p>
        </w:tc>
        <w:tc>
          <w:tcPr>
            <w:tcW w:w="0" w:type="auto"/>
            <w:tcBorders>
              <w:top w:val="nil"/>
              <w:left w:val="nil"/>
              <w:bottom w:val="nil"/>
              <w:right w:val="nil"/>
            </w:tcBorders>
            <w:shd w:val="clear" w:color="000000" w:fill="FFFFFF"/>
            <w:noWrap/>
            <w:vAlign w:val="center"/>
            <w:hideMark/>
          </w:tcPr>
          <w:p w14:paraId="32CE73F4"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354334C7"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29,60 </w:t>
            </w:r>
          </w:p>
        </w:tc>
        <w:tc>
          <w:tcPr>
            <w:tcW w:w="0" w:type="auto"/>
            <w:tcBorders>
              <w:top w:val="nil"/>
              <w:left w:val="nil"/>
              <w:bottom w:val="nil"/>
              <w:right w:val="nil"/>
            </w:tcBorders>
            <w:shd w:val="clear" w:color="000000" w:fill="FFFFFF"/>
            <w:noWrap/>
            <w:vAlign w:val="center"/>
            <w:hideMark/>
          </w:tcPr>
          <w:p w14:paraId="6E4C87AA"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0" w:type="auto"/>
            <w:tcBorders>
              <w:top w:val="nil"/>
              <w:left w:val="nil"/>
              <w:bottom w:val="nil"/>
              <w:right w:val="nil"/>
            </w:tcBorders>
            <w:shd w:val="clear" w:color="000000" w:fill="FFFFFF"/>
            <w:noWrap/>
            <w:vAlign w:val="center"/>
            <w:hideMark/>
          </w:tcPr>
          <w:p w14:paraId="08FD68A4"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42,97 </w:t>
            </w:r>
          </w:p>
        </w:tc>
        <w:tc>
          <w:tcPr>
            <w:tcW w:w="0" w:type="auto"/>
            <w:tcBorders>
              <w:top w:val="nil"/>
              <w:left w:val="nil"/>
              <w:bottom w:val="nil"/>
              <w:right w:val="nil"/>
            </w:tcBorders>
            <w:shd w:val="clear" w:color="000000" w:fill="FFFFFF"/>
            <w:noWrap/>
            <w:vAlign w:val="center"/>
            <w:hideMark/>
          </w:tcPr>
          <w:p w14:paraId="7CA413FF" w14:textId="77777777" w:rsidR="009E6CF2" w:rsidRPr="009E6CF2" w:rsidRDefault="009E6CF2" w:rsidP="009E6CF2">
            <w:pPr>
              <w:spacing w:after="0" w:line="240" w:lineRule="auto"/>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w:t>
            </w:r>
          </w:p>
        </w:tc>
        <w:tc>
          <w:tcPr>
            <w:tcW w:w="1734" w:type="dxa"/>
            <w:tcBorders>
              <w:top w:val="nil"/>
              <w:left w:val="nil"/>
              <w:bottom w:val="nil"/>
              <w:right w:val="nil"/>
            </w:tcBorders>
            <w:shd w:val="clear" w:color="000000" w:fill="FFFFFF"/>
            <w:noWrap/>
            <w:vAlign w:val="center"/>
            <w:hideMark/>
          </w:tcPr>
          <w:p w14:paraId="3DA01539" w14:textId="77777777" w:rsidR="009E6CF2" w:rsidRPr="009E6CF2" w:rsidRDefault="009E6CF2" w:rsidP="009E6CF2">
            <w:pPr>
              <w:spacing w:after="0" w:line="240" w:lineRule="auto"/>
              <w:jc w:val="right"/>
              <w:rPr>
                <w:rFonts w:ascii="Times New Roman" w:eastAsia="Times New Roman" w:hAnsi="Times New Roman"/>
                <w:color w:val="000000"/>
                <w:sz w:val="20"/>
                <w:szCs w:val="20"/>
                <w:lang w:eastAsia="es-AR"/>
              </w:rPr>
            </w:pPr>
            <w:r w:rsidRPr="009E6CF2">
              <w:rPr>
                <w:rFonts w:ascii="Times New Roman" w:eastAsia="Times New Roman" w:hAnsi="Times New Roman"/>
                <w:color w:val="000000"/>
                <w:sz w:val="20"/>
                <w:szCs w:val="20"/>
                <w:lang w:eastAsia="es-AR"/>
              </w:rPr>
              <w:t xml:space="preserve">                     28,54 </w:t>
            </w:r>
          </w:p>
        </w:tc>
      </w:tr>
    </w:tbl>
    <w:p w14:paraId="2483B7D8" w14:textId="7FCF3124" w:rsidR="00D44219" w:rsidRDefault="00D44219" w:rsidP="00230365">
      <w:pPr>
        <w:keepNext/>
        <w:keepLines/>
        <w:spacing w:after="0"/>
        <w:jc w:val="both"/>
        <w:rPr>
          <w:rFonts w:eastAsia="Times New Roman"/>
          <w:b/>
          <w:sz w:val="20"/>
          <w:szCs w:val="24"/>
          <w:u w:val="single"/>
          <w:lang w:eastAsia="es-ES"/>
        </w:rPr>
      </w:pPr>
    </w:p>
    <w:p w14:paraId="01E6249D" w14:textId="77777777" w:rsidR="00230365" w:rsidRDefault="00230365" w:rsidP="00DA6560">
      <w:pPr>
        <w:keepNext/>
        <w:keepLines/>
        <w:spacing w:after="0"/>
        <w:jc w:val="both"/>
        <w:rPr>
          <w:rFonts w:eastAsia="Times New Roman"/>
          <w:b/>
          <w:sz w:val="20"/>
          <w:szCs w:val="24"/>
          <w:u w:val="single"/>
          <w:lang w:eastAsia="es-ES"/>
        </w:rPr>
      </w:pPr>
    </w:p>
    <w:p w14:paraId="75173EB3" w14:textId="77777777" w:rsidR="00230365" w:rsidRDefault="00230365" w:rsidP="00230365">
      <w:pPr>
        <w:keepLines/>
        <w:spacing w:after="0"/>
        <w:jc w:val="both"/>
        <w:rPr>
          <w:rFonts w:eastAsia="Times New Roman"/>
          <w:i/>
          <w:sz w:val="20"/>
          <w:szCs w:val="24"/>
          <w:lang w:eastAsia="es-ES"/>
        </w:rPr>
      </w:pPr>
      <w:r w:rsidRPr="003E7C97">
        <w:rPr>
          <w:rFonts w:eastAsia="Times New Roman"/>
          <w:i/>
          <w:sz w:val="20"/>
          <w:szCs w:val="24"/>
          <w:lang w:eastAsia="es-ES"/>
        </w:rPr>
        <w:t>Capitalización y endeudamiento</w:t>
      </w:r>
    </w:p>
    <w:p w14:paraId="1AED2610" w14:textId="77777777" w:rsidR="00A56AD0" w:rsidRDefault="00A56AD0" w:rsidP="00230365">
      <w:pPr>
        <w:keepLines/>
        <w:spacing w:after="0"/>
        <w:jc w:val="both"/>
        <w:rPr>
          <w:rFonts w:eastAsia="Times New Roman"/>
          <w:i/>
          <w:sz w:val="20"/>
          <w:szCs w:val="24"/>
          <w:lang w:eastAsia="es-ES"/>
        </w:rPr>
      </w:pPr>
    </w:p>
    <w:p w14:paraId="16D9EEA2" w14:textId="2A46DCF5" w:rsidR="00A56AD0" w:rsidRPr="005A058D" w:rsidRDefault="00A56AD0" w:rsidP="00A56AD0">
      <w:pPr>
        <w:keepLines/>
        <w:spacing w:after="0"/>
        <w:jc w:val="center"/>
        <w:rPr>
          <w:rFonts w:eastAsia="Times New Roman"/>
          <w:b/>
          <w:sz w:val="20"/>
          <w:szCs w:val="24"/>
          <w:lang w:eastAsia="es-ES"/>
        </w:rPr>
      </w:pPr>
      <w:r w:rsidRPr="005A058D">
        <w:rPr>
          <w:rFonts w:eastAsia="Times New Roman"/>
          <w:b/>
          <w:sz w:val="20"/>
          <w:szCs w:val="24"/>
          <w:lang w:eastAsia="es-ES"/>
        </w:rPr>
        <w:t>ESTADO CAPITAL SOCIAL</w:t>
      </w:r>
    </w:p>
    <w:p w14:paraId="029ACCCB" w14:textId="6F1980BB" w:rsidR="00A56AD0" w:rsidRPr="005A058D" w:rsidRDefault="005A058D" w:rsidP="00A56AD0">
      <w:pPr>
        <w:keepLines/>
        <w:spacing w:after="0"/>
        <w:jc w:val="center"/>
        <w:rPr>
          <w:rFonts w:eastAsia="Times New Roman"/>
          <w:b/>
          <w:sz w:val="20"/>
          <w:szCs w:val="24"/>
          <w:lang w:eastAsia="es-ES"/>
        </w:rPr>
      </w:pPr>
      <w:r>
        <w:rPr>
          <w:rFonts w:eastAsia="Times New Roman"/>
          <w:b/>
          <w:sz w:val="20"/>
          <w:szCs w:val="24"/>
          <w:lang w:eastAsia="es-ES"/>
        </w:rPr>
        <w:t xml:space="preserve">Correspondiente al período de </w:t>
      </w:r>
      <w:r w:rsidR="00DA6560">
        <w:rPr>
          <w:rFonts w:eastAsia="Times New Roman"/>
          <w:b/>
          <w:sz w:val="20"/>
          <w:szCs w:val="24"/>
          <w:lang w:eastAsia="es-ES"/>
        </w:rPr>
        <w:t xml:space="preserve">nueve </w:t>
      </w:r>
      <w:r>
        <w:rPr>
          <w:rFonts w:eastAsia="Times New Roman"/>
          <w:b/>
          <w:sz w:val="20"/>
          <w:szCs w:val="24"/>
          <w:lang w:eastAsia="es-ES"/>
        </w:rPr>
        <w:t>meses finalizado a</w:t>
      </w:r>
      <w:r w:rsidR="00A56AD0" w:rsidRPr="005A058D">
        <w:rPr>
          <w:rFonts w:eastAsia="Times New Roman"/>
          <w:b/>
          <w:sz w:val="20"/>
          <w:szCs w:val="24"/>
          <w:lang w:eastAsia="es-ES"/>
        </w:rPr>
        <w:t xml:space="preserve">l 30 de </w:t>
      </w:r>
      <w:r w:rsidR="00F4294D">
        <w:rPr>
          <w:rFonts w:eastAsia="Times New Roman"/>
          <w:b/>
          <w:sz w:val="20"/>
          <w:szCs w:val="24"/>
          <w:lang w:eastAsia="es-ES"/>
        </w:rPr>
        <w:t>septiembre</w:t>
      </w:r>
      <w:r w:rsidR="00F4294D" w:rsidRPr="005A058D">
        <w:rPr>
          <w:rFonts w:eastAsia="Times New Roman"/>
          <w:b/>
          <w:sz w:val="20"/>
          <w:szCs w:val="24"/>
          <w:lang w:eastAsia="es-ES"/>
        </w:rPr>
        <w:t xml:space="preserve"> </w:t>
      </w:r>
      <w:r w:rsidR="00A56AD0" w:rsidRPr="005A058D">
        <w:rPr>
          <w:rFonts w:eastAsia="Times New Roman"/>
          <w:b/>
          <w:sz w:val="20"/>
          <w:szCs w:val="24"/>
          <w:lang w:eastAsia="es-ES"/>
        </w:rPr>
        <w:t>de 2019</w:t>
      </w:r>
    </w:p>
    <w:p w14:paraId="690EE111" w14:textId="65FE2A91" w:rsidR="00A56AD0" w:rsidRPr="005A058D" w:rsidRDefault="005A058D" w:rsidP="00A56AD0">
      <w:pPr>
        <w:keepLines/>
        <w:spacing w:after="0"/>
        <w:jc w:val="center"/>
        <w:rPr>
          <w:rFonts w:eastAsia="Times New Roman"/>
          <w:b/>
          <w:sz w:val="20"/>
          <w:szCs w:val="24"/>
          <w:lang w:eastAsia="es-ES"/>
        </w:rPr>
      </w:pPr>
      <w:r>
        <w:rPr>
          <w:rFonts w:eastAsia="Times New Roman"/>
          <w:b/>
          <w:sz w:val="20"/>
          <w:szCs w:val="24"/>
          <w:lang w:eastAsia="es-ES"/>
        </w:rPr>
        <w:t>(c</w:t>
      </w:r>
      <w:r w:rsidR="00A56AD0" w:rsidRPr="005A058D">
        <w:rPr>
          <w:rFonts w:eastAsia="Times New Roman"/>
          <w:b/>
          <w:sz w:val="20"/>
          <w:szCs w:val="24"/>
          <w:lang w:eastAsia="es-ES"/>
        </w:rPr>
        <w:t>ifras expresadas en miles de pesos</w:t>
      </w:r>
      <w:r>
        <w:rPr>
          <w:rFonts w:eastAsia="Times New Roman"/>
          <w:b/>
          <w:sz w:val="20"/>
          <w:szCs w:val="24"/>
          <w:lang w:eastAsia="es-ES"/>
        </w:rPr>
        <w:t>)</w:t>
      </w:r>
    </w:p>
    <w:p w14:paraId="0EE9049B" w14:textId="07021681" w:rsidR="005A058D" w:rsidRDefault="005A058D" w:rsidP="005A058D">
      <w:pPr>
        <w:keepLines/>
        <w:spacing w:after="0"/>
        <w:jc w:val="center"/>
        <w:rPr>
          <w:rFonts w:eastAsia="Times New Roman"/>
          <w:i/>
          <w:sz w:val="20"/>
          <w:szCs w:val="20"/>
          <w:lang w:eastAsia="es-ES"/>
        </w:rPr>
      </w:pPr>
    </w:p>
    <w:tbl>
      <w:tblPr>
        <w:tblW w:w="6642" w:type="dxa"/>
        <w:jc w:val="center"/>
        <w:tblCellMar>
          <w:left w:w="70" w:type="dxa"/>
          <w:right w:w="70" w:type="dxa"/>
        </w:tblCellMar>
        <w:tblLook w:val="04A0" w:firstRow="1" w:lastRow="0" w:firstColumn="1" w:lastColumn="0" w:noHBand="0" w:noVBand="1"/>
      </w:tblPr>
      <w:tblGrid>
        <w:gridCol w:w="4613"/>
        <w:gridCol w:w="195"/>
        <w:gridCol w:w="1834"/>
      </w:tblGrid>
      <w:tr w:rsidR="009E6CF2" w:rsidRPr="009E6CF2" w14:paraId="77DFD257" w14:textId="77777777" w:rsidTr="00DA6560">
        <w:trPr>
          <w:trHeight w:val="300"/>
          <w:jc w:val="center"/>
        </w:trPr>
        <w:tc>
          <w:tcPr>
            <w:tcW w:w="4613" w:type="dxa"/>
            <w:tcBorders>
              <w:top w:val="nil"/>
              <w:left w:val="nil"/>
              <w:bottom w:val="nil"/>
              <w:right w:val="nil"/>
            </w:tcBorders>
            <w:shd w:val="clear" w:color="000000" w:fill="FFFFFF"/>
            <w:noWrap/>
            <w:vAlign w:val="center"/>
            <w:hideMark/>
          </w:tcPr>
          <w:p w14:paraId="3AFCC967"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95" w:type="dxa"/>
            <w:tcBorders>
              <w:top w:val="nil"/>
              <w:left w:val="nil"/>
              <w:bottom w:val="nil"/>
              <w:right w:val="nil"/>
            </w:tcBorders>
            <w:shd w:val="clear" w:color="000000" w:fill="FFFFFF"/>
            <w:noWrap/>
            <w:vAlign w:val="center"/>
            <w:hideMark/>
          </w:tcPr>
          <w:p w14:paraId="0EC73F6D"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834" w:type="dxa"/>
            <w:tcBorders>
              <w:top w:val="nil"/>
              <w:left w:val="nil"/>
              <w:bottom w:val="nil"/>
              <w:right w:val="nil"/>
            </w:tcBorders>
            <w:shd w:val="clear" w:color="000000" w:fill="FFFFFF"/>
            <w:noWrap/>
            <w:vAlign w:val="center"/>
            <w:hideMark/>
          </w:tcPr>
          <w:p w14:paraId="0CD8E542"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r>
      <w:tr w:rsidR="009E6CF2" w:rsidRPr="009E6CF2" w14:paraId="77A981E3" w14:textId="77777777" w:rsidTr="00DA6560">
        <w:trPr>
          <w:trHeight w:val="300"/>
          <w:jc w:val="center"/>
        </w:trPr>
        <w:tc>
          <w:tcPr>
            <w:tcW w:w="4613" w:type="dxa"/>
            <w:tcBorders>
              <w:top w:val="nil"/>
              <w:left w:val="nil"/>
              <w:bottom w:val="nil"/>
              <w:right w:val="nil"/>
            </w:tcBorders>
            <w:shd w:val="clear" w:color="000000" w:fill="FFFFFF"/>
            <w:noWrap/>
            <w:vAlign w:val="center"/>
            <w:hideMark/>
          </w:tcPr>
          <w:p w14:paraId="60954ABD"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95" w:type="dxa"/>
            <w:tcBorders>
              <w:top w:val="nil"/>
              <w:left w:val="nil"/>
              <w:bottom w:val="nil"/>
              <w:right w:val="nil"/>
            </w:tcBorders>
            <w:shd w:val="clear" w:color="000000" w:fill="FFFFFF"/>
            <w:noWrap/>
            <w:vAlign w:val="center"/>
            <w:hideMark/>
          </w:tcPr>
          <w:p w14:paraId="5A612DAB"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834" w:type="dxa"/>
            <w:tcBorders>
              <w:top w:val="nil"/>
              <w:left w:val="nil"/>
              <w:bottom w:val="nil"/>
              <w:right w:val="nil"/>
            </w:tcBorders>
            <w:shd w:val="clear" w:color="000000" w:fill="FFFFFF"/>
            <w:noWrap/>
            <w:vAlign w:val="center"/>
            <w:hideMark/>
          </w:tcPr>
          <w:p w14:paraId="5D21E05F" w14:textId="77777777" w:rsidR="009E6CF2" w:rsidRPr="009E6CF2" w:rsidRDefault="009E6CF2" w:rsidP="009E6CF2">
            <w:pPr>
              <w:spacing w:after="0" w:line="240" w:lineRule="auto"/>
              <w:rPr>
                <w:rFonts w:ascii="Times New Roman" w:eastAsia="Times New Roman" w:hAnsi="Times New Roman"/>
                <w:b/>
                <w:bCs/>
                <w:lang w:eastAsia="es-AR"/>
              </w:rPr>
            </w:pPr>
            <w:r w:rsidRPr="009E6CF2">
              <w:rPr>
                <w:rFonts w:ascii="Times New Roman" w:eastAsia="Times New Roman" w:hAnsi="Times New Roman"/>
                <w:b/>
                <w:bCs/>
                <w:lang w:eastAsia="es-AR"/>
              </w:rPr>
              <w:t>Capital Social</w:t>
            </w:r>
          </w:p>
        </w:tc>
      </w:tr>
      <w:tr w:rsidR="009E6CF2" w:rsidRPr="009E6CF2" w14:paraId="654DB2FF" w14:textId="77777777" w:rsidTr="00DA6560">
        <w:trPr>
          <w:trHeight w:val="225"/>
          <w:jc w:val="center"/>
        </w:trPr>
        <w:tc>
          <w:tcPr>
            <w:tcW w:w="4613" w:type="dxa"/>
            <w:tcBorders>
              <w:top w:val="nil"/>
              <w:left w:val="nil"/>
              <w:bottom w:val="nil"/>
              <w:right w:val="nil"/>
            </w:tcBorders>
            <w:shd w:val="clear" w:color="000000" w:fill="FFFFFF"/>
            <w:noWrap/>
            <w:vAlign w:val="center"/>
            <w:hideMark/>
          </w:tcPr>
          <w:p w14:paraId="3CE8D874" w14:textId="77777777" w:rsidR="009E6CF2" w:rsidRPr="009E6CF2" w:rsidRDefault="009E6CF2" w:rsidP="009E6CF2">
            <w:pPr>
              <w:spacing w:after="0" w:line="240" w:lineRule="auto"/>
              <w:rPr>
                <w:rFonts w:ascii="Times New Roman" w:eastAsia="Times New Roman" w:hAnsi="Times New Roman"/>
                <w:color w:val="000000"/>
                <w:sz w:val="16"/>
                <w:szCs w:val="16"/>
                <w:lang w:eastAsia="es-AR"/>
              </w:rPr>
            </w:pPr>
            <w:r w:rsidRPr="009E6CF2">
              <w:rPr>
                <w:rFonts w:ascii="Times New Roman" w:eastAsia="Times New Roman" w:hAnsi="Times New Roman"/>
                <w:color w:val="000000"/>
                <w:sz w:val="16"/>
                <w:szCs w:val="16"/>
                <w:lang w:eastAsia="es-AR"/>
              </w:rPr>
              <w:t> </w:t>
            </w:r>
          </w:p>
        </w:tc>
        <w:tc>
          <w:tcPr>
            <w:tcW w:w="195" w:type="dxa"/>
            <w:tcBorders>
              <w:top w:val="nil"/>
              <w:left w:val="nil"/>
              <w:bottom w:val="nil"/>
              <w:right w:val="nil"/>
            </w:tcBorders>
            <w:shd w:val="clear" w:color="000000" w:fill="FFFFFF"/>
            <w:noWrap/>
            <w:vAlign w:val="center"/>
            <w:hideMark/>
          </w:tcPr>
          <w:p w14:paraId="4BC49EB3" w14:textId="77777777" w:rsidR="009E6CF2" w:rsidRPr="009E6CF2" w:rsidRDefault="009E6CF2" w:rsidP="009E6CF2">
            <w:pPr>
              <w:spacing w:after="0" w:line="240" w:lineRule="auto"/>
              <w:rPr>
                <w:rFonts w:ascii="Times New Roman" w:eastAsia="Times New Roman" w:hAnsi="Times New Roman"/>
                <w:color w:val="000000"/>
                <w:sz w:val="16"/>
                <w:szCs w:val="16"/>
                <w:lang w:eastAsia="es-AR"/>
              </w:rPr>
            </w:pPr>
            <w:r w:rsidRPr="009E6CF2">
              <w:rPr>
                <w:rFonts w:ascii="Times New Roman" w:eastAsia="Times New Roman" w:hAnsi="Times New Roman"/>
                <w:color w:val="000000"/>
                <w:sz w:val="16"/>
                <w:szCs w:val="16"/>
                <w:lang w:eastAsia="es-AR"/>
              </w:rPr>
              <w:t> </w:t>
            </w:r>
          </w:p>
        </w:tc>
        <w:tc>
          <w:tcPr>
            <w:tcW w:w="1834" w:type="dxa"/>
            <w:tcBorders>
              <w:top w:val="nil"/>
              <w:left w:val="nil"/>
              <w:bottom w:val="nil"/>
              <w:right w:val="nil"/>
            </w:tcBorders>
            <w:shd w:val="clear" w:color="000000" w:fill="FFFFFF"/>
            <w:noWrap/>
            <w:vAlign w:val="center"/>
            <w:hideMark/>
          </w:tcPr>
          <w:p w14:paraId="51091A95" w14:textId="77777777" w:rsidR="009E6CF2" w:rsidRPr="009E6CF2" w:rsidRDefault="009E6CF2" w:rsidP="009E6CF2">
            <w:pPr>
              <w:spacing w:after="0" w:line="240" w:lineRule="auto"/>
              <w:rPr>
                <w:rFonts w:ascii="Times New Roman" w:eastAsia="Times New Roman" w:hAnsi="Times New Roman"/>
                <w:color w:val="000000"/>
                <w:sz w:val="16"/>
                <w:szCs w:val="16"/>
                <w:lang w:eastAsia="es-AR"/>
              </w:rPr>
            </w:pPr>
            <w:r w:rsidRPr="009E6CF2">
              <w:rPr>
                <w:rFonts w:ascii="Times New Roman" w:eastAsia="Times New Roman" w:hAnsi="Times New Roman"/>
                <w:color w:val="000000"/>
                <w:sz w:val="16"/>
                <w:szCs w:val="16"/>
                <w:lang w:eastAsia="es-AR"/>
              </w:rPr>
              <w:t> </w:t>
            </w:r>
          </w:p>
        </w:tc>
      </w:tr>
      <w:tr w:rsidR="009E6CF2" w:rsidRPr="009E6CF2" w14:paraId="5EA93FC3" w14:textId="77777777" w:rsidTr="00DA6560">
        <w:trPr>
          <w:trHeight w:val="240"/>
          <w:jc w:val="center"/>
        </w:trPr>
        <w:tc>
          <w:tcPr>
            <w:tcW w:w="4613" w:type="dxa"/>
            <w:tcBorders>
              <w:top w:val="nil"/>
              <w:left w:val="nil"/>
              <w:bottom w:val="nil"/>
              <w:right w:val="nil"/>
            </w:tcBorders>
            <w:shd w:val="clear" w:color="000000" w:fill="FFFFFF"/>
            <w:noWrap/>
            <w:vAlign w:val="center"/>
            <w:hideMark/>
          </w:tcPr>
          <w:p w14:paraId="70D8DDEA"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Saldos al 31 de diciembre de 2018</w:t>
            </w:r>
          </w:p>
        </w:tc>
        <w:tc>
          <w:tcPr>
            <w:tcW w:w="195" w:type="dxa"/>
            <w:tcBorders>
              <w:top w:val="nil"/>
              <w:left w:val="nil"/>
              <w:bottom w:val="nil"/>
              <w:right w:val="nil"/>
            </w:tcBorders>
            <w:shd w:val="clear" w:color="000000" w:fill="FFFFFF"/>
            <w:noWrap/>
            <w:vAlign w:val="center"/>
            <w:hideMark/>
          </w:tcPr>
          <w:p w14:paraId="4AC64ED2"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834" w:type="dxa"/>
            <w:tcBorders>
              <w:top w:val="nil"/>
              <w:left w:val="nil"/>
              <w:bottom w:val="nil"/>
              <w:right w:val="nil"/>
            </w:tcBorders>
            <w:shd w:val="clear" w:color="000000" w:fill="FFFFFF"/>
            <w:noWrap/>
            <w:vAlign w:val="center"/>
            <w:hideMark/>
          </w:tcPr>
          <w:p w14:paraId="34CAAF06"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xml:space="preserve">                 386.200 </w:t>
            </w:r>
          </w:p>
        </w:tc>
      </w:tr>
      <w:tr w:rsidR="009E6CF2" w:rsidRPr="009E6CF2" w14:paraId="3C9FE2F3" w14:textId="77777777" w:rsidTr="00DA6560">
        <w:trPr>
          <w:trHeight w:val="225"/>
          <w:jc w:val="center"/>
        </w:trPr>
        <w:tc>
          <w:tcPr>
            <w:tcW w:w="4613" w:type="dxa"/>
            <w:tcBorders>
              <w:top w:val="nil"/>
              <w:left w:val="nil"/>
              <w:bottom w:val="nil"/>
              <w:right w:val="nil"/>
            </w:tcBorders>
            <w:shd w:val="clear" w:color="000000" w:fill="FFFFFF"/>
            <w:noWrap/>
            <w:vAlign w:val="center"/>
            <w:hideMark/>
          </w:tcPr>
          <w:p w14:paraId="1DFFF9BA" w14:textId="77777777" w:rsidR="009E6CF2" w:rsidRPr="009E6CF2" w:rsidRDefault="009E6CF2" w:rsidP="009E6CF2">
            <w:pPr>
              <w:spacing w:after="0" w:line="240" w:lineRule="auto"/>
              <w:rPr>
                <w:rFonts w:ascii="Times New Roman" w:eastAsia="Times New Roman" w:hAnsi="Times New Roman"/>
                <w:color w:val="000000"/>
                <w:sz w:val="16"/>
                <w:szCs w:val="16"/>
                <w:lang w:eastAsia="es-AR"/>
              </w:rPr>
            </w:pPr>
            <w:r w:rsidRPr="009E6CF2">
              <w:rPr>
                <w:rFonts w:ascii="Times New Roman" w:eastAsia="Times New Roman" w:hAnsi="Times New Roman"/>
                <w:color w:val="000000"/>
                <w:sz w:val="16"/>
                <w:szCs w:val="16"/>
                <w:lang w:eastAsia="es-AR"/>
              </w:rPr>
              <w:t> </w:t>
            </w:r>
          </w:p>
        </w:tc>
        <w:tc>
          <w:tcPr>
            <w:tcW w:w="195" w:type="dxa"/>
            <w:tcBorders>
              <w:top w:val="nil"/>
              <w:left w:val="nil"/>
              <w:bottom w:val="nil"/>
              <w:right w:val="nil"/>
            </w:tcBorders>
            <w:shd w:val="clear" w:color="000000" w:fill="FFFFFF"/>
            <w:noWrap/>
            <w:vAlign w:val="center"/>
            <w:hideMark/>
          </w:tcPr>
          <w:p w14:paraId="001C1EE7" w14:textId="77777777" w:rsidR="009E6CF2" w:rsidRPr="009E6CF2" w:rsidRDefault="009E6CF2" w:rsidP="009E6CF2">
            <w:pPr>
              <w:spacing w:after="0" w:line="240" w:lineRule="auto"/>
              <w:rPr>
                <w:rFonts w:ascii="Times New Roman" w:eastAsia="Times New Roman" w:hAnsi="Times New Roman"/>
                <w:color w:val="000000"/>
                <w:sz w:val="16"/>
                <w:szCs w:val="16"/>
                <w:lang w:eastAsia="es-AR"/>
              </w:rPr>
            </w:pPr>
            <w:r w:rsidRPr="009E6CF2">
              <w:rPr>
                <w:rFonts w:ascii="Times New Roman" w:eastAsia="Times New Roman" w:hAnsi="Times New Roman"/>
                <w:color w:val="000000"/>
                <w:sz w:val="16"/>
                <w:szCs w:val="16"/>
                <w:lang w:eastAsia="es-AR"/>
              </w:rPr>
              <w:t> </w:t>
            </w:r>
          </w:p>
        </w:tc>
        <w:tc>
          <w:tcPr>
            <w:tcW w:w="1834" w:type="dxa"/>
            <w:tcBorders>
              <w:top w:val="nil"/>
              <w:left w:val="nil"/>
              <w:bottom w:val="nil"/>
              <w:right w:val="nil"/>
            </w:tcBorders>
            <w:shd w:val="clear" w:color="000000" w:fill="FFFFFF"/>
            <w:noWrap/>
            <w:vAlign w:val="center"/>
            <w:hideMark/>
          </w:tcPr>
          <w:p w14:paraId="51DA3E96" w14:textId="77777777" w:rsidR="009E6CF2" w:rsidRPr="009E6CF2" w:rsidRDefault="009E6CF2" w:rsidP="009E6CF2">
            <w:pPr>
              <w:spacing w:after="0" w:line="240" w:lineRule="auto"/>
              <w:rPr>
                <w:rFonts w:ascii="Times New Roman" w:eastAsia="Times New Roman" w:hAnsi="Times New Roman"/>
                <w:color w:val="000000"/>
                <w:sz w:val="16"/>
                <w:szCs w:val="16"/>
                <w:lang w:eastAsia="es-AR"/>
              </w:rPr>
            </w:pPr>
            <w:r w:rsidRPr="009E6CF2">
              <w:rPr>
                <w:rFonts w:ascii="Times New Roman" w:eastAsia="Times New Roman" w:hAnsi="Times New Roman"/>
                <w:color w:val="000000"/>
                <w:sz w:val="16"/>
                <w:szCs w:val="16"/>
                <w:lang w:eastAsia="es-AR"/>
              </w:rPr>
              <w:t> </w:t>
            </w:r>
          </w:p>
        </w:tc>
      </w:tr>
      <w:tr w:rsidR="009E6CF2" w:rsidRPr="009E6CF2" w14:paraId="504AA775" w14:textId="77777777" w:rsidTr="00DA6560">
        <w:trPr>
          <w:trHeight w:val="300"/>
          <w:jc w:val="center"/>
        </w:trPr>
        <w:tc>
          <w:tcPr>
            <w:tcW w:w="4613" w:type="dxa"/>
            <w:tcBorders>
              <w:top w:val="nil"/>
              <w:left w:val="nil"/>
              <w:bottom w:val="nil"/>
              <w:right w:val="nil"/>
            </w:tcBorders>
            <w:shd w:val="clear" w:color="000000" w:fill="FFFFFF"/>
            <w:noWrap/>
            <w:vAlign w:val="center"/>
            <w:hideMark/>
          </w:tcPr>
          <w:p w14:paraId="5CD26010" w14:textId="357C958B" w:rsidR="009E6CF2" w:rsidRPr="009E6CF2" w:rsidRDefault="00C86136" w:rsidP="009E6CF2">
            <w:pPr>
              <w:spacing w:after="0" w:line="240" w:lineRule="auto"/>
              <w:rPr>
                <w:rFonts w:ascii="Times New Roman" w:eastAsia="Times New Roman" w:hAnsi="Times New Roman"/>
                <w:b/>
                <w:bCs/>
                <w:color w:val="000000"/>
                <w:lang w:eastAsia="es-AR"/>
              </w:rPr>
            </w:pPr>
            <w:r w:rsidRPr="009E6CF2">
              <w:rPr>
                <w:rFonts w:ascii="Times New Roman" w:eastAsia="Times New Roman" w:hAnsi="Times New Roman"/>
                <w:b/>
                <w:bCs/>
                <w:color w:val="000000"/>
                <w:lang w:eastAsia="es-AR"/>
              </w:rPr>
              <w:t>Reducción</w:t>
            </w:r>
            <w:r w:rsidR="009E6CF2" w:rsidRPr="009E6CF2">
              <w:rPr>
                <w:rFonts w:ascii="Times New Roman" w:eastAsia="Times New Roman" w:hAnsi="Times New Roman"/>
                <w:b/>
                <w:bCs/>
                <w:color w:val="000000"/>
                <w:lang w:eastAsia="es-AR"/>
              </w:rPr>
              <w:t xml:space="preserve"> propuesta</w:t>
            </w:r>
          </w:p>
        </w:tc>
        <w:tc>
          <w:tcPr>
            <w:tcW w:w="195" w:type="dxa"/>
            <w:tcBorders>
              <w:top w:val="nil"/>
              <w:left w:val="nil"/>
              <w:bottom w:val="nil"/>
              <w:right w:val="nil"/>
            </w:tcBorders>
            <w:shd w:val="clear" w:color="000000" w:fill="FFFFFF"/>
            <w:noWrap/>
            <w:vAlign w:val="center"/>
            <w:hideMark/>
          </w:tcPr>
          <w:p w14:paraId="0DBC3336"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834" w:type="dxa"/>
            <w:tcBorders>
              <w:top w:val="nil"/>
              <w:left w:val="nil"/>
              <w:bottom w:val="nil"/>
              <w:right w:val="nil"/>
            </w:tcBorders>
            <w:shd w:val="clear" w:color="000000" w:fill="FFFFFF"/>
            <w:noWrap/>
            <w:vAlign w:val="center"/>
            <w:hideMark/>
          </w:tcPr>
          <w:p w14:paraId="08055997"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r>
      <w:tr w:rsidR="009E6CF2" w:rsidRPr="009E6CF2" w14:paraId="5ED4B7DE" w14:textId="77777777" w:rsidTr="00DA6560">
        <w:trPr>
          <w:trHeight w:val="240"/>
          <w:jc w:val="center"/>
        </w:trPr>
        <w:tc>
          <w:tcPr>
            <w:tcW w:w="4613" w:type="dxa"/>
            <w:tcBorders>
              <w:top w:val="nil"/>
              <w:left w:val="nil"/>
              <w:bottom w:val="nil"/>
              <w:right w:val="nil"/>
            </w:tcBorders>
            <w:shd w:val="clear" w:color="000000" w:fill="FFFFFF"/>
            <w:noWrap/>
            <w:vAlign w:val="center"/>
            <w:hideMark/>
          </w:tcPr>
          <w:p w14:paraId="5B0716C8" w14:textId="1B4958EA" w:rsidR="009E6CF2" w:rsidRPr="009E6CF2" w:rsidRDefault="00C86136"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Absorción</w:t>
            </w:r>
            <w:r w:rsidR="009E6CF2" w:rsidRPr="009E6CF2">
              <w:rPr>
                <w:rFonts w:ascii="Times New Roman" w:eastAsia="Times New Roman" w:hAnsi="Times New Roman"/>
                <w:color w:val="000000"/>
                <w:sz w:val="18"/>
                <w:szCs w:val="18"/>
                <w:lang w:eastAsia="es-AR"/>
              </w:rPr>
              <w:t xml:space="preserve"> de resultado del ejercicio</w:t>
            </w:r>
          </w:p>
        </w:tc>
        <w:tc>
          <w:tcPr>
            <w:tcW w:w="195" w:type="dxa"/>
            <w:tcBorders>
              <w:top w:val="nil"/>
              <w:left w:val="nil"/>
              <w:bottom w:val="nil"/>
              <w:right w:val="nil"/>
            </w:tcBorders>
            <w:shd w:val="clear" w:color="000000" w:fill="FFFFFF"/>
            <w:noWrap/>
            <w:vAlign w:val="center"/>
            <w:hideMark/>
          </w:tcPr>
          <w:p w14:paraId="3A01EA59"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834" w:type="dxa"/>
            <w:tcBorders>
              <w:top w:val="nil"/>
              <w:left w:val="nil"/>
              <w:bottom w:val="nil"/>
              <w:right w:val="nil"/>
            </w:tcBorders>
            <w:shd w:val="clear" w:color="000000" w:fill="FFFFFF"/>
            <w:noWrap/>
            <w:vAlign w:val="center"/>
            <w:hideMark/>
          </w:tcPr>
          <w:p w14:paraId="76881D30"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xml:space="preserve">              (286.850) </w:t>
            </w:r>
          </w:p>
        </w:tc>
      </w:tr>
      <w:tr w:rsidR="009E6CF2" w:rsidRPr="009E6CF2" w14:paraId="3AF22A57" w14:textId="77777777" w:rsidTr="00DA6560">
        <w:trPr>
          <w:trHeight w:val="225"/>
          <w:jc w:val="center"/>
        </w:trPr>
        <w:tc>
          <w:tcPr>
            <w:tcW w:w="4613" w:type="dxa"/>
            <w:tcBorders>
              <w:top w:val="nil"/>
              <w:left w:val="nil"/>
              <w:bottom w:val="nil"/>
              <w:right w:val="nil"/>
            </w:tcBorders>
            <w:shd w:val="clear" w:color="000000" w:fill="FFFFFF"/>
            <w:noWrap/>
            <w:vAlign w:val="center"/>
            <w:hideMark/>
          </w:tcPr>
          <w:p w14:paraId="219E9C30" w14:textId="77777777" w:rsidR="009E6CF2" w:rsidRPr="009E6CF2" w:rsidRDefault="009E6CF2" w:rsidP="009E6CF2">
            <w:pPr>
              <w:spacing w:after="0" w:line="240" w:lineRule="auto"/>
              <w:rPr>
                <w:rFonts w:ascii="Times New Roman" w:eastAsia="Times New Roman" w:hAnsi="Times New Roman"/>
                <w:color w:val="000000"/>
                <w:sz w:val="16"/>
                <w:szCs w:val="16"/>
                <w:lang w:eastAsia="es-AR"/>
              </w:rPr>
            </w:pPr>
            <w:r w:rsidRPr="009E6CF2">
              <w:rPr>
                <w:rFonts w:ascii="Times New Roman" w:eastAsia="Times New Roman" w:hAnsi="Times New Roman"/>
                <w:color w:val="000000"/>
                <w:sz w:val="16"/>
                <w:szCs w:val="16"/>
                <w:lang w:eastAsia="es-AR"/>
              </w:rPr>
              <w:t> </w:t>
            </w:r>
          </w:p>
        </w:tc>
        <w:tc>
          <w:tcPr>
            <w:tcW w:w="195" w:type="dxa"/>
            <w:tcBorders>
              <w:top w:val="nil"/>
              <w:left w:val="nil"/>
              <w:bottom w:val="nil"/>
              <w:right w:val="nil"/>
            </w:tcBorders>
            <w:shd w:val="clear" w:color="000000" w:fill="FFFFFF"/>
            <w:noWrap/>
            <w:vAlign w:val="center"/>
            <w:hideMark/>
          </w:tcPr>
          <w:p w14:paraId="5CDA9D6D" w14:textId="77777777" w:rsidR="009E6CF2" w:rsidRPr="009E6CF2" w:rsidRDefault="009E6CF2" w:rsidP="009E6CF2">
            <w:pPr>
              <w:spacing w:after="0" w:line="240" w:lineRule="auto"/>
              <w:rPr>
                <w:rFonts w:ascii="Times New Roman" w:eastAsia="Times New Roman" w:hAnsi="Times New Roman"/>
                <w:color w:val="000000"/>
                <w:sz w:val="16"/>
                <w:szCs w:val="16"/>
                <w:lang w:eastAsia="es-AR"/>
              </w:rPr>
            </w:pPr>
            <w:r w:rsidRPr="009E6CF2">
              <w:rPr>
                <w:rFonts w:ascii="Times New Roman" w:eastAsia="Times New Roman" w:hAnsi="Times New Roman"/>
                <w:color w:val="000000"/>
                <w:sz w:val="16"/>
                <w:szCs w:val="16"/>
                <w:lang w:eastAsia="es-AR"/>
              </w:rPr>
              <w:t> </w:t>
            </w:r>
          </w:p>
        </w:tc>
        <w:tc>
          <w:tcPr>
            <w:tcW w:w="1834" w:type="dxa"/>
            <w:tcBorders>
              <w:top w:val="nil"/>
              <w:left w:val="nil"/>
              <w:bottom w:val="nil"/>
              <w:right w:val="nil"/>
            </w:tcBorders>
            <w:shd w:val="clear" w:color="000000" w:fill="FFFFFF"/>
            <w:noWrap/>
            <w:vAlign w:val="center"/>
            <w:hideMark/>
          </w:tcPr>
          <w:p w14:paraId="49D63D15" w14:textId="77777777" w:rsidR="009E6CF2" w:rsidRPr="009E6CF2" w:rsidRDefault="009E6CF2" w:rsidP="009E6CF2">
            <w:pPr>
              <w:spacing w:after="0" w:line="240" w:lineRule="auto"/>
              <w:rPr>
                <w:rFonts w:ascii="Times New Roman" w:eastAsia="Times New Roman" w:hAnsi="Times New Roman"/>
                <w:color w:val="000000"/>
                <w:sz w:val="16"/>
                <w:szCs w:val="16"/>
                <w:lang w:eastAsia="es-AR"/>
              </w:rPr>
            </w:pPr>
            <w:r w:rsidRPr="009E6CF2">
              <w:rPr>
                <w:rFonts w:ascii="Times New Roman" w:eastAsia="Times New Roman" w:hAnsi="Times New Roman"/>
                <w:color w:val="000000"/>
                <w:sz w:val="16"/>
                <w:szCs w:val="16"/>
                <w:lang w:eastAsia="es-AR"/>
              </w:rPr>
              <w:t> </w:t>
            </w:r>
          </w:p>
        </w:tc>
      </w:tr>
      <w:tr w:rsidR="009E6CF2" w:rsidRPr="009E6CF2" w14:paraId="5F0A68A2" w14:textId="77777777" w:rsidTr="00DA6560">
        <w:trPr>
          <w:trHeight w:val="300"/>
          <w:jc w:val="center"/>
        </w:trPr>
        <w:tc>
          <w:tcPr>
            <w:tcW w:w="4613" w:type="dxa"/>
            <w:tcBorders>
              <w:top w:val="nil"/>
              <w:left w:val="nil"/>
              <w:bottom w:val="nil"/>
              <w:right w:val="nil"/>
            </w:tcBorders>
            <w:shd w:val="clear" w:color="000000" w:fill="FFFFFF"/>
            <w:noWrap/>
            <w:vAlign w:val="center"/>
            <w:hideMark/>
          </w:tcPr>
          <w:p w14:paraId="774F3208" w14:textId="77777777" w:rsidR="009E6CF2" w:rsidRPr="009E6CF2" w:rsidRDefault="009E6CF2" w:rsidP="009E6CF2">
            <w:pPr>
              <w:spacing w:after="0" w:line="240" w:lineRule="auto"/>
              <w:rPr>
                <w:rFonts w:ascii="Times New Roman" w:eastAsia="Times New Roman" w:hAnsi="Times New Roman"/>
                <w:b/>
                <w:bCs/>
                <w:color w:val="000000"/>
                <w:lang w:eastAsia="es-AR"/>
              </w:rPr>
            </w:pPr>
            <w:r w:rsidRPr="009E6CF2">
              <w:rPr>
                <w:rFonts w:ascii="Times New Roman" w:eastAsia="Times New Roman" w:hAnsi="Times New Roman"/>
                <w:b/>
                <w:bCs/>
                <w:color w:val="000000"/>
                <w:lang w:eastAsia="es-AR"/>
              </w:rPr>
              <w:t>Aumento propuesto</w:t>
            </w:r>
          </w:p>
        </w:tc>
        <w:tc>
          <w:tcPr>
            <w:tcW w:w="195" w:type="dxa"/>
            <w:tcBorders>
              <w:top w:val="nil"/>
              <w:left w:val="nil"/>
              <w:bottom w:val="nil"/>
              <w:right w:val="nil"/>
            </w:tcBorders>
            <w:shd w:val="clear" w:color="000000" w:fill="FFFFFF"/>
            <w:noWrap/>
            <w:vAlign w:val="center"/>
            <w:hideMark/>
          </w:tcPr>
          <w:p w14:paraId="343F425C"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834" w:type="dxa"/>
            <w:tcBorders>
              <w:top w:val="nil"/>
              <w:left w:val="nil"/>
              <w:bottom w:val="nil"/>
              <w:right w:val="nil"/>
            </w:tcBorders>
            <w:shd w:val="clear" w:color="000000" w:fill="FFFFFF"/>
            <w:noWrap/>
            <w:vAlign w:val="center"/>
            <w:hideMark/>
          </w:tcPr>
          <w:p w14:paraId="79E19B29"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r>
      <w:tr w:rsidR="009E6CF2" w:rsidRPr="009E6CF2" w14:paraId="64AB0F0E" w14:textId="77777777" w:rsidTr="00DA6560">
        <w:trPr>
          <w:trHeight w:val="240"/>
          <w:jc w:val="center"/>
        </w:trPr>
        <w:tc>
          <w:tcPr>
            <w:tcW w:w="4613" w:type="dxa"/>
            <w:tcBorders>
              <w:top w:val="nil"/>
              <w:left w:val="nil"/>
              <w:bottom w:val="nil"/>
              <w:right w:val="nil"/>
            </w:tcBorders>
            <w:shd w:val="clear" w:color="000000" w:fill="FFFFFF"/>
            <w:noWrap/>
            <w:vAlign w:val="center"/>
            <w:hideMark/>
          </w:tcPr>
          <w:p w14:paraId="2D5CE8B1" w14:textId="5027CFCD" w:rsidR="009E6CF2" w:rsidRPr="009E6CF2" w:rsidRDefault="00C86136"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Capitalización</w:t>
            </w:r>
            <w:r w:rsidR="009E6CF2" w:rsidRPr="009E6CF2">
              <w:rPr>
                <w:rFonts w:ascii="Times New Roman" w:eastAsia="Times New Roman" w:hAnsi="Times New Roman"/>
                <w:color w:val="000000"/>
                <w:sz w:val="18"/>
                <w:szCs w:val="18"/>
                <w:lang w:eastAsia="es-AR"/>
              </w:rPr>
              <w:t xml:space="preserve"> de aportes irrevocables</w:t>
            </w:r>
          </w:p>
        </w:tc>
        <w:tc>
          <w:tcPr>
            <w:tcW w:w="195" w:type="dxa"/>
            <w:tcBorders>
              <w:top w:val="nil"/>
              <w:left w:val="nil"/>
              <w:bottom w:val="nil"/>
              <w:right w:val="nil"/>
            </w:tcBorders>
            <w:shd w:val="clear" w:color="000000" w:fill="FFFFFF"/>
            <w:noWrap/>
            <w:vAlign w:val="center"/>
            <w:hideMark/>
          </w:tcPr>
          <w:p w14:paraId="60579FF9"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834" w:type="dxa"/>
            <w:tcBorders>
              <w:top w:val="nil"/>
              <w:left w:val="nil"/>
              <w:bottom w:val="nil"/>
              <w:right w:val="nil"/>
            </w:tcBorders>
            <w:shd w:val="clear" w:color="000000" w:fill="FFFFFF"/>
            <w:noWrap/>
            <w:vAlign w:val="center"/>
            <w:hideMark/>
          </w:tcPr>
          <w:p w14:paraId="1CA0ECD9"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xml:space="preserve">                   58.208 </w:t>
            </w:r>
          </w:p>
        </w:tc>
      </w:tr>
      <w:tr w:rsidR="009E6CF2" w:rsidRPr="009E6CF2" w14:paraId="6FDDE2EC" w14:textId="77777777" w:rsidTr="00DA6560">
        <w:trPr>
          <w:trHeight w:val="240"/>
          <w:jc w:val="center"/>
        </w:trPr>
        <w:tc>
          <w:tcPr>
            <w:tcW w:w="4613" w:type="dxa"/>
            <w:tcBorders>
              <w:top w:val="nil"/>
              <w:left w:val="nil"/>
              <w:bottom w:val="nil"/>
              <w:right w:val="nil"/>
            </w:tcBorders>
            <w:shd w:val="clear" w:color="000000" w:fill="FFFFFF"/>
            <w:noWrap/>
            <w:vAlign w:val="center"/>
            <w:hideMark/>
          </w:tcPr>
          <w:p w14:paraId="116D7E34" w14:textId="359660C5" w:rsidR="009E6CF2" w:rsidRPr="009E6CF2" w:rsidRDefault="00C86136"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Capitalización</w:t>
            </w:r>
            <w:r w:rsidR="009E6CF2" w:rsidRPr="009E6CF2">
              <w:rPr>
                <w:rFonts w:ascii="Times New Roman" w:eastAsia="Times New Roman" w:hAnsi="Times New Roman"/>
                <w:color w:val="000000"/>
                <w:sz w:val="18"/>
                <w:szCs w:val="18"/>
                <w:lang w:eastAsia="es-AR"/>
              </w:rPr>
              <w:t xml:space="preserve"> de deuda con ST Inversiones SA</w:t>
            </w:r>
          </w:p>
        </w:tc>
        <w:tc>
          <w:tcPr>
            <w:tcW w:w="195" w:type="dxa"/>
            <w:tcBorders>
              <w:top w:val="nil"/>
              <w:left w:val="nil"/>
              <w:bottom w:val="nil"/>
              <w:right w:val="nil"/>
            </w:tcBorders>
            <w:shd w:val="clear" w:color="000000" w:fill="FFFFFF"/>
            <w:noWrap/>
            <w:vAlign w:val="center"/>
            <w:hideMark/>
          </w:tcPr>
          <w:p w14:paraId="308F5CDF"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834" w:type="dxa"/>
            <w:tcBorders>
              <w:top w:val="nil"/>
              <w:left w:val="nil"/>
              <w:bottom w:val="nil"/>
              <w:right w:val="nil"/>
            </w:tcBorders>
            <w:shd w:val="clear" w:color="000000" w:fill="FFFFFF"/>
            <w:noWrap/>
            <w:vAlign w:val="center"/>
            <w:hideMark/>
          </w:tcPr>
          <w:p w14:paraId="06EA9189"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xml:space="preserve">                   44.385 </w:t>
            </w:r>
          </w:p>
        </w:tc>
      </w:tr>
      <w:tr w:rsidR="009E6CF2" w:rsidRPr="009E6CF2" w14:paraId="63FAF1F9" w14:textId="77777777" w:rsidTr="00DA6560">
        <w:trPr>
          <w:trHeight w:val="240"/>
          <w:jc w:val="center"/>
        </w:trPr>
        <w:tc>
          <w:tcPr>
            <w:tcW w:w="4613" w:type="dxa"/>
            <w:tcBorders>
              <w:top w:val="nil"/>
              <w:left w:val="nil"/>
              <w:bottom w:val="nil"/>
              <w:right w:val="nil"/>
            </w:tcBorders>
            <w:shd w:val="clear" w:color="000000" w:fill="FFFFFF"/>
            <w:noWrap/>
            <w:vAlign w:val="center"/>
            <w:hideMark/>
          </w:tcPr>
          <w:p w14:paraId="2E5773BE"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A integrar dentro de 2 años</w:t>
            </w:r>
          </w:p>
        </w:tc>
        <w:tc>
          <w:tcPr>
            <w:tcW w:w="195" w:type="dxa"/>
            <w:tcBorders>
              <w:top w:val="nil"/>
              <w:left w:val="nil"/>
              <w:bottom w:val="nil"/>
              <w:right w:val="nil"/>
            </w:tcBorders>
            <w:shd w:val="clear" w:color="000000" w:fill="FFFFFF"/>
            <w:noWrap/>
            <w:vAlign w:val="center"/>
            <w:hideMark/>
          </w:tcPr>
          <w:p w14:paraId="6C000B2D"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834" w:type="dxa"/>
            <w:tcBorders>
              <w:top w:val="nil"/>
              <w:left w:val="nil"/>
              <w:bottom w:val="nil"/>
              <w:right w:val="nil"/>
            </w:tcBorders>
            <w:shd w:val="clear" w:color="000000" w:fill="FFFFFF"/>
            <w:noWrap/>
            <w:vAlign w:val="center"/>
            <w:hideMark/>
          </w:tcPr>
          <w:p w14:paraId="58B99E4E"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xml:space="preserve">                   55.614 </w:t>
            </w:r>
          </w:p>
        </w:tc>
      </w:tr>
      <w:tr w:rsidR="009E6CF2" w:rsidRPr="009E6CF2" w14:paraId="2A08AF4C" w14:textId="77777777" w:rsidTr="00DA6560">
        <w:trPr>
          <w:trHeight w:val="240"/>
          <w:jc w:val="center"/>
        </w:trPr>
        <w:tc>
          <w:tcPr>
            <w:tcW w:w="4613" w:type="dxa"/>
            <w:tcBorders>
              <w:top w:val="nil"/>
              <w:left w:val="nil"/>
              <w:bottom w:val="nil"/>
              <w:right w:val="nil"/>
            </w:tcBorders>
            <w:shd w:val="clear" w:color="000000" w:fill="FFFFFF"/>
            <w:noWrap/>
            <w:vAlign w:val="center"/>
            <w:hideMark/>
          </w:tcPr>
          <w:p w14:paraId="2D21BCEB" w14:textId="77777777" w:rsidR="009E6CF2" w:rsidRPr="009E6CF2" w:rsidRDefault="009E6CF2" w:rsidP="009E6CF2">
            <w:pPr>
              <w:spacing w:after="0" w:line="240" w:lineRule="auto"/>
              <w:rPr>
                <w:rFonts w:ascii="Times New Roman" w:eastAsia="Times New Roman" w:hAnsi="Times New Roman"/>
                <w:color w:val="000000"/>
                <w:sz w:val="16"/>
                <w:szCs w:val="16"/>
                <w:lang w:eastAsia="es-AR"/>
              </w:rPr>
            </w:pPr>
            <w:r w:rsidRPr="009E6CF2">
              <w:rPr>
                <w:rFonts w:ascii="Times New Roman" w:eastAsia="Times New Roman" w:hAnsi="Times New Roman"/>
                <w:color w:val="000000"/>
                <w:sz w:val="16"/>
                <w:szCs w:val="16"/>
                <w:lang w:eastAsia="es-AR"/>
              </w:rPr>
              <w:t> </w:t>
            </w:r>
          </w:p>
        </w:tc>
        <w:tc>
          <w:tcPr>
            <w:tcW w:w="195" w:type="dxa"/>
            <w:tcBorders>
              <w:top w:val="nil"/>
              <w:left w:val="nil"/>
              <w:bottom w:val="nil"/>
              <w:right w:val="nil"/>
            </w:tcBorders>
            <w:shd w:val="clear" w:color="000000" w:fill="FFFFFF"/>
            <w:noWrap/>
            <w:vAlign w:val="center"/>
            <w:hideMark/>
          </w:tcPr>
          <w:p w14:paraId="02594696" w14:textId="77777777" w:rsidR="009E6CF2" w:rsidRPr="009E6CF2" w:rsidRDefault="009E6CF2" w:rsidP="009E6CF2">
            <w:pPr>
              <w:spacing w:after="0" w:line="240" w:lineRule="auto"/>
              <w:rPr>
                <w:rFonts w:ascii="Times New Roman" w:eastAsia="Times New Roman" w:hAnsi="Times New Roman"/>
                <w:color w:val="000000"/>
                <w:sz w:val="16"/>
                <w:szCs w:val="16"/>
                <w:lang w:eastAsia="es-AR"/>
              </w:rPr>
            </w:pPr>
            <w:r w:rsidRPr="009E6CF2">
              <w:rPr>
                <w:rFonts w:ascii="Times New Roman" w:eastAsia="Times New Roman" w:hAnsi="Times New Roman"/>
                <w:color w:val="000000"/>
                <w:sz w:val="16"/>
                <w:szCs w:val="16"/>
                <w:lang w:eastAsia="es-AR"/>
              </w:rPr>
              <w:t> </w:t>
            </w:r>
          </w:p>
        </w:tc>
        <w:tc>
          <w:tcPr>
            <w:tcW w:w="1834" w:type="dxa"/>
            <w:tcBorders>
              <w:top w:val="nil"/>
              <w:left w:val="nil"/>
              <w:bottom w:val="nil"/>
              <w:right w:val="nil"/>
            </w:tcBorders>
            <w:shd w:val="clear" w:color="000000" w:fill="FFFFFF"/>
            <w:noWrap/>
            <w:vAlign w:val="center"/>
            <w:hideMark/>
          </w:tcPr>
          <w:p w14:paraId="35F59959" w14:textId="77777777" w:rsidR="009E6CF2" w:rsidRPr="009E6CF2" w:rsidRDefault="009E6CF2" w:rsidP="009E6CF2">
            <w:pPr>
              <w:spacing w:after="0" w:line="240" w:lineRule="auto"/>
              <w:rPr>
                <w:rFonts w:ascii="Times New Roman" w:eastAsia="Times New Roman" w:hAnsi="Times New Roman"/>
                <w:color w:val="000000"/>
                <w:sz w:val="16"/>
                <w:szCs w:val="16"/>
                <w:lang w:eastAsia="es-AR"/>
              </w:rPr>
            </w:pPr>
            <w:r w:rsidRPr="009E6CF2">
              <w:rPr>
                <w:rFonts w:ascii="Times New Roman" w:eastAsia="Times New Roman" w:hAnsi="Times New Roman"/>
                <w:color w:val="000000"/>
                <w:sz w:val="16"/>
                <w:szCs w:val="16"/>
                <w:lang w:eastAsia="es-AR"/>
              </w:rPr>
              <w:t> </w:t>
            </w:r>
          </w:p>
        </w:tc>
      </w:tr>
      <w:tr w:rsidR="009E6CF2" w:rsidRPr="009E6CF2" w14:paraId="39608220" w14:textId="77777777" w:rsidTr="00DA6560">
        <w:trPr>
          <w:trHeight w:val="315"/>
          <w:jc w:val="center"/>
        </w:trPr>
        <w:tc>
          <w:tcPr>
            <w:tcW w:w="4613" w:type="dxa"/>
            <w:tcBorders>
              <w:top w:val="nil"/>
              <w:left w:val="nil"/>
              <w:bottom w:val="nil"/>
              <w:right w:val="nil"/>
            </w:tcBorders>
            <w:shd w:val="clear" w:color="000000" w:fill="FFFFFF"/>
            <w:noWrap/>
            <w:vAlign w:val="center"/>
            <w:hideMark/>
          </w:tcPr>
          <w:p w14:paraId="2A39B76D" w14:textId="77777777" w:rsidR="009E6CF2" w:rsidRPr="009E6CF2" w:rsidRDefault="009E6CF2" w:rsidP="009E6CF2">
            <w:pPr>
              <w:spacing w:after="0" w:line="240" w:lineRule="auto"/>
              <w:rPr>
                <w:rFonts w:ascii="Times New Roman" w:eastAsia="Times New Roman" w:hAnsi="Times New Roman"/>
                <w:b/>
                <w:bCs/>
                <w:color w:val="000000"/>
                <w:lang w:eastAsia="es-AR"/>
              </w:rPr>
            </w:pPr>
            <w:r w:rsidRPr="009E6CF2">
              <w:rPr>
                <w:rFonts w:ascii="Times New Roman" w:eastAsia="Times New Roman" w:hAnsi="Times New Roman"/>
                <w:b/>
                <w:bCs/>
                <w:color w:val="000000"/>
                <w:lang w:eastAsia="es-AR"/>
              </w:rPr>
              <w:t>Saldos al 30 de septiembre de 2019</w:t>
            </w:r>
          </w:p>
        </w:tc>
        <w:tc>
          <w:tcPr>
            <w:tcW w:w="195" w:type="dxa"/>
            <w:tcBorders>
              <w:top w:val="nil"/>
              <w:left w:val="nil"/>
              <w:bottom w:val="nil"/>
              <w:right w:val="nil"/>
            </w:tcBorders>
            <w:shd w:val="clear" w:color="000000" w:fill="FFFFFF"/>
            <w:noWrap/>
            <w:vAlign w:val="center"/>
            <w:hideMark/>
          </w:tcPr>
          <w:p w14:paraId="033E88A6"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834" w:type="dxa"/>
            <w:tcBorders>
              <w:top w:val="double" w:sz="6" w:space="0" w:color="auto"/>
              <w:left w:val="nil"/>
              <w:bottom w:val="nil"/>
              <w:right w:val="nil"/>
            </w:tcBorders>
            <w:shd w:val="clear" w:color="000000" w:fill="FFFFFF"/>
            <w:noWrap/>
            <w:vAlign w:val="center"/>
            <w:hideMark/>
          </w:tcPr>
          <w:p w14:paraId="110CF6B0" w14:textId="77777777" w:rsidR="009E6CF2" w:rsidRPr="009E6CF2" w:rsidRDefault="009E6CF2" w:rsidP="009E6CF2">
            <w:pPr>
              <w:spacing w:after="0" w:line="240" w:lineRule="auto"/>
              <w:rPr>
                <w:rFonts w:ascii="Times New Roman" w:eastAsia="Times New Roman" w:hAnsi="Times New Roman"/>
                <w:b/>
                <w:bCs/>
                <w:color w:val="000000"/>
                <w:lang w:eastAsia="es-AR"/>
              </w:rPr>
            </w:pPr>
            <w:r w:rsidRPr="009E6CF2">
              <w:rPr>
                <w:rFonts w:ascii="Times New Roman" w:eastAsia="Times New Roman" w:hAnsi="Times New Roman"/>
                <w:b/>
                <w:bCs/>
                <w:color w:val="000000"/>
                <w:lang w:eastAsia="es-AR"/>
              </w:rPr>
              <w:t xml:space="preserve">         257.557 </w:t>
            </w:r>
          </w:p>
        </w:tc>
      </w:tr>
    </w:tbl>
    <w:p w14:paraId="08284CD9" w14:textId="77777777" w:rsidR="005A058D" w:rsidRDefault="005A058D" w:rsidP="005A058D">
      <w:pPr>
        <w:keepLines/>
        <w:spacing w:after="0"/>
        <w:jc w:val="center"/>
        <w:rPr>
          <w:rFonts w:eastAsia="Times New Roman"/>
          <w:i/>
          <w:sz w:val="20"/>
          <w:szCs w:val="20"/>
          <w:lang w:eastAsia="es-ES"/>
        </w:rPr>
      </w:pPr>
    </w:p>
    <w:p w14:paraId="0D18C8EC" w14:textId="77777777" w:rsidR="005A058D" w:rsidRDefault="005A058D" w:rsidP="005A058D">
      <w:pPr>
        <w:keepLines/>
        <w:spacing w:after="0"/>
        <w:jc w:val="center"/>
        <w:rPr>
          <w:rFonts w:eastAsia="Times New Roman"/>
          <w:i/>
          <w:sz w:val="20"/>
          <w:szCs w:val="20"/>
          <w:lang w:eastAsia="es-ES"/>
        </w:rPr>
      </w:pPr>
    </w:p>
    <w:p w14:paraId="5769D5C2" w14:textId="77777777" w:rsidR="005A058D" w:rsidRPr="005A058D" w:rsidRDefault="005A058D" w:rsidP="005A058D">
      <w:pPr>
        <w:keepLines/>
        <w:spacing w:after="0"/>
        <w:jc w:val="center"/>
        <w:rPr>
          <w:rFonts w:eastAsia="Times New Roman"/>
          <w:b/>
          <w:sz w:val="20"/>
          <w:szCs w:val="24"/>
          <w:lang w:eastAsia="es-ES"/>
        </w:rPr>
      </w:pPr>
      <w:r w:rsidRPr="005A058D">
        <w:rPr>
          <w:rFonts w:eastAsia="Times New Roman"/>
          <w:b/>
          <w:sz w:val="20"/>
          <w:szCs w:val="24"/>
          <w:lang w:eastAsia="es-ES"/>
        </w:rPr>
        <w:t>ESTADO ENDEUDAMIENTO</w:t>
      </w:r>
    </w:p>
    <w:p w14:paraId="57E73FE6" w14:textId="406C665E" w:rsidR="005A058D" w:rsidRPr="005A058D" w:rsidRDefault="005A058D" w:rsidP="005A058D">
      <w:pPr>
        <w:keepLines/>
        <w:spacing w:after="0"/>
        <w:jc w:val="center"/>
        <w:rPr>
          <w:rFonts w:eastAsia="Times New Roman"/>
          <w:b/>
          <w:sz w:val="20"/>
          <w:szCs w:val="24"/>
          <w:lang w:eastAsia="es-ES"/>
        </w:rPr>
      </w:pPr>
      <w:r>
        <w:rPr>
          <w:rFonts w:eastAsia="Times New Roman"/>
          <w:b/>
          <w:sz w:val="20"/>
          <w:szCs w:val="24"/>
          <w:lang w:eastAsia="es-ES"/>
        </w:rPr>
        <w:t xml:space="preserve">Correspondiente al período de </w:t>
      </w:r>
      <w:r w:rsidR="00DA6560">
        <w:rPr>
          <w:rFonts w:eastAsia="Times New Roman"/>
          <w:b/>
          <w:sz w:val="20"/>
          <w:szCs w:val="24"/>
          <w:lang w:eastAsia="es-ES"/>
        </w:rPr>
        <w:t xml:space="preserve">nueve </w:t>
      </w:r>
      <w:r>
        <w:rPr>
          <w:rFonts w:eastAsia="Times New Roman"/>
          <w:b/>
          <w:sz w:val="20"/>
          <w:szCs w:val="24"/>
          <w:lang w:eastAsia="es-ES"/>
        </w:rPr>
        <w:t>meses finalizado a</w:t>
      </w:r>
      <w:r w:rsidRPr="005A058D">
        <w:rPr>
          <w:rFonts w:eastAsia="Times New Roman"/>
          <w:b/>
          <w:sz w:val="20"/>
          <w:szCs w:val="24"/>
          <w:lang w:eastAsia="es-ES"/>
        </w:rPr>
        <w:t xml:space="preserve">l 30 de </w:t>
      </w:r>
      <w:r w:rsidR="009E6CF2">
        <w:rPr>
          <w:rFonts w:eastAsia="Times New Roman"/>
          <w:b/>
          <w:sz w:val="20"/>
          <w:szCs w:val="24"/>
          <w:lang w:eastAsia="es-ES"/>
        </w:rPr>
        <w:t>septiembre</w:t>
      </w:r>
      <w:r w:rsidR="009E6CF2" w:rsidRPr="005A058D">
        <w:rPr>
          <w:rFonts w:eastAsia="Times New Roman"/>
          <w:b/>
          <w:sz w:val="20"/>
          <w:szCs w:val="24"/>
          <w:lang w:eastAsia="es-ES"/>
        </w:rPr>
        <w:t xml:space="preserve"> </w:t>
      </w:r>
      <w:r w:rsidRPr="005A058D">
        <w:rPr>
          <w:rFonts w:eastAsia="Times New Roman"/>
          <w:b/>
          <w:sz w:val="20"/>
          <w:szCs w:val="24"/>
          <w:lang w:eastAsia="es-ES"/>
        </w:rPr>
        <w:t>de 2019</w:t>
      </w:r>
    </w:p>
    <w:p w14:paraId="5D8B44F4" w14:textId="77777777" w:rsidR="005A058D" w:rsidRPr="005A058D" w:rsidRDefault="005A058D" w:rsidP="005A058D">
      <w:pPr>
        <w:keepLines/>
        <w:spacing w:after="0"/>
        <w:jc w:val="center"/>
        <w:rPr>
          <w:rFonts w:eastAsia="Times New Roman"/>
          <w:b/>
          <w:sz w:val="20"/>
          <w:szCs w:val="24"/>
          <w:lang w:eastAsia="es-ES"/>
        </w:rPr>
      </w:pPr>
      <w:r>
        <w:rPr>
          <w:rFonts w:eastAsia="Times New Roman"/>
          <w:b/>
          <w:sz w:val="20"/>
          <w:szCs w:val="24"/>
          <w:lang w:eastAsia="es-ES"/>
        </w:rPr>
        <w:t>(c</w:t>
      </w:r>
      <w:r w:rsidRPr="005A058D">
        <w:rPr>
          <w:rFonts w:eastAsia="Times New Roman"/>
          <w:b/>
          <w:sz w:val="20"/>
          <w:szCs w:val="24"/>
          <w:lang w:eastAsia="es-ES"/>
        </w:rPr>
        <w:t>ifras expresadas en miles de pesos</w:t>
      </w:r>
      <w:r>
        <w:rPr>
          <w:rFonts w:eastAsia="Times New Roman"/>
          <w:b/>
          <w:sz w:val="20"/>
          <w:szCs w:val="24"/>
          <w:lang w:eastAsia="es-ES"/>
        </w:rPr>
        <w:t>)</w:t>
      </w:r>
    </w:p>
    <w:p w14:paraId="46BE7DC9" w14:textId="174DCFC6" w:rsidR="009E6CF2" w:rsidRPr="005A058D" w:rsidRDefault="009E6CF2" w:rsidP="005A058D">
      <w:pPr>
        <w:keepLines/>
        <w:spacing w:after="0"/>
        <w:jc w:val="center"/>
        <w:rPr>
          <w:rFonts w:eastAsia="Times New Roman"/>
          <w:i/>
          <w:sz w:val="20"/>
          <w:szCs w:val="20"/>
          <w:lang w:eastAsia="es-ES"/>
        </w:rPr>
      </w:pPr>
    </w:p>
    <w:tbl>
      <w:tblPr>
        <w:tblW w:w="8040" w:type="dxa"/>
        <w:tblCellMar>
          <w:left w:w="70" w:type="dxa"/>
          <w:right w:w="70" w:type="dxa"/>
        </w:tblCellMar>
        <w:tblLook w:val="04A0" w:firstRow="1" w:lastRow="0" w:firstColumn="1" w:lastColumn="0" w:noHBand="0" w:noVBand="1"/>
      </w:tblPr>
      <w:tblGrid>
        <w:gridCol w:w="280"/>
        <w:gridCol w:w="195"/>
        <w:gridCol w:w="3264"/>
        <w:gridCol w:w="1160"/>
        <w:gridCol w:w="1200"/>
        <w:gridCol w:w="280"/>
        <w:gridCol w:w="1480"/>
        <w:gridCol w:w="280"/>
      </w:tblGrid>
      <w:tr w:rsidR="009E6CF2" w:rsidRPr="009E6CF2" w14:paraId="094DBF94" w14:textId="77777777" w:rsidTr="009E6CF2">
        <w:trPr>
          <w:trHeight w:val="300"/>
        </w:trPr>
        <w:tc>
          <w:tcPr>
            <w:tcW w:w="280" w:type="dxa"/>
            <w:tcBorders>
              <w:top w:val="nil"/>
              <w:left w:val="nil"/>
              <w:bottom w:val="nil"/>
              <w:right w:val="nil"/>
            </w:tcBorders>
            <w:shd w:val="clear" w:color="000000" w:fill="FFFFFF"/>
            <w:noWrap/>
            <w:vAlign w:val="center"/>
            <w:hideMark/>
          </w:tcPr>
          <w:p w14:paraId="14EC52E0"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3360" w:type="dxa"/>
            <w:gridSpan w:val="2"/>
            <w:tcBorders>
              <w:top w:val="nil"/>
              <w:left w:val="nil"/>
              <w:bottom w:val="nil"/>
              <w:right w:val="nil"/>
            </w:tcBorders>
            <w:shd w:val="clear" w:color="000000" w:fill="FFFFFF"/>
            <w:noWrap/>
            <w:vAlign w:val="center"/>
            <w:hideMark/>
          </w:tcPr>
          <w:p w14:paraId="49342075" w14:textId="77777777" w:rsidR="009E6CF2" w:rsidRPr="009E6CF2" w:rsidRDefault="009E6CF2" w:rsidP="009E6CF2">
            <w:pPr>
              <w:spacing w:after="0" w:line="240" w:lineRule="auto"/>
              <w:rPr>
                <w:rFonts w:ascii="Times New Roman" w:eastAsia="Times New Roman" w:hAnsi="Times New Roman"/>
                <w:b/>
                <w:bCs/>
                <w:lang w:eastAsia="es-AR"/>
              </w:rPr>
            </w:pPr>
            <w:r w:rsidRPr="009E6CF2">
              <w:rPr>
                <w:rFonts w:ascii="Times New Roman" w:eastAsia="Times New Roman" w:hAnsi="Times New Roman"/>
                <w:b/>
                <w:bCs/>
                <w:lang w:eastAsia="es-AR"/>
              </w:rPr>
              <w:t>PASIVOS</w:t>
            </w:r>
          </w:p>
        </w:tc>
        <w:tc>
          <w:tcPr>
            <w:tcW w:w="1160" w:type="dxa"/>
            <w:tcBorders>
              <w:top w:val="nil"/>
              <w:left w:val="nil"/>
              <w:bottom w:val="nil"/>
              <w:right w:val="nil"/>
            </w:tcBorders>
            <w:shd w:val="clear" w:color="000000" w:fill="FFFFFF"/>
            <w:noWrap/>
            <w:vAlign w:val="center"/>
            <w:hideMark/>
          </w:tcPr>
          <w:p w14:paraId="6FCE1479" w14:textId="77777777" w:rsidR="009E6CF2" w:rsidRPr="009E6CF2" w:rsidRDefault="009E6CF2" w:rsidP="009E6CF2">
            <w:pPr>
              <w:spacing w:after="0" w:line="240" w:lineRule="auto"/>
              <w:rPr>
                <w:rFonts w:ascii="Times New Roman" w:eastAsia="Times New Roman" w:hAnsi="Times New Roman"/>
                <w:b/>
                <w:bCs/>
                <w:lang w:eastAsia="es-AR"/>
              </w:rPr>
            </w:pPr>
            <w:r w:rsidRPr="009E6CF2">
              <w:rPr>
                <w:rFonts w:ascii="Times New Roman" w:eastAsia="Times New Roman" w:hAnsi="Times New Roman"/>
                <w:b/>
                <w:bCs/>
                <w:lang w:eastAsia="es-AR"/>
              </w:rPr>
              <w:t> </w:t>
            </w:r>
          </w:p>
        </w:tc>
        <w:tc>
          <w:tcPr>
            <w:tcW w:w="1200" w:type="dxa"/>
            <w:tcBorders>
              <w:top w:val="nil"/>
              <w:left w:val="nil"/>
              <w:bottom w:val="nil"/>
              <w:right w:val="nil"/>
            </w:tcBorders>
            <w:shd w:val="clear" w:color="000000" w:fill="FFFFFF"/>
            <w:noWrap/>
            <w:vAlign w:val="center"/>
            <w:hideMark/>
          </w:tcPr>
          <w:p w14:paraId="4FF45C58"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280" w:type="dxa"/>
            <w:tcBorders>
              <w:top w:val="nil"/>
              <w:left w:val="nil"/>
              <w:bottom w:val="nil"/>
              <w:right w:val="nil"/>
            </w:tcBorders>
            <w:shd w:val="clear" w:color="000000" w:fill="FFFFFF"/>
            <w:noWrap/>
            <w:vAlign w:val="center"/>
            <w:hideMark/>
          </w:tcPr>
          <w:p w14:paraId="6C877581"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480" w:type="dxa"/>
            <w:tcBorders>
              <w:top w:val="nil"/>
              <w:left w:val="nil"/>
              <w:bottom w:val="nil"/>
              <w:right w:val="nil"/>
            </w:tcBorders>
            <w:shd w:val="clear" w:color="000000" w:fill="FFFFFF"/>
            <w:noWrap/>
            <w:vAlign w:val="center"/>
            <w:hideMark/>
          </w:tcPr>
          <w:p w14:paraId="23B3D864" w14:textId="77777777" w:rsidR="009E6CF2" w:rsidRPr="009E6CF2" w:rsidRDefault="009E6CF2" w:rsidP="009E6CF2">
            <w:pPr>
              <w:spacing w:after="0" w:line="240" w:lineRule="auto"/>
              <w:jc w:val="right"/>
              <w:rPr>
                <w:rFonts w:ascii="Times New Roman" w:eastAsia="Times New Roman" w:hAnsi="Times New Roman"/>
                <w:b/>
                <w:bCs/>
                <w:lang w:eastAsia="es-AR"/>
              </w:rPr>
            </w:pPr>
            <w:r w:rsidRPr="009E6CF2">
              <w:rPr>
                <w:rFonts w:ascii="Times New Roman" w:eastAsia="Times New Roman" w:hAnsi="Times New Roman"/>
                <w:b/>
                <w:bCs/>
                <w:lang w:eastAsia="es-AR"/>
              </w:rPr>
              <w:t>30/09/2019</w:t>
            </w:r>
          </w:p>
        </w:tc>
        <w:tc>
          <w:tcPr>
            <w:tcW w:w="280" w:type="dxa"/>
            <w:tcBorders>
              <w:top w:val="nil"/>
              <w:left w:val="nil"/>
              <w:bottom w:val="nil"/>
              <w:right w:val="nil"/>
            </w:tcBorders>
            <w:shd w:val="clear" w:color="000000" w:fill="FFFFFF"/>
            <w:noWrap/>
            <w:vAlign w:val="center"/>
            <w:hideMark/>
          </w:tcPr>
          <w:p w14:paraId="458137FD"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r>
      <w:tr w:rsidR="009E6CF2" w:rsidRPr="009E6CF2" w14:paraId="0E40BFEA" w14:textId="77777777" w:rsidTr="009E6CF2">
        <w:trPr>
          <w:trHeight w:val="300"/>
        </w:trPr>
        <w:tc>
          <w:tcPr>
            <w:tcW w:w="280" w:type="dxa"/>
            <w:tcBorders>
              <w:top w:val="nil"/>
              <w:left w:val="nil"/>
              <w:bottom w:val="nil"/>
              <w:right w:val="nil"/>
            </w:tcBorders>
            <w:shd w:val="clear" w:color="000000" w:fill="FFFFFF"/>
            <w:noWrap/>
            <w:vAlign w:val="center"/>
            <w:hideMark/>
          </w:tcPr>
          <w:p w14:paraId="06BB3C01"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96" w:type="dxa"/>
            <w:tcBorders>
              <w:top w:val="nil"/>
              <w:left w:val="nil"/>
              <w:bottom w:val="nil"/>
              <w:right w:val="nil"/>
            </w:tcBorders>
            <w:shd w:val="clear" w:color="000000" w:fill="FFFFFF"/>
            <w:noWrap/>
            <w:vAlign w:val="center"/>
            <w:hideMark/>
          </w:tcPr>
          <w:p w14:paraId="57F99E6C"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3264" w:type="dxa"/>
            <w:tcBorders>
              <w:top w:val="nil"/>
              <w:left w:val="nil"/>
              <w:bottom w:val="nil"/>
              <w:right w:val="nil"/>
            </w:tcBorders>
            <w:shd w:val="clear" w:color="000000" w:fill="FFFFFF"/>
            <w:noWrap/>
            <w:vAlign w:val="center"/>
            <w:hideMark/>
          </w:tcPr>
          <w:p w14:paraId="1E3F6795"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160" w:type="dxa"/>
            <w:tcBorders>
              <w:top w:val="nil"/>
              <w:left w:val="nil"/>
              <w:bottom w:val="nil"/>
              <w:right w:val="nil"/>
            </w:tcBorders>
            <w:shd w:val="clear" w:color="000000" w:fill="FFFFFF"/>
            <w:noWrap/>
            <w:vAlign w:val="center"/>
            <w:hideMark/>
          </w:tcPr>
          <w:p w14:paraId="01758A83"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200" w:type="dxa"/>
            <w:tcBorders>
              <w:top w:val="nil"/>
              <w:left w:val="nil"/>
              <w:bottom w:val="nil"/>
              <w:right w:val="nil"/>
            </w:tcBorders>
            <w:shd w:val="clear" w:color="000000" w:fill="FFFFFF"/>
            <w:noWrap/>
            <w:vAlign w:val="center"/>
            <w:hideMark/>
          </w:tcPr>
          <w:p w14:paraId="154F6CBA"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280" w:type="dxa"/>
            <w:tcBorders>
              <w:top w:val="nil"/>
              <w:left w:val="nil"/>
              <w:bottom w:val="nil"/>
              <w:right w:val="nil"/>
            </w:tcBorders>
            <w:shd w:val="clear" w:color="000000" w:fill="FFFFFF"/>
            <w:noWrap/>
            <w:vAlign w:val="center"/>
            <w:hideMark/>
          </w:tcPr>
          <w:p w14:paraId="230AEAB3"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480" w:type="dxa"/>
            <w:tcBorders>
              <w:top w:val="nil"/>
              <w:left w:val="nil"/>
              <w:bottom w:val="nil"/>
              <w:right w:val="nil"/>
            </w:tcBorders>
            <w:shd w:val="clear" w:color="000000" w:fill="FFFFFF"/>
            <w:noWrap/>
            <w:vAlign w:val="center"/>
            <w:hideMark/>
          </w:tcPr>
          <w:p w14:paraId="74DA8CCF"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280" w:type="dxa"/>
            <w:tcBorders>
              <w:top w:val="nil"/>
              <w:left w:val="nil"/>
              <w:bottom w:val="nil"/>
              <w:right w:val="nil"/>
            </w:tcBorders>
            <w:shd w:val="clear" w:color="000000" w:fill="FFFFFF"/>
            <w:noWrap/>
            <w:vAlign w:val="center"/>
            <w:hideMark/>
          </w:tcPr>
          <w:p w14:paraId="7F58D718"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r>
      <w:tr w:rsidR="009E6CF2" w:rsidRPr="009E6CF2" w14:paraId="23A5979E" w14:textId="77777777" w:rsidTr="009E6CF2">
        <w:trPr>
          <w:trHeight w:val="240"/>
        </w:trPr>
        <w:tc>
          <w:tcPr>
            <w:tcW w:w="280" w:type="dxa"/>
            <w:tcBorders>
              <w:top w:val="nil"/>
              <w:left w:val="nil"/>
              <w:bottom w:val="nil"/>
              <w:right w:val="nil"/>
            </w:tcBorders>
            <w:shd w:val="clear" w:color="000000" w:fill="FFFFFF"/>
            <w:noWrap/>
            <w:vAlign w:val="center"/>
            <w:hideMark/>
          </w:tcPr>
          <w:p w14:paraId="650F21C9"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360" w:type="dxa"/>
            <w:gridSpan w:val="2"/>
            <w:tcBorders>
              <w:top w:val="nil"/>
              <w:left w:val="nil"/>
              <w:bottom w:val="nil"/>
              <w:right w:val="nil"/>
            </w:tcBorders>
            <w:shd w:val="clear" w:color="000000" w:fill="FFFFFF"/>
            <w:noWrap/>
            <w:vAlign w:val="center"/>
            <w:hideMark/>
          </w:tcPr>
          <w:p w14:paraId="10901B8D"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Otros pasivos financieros</w:t>
            </w:r>
          </w:p>
        </w:tc>
        <w:tc>
          <w:tcPr>
            <w:tcW w:w="1160" w:type="dxa"/>
            <w:tcBorders>
              <w:top w:val="nil"/>
              <w:left w:val="nil"/>
              <w:bottom w:val="nil"/>
              <w:right w:val="nil"/>
            </w:tcBorders>
            <w:shd w:val="clear" w:color="000000" w:fill="FFFFFF"/>
            <w:noWrap/>
            <w:vAlign w:val="center"/>
            <w:hideMark/>
          </w:tcPr>
          <w:p w14:paraId="037DA98C"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gridSpan w:val="2"/>
            <w:tcBorders>
              <w:top w:val="nil"/>
              <w:left w:val="nil"/>
              <w:bottom w:val="nil"/>
              <w:right w:val="nil"/>
            </w:tcBorders>
            <w:shd w:val="clear" w:color="000000" w:fill="FFFFFF"/>
            <w:noWrap/>
            <w:vAlign w:val="center"/>
            <w:hideMark/>
          </w:tcPr>
          <w:p w14:paraId="06DE119E" w14:textId="77777777" w:rsidR="009E6CF2" w:rsidRPr="009E6CF2" w:rsidRDefault="009E6CF2" w:rsidP="009E6CF2">
            <w:pPr>
              <w:spacing w:after="0" w:line="240" w:lineRule="auto"/>
              <w:jc w:val="center"/>
              <w:rPr>
                <w:rFonts w:ascii="Times New Roman" w:eastAsia="Times New Roman" w:hAnsi="Times New Roman"/>
                <w:color w:val="000000"/>
                <w:sz w:val="16"/>
                <w:szCs w:val="16"/>
                <w:lang w:eastAsia="es-AR"/>
              </w:rPr>
            </w:pPr>
            <w:r w:rsidRPr="009E6CF2">
              <w:rPr>
                <w:rFonts w:ascii="Times New Roman" w:eastAsia="Times New Roman" w:hAnsi="Times New Roman"/>
                <w:color w:val="000000"/>
                <w:sz w:val="16"/>
                <w:szCs w:val="16"/>
                <w:lang w:eastAsia="es-AR"/>
              </w:rPr>
              <w:t>1</w:t>
            </w:r>
          </w:p>
        </w:tc>
        <w:tc>
          <w:tcPr>
            <w:tcW w:w="1480" w:type="dxa"/>
            <w:tcBorders>
              <w:top w:val="nil"/>
              <w:left w:val="nil"/>
              <w:bottom w:val="nil"/>
              <w:right w:val="nil"/>
            </w:tcBorders>
            <w:shd w:val="clear" w:color="000000" w:fill="FFFFFF"/>
            <w:noWrap/>
            <w:vAlign w:val="center"/>
            <w:hideMark/>
          </w:tcPr>
          <w:p w14:paraId="10567EE4" w14:textId="77777777" w:rsidR="009E6CF2" w:rsidRPr="009E6CF2" w:rsidRDefault="009E6CF2" w:rsidP="00DA6560">
            <w:pPr>
              <w:spacing w:after="0" w:line="240" w:lineRule="auto"/>
              <w:jc w:val="right"/>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xml:space="preserve">                 140.904 </w:t>
            </w:r>
          </w:p>
        </w:tc>
        <w:tc>
          <w:tcPr>
            <w:tcW w:w="280" w:type="dxa"/>
            <w:tcBorders>
              <w:top w:val="nil"/>
              <w:left w:val="nil"/>
              <w:bottom w:val="nil"/>
              <w:right w:val="nil"/>
            </w:tcBorders>
            <w:shd w:val="clear" w:color="000000" w:fill="FFFFFF"/>
            <w:noWrap/>
            <w:vAlign w:val="center"/>
            <w:hideMark/>
          </w:tcPr>
          <w:p w14:paraId="614EB5E9"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267B76BC" w14:textId="77777777" w:rsidTr="009E6CF2">
        <w:trPr>
          <w:trHeight w:val="240"/>
        </w:trPr>
        <w:tc>
          <w:tcPr>
            <w:tcW w:w="280" w:type="dxa"/>
            <w:tcBorders>
              <w:top w:val="nil"/>
              <w:left w:val="nil"/>
              <w:bottom w:val="nil"/>
              <w:right w:val="nil"/>
            </w:tcBorders>
            <w:shd w:val="clear" w:color="000000" w:fill="FFFFFF"/>
            <w:noWrap/>
            <w:vAlign w:val="center"/>
            <w:hideMark/>
          </w:tcPr>
          <w:p w14:paraId="22B6586D"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4520" w:type="dxa"/>
            <w:gridSpan w:val="3"/>
            <w:tcBorders>
              <w:top w:val="nil"/>
              <w:left w:val="nil"/>
              <w:bottom w:val="nil"/>
              <w:right w:val="nil"/>
            </w:tcBorders>
            <w:shd w:val="clear" w:color="000000" w:fill="FFFFFF"/>
            <w:noWrap/>
            <w:vAlign w:val="center"/>
            <w:hideMark/>
          </w:tcPr>
          <w:p w14:paraId="486B00C6"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Financiaciones recibidas de instituciones financieras</w:t>
            </w:r>
          </w:p>
        </w:tc>
        <w:tc>
          <w:tcPr>
            <w:tcW w:w="1480" w:type="dxa"/>
            <w:gridSpan w:val="2"/>
            <w:tcBorders>
              <w:top w:val="nil"/>
              <w:left w:val="nil"/>
              <w:bottom w:val="nil"/>
              <w:right w:val="nil"/>
            </w:tcBorders>
            <w:shd w:val="clear" w:color="000000" w:fill="FFFFFF"/>
            <w:noWrap/>
            <w:vAlign w:val="center"/>
            <w:hideMark/>
          </w:tcPr>
          <w:p w14:paraId="4C098817" w14:textId="77777777" w:rsidR="009E6CF2" w:rsidRPr="009E6CF2" w:rsidRDefault="009E6CF2" w:rsidP="009E6CF2">
            <w:pPr>
              <w:spacing w:after="0" w:line="240" w:lineRule="auto"/>
              <w:jc w:val="center"/>
              <w:rPr>
                <w:rFonts w:ascii="Times New Roman" w:eastAsia="Times New Roman" w:hAnsi="Times New Roman"/>
                <w:color w:val="000000"/>
                <w:sz w:val="16"/>
                <w:szCs w:val="16"/>
                <w:lang w:eastAsia="es-AR"/>
              </w:rPr>
            </w:pPr>
            <w:r w:rsidRPr="009E6CF2">
              <w:rPr>
                <w:rFonts w:ascii="Times New Roman" w:eastAsia="Times New Roman" w:hAnsi="Times New Roman"/>
                <w:color w:val="000000"/>
                <w:sz w:val="16"/>
                <w:szCs w:val="16"/>
                <w:lang w:eastAsia="es-AR"/>
              </w:rPr>
              <w:t>2</w:t>
            </w:r>
          </w:p>
        </w:tc>
        <w:tc>
          <w:tcPr>
            <w:tcW w:w="1480" w:type="dxa"/>
            <w:tcBorders>
              <w:top w:val="nil"/>
              <w:left w:val="nil"/>
              <w:bottom w:val="nil"/>
              <w:right w:val="nil"/>
            </w:tcBorders>
            <w:shd w:val="clear" w:color="000000" w:fill="FFFFFF"/>
            <w:noWrap/>
            <w:vAlign w:val="center"/>
            <w:hideMark/>
          </w:tcPr>
          <w:p w14:paraId="24B6C43B" w14:textId="77777777" w:rsidR="009E6CF2" w:rsidRPr="009E6CF2" w:rsidRDefault="009E6CF2" w:rsidP="00DA6560">
            <w:pPr>
              <w:spacing w:after="0" w:line="240" w:lineRule="auto"/>
              <w:jc w:val="right"/>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xml:space="preserve">                   18.420 </w:t>
            </w:r>
          </w:p>
        </w:tc>
        <w:tc>
          <w:tcPr>
            <w:tcW w:w="280" w:type="dxa"/>
            <w:tcBorders>
              <w:top w:val="nil"/>
              <w:left w:val="nil"/>
              <w:bottom w:val="nil"/>
              <w:right w:val="nil"/>
            </w:tcBorders>
            <w:shd w:val="clear" w:color="000000" w:fill="FFFFFF"/>
            <w:noWrap/>
            <w:vAlign w:val="center"/>
            <w:hideMark/>
          </w:tcPr>
          <w:p w14:paraId="1292D82A"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15B4EED5" w14:textId="77777777" w:rsidTr="009E6CF2">
        <w:trPr>
          <w:trHeight w:val="240"/>
        </w:trPr>
        <w:tc>
          <w:tcPr>
            <w:tcW w:w="280" w:type="dxa"/>
            <w:tcBorders>
              <w:top w:val="nil"/>
              <w:left w:val="nil"/>
              <w:bottom w:val="nil"/>
              <w:right w:val="nil"/>
            </w:tcBorders>
            <w:shd w:val="clear" w:color="000000" w:fill="FFFFFF"/>
            <w:noWrap/>
            <w:vAlign w:val="center"/>
            <w:hideMark/>
          </w:tcPr>
          <w:p w14:paraId="6986DBF7"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360" w:type="dxa"/>
            <w:gridSpan w:val="2"/>
            <w:tcBorders>
              <w:top w:val="nil"/>
              <w:left w:val="nil"/>
              <w:bottom w:val="nil"/>
              <w:right w:val="nil"/>
            </w:tcBorders>
            <w:shd w:val="clear" w:color="000000" w:fill="FFFFFF"/>
            <w:noWrap/>
            <w:vAlign w:val="center"/>
            <w:hideMark/>
          </w:tcPr>
          <w:p w14:paraId="75B1927B"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Obligaciones negociables emitidas</w:t>
            </w:r>
          </w:p>
        </w:tc>
        <w:tc>
          <w:tcPr>
            <w:tcW w:w="1160" w:type="dxa"/>
            <w:tcBorders>
              <w:top w:val="nil"/>
              <w:left w:val="nil"/>
              <w:bottom w:val="nil"/>
              <w:right w:val="nil"/>
            </w:tcBorders>
            <w:shd w:val="clear" w:color="000000" w:fill="FFFFFF"/>
            <w:noWrap/>
            <w:vAlign w:val="center"/>
            <w:hideMark/>
          </w:tcPr>
          <w:p w14:paraId="384D6D46"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gridSpan w:val="2"/>
            <w:tcBorders>
              <w:top w:val="nil"/>
              <w:left w:val="nil"/>
              <w:bottom w:val="nil"/>
              <w:right w:val="nil"/>
            </w:tcBorders>
            <w:shd w:val="clear" w:color="000000" w:fill="FFFFFF"/>
            <w:noWrap/>
            <w:vAlign w:val="center"/>
            <w:hideMark/>
          </w:tcPr>
          <w:p w14:paraId="0D65E230" w14:textId="77777777" w:rsidR="009E6CF2" w:rsidRPr="009E6CF2" w:rsidRDefault="009E6CF2" w:rsidP="009E6CF2">
            <w:pPr>
              <w:spacing w:after="0" w:line="240" w:lineRule="auto"/>
              <w:jc w:val="center"/>
              <w:rPr>
                <w:rFonts w:ascii="Times New Roman" w:eastAsia="Times New Roman" w:hAnsi="Times New Roman"/>
                <w:color w:val="000000"/>
                <w:sz w:val="16"/>
                <w:szCs w:val="16"/>
                <w:lang w:eastAsia="es-AR"/>
              </w:rPr>
            </w:pPr>
            <w:r w:rsidRPr="009E6CF2">
              <w:rPr>
                <w:rFonts w:ascii="Times New Roman" w:eastAsia="Times New Roman" w:hAnsi="Times New Roman"/>
                <w:color w:val="000000"/>
                <w:sz w:val="16"/>
                <w:szCs w:val="16"/>
                <w:lang w:eastAsia="es-AR"/>
              </w:rPr>
              <w:t>3</w:t>
            </w:r>
          </w:p>
        </w:tc>
        <w:tc>
          <w:tcPr>
            <w:tcW w:w="1480" w:type="dxa"/>
            <w:tcBorders>
              <w:top w:val="nil"/>
              <w:left w:val="nil"/>
              <w:bottom w:val="nil"/>
              <w:right w:val="nil"/>
            </w:tcBorders>
            <w:shd w:val="clear" w:color="000000" w:fill="FFFFFF"/>
            <w:noWrap/>
            <w:vAlign w:val="center"/>
            <w:hideMark/>
          </w:tcPr>
          <w:p w14:paraId="18A2F10E" w14:textId="77777777" w:rsidR="009E6CF2" w:rsidRPr="009E6CF2" w:rsidRDefault="009E6CF2" w:rsidP="00DA6560">
            <w:pPr>
              <w:spacing w:after="0" w:line="240" w:lineRule="auto"/>
              <w:jc w:val="right"/>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xml:space="preserve">                 103.365 </w:t>
            </w:r>
          </w:p>
        </w:tc>
        <w:tc>
          <w:tcPr>
            <w:tcW w:w="280" w:type="dxa"/>
            <w:tcBorders>
              <w:top w:val="nil"/>
              <w:left w:val="nil"/>
              <w:bottom w:val="nil"/>
              <w:right w:val="nil"/>
            </w:tcBorders>
            <w:shd w:val="clear" w:color="000000" w:fill="FFFFFF"/>
            <w:noWrap/>
            <w:vAlign w:val="center"/>
            <w:hideMark/>
          </w:tcPr>
          <w:p w14:paraId="3E06609B"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50C9D8DA" w14:textId="77777777" w:rsidTr="009E6CF2">
        <w:trPr>
          <w:trHeight w:val="255"/>
        </w:trPr>
        <w:tc>
          <w:tcPr>
            <w:tcW w:w="280" w:type="dxa"/>
            <w:tcBorders>
              <w:top w:val="nil"/>
              <w:left w:val="nil"/>
              <w:bottom w:val="nil"/>
              <w:right w:val="nil"/>
            </w:tcBorders>
            <w:shd w:val="clear" w:color="000000" w:fill="FFFFFF"/>
            <w:noWrap/>
            <w:vAlign w:val="center"/>
            <w:hideMark/>
          </w:tcPr>
          <w:p w14:paraId="593B10A8"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360" w:type="dxa"/>
            <w:gridSpan w:val="2"/>
            <w:tcBorders>
              <w:top w:val="nil"/>
              <w:left w:val="nil"/>
              <w:bottom w:val="nil"/>
              <w:right w:val="nil"/>
            </w:tcBorders>
            <w:shd w:val="clear" w:color="000000" w:fill="FFFFFF"/>
            <w:noWrap/>
            <w:vAlign w:val="center"/>
            <w:hideMark/>
          </w:tcPr>
          <w:p w14:paraId="49FAEE79"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Otros pasivos no financieros</w:t>
            </w:r>
          </w:p>
        </w:tc>
        <w:tc>
          <w:tcPr>
            <w:tcW w:w="1160" w:type="dxa"/>
            <w:tcBorders>
              <w:top w:val="nil"/>
              <w:left w:val="nil"/>
              <w:bottom w:val="nil"/>
              <w:right w:val="nil"/>
            </w:tcBorders>
            <w:shd w:val="clear" w:color="000000" w:fill="FFFFFF"/>
            <w:noWrap/>
            <w:vAlign w:val="center"/>
            <w:hideMark/>
          </w:tcPr>
          <w:p w14:paraId="3A9B71F2"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gridSpan w:val="2"/>
            <w:tcBorders>
              <w:top w:val="nil"/>
              <w:left w:val="nil"/>
              <w:bottom w:val="nil"/>
              <w:right w:val="nil"/>
            </w:tcBorders>
            <w:shd w:val="clear" w:color="000000" w:fill="FFFFFF"/>
            <w:noWrap/>
            <w:vAlign w:val="center"/>
            <w:hideMark/>
          </w:tcPr>
          <w:p w14:paraId="786F3085" w14:textId="77777777" w:rsidR="009E6CF2" w:rsidRPr="009E6CF2" w:rsidRDefault="009E6CF2" w:rsidP="009E6CF2">
            <w:pPr>
              <w:spacing w:after="0" w:line="240" w:lineRule="auto"/>
              <w:jc w:val="center"/>
              <w:rPr>
                <w:rFonts w:ascii="Times New Roman" w:eastAsia="Times New Roman" w:hAnsi="Times New Roman"/>
                <w:color w:val="000000"/>
                <w:sz w:val="16"/>
                <w:szCs w:val="16"/>
                <w:lang w:eastAsia="es-AR"/>
              </w:rPr>
            </w:pPr>
            <w:r w:rsidRPr="009E6CF2">
              <w:rPr>
                <w:rFonts w:ascii="Times New Roman" w:eastAsia="Times New Roman" w:hAnsi="Times New Roman"/>
                <w:color w:val="000000"/>
                <w:sz w:val="16"/>
                <w:szCs w:val="16"/>
                <w:lang w:eastAsia="es-AR"/>
              </w:rPr>
              <w:t>1</w:t>
            </w:r>
          </w:p>
        </w:tc>
        <w:tc>
          <w:tcPr>
            <w:tcW w:w="1480" w:type="dxa"/>
            <w:tcBorders>
              <w:top w:val="nil"/>
              <w:left w:val="nil"/>
              <w:bottom w:val="nil"/>
              <w:right w:val="nil"/>
            </w:tcBorders>
            <w:shd w:val="clear" w:color="000000" w:fill="FFFFFF"/>
            <w:noWrap/>
            <w:vAlign w:val="center"/>
            <w:hideMark/>
          </w:tcPr>
          <w:p w14:paraId="5CA555D3" w14:textId="77777777" w:rsidR="009E6CF2" w:rsidRPr="009E6CF2" w:rsidRDefault="009E6CF2" w:rsidP="00DA6560">
            <w:pPr>
              <w:spacing w:after="0" w:line="240" w:lineRule="auto"/>
              <w:jc w:val="right"/>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xml:space="preserve">                     5.317 </w:t>
            </w:r>
          </w:p>
        </w:tc>
        <w:tc>
          <w:tcPr>
            <w:tcW w:w="280" w:type="dxa"/>
            <w:tcBorders>
              <w:top w:val="nil"/>
              <w:left w:val="nil"/>
              <w:bottom w:val="nil"/>
              <w:right w:val="nil"/>
            </w:tcBorders>
            <w:shd w:val="clear" w:color="000000" w:fill="FFFFFF"/>
            <w:noWrap/>
            <w:vAlign w:val="center"/>
            <w:hideMark/>
          </w:tcPr>
          <w:p w14:paraId="4DDA7511"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0437B246" w14:textId="77777777" w:rsidTr="009E6CF2">
        <w:trPr>
          <w:trHeight w:val="315"/>
        </w:trPr>
        <w:tc>
          <w:tcPr>
            <w:tcW w:w="280" w:type="dxa"/>
            <w:tcBorders>
              <w:top w:val="nil"/>
              <w:left w:val="nil"/>
              <w:bottom w:val="nil"/>
              <w:right w:val="nil"/>
            </w:tcBorders>
            <w:shd w:val="clear" w:color="000000" w:fill="FFFFFF"/>
            <w:noWrap/>
            <w:vAlign w:val="center"/>
            <w:hideMark/>
          </w:tcPr>
          <w:p w14:paraId="6A910E91"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4520" w:type="dxa"/>
            <w:gridSpan w:val="3"/>
            <w:tcBorders>
              <w:top w:val="nil"/>
              <w:left w:val="nil"/>
              <w:bottom w:val="nil"/>
              <w:right w:val="nil"/>
            </w:tcBorders>
            <w:shd w:val="clear" w:color="000000" w:fill="FFFFFF"/>
            <w:noWrap/>
            <w:vAlign w:val="center"/>
            <w:hideMark/>
          </w:tcPr>
          <w:p w14:paraId="59E8B5AE" w14:textId="49FE13EC" w:rsidR="009E6CF2" w:rsidRPr="009E6CF2" w:rsidRDefault="009E6CF2" w:rsidP="009E6CF2">
            <w:pPr>
              <w:spacing w:after="0" w:line="240" w:lineRule="auto"/>
              <w:rPr>
                <w:rFonts w:ascii="Times New Roman" w:eastAsia="Times New Roman" w:hAnsi="Times New Roman"/>
                <w:b/>
                <w:bCs/>
                <w:color w:val="000000"/>
                <w:lang w:eastAsia="es-AR"/>
              </w:rPr>
            </w:pPr>
            <w:r w:rsidRPr="009E6CF2">
              <w:rPr>
                <w:rFonts w:ascii="Times New Roman" w:eastAsia="Times New Roman" w:hAnsi="Times New Roman"/>
                <w:b/>
                <w:bCs/>
                <w:color w:val="000000"/>
                <w:lang w:eastAsia="es-AR"/>
              </w:rPr>
              <w:t xml:space="preserve">Saldos al 30 de </w:t>
            </w:r>
            <w:r w:rsidR="00C86136" w:rsidRPr="009E6CF2">
              <w:rPr>
                <w:rFonts w:ascii="Times New Roman" w:eastAsia="Times New Roman" w:hAnsi="Times New Roman"/>
                <w:b/>
                <w:bCs/>
                <w:color w:val="000000"/>
                <w:lang w:eastAsia="es-AR"/>
              </w:rPr>
              <w:t>septiembre de</w:t>
            </w:r>
            <w:r w:rsidRPr="009E6CF2">
              <w:rPr>
                <w:rFonts w:ascii="Times New Roman" w:eastAsia="Times New Roman" w:hAnsi="Times New Roman"/>
                <w:b/>
                <w:bCs/>
                <w:color w:val="000000"/>
                <w:lang w:eastAsia="es-AR"/>
              </w:rPr>
              <w:t xml:space="preserve"> 2019</w:t>
            </w:r>
          </w:p>
        </w:tc>
        <w:tc>
          <w:tcPr>
            <w:tcW w:w="1200" w:type="dxa"/>
            <w:tcBorders>
              <w:top w:val="nil"/>
              <w:left w:val="nil"/>
              <w:bottom w:val="nil"/>
              <w:right w:val="nil"/>
            </w:tcBorders>
            <w:shd w:val="clear" w:color="000000" w:fill="FFFFFF"/>
            <w:noWrap/>
            <w:vAlign w:val="center"/>
            <w:hideMark/>
          </w:tcPr>
          <w:p w14:paraId="4F8EA85B"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280" w:type="dxa"/>
            <w:tcBorders>
              <w:top w:val="nil"/>
              <w:left w:val="nil"/>
              <w:bottom w:val="nil"/>
              <w:right w:val="nil"/>
            </w:tcBorders>
            <w:shd w:val="clear" w:color="000000" w:fill="FFFFFF"/>
            <w:noWrap/>
            <w:vAlign w:val="center"/>
            <w:hideMark/>
          </w:tcPr>
          <w:p w14:paraId="2EDD843A"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480" w:type="dxa"/>
            <w:tcBorders>
              <w:top w:val="double" w:sz="6" w:space="0" w:color="auto"/>
              <w:left w:val="nil"/>
              <w:bottom w:val="nil"/>
              <w:right w:val="nil"/>
            </w:tcBorders>
            <w:shd w:val="clear" w:color="000000" w:fill="FFFFFF"/>
            <w:noWrap/>
            <w:vAlign w:val="center"/>
            <w:hideMark/>
          </w:tcPr>
          <w:p w14:paraId="03265E65" w14:textId="77777777" w:rsidR="009E6CF2" w:rsidRPr="009E6CF2" w:rsidRDefault="009E6CF2" w:rsidP="009E6CF2">
            <w:pPr>
              <w:spacing w:after="0" w:line="240" w:lineRule="auto"/>
              <w:rPr>
                <w:rFonts w:ascii="Times New Roman" w:eastAsia="Times New Roman" w:hAnsi="Times New Roman"/>
                <w:b/>
                <w:bCs/>
                <w:color w:val="000000"/>
                <w:lang w:eastAsia="es-AR"/>
              </w:rPr>
            </w:pPr>
            <w:r w:rsidRPr="009E6CF2">
              <w:rPr>
                <w:rFonts w:ascii="Times New Roman" w:eastAsia="Times New Roman" w:hAnsi="Times New Roman"/>
                <w:b/>
                <w:bCs/>
                <w:color w:val="000000"/>
                <w:lang w:eastAsia="es-AR"/>
              </w:rPr>
              <w:t xml:space="preserve">         268.006 </w:t>
            </w:r>
          </w:p>
        </w:tc>
        <w:tc>
          <w:tcPr>
            <w:tcW w:w="280" w:type="dxa"/>
            <w:tcBorders>
              <w:top w:val="nil"/>
              <w:left w:val="nil"/>
              <w:bottom w:val="nil"/>
              <w:right w:val="nil"/>
            </w:tcBorders>
            <w:shd w:val="clear" w:color="000000" w:fill="FFFFFF"/>
            <w:noWrap/>
            <w:vAlign w:val="center"/>
            <w:hideMark/>
          </w:tcPr>
          <w:p w14:paraId="71FFFA71"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r>
      <w:tr w:rsidR="009E6CF2" w:rsidRPr="009E6CF2" w14:paraId="2D1FA0C9" w14:textId="77777777" w:rsidTr="009E6CF2">
        <w:trPr>
          <w:trHeight w:val="300"/>
        </w:trPr>
        <w:tc>
          <w:tcPr>
            <w:tcW w:w="280" w:type="dxa"/>
            <w:tcBorders>
              <w:top w:val="nil"/>
              <w:left w:val="nil"/>
              <w:bottom w:val="nil"/>
              <w:right w:val="nil"/>
            </w:tcBorders>
            <w:shd w:val="clear" w:color="000000" w:fill="FFFFFF"/>
            <w:noWrap/>
            <w:vAlign w:val="center"/>
            <w:hideMark/>
          </w:tcPr>
          <w:p w14:paraId="67BEDD27"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96" w:type="dxa"/>
            <w:tcBorders>
              <w:top w:val="nil"/>
              <w:left w:val="nil"/>
              <w:bottom w:val="nil"/>
              <w:right w:val="nil"/>
            </w:tcBorders>
            <w:shd w:val="clear" w:color="000000" w:fill="FFFFFF"/>
            <w:noWrap/>
            <w:vAlign w:val="center"/>
            <w:hideMark/>
          </w:tcPr>
          <w:p w14:paraId="20370413" w14:textId="77777777" w:rsidR="009E6CF2" w:rsidRPr="009E6CF2" w:rsidRDefault="009E6CF2" w:rsidP="009E6CF2">
            <w:pPr>
              <w:spacing w:after="0" w:line="240" w:lineRule="auto"/>
              <w:rPr>
                <w:rFonts w:ascii="Times New Roman" w:eastAsia="Times New Roman" w:hAnsi="Times New Roman"/>
                <w:b/>
                <w:bCs/>
                <w:color w:val="000000"/>
                <w:lang w:eastAsia="es-AR"/>
              </w:rPr>
            </w:pPr>
            <w:r w:rsidRPr="009E6CF2">
              <w:rPr>
                <w:rFonts w:ascii="Times New Roman" w:eastAsia="Times New Roman" w:hAnsi="Times New Roman"/>
                <w:b/>
                <w:bCs/>
                <w:color w:val="000000"/>
                <w:lang w:eastAsia="es-AR"/>
              </w:rPr>
              <w:t> </w:t>
            </w:r>
          </w:p>
        </w:tc>
        <w:tc>
          <w:tcPr>
            <w:tcW w:w="3264" w:type="dxa"/>
            <w:tcBorders>
              <w:top w:val="nil"/>
              <w:left w:val="nil"/>
              <w:bottom w:val="nil"/>
              <w:right w:val="nil"/>
            </w:tcBorders>
            <w:shd w:val="clear" w:color="000000" w:fill="FFFFFF"/>
            <w:noWrap/>
            <w:vAlign w:val="center"/>
            <w:hideMark/>
          </w:tcPr>
          <w:p w14:paraId="79A41DBF" w14:textId="77777777" w:rsidR="009E6CF2" w:rsidRPr="009E6CF2" w:rsidRDefault="009E6CF2" w:rsidP="009E6CF2">
            <w:pPr>
              <w:spacing w:after="0" w:line="240" w:lineRule="auto"/>
              <w:rPr>
                <w:rFonts w:ascii="Times New Roman" w:eastAsia="Times New Roman" w:hAnsi="Times New Roman"/>
                <w:b/>
                <w:bCs/>
                <w:color w:val="000000"/>
                <w:lang w:eastAsia="es-AR"/>
              </w:rPr>
            </w:pPr>
            <w:r w:rsidRPr="009E6CF2">
              <w:rPr>
                <w:rFonts w:ascii="Times New Roman" w:eastAsia="Times New Roman" w:hAnsi="Times New Roman"/>
                <w:b/>
                <w:bCs/>
                <w:color w:val="000000"/>
                <w:lang w:eastAsia="es-AR"/>
              </w:rPr>
              <w:t> </w:t>
            </w:r>
          </w:p>
        </w:tc>
        <w:tc>
          <w:tcPr>
            <w:tcW w:w="1160" w:type="dxa"/>
            <w:tcBorders>
              <w:top w:val="nil"/>
              <w:left w:val="nil"/>
              <w:bottom w:val="nil"/>
              <w:right w:val="nil"/>
            </w:tcBorders>
            <w:shd w:val="clear" w:color="000000" w:fill="FFFFFF"/>
            <w:noWrap/>
            <w:vAlign w:val="center"/>
            <w:hideMark/>
          </w:tcPr>
          <w:p w14:paraId="28162837" w14:textId="77777777" w:rsidR="009E6CF2" w:rsidRPr="009E6CF2" w:rsidRDefault="009E6CF2" w:rsidP="009E6CF2">
            <w:pPr>
              <w:spacing w:after="0" w:line="240" w:lineRule="auto"/>
              <w:rPr>
                <w:rFonts w:ascii="Times New Roman" w:eastAsia="Times New Roman" w:hAnsi="Times New Roman"/>
                <w:b/>
                <w:bCs/>
                <w:color w:val="000000"/>
                <w:lang w:eastAsia="es-AR"/>
              </w:rPr>
            </w:pPr>
            <w:r w:rsidRPr="009E6CF2">
              <w:rPr>
                <w:rFonts w:ascii="Times New Roman" w:eastAsia="Times New Roman" w:hAnsi="Times New Roman"/>
                <w:b/>
                <w:bCs/>
                <w:color w:val="000000"/>
                <w:lang w:eastAsia="es-AR"/>
              </w:rPr>
              <w:t> </w:t>
            </w:r>
          </w:p>
        </w:tc>
        <w:tc>
          <w:tcPr>
            <w:tcW w:w="1200" w:type="dxa"/>
            <w:tcBorders>
              <w:top w:val="nil"/>
              <w:left w:val="nil"/>
              <w:bottom w:val="nil"/>
              <w:right w:val="nil"/>
            </w:tcBorders>
            <w:shd w:val="clear" w:color="000000" w:fill="FFFFFF"/>
            <w:noWrap/>
            <w:vAlign w:val="center"/>
            <w:hideMark/>
          </w:tcPr>
          <w:p w14:paraId="75119B52"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280" w:type="dxa"/>
            <w:tcBorders>
              <w:top w:val="nil"/>
              <w:left w:val="nil"/>
              <w:bottom w:val="nil"/>
              <w:right w:val="nil"/>
            </w:tcBorders>
            <w:shd w:val="clear" w:color="000000" w:fill="FFFFFF"/>
            <w:noWrap/>
            <w:vAlign w:val="center"/>
            <w:hideMark/>
          </w:tcPr>
          <w:p w14:paraId="3F8094B9"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480" w:type="dxa"/>
            <w:tcBorders>
              <w:top w:val="nil"/>
              <w:left w:val="nil"/>
              <w:bottom w:val="nil"/>
              <w:right w:val="nil"/>
            </w:tcBorders>
            <w:shd w:val="clear" w:color="000000" w:fill="FFFFFF"/>
            <w:noWrap/>
            <w:vAlign w:val="center"/>
            <w:hideMark/>
          </w:tcPr>
          <w:p w14:paraId="42D64178" w14:textId="77777777" w:rsidR="009E6CF2" w:rsidRPr="009E6CF2" w:rsidRDefault="009E6CF2" w:rsidP="009E6CF2">
            <w:pPr>
              <w:spacing w:after="0" w:line="240" w:lineRule="auto"/>
              <w:rPr>
                <w:rFonts w:ascii="Times New Roman" w:eastAsia="Times New Roman" w:hAnsi="Times New Roman"/>
                <w:b/>
                <w:bCs/>
                <w:color w:val="000000"/>
                <w:lang w:eastAsia="es-AR"/>
              </w:rPr>
            </w:pPr>
            <w:r w:rsidRPr="009E6CF2">
              <w:rPr>
                <w:rFonts w:ascii="Times New Roman" w:eastAsia="Times New Roman" w:hAnsi="Times New Roman"/>
                <w:b/>
                <w:bCs/>
                <w:color w:val="000000"/>
                <w:lang w:eastAsia="es-AR"/>
              </w:rPr>
              <w:t> </w:t>
            </w:r>
          </w:p>
        </w:tc>
        <w:tc>
          <w:tcPr>
            <w:tcW w:w="280" w:type="dxa"/>
            <w:tcBorders>
              <w:top w:val="nil"/>
              <w:left w:val="nil"/>
              <w:bottom w:val="nil"/>
              <w:right w:val="nil"/>
            </w:tcBorders>
            <w:shd w:val="clear" w:color="000000" w:fill="FFFFFF"/>
            <w:noWrap/>
            <w:vAlign w:val="center"/>
            <w:hideMark/>
          </w:tcPr>
          <w:p w14:paraId="309A5E47"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r>
      <w:tr w:rsidR="009E6CF2" w:rsidRPr="009E6CF2" w14:paraId="76AFC82A" w14:textId="77777777" w:rsidTr="009E6CF2">
        <w:trPr>
          <w:trHeight w:val="300"/>
        </w:trPr>
        <w:tc>
          <w:tcPr>
            <w:tcW w:w="280" w:type="dxa"/>
            <w:tcBorders>
              <w:top w:val="nil"/>
              <w:left w:val="nil"/>
              <w:bottom w:val="nil"/>
              <w:right w:val="nil"/>
            </w:tcBorders>
            <w:shd w:val="clear" w:color="000000" w:fill="FFFFFF"/>
            <w:noWrap/>
            <w:vAlign w:val="center"/>
            <w:hideMark/>
          </w:tcPr>
          <w:p w14:paraId="31681470"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96" w:type="dxa"/>
            <w:tcBorders>
              <w:top w:val="nil"/>
              <w:left w:val="nil"/>
              <w:bottom w:val="nil"/>
              <w:right w:val="nil"/>
            </w:tcBorders>
            <w:shd w:val="clear" w:color="000000" w:fill="FFFFFF"/>
            <w:noWrap/>
            <w:vAlign w:val="center"/>
            <w:hideMark/>
          </w:tcPr>
          <w:p w14:paraId="00E4E93A"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3264" w:type="dxa"/>
            <w:tcBorders>
              <w:top w:val="nil"/>
              <w:left w:val="nil"/>
              <w:bottom w:val="nil"/>
              <w:right w:val="nil"/>
            </w:tcBorders>
            <w:shd w:val="clear" w:color="000000" w:fill="FFFFFF"/>
            <w:noWrap/>
            <w:vAlign w:val="center"/>
            <w:hideMark/>
          </w:tcPr>
          <w:p w14:paraId="68D4160F"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160" w:type="dxa"/>
            <w:tcBorders>
              <w:top w:val="nil"/>
              <w:left w:val="nil"/>
              <w:bottom w:val="nil"/>
              <w:right w:val="nil"/>
            </w:tcBorders>
            <w:shd w:val="clear" w:color="000000" w:fill="FFFFFF"/>
            <w:noWrap/>
            <w:vAlign w:val="center"/>
            <w:hideMark/>
          </w:tcPr>
          <w:p w14:paraId="2B5F1BF0"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200" w:type="dxa"/>
            <w:tcBorders>
              <w:top w:val="nil"/>
              <w:left w:val="nil"/>
              <w:bottom w:val="nil"/>
              <w:right w:val="nil"/>
            </w:tcBorders>
            <w:shd w:val="clear" w:color="000000" w:fill="FFFFFF"/>
            <w:noWrap/>
            <w:vAlign w:val="center"/>
            <w:hideMark/>
          </w:tcPr>
          <w:p w14:paraId="7ABF86FF"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280" w:type="dxa"/>
            <w:tcBorders>
              <w:top w:val="nil"/>
              <w:left w:val="nil"/>
              <w:bottom w:val="nil"/>
              <w:right w:val="nil"/>
            </w:tcBorders>
            <w:shd w:val="clear" w:color="000000" w:fill="FFFFFF"/>
            <w:noWrap/>
            <w:vAlign w:val="center"/>
            <w:hideMark/>
          </w:tcPr>
          <w:p w14:paraId="20AAE969"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480" w:type="dxa"/>
            <w:tcBorders>
              <w:top w:val="nil"/>
              <w:left w:val="nil"/>
              <w:bottom w:val="nil"/>
              <w:right w:val="nil"/>
            </w:tcBorders>
            <w:shd w:val="clear" w:color="000000" w:fill="FFFFFF"/>
            <w:noWrap/>
            <w:vAlign w:val="center"/>
            <w:hideMark/>
          </w:tcPr>
          <w:p w14:paraId="57C935E3"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280" w:type="dxa"/>
            <w:tcBorders>
              <w:top w:val="nil"/>
              <w:left w:val="nil"/>
              <w:bottom w:val="nil"/>
              <w:right w:val="nil"/>
            </w:tcBorders>
            <w:shd w:val="clear" w:color="000000" w:fill="FFFFFF"/>
            <w:noWrap/>
            <w:vAlign w:val="center"/>
            <w:hideMark/>
          </w:tcPr>
          <w:p w14:paraId="5D253003"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r>
      <w:tr w:rsidR="009E6CF2" w:rsidRPr="009E6CF2" w14:paraId="01CF8081" w14:textId="77777777" w:rsidTr="009E6CF2">
        <w:trPr>
          <w:trHeight w:val="300"/>
        </w:trPr>
        <w:tc>
          <w:tcPr>
            <w:tcW w:w="280" w:type="dxa"/>
            <w:tcBorders>
              <w:top w:val="nil"/>
              <w:left w:val="nil"/>
              <w:bottom w:val="nil"/>
              <w:right w:val="nil"/>
            </w:tcBorders>
            <w:shd w:val="clear" w:color="000000" w:fill="FFFFFF"/>
            <w:noWrap/>
            <w:vAlign w:val="center"/>
            <w:hideMark/>
          </w:tcPr>
          <w:p w14:paraId="509EF4BC" w14:textId="77777777" w:rsidR="009E6CF2" w:rsidRPr="009E6CF2" w:rsidRDefault="009E6CF2" w:rsidP="009E6CF2">
            <w:pPr>
              <w:spacing w:after="0" w:line="240" w:lineRule="auto"/>
              <w:jc w:val="right"/>
              <w:rPr>
                <w:rFonts w:ascii="Times New Roman" w:eastAsia="Times New Roman" w:hAnsi="Times New Roman"/>
                <w:b/>
                <w:bCs/>
                <w:color w:val="000000"/>
                <w:sz w:val="18"/>
                <w:szCs w:val="18"/>
                <w:lang w:eastAsia="es-AR"/>
              </w:rPr>
            </w:pPr>
            <w:r w:rsidRPr="009E6CF2">
              <w:rPr>
                <w:rFonts w:ascii="Times New Roman" w:eastAsia="Times New Roman" w:hAnsi="Times New Roman"/>
                <w:b/>
                <w:bCs/>
                <w:color w:val="000000"/>
                <w:sz w:val="18"/>
                <w:szCs w:val="18"/>
                <w:lang w:eastAsia="es-AR"/>
              </w:rPr>
              <w:t>1</w:t>
            </w:r>
          </w:p>
        </w:tc>
        <w:tc>
          <w:tcPr>
            <w:tcW w:w="7480" w:type="dxa"/>
            <w:gridSpan w:val="6"/>
            <w:tcBorders>
              <w:top w:val="nil"/>
              <w:left w:val="nil"/>
              <w:bottom w:val="nil"/>
              <w:right w:val="nil"/>
            </w:tcBorders>
            <w:shd w:val="clear" w:color="000000" w:fill="FFFFFF"/>
            <w:noWrap/>
            <w:vAlign w:val="center"/>
            <w:hideMark/>
          </w:tcPr>
          <w:p w14:paraId="7D1FA556" w14:textId="2A6FCA80"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xml:space="preserve">Otros pasivos financieros son financiaciones sin </w:t>
            </w:r>
            <w:r w:rsidR="00C86136" w:rsidRPr="009E6CF2">
              <w:rPr>
                <w:rFonts w:ascii="Times New Roman" w:eastAsia="Times New Roman" w:hAnsi="Times New Roman"/>
                <w:color w:val="000000"/>
                <w:sz w:val="18"/>
                <w:szCs w:val="18"/>
                <w:lang w:eastAsia="es-AR"/>
              </w:rPr>
              <w:t>garantías</w:t>
            </w:r>
            <w:r w:rsidRPr="009E6CF2">
              <w:rPr>
                <w:rFonts w:ascii="Times New Roman" w:eastAsia="Times New Roman" w:hAnsi="Times New Roman"/>
                <w:color w:val="000000"/>
                <w:sz w:val="18"/>
                <w:szCs w:val="18"/>
                <w:lang w:eastAsia="es-AR"/>
              </w:rPr>
              <w:t xml:space="preserve"> con terceros y </w:t>
            </w:r>
            <w:r w:rsidR="00C86136" w:rsidRPr="009E6CF2">
              <w:rPr>
                <w:rFonts w:ascii="Times New Roman" w:eastAsia="Times New Roman" w:hAnsi="Times New Roman"/>
                <w:color w:val="000000"/>
                <w:sz w:val="18"/>
                <w:szCs w:val="18"/>
                <w:lang w:eastAsia="es-AR"/>
              </w:rPr>
              <w:t>préstamo</w:t>
            </w:r>
            <w:r w:rsidRPr="009E6CF2">
              <w:rPr>
                <w:rFonts w:ascii="Times New Roman" w:eastAsia="Times New Roman" w:hAnsi="Times New Roman"/>
                <w:color w:val="000000"/>
                <w:sz w:val="18"/>
                <w:szCs w:val="18"/>
                <w:lang w:eastAsia="es-AR"/>
              </w:rPr>
              <w:t xml:space="preserve"> con entidad</w:t>
            </w:r>
          </w:p>
        </w:tc>
        <w:tc>
          <w:tcPr>
            <w:tcW w:w="280" w:type="dxa"/>
            <w:tcBorders>
              <w:top w:val="nil"/>
              <w:left w:val="nil"/>
              <w:bottom w:val="nil"/>
              <w:right w:val="nil"/>
            </w:tcBorders>
            <w:shd w:val="clear" w:color="000000" w:fill="FFFFFF"/>
            <w:noWrap/>
            <w:vAlign w:val="center"/>
            <w:hideMark/>
          </w:tcPr>
          <w:p w14:paraId="4216DAAA"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r>
      <w:tr w:rsidR="009E6CF2" w:rsidRPr="009E6CF2" w14:paraId="31DA32D0" w14:textId="77777777" w:rsidTr="009E6CF2">
        <w:trPr>
          <w:trHeight w:val="300"/>
        </w:trPr>
        <w:tc>
          <w:tcPr>
            <w:tcW w:w="280" w:type="dxa"/>
            <w:tcBorders>
              <w:top w:val="nil"/>
              <w:left w:val="nil"/>
              <w:bottom w:val="nil"/>
              <w:right w:val="nil"/>
            </w:tcBorders>
            <w:shd w:val="clear" w:color="000000" w:fill="FFFFFF"/>
            <w:noWrap/>
            <w:vAlign w:val="center"/>
            <w:hideMark/>
          </w:tcPr>
          <w:p w14:paraId="1081990D" w14:textId="77777777" w:rsidR="009E6CF2" w:rsidRPr="009E6CF2" w:rsidRDefault="009E6CF2" w:rsidP="009E6CF2">
            <w:pPr>
              <w:spacing w:after="0" w:line="240" w:lineRule="auto"/>
              <w:rPr>
                <w:rFonts w:ascii="Times New Roman" w:eastAsia="Times New Roman" w:hAnsi="Times New Roman"/>
                <w:b/>
                <w:bCs/>
                <w:color w:val="000000"/>
                <w:sz w:val="18"/>
                <w:szCs w:val="18"/>
                <w:lang w:eastAsia="es-AR"/>
              </w:rPr>
            </w:pPr>
            <w:r w:rsidRPr="009E6CF2">
              <w:rPr>
                <w:rFonts w:ascii="Times New Roman" w:eastAsia="Times New Roman" w:hAnsi="Times New Roman"/>
                <w:b/>
                <w:bCs/>
                <w:color w:val="000000"/>
                <w:sz w:val="18"/>
                <w:szCs w:val="18"/>
                <w:lang w:eastAsia="es-AR"/>
              </w:rPr>
              <w:t> </w:t>
            </w:r>
          </w:p>
        </w:tc>
        <w:tc>
          <w:tcPr>
            <w:tcW w:w="7480" w:type="dxa"/>
            <w:gridSpan w:val="6"/>
            <w:tcBorders>
              <w:top w:val="nil"/>
              <w:left w:val="nil"/>
              <w:bottom w:val="nil"/>
              <w:right w:val="nil"/>
            </w:tcBorders>
            <w:shd w:val="clear" w:color="000000" w:fill="FFFFFF"/>
            <w:noWrap/>
            <w:vAlign w:val="center"/>
            <w:hideMark/>
          </w:tcPr>
          <w:p w14:paraId="56D94670" w14:textId="608FB236"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xml:space="preserve">financiera medida a su costo de </w:t>
            </w:r>
            <w:r w:rsidR="00C86136" w:rsidRPr="009E6CF2">
              <w:rPr>
                <w:rFonts w:ascii="Times New Roman" w:eastAsia="Times New Roman" w:hAnsi="Times New Roman"/>
                <w:color w:val="000000"/>
                <w:sz w:val="18"/>
                <w:szCs w:val="18"/>
                <w:lang w:eastAsia="es-AR"/>
              </w:rPr>
              <w:t>amortización</w:t>
            </w:r>
            <w:r w:rsidRPr="009E6CF2">
              <w:rPr>
                <w:rFonts w:ascii="Times New Roman" w:eastAsia="Times New Roman" w:hAnsi="Times New Roman"/>
                <w:color w:val="000000"/>
                <w:sz w:val="18"/>
                <w:szCs w:val="18"/>
                <w:lang w:eastAsia="es-AR"/>
              </w:rPr>
              <w:t xml:space="preserve"> y su </w:t>
            </w:r>
            <w:r w:rsidR="00C86136" w:rsidRPr="009E6CF2">
              <w:rPr>
                <w:rFonts w:ascii="Times New Roman" w:eastAsia="Times New Roman" w:hAnsi="Times New Roman"/>
                <w:color w:val="000000"/>
                <w:sz w:val="18"/>
                <w:szCs w:val="18"/>
                <w:lang w:eastAsia="es-AR"/>
              </w:rPr>
              <w:t>composición</w:t>
            </w:r>
            <w:r w:rsidRPr="009E6CF2">
              <w:rPr>
                <w:rFonts w:ascii="Times New Roman" w:eastAsia="Times New Roman" w:hAnsi="Times New Roman"/>
                <w:color w:val="000000"/>
                <w:sz w:val="18"/>
                <w:szCs w:val="18"/>
                <w:lang w:eastAsia="es-AR"/>
              </w:rPr>
              <w:t xml:space="preserve"> es la siguiente:</w:t>
            </w:r>
          </w:p>
        </w:tc>
        <w:tc>
          <w:tcPr>
            <w:tcW w:w="280" w:type="dxa"/>
            <w:tcBorders>
              <w:top w:val="nil"/>
              <w:left w:val="nil"/>
              <w:bottom w:val="nil"/>
              <w:right w:val="nil"/>
            </w:tcBorders>
            <w:shd w:val="clear" w:color="000000" w:fill="FFFFFF"/>
            <w:noWrap/>
            <w:vAlign w:val="center"/>
            <w:hideMark/>
          </w:tcPr>
          <w:p w14:paraId="687028CD"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r>
      <w:tr w:rsidR="009E6CF2" w:rsidRPr="009E6CF2" w14:paraId="03BB2D68" w14:textId="77777777" w:rsidTr="009E6CF2">
        <w:trPr>
          <w:trHeight w:val="240"/>
        </w:trPr>
        <w:tc>
          <w:tcPr>
            <w:tcW w:w="280" w:type="dxa"/>
            <w:tcBorders>
              <w:top w:val="nil"/>
              <w:left w:val="nil"/>
              <w:bottom w:val="nil"/>
              <w:right w:val="nil"/>
            </w:tcBorders>
            <w:shd w:val="clear" w:color="000000" w:fill="FFFFFF"/>
            <w:noWrap/>
            <w:vAlign w:val="center"/>
            <w:hideMark/>
          </w:tcPr>
          <w:p w14:paraId="1ADC3673"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lastRenderedPageBreak/>
              <w:t> </w:t>
            </w:r>
          </w:p>
        </w:tc>
        <w:tc>
          <w:tcPr>
            <w:tcW w:w="96" w:type="dxa"/>
            <w:tcBorders>
              <w:top w:val="nil"/>
              <w:left w:val="nil"/>
              <w:bottom w:val="nil"/>
              <w:right w:val="nil"/>
            </w:tcBorders>
            <w:shd w:val="clear" w:color="000000" w:fill="FFFFFF"/>
            <w:noWrap/>
            <w:vAlign w:val="center"/>
            <w:hideMark/>
          </w:tcPr>
          <w:p w14:paraId="0D2187F0"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264" w:type="dxa"/>
            <w:tcBorders>
              <w:top w:val="nil"/>
              <w:left w:val="nil"/>
              <w:bottom w:val="nil"/>
              <w:right w:val="nil"/>
            </w:tcBorders>
            <w:shd w:val="clear" w:color="000000" w:fill="FFFFFF"/>
            <w:noWrap/>
            <w:vAlign w:val="center"/>
            <w:hideMark/>
          </w:tcPr>
          <w:p w14:paraId="5A68B177"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160" w:type="dxa"/>
            <w:tcBorders>
              <w:top w:val="nil"/>
              <w:left w:val="nil"/>
              <w:bottom w:val="nil"/>
              <w:right w:val="nil"/>
            </w:tcBorders>
            <w:shd w:val="clear" w:color="000000" w:fill="FFFFFF"/>
            <w:noWrap/>
            <w:vAlign w:val="center"/>
            <w:hideMark/>
          </w:tcPr>
          <w:p w14:paraId="7D6D13AB"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200" w:type="dxa"/>
            <w:tcBorders>
              <w:top w:val="nil"/>
              <w:left w:val="nil"/>
              <w:bottom w:val="nil"/>
              <w:right w:val="nil"/>
            </w:tcBorders>
            <w:shd w:val="clear" w:color="000000" w:fill="FFFFFF"/>
            <w:noWrap/>
            <w:vAlign w:val="center"/>
            <w:hideMark/>
          </w:tcPr>
          <w:p w14:paraId="5C988779"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62920CA4"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tcBorders>
              <w:top w:val="nil"/>
              <w:left w:val="nil"/>
              <w:bottom w:val="nil"/>
              <w:right w:val="nil"/>
            </w:tcBorders>
            <w:shd w:val="clear" w:color="000000" w:fill="FFFFFF"/>
            <w:noWrap/>
            <w:vAlign w:val="center"/>
            <w:hideMark/>
          </w:tcPr>
          <w:p w14:paraId="17FBC7B2"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3128C285"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304AE379" w14:textId="77777777" w:rsidTr="009E6CF2">
        <w:trPr>
          <w:trHeight w:val="240"/>
        </w:trPr>
        <w:tc>
          <w:tcPr>
            <w:tcW w:w="280" w:type="dxa"/>
            <w:tcBorders>
              <w:top w:val="nil"/>
              <w:left w:val="nil"/>
              <w:bottom w:val="nil"/>
              <w:right w:val="nil"/>
            </w:tcBorders>
            <w:shd w:val="clear" w:color="000000" w:fill="FFFFFF"/>
            <w:noWrap/>
            <w:vAlign w:val="center"/>
            <w:hideMark/>
          </w:tcPr>
          <w:p w14:paraId="3EC98E07"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360" w:type="dxa"/>
            <w:gridSpan w:val="2"/>
            <w:tcBorders>
              <w:top w:val="nil"/>
              <w:left w:val="nil"/>
              <w:bottom w:val="nil"/>
              <w:right w:val="nil"/>
            </w:tcBorders>
            <w:shd w:val="clear" w:color="000000" w:fill="FFFFFF"/>
            <w:noWrap/>
            <w:vAlign w:val="center"/>
            <w:hideMark/>
          </w:tcPr>
          <w:p w14:paraId="555A7291" w14:textId="77777777" w:rsidR="009E6CF2" w:rsidRPr="009E6CF2" w:rsidRDefault="009E6CF2" w:rsidP="009E6CF2">
            <w:pPr>
              <w:spacing w:after="0" w:line="240" w:lineRule="auto"/>
              <w:rPr>
                <w:rFonts w:ascii="Times New Roman" w:eastAsia="Times New Roman" w:hAnsi="Times New Roman"/>
                <w:b/>
                <w:bCs/>
                <w:color w:val="000000"/>
                <w:sz w:val="18"/>
                <w:szCs w:val="18"/>
                <w:u w:val="single"/>
                <w:lang w:eastAsia="es-AR"/>
              </w:rPr>
            </w:pPr>
            <w:r w:rsidRPr="009E6CF2">
              <w:rPr>
                <w:rFonts w:ascii="Times New Roman" w:eastAsia="Times New Roman" w:hAnsi="Times New Roman"/>
                <w:b/>
                <w:bCs/>
                <w:color w:val="000000"/>
                <w:sz w:val="18"/>
                <w:szCs w:val="18"/>
                <w:u w:val="single"/>
                <w:lang w:eastAsia="es-AR"/>
              </w:rPr>
              <w:t>Banco Columbia SA</w:t>
            </w:r>
          </w:p>
        </w:tc>
        <w:tc>
          <w:tcPr>
            <w:tcW w:w="1160" w:type="dxa"/>
            <w:tcBorders>
              <w:top w:val="nil"/>
              <w:left w:val="nil"/>
              <w:bottom w:val="nil"/>
              <w:right w:val="nil"/>
            </w:tcBorders>
            <w:shd w:val="clear" w:color="000000" w:fill="FFFFFF"/>
            <w:noWrap/>
            <w:vAlign w:val="center"/>
            <w:hideMark/>
          </w:tcPr>
          <w:p w14:paraId="09E9FE38"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200" w:type="dxa"/>
            <w:tcBorders>
              <w:top w:val="nil"/>
              <w:left w:val="nil"/>
              <w:bottom w:val="nil"/>
              <w:right w:val="nil"/>
            </w:tcBorders>
            <w:shd w:val="clear" w:color="000000" w:fill="FFFFFF"/>
            <w:noWrap/>
            <w:vAlign w:val="center"/>
            <w:hideMark/>
          </w:tcPr>
          <w:p w14:paraId="70CA6024"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1ED72EF4"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tcBorders>
              <w:top w:val="nil"/>
              <w:left w:val="nil"/>
              <w:bottom w:val="nil"/>
              <w:right w:val="nil"/>
            </w:tcBorders>
            <w:shd w:val="clear" w:color="000000" w:fill="FFFFFF"/>
            <w:noWrap/>
            <w:vAlign w:val="center"/>
            <w:hideMark/>
          </w:tcPr>
          <w:p w14:paraId="40311371"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35C3B6DC"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5984084B" w14:textId="77777777" w:rsidTr="009E6CF2">
        <w:trPr>
          <w:trHeight w:val="240"/>
        </w:trPr>
        <w:tc>
          <w:tcPr>
            <w:tcW w:w="280" w:type="dxa"/>
            <w:tcBorders>
              <w:top w:val="nil"/>
              <w:left w:val="nil"/>
              <w:bottom w:val="nil"/>
              <w:right w:val="nil"/>
            </w:tcBorders>
            <w:shd w:val="clear" w:color="000000" w:fill="FFFFFF"/>
            <w:noWrap/>
            <w:vAlign w:val="center"/>
            <w:hideMark/>
          </w:tcPr>
          <w:p w14:paraId="440572B9"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96" w:type="dxa"/>
            <w:tcBorders>
              <w:top w:val="nil"/>
              <w:left w:val="nil"/>
              <w:bottom w:val="nil"/>
              <w:right w:val="nil"/>
            </w:tcBorders>
            <w:shd w:val="clear" w:color="000000" w:fill="FFFFFF"/>
            <w:noWrap/>
            <w:vAlign w:val="center"/>
            <w:hideMark/>
          </w:tcPr>
          <w:p w14:paraId="200EEDEA"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264" w:type="dxa"/>
            <w:tcBorders>
              <w:top w:val="nil"/>
              <w:left w:val="nil"/>
              <w:bottom w:val="nil"/>
              <w:right w:val="nil"/>
            </w:tcBorders>
            <w:shd w:val="clear" w:color="000000" w:fill="FFFFFF"/>
            <w:noWrap/>
            <w:vAlign w:val="center"/>
            <w:hideMark/>
          </w:tcPr>
          <w:p w14:paraId="77C9E127" w14:textId="50FFD7B6" w:rsidR="009E6CF2" w:rsidRPr="009E6CF2" w:rsidRDefault="00C86136"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Préstamo a</w:t>
            </w:r>
            <w:r w:rsidR="009E6CF2" w:rsidRPr="009E6CF2">
              <w:rPr>
                <w:rFonts w:ascii="Times New Roman" w:eastAsia="Times New Roman" w:hAnsi="Times New Roman"/>
                <w:color w:val="000000"/>
                <w:sz w:val="18"/>
                <w:szCs w:val="18"/>
                <w:lang w:eastAsia="es-AR"/>
              </w:rPr>
              <w:t xml:space="preserve"> tasa  fija por $ 13.000.000,-</w:t>
            </w:r>
          </w:p>
        </w:tc>
        <w:tc>
          <w:tcPr>
            <w:tcW w:w="1160" w:type="dxa"/>
            <w:tcBorders>
              <w:top w:val="nil"/>
              <w:left w:val="nil"/>
              <w:bottom w:val="nil"/>
              <w:right w:val="nil"/>
            </w:tcBorders>
            <w:shd w:val="clear" w:color="000000" w:fill="FFFFFF"/>
            <w:noWrap/>
            <w:vAlign w:val="center"/>
            <w:hideMark/>
          </w:tcPr>
          <w:p w14:paraId="16CF8962"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200" w:type="dxa"/>
            <w:tcBorders>
              <w:top w:val="nil"/>
              <w:left w:val="nil"/>
              <w:bottom w:val="nil"/>
              <w:right w:val="nil"/>
            </w:tcBorders>
            <w:shd w:val="clear" w:color="000000" w:fill="FFFFFF"/>
            <w:noWrap/>
            <w:vAlign w:val="center"/>
            <w:hideMark/>
          </w:tcPr>
          <w:p w14:paraId="32D643F4"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60F9A8D4"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tcBorders>
              <w:top w:val="nil"/>
              <w:left w:val="nil"/>
              <w:bottom w:val="nil"/>
              <w:right w:val="nil"/>
            </w:tcBorders>
            <w:shd w:val="clear" w:color="000000" w:fill="FFFFFF"/>
            <w:noWrap/>
            <w:vAlign w:val="center"/>
            <w:hideMark/>
          </w:tcPr>
          <w:p w14:paraId="64CEA7E7"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670C2F6B"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3ADF1F99" w14:textId="77777777" w:rsidTr="009E6CF2">
        <w:trPr>
          <w:trHeight w:val="240"/>
        </w:trPr>
        <w:tc>
          <w:tcPr>
            <w:tcW w:w="280" w:type="dxa"/>
            <w:tcBorders>
              <w:top w:val="nil"/>
              <w:left w:val="nil"/>
              <w:bottom w:val="nil"/>
              <w:right w:val="nil"/>
            </w:tcBorders>
            <w:shd w:val="clear" w:color="000000" w:fill="FFFFFF"/>
            <w:noWrap/>
            <w:vAlign w:val="center"/>
            <w:hideMark/>
          </w:tcPr>
          <w:p w14:paraId="393EF8B8"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96" w:type="dxa"/>
            <w:tcBorders>
              <w:top w:val="nil"/>
              <w:left w:val="nil"/>
              <w:bottom w:val="nil"/>
              <w:right w:val="nil"/>
            </w:tcBorders>
            <w:shd w:val="clear" w:color="000000" w:fill="FFFFFF"/>
            <w:noWrap/>
            <w:vAlign w:val="center"/>
            <w:hideMark/>
          </w:tcPr>
          <w:p w14:paraId="3FD86BA8"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264" w:type="dxa"/>
            <w:tcBorders>
              <w:top w:val="nil"/>
              <w:left w:val="nil"/>
              <w:bottom w:val="nil"/>
              <w:right w:val="nil"/>
            </w:tcBorders>
            <w:shd w:val="clear" w:color="000000" w:fill="FFFFFF"/>
            <w:noWrap/>
            <w:vAlign w:val="center"/>
            <w:hideMark/>
          </w:tcPr>
          <w:p w14:paraId="6CA6EA70"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b/>
                <w:bCs/>
                <w:color w:val="000000"/>
                <w:sz w:val="18"/>
                <w:szCs w:val="18"/>
                <w:lang w:eastAsia="es-AR"/>
              </w:rPr>
              <w:t>Tasa Nominal Anual:</w:t>
            </w:r>
            <w:r w:rsidRPr="009E6CF2">
              <w:rPr>
                <w:rFonts w:ascii="Times New Roman" w:eastAsia="Times New Roman" w:hAnsi="Times New Roman"/>
                <w:color w:val="000000"/>
                <w:sz w:val="18"/>
                <w:szCs w:val="18"/>
                <w:lang w:eastAsia="es-AR"/>
              </w:rPr>
              <w:t xml:space="preserve"> 95%</w:t>
            </w:r>
          </w:p>
        </w:tc>
        <w:tc>
          <w:tcPr>
            <w:tcW w:w="1160" w:type="dxa"/>
            <w:tcBorders>
              <w:top w:val="nil"/>
              <w:left w:val="nil"/>
              <w:bottom w:val="nil"/>
              <w:right w:val="nil"/>
            </w:tcBorders>
            <w:shd w:val="clear" w:color="000000" w:fill="FFFFFF"/>
            <w:noWrap/>
            <w:vAlign w:val="center"/>
            <w:hideMark/>
          </w:tcPr>
          <w:p w14:paraId="5A7CC5CB"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200" w:type="dxa"/>
            <w:tcBorders>
              <w:top w:val="nil"/>
              <w:left w:val="nil"/>
              <w:bottom w:val="nil"/>
              <w:right w:val="nil"/>
            </w:tcBorders>
            <w:shd w:val="clear" w:color="000000" w:fill="FFFFFF"/>
            <w:noWrap/>
            <w:vAlign w:val="center"/>
            <w:hideMark/>
          </w:tcPr>
          <w:p w14:paraId="7FBCE75E"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0D04ED33"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tcBorders>
              <w:top w:val="nil"/>
              <w:left w:val="nil"/>
              <w:bottom w:val="nil"/>
              <w:right w:val="nil"/>
            </w:tcBorders>
            <w:shd w:val="clear" w:color="000000" w:fill="FFFFFF"/>
            <w:noWrap/>
            <w:vAlign w:val="center"/>
            <w:hideMark/>
          </w:tcPr>
          <w:p w14:paraId="110C6E4F"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24F089B1"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0523BC14" w14:textId="77777777" w:rsidTr="009E6CF2">
        <w:trPr>
          <w:trHeight w:val="240"/>
        </w:trPr>
        <w:tc>
          <w:tcPr>
            <w:tcW w:w="280" w:type="dxa"/>
            <w:tcBorders>
              <w:top w:val="nil"/>
              <w:left w:val="nil"/>
              <w:bottom w:val="nil"/>
              <w:right w:val="nil"/>
            </w:tcBorders>
            <w:shd w:val="clear" w:color="000000" w:fill="FFFFFF"/>
            <w:noWrap/>
            <w:vAlign w:val="center"/>
            <w:hideMark/>
          </w:tcPr>
          <w:p w14:paraId="1CCBF153"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96" w:type="dxa"/>
            <w:tcBorders>
              <w:top w:val="nil"/>
              <w:left w:val="nil"/>
              <w:bottom w:val="nil"/>
              <w:right w:val="nil"/>
            </w:tcBorders>
            <w:shd w:val="clear" w:color="000000" w:fill="FFFFFF"/>
            <w:noWrap/>
            <w:vAlign w:val="center"/>
            <w:hideMark/>
          </w:tcPr>
          <w:p w14:paraId="56F5AE3B"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264" w:type="dxa"/>
            <w:tcBorders>
              <w:top w:val="nil"/>
              <w:left w:val="nil"/>
              <w:bottom w:val="nil"/>
              <w:right w:val="nil"/>
            </w:tcBorders>
            <w:shd w:val="clear" w:color="000000" w:fill="FFFFFF"/>
            <w:noWrap/>
            <w:vAlign w:val="center"/>
            <w:hideMark/>
          </w:tcPr>
          <w:p w14:paraId="2A29E64D"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b/>
                <w:bCs/>
                <w:color w:val="000000"/>
                <w:sz w:val="18"/>
                <w:szCs w:val="18"/>
                <w:lang w:eastAsia="es-AR"/>
              </w:rPr>
              <w:t>Vencimiento:</w:t>
            </w:r>
            <w:r w:rsidRPr="009E6CF2">
              <w:rPr>
                <w:rFonts w:ascii="Times New Roman" w:eastAsia="Times New Roman" w:hAnsi="Times New Roman"/>
                <w:color w:val="000000"/>
                <w:sz w:val="18"/>
                <w:szCs w:val="18"/>
                <w:lang w:eastAsia="es-AR"/>
              </w:rPr>
              <w:t xml:space="preserve"> 30 de octubre de 2019</w:t>
            </w:r>
          </w:p>
        </w:tc>
        <w:tc>
          <w:tcPr>
            <w:tcW w:w="1160" w:type="dxa"/>
            <w:tcBorders>
              <w:top w:val="nil"/>
              <w:left w:val="nil"/>
              <w:bottom w:val="nil"/>
              <w:right w:val="nil"/>
            </w:tcBorders>
            <w:shd w:val="clear" w:color="000000" w:fill="FFFFFF"/>
            <w:noWrap/>
            <w:vAlign w:val="center"/>
            <w:hideMark/>
          </w:tcPr>
          <w:p w14:paraId="2474DBC9"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200" w:type="dxa"/>
            <w:tcBorders>
              <w:top w:val="nil"/>
              <w:left w:val="nil"/>
              <w:bottom w:val="nil"/>
              <w:right w:val="nil"/>
            </w:tcBorders>
            <w:shd w:val="clear" w:color="000000" w:fill="FFFFFF"/>
            <w:noWrap/>
            <w:vAlign w:val="center"/>
            <w:hideMark/>
          </w:tcPr>
          <w:p w14:paraId="32207042"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217F5D55"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tcBorders>
              <w:top w:val="nil"/>
              <w:left w:val="nil"/>
              <w:bottom w:val="nil"/>
              <w:right w:val="nil"/>
            </w:tcBorders>
            <w:shd w:val="clear" w:color="000000" w:fill="FFFFFF"/>
            <w:noWrap/>
            <w:vAlign w:val="center"/>
            <w:hideMark/>
          </w:tcPr>
          <w:p w14:paraId="2E2C590D"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76611306"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0E584E6F" w14:textId="77777777" w:rsidTr="009E6CF2">
        <w:trPr>
          <w:trHeight w:val="240"/>
        </w:trPr>
        <w:tc>
          <w:tcPr>
            <w:tcW w:w="280" w:type="dxa"/>
            <w:tcBorders>
              <w:top w:val="nil"/>
              <w:left w:val="nil"/>
              <w:bottom w:val="nil"/>
              <w:right w:val="nil"/>
            </w:tcBorders>
            <w:shd w:val="clear" w:color="000000" w:fill="FFFFFF"/>
            <w:noWrap/>
            <w:vAlign w:val="center"/>
            <w:hideMark/>
          </w:tcPr>
          <w:p w14:paraId="46F2F826"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96" w:type="dxa"/>
            <w:tcBorders>
              <w:top w:val="nil"/>
              <w:left w:val="nil"/>
              <w:bottom w:val="nil"/>
              <w:right w:val="nil"/>
            </w:tcBorders>
            <w:shd w:val="clear" w:color="000000" w:fill="FFFFFF"/>
            <w:noWrap/>
            <w:vAlign w:val="center"/>
            <w:hideMark/>
          </w:tcPr>
          <w:p w14:paraId="72269C13"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264" w:type="dxa"/>
            <w:tcBorders>
              <w:top w:val="nil"/>
              <w:left w:val="nil"/>
              <w:bottom w:val="nil"/>
              <w:right w:val="nil"/>
            </w:tcBorders>
            <w:shd w:val="clear" w:color="000000" w:fill="FFFFFF"/>
            <w:noWrap/>
            <w:vAlign w:val="center"/>
            <w:hideMark/>
          </w:tcPr>
          <w:p w14:paraId="4E3E6FAD"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160" w:type="dxa"/>
            <w:tcBorders>
              <w:top w:val="nil"/>
              <w:left w:val="nil"/>
              <w:bottom w:val="nil"/>
              <w:right w:val="nil"/>
            </w:tcBorders>
            <w:shd w:val="clear" w:color="000000" w:fill="FFFFFF"/>
            <w:noWrap/>
            <w:vAlign w:val="center"/>
            <w:hideMark/>
          </w:tcPr>
          <w:p w14:paraId="4C4F138B"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200" w:type="dxa"/>
            <w:tcBorders>
              <w:top w:val="nil"/>
              <w:left w:val="nil"/>
              <w:bottom w:val="nil"/>
              <w:right w:val="nil"/>
            </w:tcBorders>
            <w:shd w:val="clear" w:color="000000" w:fill="FFFFFF"/>
            <w:noWrap/>
            <w:vAlign w:val="center"/>
            <w:hideMark/>
          </w:tcPr>
          <w:p w14:paraId="10AD9138"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6DA8BD06"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tcBorders>
              <w:top w:val="nil"/>
              <w:left w:val="nil"/>
              <w:bottom w:val="nil"/>
              <w:right w:val="nil"/>
            </w:tcBorders>
            <w:shd w:val="clear" w:color="000000" w:fill="FFFFFF"/>
            <w:noWrap/>
            <w:vAlign w:val="center"/>
            <w:hideMark/>
          </w:tcPr>
          <w:p w14:paraId="7D688B68"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2EB91B47"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11971DC3" w14:textId="77777777" w:rsidTr="009E6CF2">
        <w:trPr>
          <w:trHeight w:val="540"/>
        </w:trPr>
        <w:tc>
          <w:tcPr>
            <w:tcW w:w="280" w:type="dxa"/>
            <w:tcBorders>
              <w:top w:val="nil"/>
              <w:left w:val="nil"/>
              <w:bottom w:val="nil"/>
              <w:right w:val="nil"/>
            </w:tcBorders>
            <w:shd w:val="clear" w:color="000000" w:fill="FFFFFF"/>
            <w:noWrap/>
            <w:hideMark/>
          </w:tcPr>
          <w:p w14:paraId="6CC5B16B" w14:textId="77777777" w:rsidR="009E6CF2" w:rsidRPr="009E6CF2" w:rsidRDefault="009E6CF2" w:rsidP="009E6CF2">
            <w:pPr>
              <w:spacing w:after="0" w:line="240" w:lineRule="auto"/>
              <w:jc w:val="right"/>
              <w:rPr>
                <w:rFonts w:ascii="Times New Roman" w:eastAsia="Times New Roman" w:hAnsi="Times New Roman"/>
                <w:b/>
                <w:bCs/>
                <w:color w:val="000000"/>
                <w:sz w:val="18"/>
                <w:szCs w:val="18"/>
                <w:lang w:eastAsia="es-AR"/>
              </w:rPr>
            </w:pPr>
            <w:r w:rsidRPr="009E6CF2">
              <w:rPr>
                <w:rFonts w:ascii="Times New Roman" w:eastAsia="Times New Roman" w:hAnsi="Times New Roman"/>
                <w:b/>
                <w:bCs/>
                <w:color w:val="000000"/>
                <w:sz w:val="18"/>
                <w:szCs w:val="18"/>
                <w:lang w:eastAsia="es-AR"/>
              </w:rPr>
              <w:t>2</w:t>
            </w:r>
          </w:p>
        </w:tc>
        <w:tc>
          <w:tcPr>
            <w:tcW w:w="7480" w:type="dxa"/>
            <w:gridSpan w:val="6"/>
            <w:tcBorders>
              <w:top w:val="nil"/>
              <w:left w:val="nil"/>
              <w:bottom w:val="nil"/>
              <w:right w:val="nil"/>
            </w:tcBorders>
            <w:shd w:val="clear" w:color="000000" w:fill="FFFFFF"/>
            <w:vAlign w:val="center"/>
            <w:hideMark/>
          </w:tcPr>
          <w:p w14:paraId="77343F71" w14:textId="6F60478B" w:rsidR="009E6CF2" w:rsidRPr="009E6CF2" w:rsidRDefault="009E6CF2" w:rsidP="009E6CF2">
            <w:pPr>
              <w:spacing w:after="0" w:line="240" w:lineRule="auto"/>
              <w:jc w:val="both"/>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xml:space="preserve">Las financiaciones recibidas de otras instituciones financieras se encuentran medidas a su costo de </w:t>
            </w:r>
            <w:r w:rsidR="00C86136" w:rsidRPr="009E6CF2">
              <w:rPr>
                <w:rFonts w:ascii="Times New Roman" w:eastAsia="Times New Roman" w:hAnsi="Times New Roman"/>
                <w:color w:val="000000"/>
                <w:sz w:val="18"/>
                <w:szCs w:val="18"/>
                <w:lang w:eastAsia="es-AR"/>
              </w:rPr>
              <w:t>amortización</w:t>
            </w:r>
            <w:r w:rsidRPr="009E6CF2">
              <w:rPr>
                <w:rFonts w:ascii="Times New Roman" w:eastAsia="Times New Roman" w:hAnsi="Times New Roman"/>
                <w:color w:val="000000"/>
                <w:sz w:val="18"/>
                <w:szCs w:val="18"/>
                <w:lang w:eastAsia="es-AR"/>
              </w:rPr>
              <w:t xml:space="preserve"> y su </w:t>
            </w:r>
            <w:r w:rsidR="00C86136" w:rsidRPr="009E6CF2">
              <w:rPr>
                <w:rFonts w:ascii="Times New Roman" w:eastAsia="Times New Roman" w:hAnsi="Times New Roman"/>
                <w:color w:val="000000"/>
                <w:sz w:val="18"/>
                <w:szCs w:val="18"/>
                <w:lang w:eastAsia="es-AR"/>
              </w:rPr>
              <w:t>composición</w:t>
            </w:r>
            <w:r w:rsidRPr="009E6CF2">
              <w:rPr>
                <w:rFonts w:ascii="Times New Roman" w:eastAsia="Times New Roman" w:hAnsi="Times New Roman"/>
                <w:color w:val="000000"/>
                <w:sz w:val="18"/>
                <w:szCs w:val="18"/>
                <w:lang w:eastAsia="es-AR"/>
              </w:rPr>
              <w:t xml:space="preserve"> es la siguiente:</w:t>
            </w:r>
          </w:p>
        </w:tc>
        <w:tc>
          <w:tcPr>
            <w:tcW w:w="280" w:type="dxa"/>
            <w:tcBorders>
              <w:top w:val="nil"/>
              <w:left w:val="nil"/>
              <w:bottom w:val="nil"/>
              <w:right w:val="nil"/>
            </w:tcBorders>
            <w:shd w:val="clear" w:color="000000" w:fill="FFFFFF"/>
            <w:noWrap/>
            <w:vAlign w:val="center"/>
            <w:hideMark/>
          </w:tcPr>
          <w:p w14:paraId="2A72CFB5"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r>
      <w:tr w:rsidR="009E6CF2" w:rsidRPr="009E6CF2" w14:paraId="7CBDC121" w14:textId="77777777" w:rsidTr="009E6CF2">
        <w:trPr>
          <w:trHeight w:val="240"/>
        </w:trPr>
        <w:tc>
          <w:tcPr>
            <w:tcW w:w="280" w:type="dxa"/>
            <w:tcBorders>
              <w:top w:val="nil"/>
              <w:left w:val="nil"/>
              <w:bottom w:val="nil"/>
              <w:right w:val="nil"/>
            </w:tcBorders>
            <w:shd w:val="clear" w:color="000000" w:fill="FFFFFF"/>
            <w:noWrap/>
            <w:vAlign w:val="center"/>
            <w:hideMark/>
          </w:tcPr>
          <w:p w14:paraId="6D5D6E7F"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96" w:type="dxa"/>
            <w:tcBorders>
              <w:top w:val="nil"/>
              <w:left w:val="nil"/>
              <w:bottom w:val="nil"/>
              <w:right w:val="nil"/>
            </w:tcBorders>
            <w:shd w:val="clear" w:color="000000" w:fill="FFFFFF"/>
            <w:noWrap/>
            <w:vAlign w:val="center"/>
            <w:hideMark/>
          </w:tcPr>
          <w:p w14:paraId="3464E1DE"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264" w:type="dxa"/>
            <w:tcBorders>
              <w:top w:val="nil"/>
              <w:left w:val="nil"/>
              <w:bottom w:val="nil"/>
              <w:right w:val="nil"/>
            </w:tcBorders>
            <w:shd w:val="clear" w:color="000000" w:fill="FFFFFF"/>
            <w:noWrap/>
            <w:vAlign w:val="center"/>
            <w:hideMark/>
          </w:tcPr>
          <w:p w14:paraId="1D39D280"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160" w:type="dxa"/>
            <w:tcBorders>
              <w:top w:val="nil"/>
              <w:left w:val="nil"/>
              <w:bottom w:val="nil"/>
              <w:right w:val="nil"/>
            </w:tcBorders>
            <w:shd w:val="clear" w:color="000000" w:fill="FFFFFF"/>
            <w:noWrap/>
            <w:vAlign w:val="center"/>
            <w:hideMark/>
          </w:tcPr>
          <w:p w14:paraId="4E4D2B9A"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200" w:type="dxa"/>
            <w:tcBorders>
              <w:top w:val="nil"/>
              <w:left w:val="nil"/>
              <w:bottom w:val="nil"/>
              <w:right w:val="nil"/>
            </w:tcBorders>
            <w:shd w:val="clear" w:color="000000" w:fill="FFFFFF"/>
            <w:noWrap/>
            <w:vAlign w:val="center"/>
            <w:hideMark/>
          </w:tcPr>
          <w:p w14:paraId="018E8825"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540994B5"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tcBorders>
              <w:top w:val="nil"/>
              <w:left w:val="nil"/>
              <w:bottom w:val="nil"/>
              <w:right w:val="nil"/>
            </w:tcBorders>
            <w:shd w:val="clear" w:color="000000" w:fill="FFFFFF"/>
            <w:noWrap/>
            <w:vAlign w:val="center"/>
            <w:hideMark/>
          </w:tcPr>
          <w:p w14:paraId="0E9AD679"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6522A26B"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365BB91D" w14:textId="77777777" w:rsidTr="009E6CF2">
        <w:trPr>
          <w:trHeight w:val="240"/>
        </w:trPr>
        <w:tc>
          <w:tcPr>
            <w:tcW w:w="280" w:type="dxa"/>
            <w:tcBorders>
              <w:top w:val="nil"/>
              <w:left w:val="nil"/>
              <w:bottom w:val="nil"/>
              <w:right w:val="nil"/>
            </w:tcBorders>
            <w:shd w:val="clear" w:color="000000" w:fill="FFFFFF"/>
            <w:noWrap/>
            <w:vAlign w:val="center"/>
            <w:hideMark/>
          </w:tcPr>
          <w:p w14:paraId="16A6FC29"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360" w:type="dxa"/>
            <w:gridSpan w:val="2"/>
            <w:tcBorders>
              <w:top w:val="nil"/>
              <w:left w:val="nil"/>
              <w:bottom w:val="nil"/>
              <w:right w:val="nil"/>
            </w:tcBorders>
            <w:shd w:val="clear" w:color="000000" w:fill="FFFFFF"/>
            <w:noWrap/>
            <w:vAlign w:val="center"/>
            <w:hideMark/>
          </w:tcPr>
          <w:p w14:paraId="1F247D66" w14:textId="77777777" w:rsidR="009E6CF2" w:rsidRPr="009E6CF2" w:rsidRDefault="009E6CF2" w:rsidP="009E6CF2">
            <w:pPr>
              <w:spacing w:after="0" w:line="240" w:lineRule="auto"/>
              <w:rPr>
                <w:rFonts w:ascii="Times New Roman" w:eastAsia="Times New Roman" w:hAnsi="Times New Roman"/>
                <w:b/>
                <w:bCs/>
                <w:color w:val="000000"/>
                <w:sz w:val="18"/>
                <w:szCs w:val="18"/>
                <w:u w:val="single"/>
                <w:lang w:eastAsia="es-AR"/>
              </w:rPr>
            </w:pPr>
            <w:r w:rsidRPr="009E6CF2">
              <w:rPr>
                <w:rFonts w:ascii="Times New Roman" w:eastAsia="Times New Roman" w:hAnsi="Times New Roman"/>
                <w:b/>
                <w:bCs/>
                <w:color w:val="000000"/>
                <w:sz w:val="18"/>
                <w:szCs w:val="18"/>
                <w:u w:val="single"/>
                <w:lang w:eastAsia="es-AR"/>
              </w:rPr>
              <w:t>Banco Saenz SA</w:t>
            </w:r>
          </w:p>
        </w:tc>
        <w:tc>
          <w:tcPr>
            <w:tcW w:w="1160" w:type="dxa"/>
            <w:tcBorders>
              <w:top w:val="nil"/>
              <w:left w:val="nil"/>
              <w:bottom w:val="nil"/>
              <w:right w:val="nil"/>
            </w:tcBorders>
            <w:shd w:val="clear" w:color="000000" w:fill="FFFFFF"/>
            <w:noWrap/>
            <w:vAlign w:val="center"/>
            <w:hideMark/>
          </w:tcPr>
          <w:p w14:paraId="55EB76FD"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200" w:type="dxa"/>
            <w:tcBorders>
              <w:top w:val="nil"/>
              <w:left w:val="nil"/>
              <w:bottom w:val="nil"/>
              <w:right w:val="nil"/>
            </w:tcBorders>
            <w:shd w:val="clear" w:color="000000" w:fill="FFFFFF"/>
            <w:noWrap/>
            <w:vAlign w:val="center"/>
            <w:hideMark/>
          </w:tcPr>
          <w:p w14:paraId="4540A5F2"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5C2B0D2E"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tcBorders>
              <w:top w:val="nil"/>
              <w:left w:val="nil"/>
              <w:bottom w:val="nil"/>
              <w:right w:val="nil"/>
            </w:tcBorders>
            <w:shd w:val="clear" w:color="000000" w:fill="FFFFFF"/>
            <w:noWrap/>
            <w:vAlign w:val="center"/>
            <w:hideMark/>
          </w:tcPr>
          <w:p w14:paraId="7AA5767F"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38BFEFB5"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285273F1" w14:textId="77777777" w:rsidTr="009E6CF2">
        <w:trPr>
          <w:trHeight w:val="240"/>
        </w:trPr>
        <w:tc>
          <w:tcPr>
            <w:tcW w:w="280" w:type="dxa"/>
            <w:tcBorders>
              <w:top w:val="nil"/>
              <w:left w:val="nil"/>
              <w:bottom w:val="nil"/>
              <w:right w:val="nil"/>
            </w:tcBorders>
            <w:shd w:val="clear" w:color="000000" w:fill="FFFFFF"/>
            <w:noWrap/>
            <w:vAlign w:val="center"/>
            <w:hideMark/>
          </w:tcPr>
          <w:p w14:paraId="77D95683"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96" w:type="dxa"/>
            <w:tcBorders>
              <w:top w:val="nil"/>
              <w:left w:val="nil"/>
              <w:bottom w:val="nil"/>
              <w:right w:val="nil"/>
            </w:tcBorders>
            <w:shd w:val="clear" w:color="000000" w:fill="FFFFFF"/>
            <w:noWrap/>
            <w:vAlign w:val="center"/>
            <w:hideMark/>
          </w:tcPr>
          <w:p w14:paraId="67D8DCA5"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7384" w:type="dxa"/>
            <w:gridSpan w:val="5"/>
            <w:tcBorders>
              <w:top w:val="nil"/>
              <w:left w:val="nil"/>
              <w:bottom w:val="nil"/>
              <w:right w:val="nil"/>
            </w:tcBorders>
            <w:shd w:val="clear" w:color="000000" w:fill="FFFFFF"/>
            <w:noWrap/>
            <w:vAlign w:val="center"/>
            <w:hideMark/>
          </w:tcPr>
          <w:p w14:paraId="059585EE"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Acuerdo para sobregiro en cuenta corriente bancaria renovable por $ 15.000.000,-</w:t>
            </w:r>
          </w:p>
        </w:tc>
        <w:tc>
          <w:tcPr>
            <w:tcW w:w="280" w:type="dxa"/>
            <w:tcBorders>
              <w:top w:val="nil"/>
              <w:left w:val="nil"/>
              <w:bottom w:val="nil"/>
              <w:right w:val="nil"/>
            </w:tcBorders>
            <w:shd w:val="clear" w:color="000000" w:fill="FFFFFF"/>
            <w:noWrap/>
            <w:vAlign w:val="center"/>
            <w:hideMark/>
          </w:tcPr>
          <w:p w14:paraId="543FA2B9"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51B2EF6D" w14:textId="77777777" w:rsidTr="009E6CF2">
        <w:trPr>
          <w:trHeight w:val="240"/>
        </w:trPr>
        <w:tc>
          <w:tcPr>
            <w:tcW w:w="280" w:type="dxa"/>
            <w:tcBorders>
              <w:top w:val="nil"/>
              <w:left w:val="nil"/>
              <w:bottom w:val="nil"/>
              <w:right w:val="nil"/>
            </w:tcBorders>
            <w:shd w:val="clear" w:color="000000" w:fill="FFFFFF"/>
            <w:noWrap/>
            <w:vAlign w:val="center"/>
            <w:hideMark/>
          </w:tcPr>
          <w:p w14:paraId="7E36AB21"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96" w:type="dxa"/>
            <w:tcBorders>
              <w:top w:val="nil"/>
              <w:left w:val="nil"/>
              <w:bottom w:val="nil"/>
              <w:right w:val="nil"/>
            </w:tcBorders>
            <w:shd w:val="clear" w:color="000000" w:fill="FFFFFF"/>
            <w:noWrap/>
            <w:vAlign w:val="center"/>
            <w:hideMark/>
          </w:tcPr>
          <w:p w14:paraId="1250153D"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264" w:type="dxa"/>
            <w:tcBorders>
              <w:top w:val="nil"/>
              <w:left w:val="nil"/>
              <w:bottom w:val="nil"/>
              <w:right w:val="nil"/>
            </w:tcBorders>
            <w:shd w:val="clear" w:color="000000" w:fill="FFFFFF"/>
            <w:noWrap/>
            <w:vAlign w:val="center"/>
            <w:hideMark/>
          </w:tcPr>
          <w:p w14:paraId="254B8F91"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b/>
                <w:bCs/>
                <w:color w:val="000000"/>
                <w:sz w:val="18"/>
                <w:szCs w:val="18"/>
                <w:lang w:eastAsia="es-AR"/>
              </w:rPr>
              <w:t>Tasa Nominal Anual:</w:t>
            </w:r>
            <w:r w:rsidRPr="009E6CF2">
              <w:rPr>
                <w:rFonts w:ascii="Times New Roman" w:eastAsia="Times New Roman" w:hAnsi="Times New Roman"/>
                <w:color w:val="000000"/>
                <w:sz w:val="18"/>
                <w:szCs w:val="18"/>
                <w:lang w:eastAsia="es-AR"/>
              </w:rPr>
              <w:t xml:space="preserve"> 98%</w:t>
            </w:r>
          </w:p>
        </w:tc>
        <w:tc>
          <w:tcPr>
            <w:tcW w:w="1160" w:type="dxa"/>
            <w:tcBorders>
              <w:top w:val="nil"/>
              <w:left w:val="nil"/>
              <w:bottom w:val="nil"/>
              <w:right w:val="nil"/>
            </w:tcBorders>
            <w:shd w:val="clear" w:color="000000" w:fill="FFFFFF"/>
            <w:noWrap/>
            <w:vAlign w:val="center"/>
            <w:hideMark/>
          </w:tcPr>
          <w:p w14:paraId="5ECF6F50"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200" w:type="dxa"/>
            <w:tcBorders>
              <w:top w:val="nil"/>
              <w:left w:val="nil"/>
              <w:bottom w:val="nil"/>
              <w:right w:val="nil"/>
            </w:tcBorders>
            <w:shd w:val="clear" w:color="000000" w:fill="FFFFFF"/>
            <w:noWrap/>
            <w:vAlign w:val="center"/>
            <w:hideMark/>
          </w:tcPr>
          <w:p w14:paraId="56EE2E65"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0A76CCD5"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tcBorders>
              <w:top w:val="nil"/>
              <w:left w:val="nil"/>
              <w:bottom w:val="nil"/>
              <w:right w:val="nil"/>
            </w:tcBorders>
            <w:shd w:val="clear" w:color="000000" w:fill="FFFFFF"/>
            <w:noWrap/>
            <w:vAlign w:val="center"/>
            <w:hideMark/>
          </w:tcPr>
          <w:p w14:paraId="0A9CCFB0"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3CD85147"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65343434" w14:textId="77777777" w:rsidTr="009E6CF2">
        <w:trPr>
          <w:trHeight w:val="240"/>
        </w:trPr>
        <w:tc>
          <w:tcPr>
            <w:tcW w:w="280" w:type="dxa"/>
            <w:tcBorders>
              <w:top w:val="nil"/>
              <w:left w:val="nil"/>
              <w:bottom w:val="nil"/>
              <w:right w:val="nil"/>
            </w:tcBorders>
            <w:shd w:val="clear" w:color="000000" w:fill="FFFFFF"/>
            <w:noWrap/>
            <w:vAlign w:val="center"/>
            <w:hideMark/>
          </w:tcPr>
          <w:p w14:paraId="5898123F"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96" w:type="dxa"/>
            <w:tcBorders>
              <w:top w:val="nil"/>
              <w:left w:val="nil"/>
              <w:bottom w:val="nil"/>
              <w:right w:val="nil"/>
            </w:tcBorders>
            <w:shd w:val="clear" w:color="000000" w:fill="FFFFFF"/>
            <w:noWrap/>
            <w:vAlign w:val="center"/>
            <w:hideMark/>
          </w:tcPr>
          <w:p w14:paraId="5D00D912"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264" w:type="dxa"/>
            <w:tcBorders>
              <w:top w:val="nil"/>
              <w:left w:val="nil"/>
              <w:bottom w:val="nil"/>
              <w:right w:val="nil"/>
            </w:tcBorders>
            <w:shd w:val="clear" w:color="000000" w:fill="FFFFFF"/>
            <w:noWrap/>
            <w:vAlign w:val="center"/>
            <w:hideMark/>
          </w:tcPr>
          <w:p w14:paraId="04946DBF"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b/>
                <w:bCs/>
                <w:color w:val="000000"/>
                <w:sz w:val="18"/>
                <w:szCs w:val="18"/>
                <w:lang w:eastAsia="es-AR"/>
              </w:rPr>
              <w:t>Vencimiento:</w:t>
            </w:r>
            <w:r w:rsidRPr="009E6CF2">
              <w:rPr>
                <w:rFonts w:ascii="Times New Roman" w:eastAsia="Times New Roman" w:hAnsi="Times New Roman"/>
                <w:color w:val="000000"/>
                <w:sz w:val="18"/>
                <w:szCs w:val="18"/>
                <w:lang w:eastAsia="es-AR"/>
              </w:rPr>
              <w:t xml:space="preserve"> 1 de octubre de 2019</w:t>
            </w:r>
          </w:p>
        </w:tc>
        <w:tc>
          <w:tcPr>
            <w:tcW w:w="1160" w:type="dxa"/>
            <w:tcBorders>
              <w:top w:val="nil"/>
              <w:left w:val="nil"/>
              <w:bottom w:val="nil"/>
              <w:right w:val="nil"/>
            </w:tcBorders>
            <w:shd w:val="clear" w:color="000000" w:fill="FFFFFF"/>
            <w:noWrap/>
            <w:vAlign w:val="center"/>
            <w:hideMark/>
          </w:tcPr>
          <w:p w14:paraId="4D42E292"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200" w:type="dxa"/>
            <w:tcBorders>
              <w:top w:val="nil"/>
              <w:left w:val="nil"/>
              <w:bottom w:val="nil"/>
              <w:right w:val="nil"/>
            </w:tcBorders>
            <w:shd w:val="clear" w:color="000000" w:fill="FFFFFF"/>
            <w:noWrap/>
            <w:vAlign w:val="center"/>
            <w:hideMark/>
          </w:tcPr>
          <w:p w14:paraId="19FADEFF"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48499BF3"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tcBorders>
              <w:top w:val="nil"/>
              <w:left w:val="nil"/>
              <w:bottom w:val="nil"/>
              <w:right w:val="nil"/>
            </w:tcBorders>
            <w:shd w:val="clear" w:color="000000" w:fill="FFFFFF"/>
            <w:noWrap/>
            <w:vAlign w:val="center"/>
            <w:hideMark/>
          </w:tcPr>
          <w:p w14:paraId="4AF0A5C6"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0D14775F"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040A73DD" w14:textId="77777777" w:rsidTr="009E6CF2">
        <w:trPr>
          <w:trHeight w:val="240"/>
        </w:trPr>
        <w:tc>
          <w:tcPr>
            <w:tcW w:w="280" w:type="dxa"/>
            <w:tcBorders>
              <w:top w:val="nil"/>
              <w:left w:val="nil"/>
              <w:bottom w:val="nil"/>
              <w:right w:val="nil"/>
            </w:tcBorders>
            <w:shd w:val="clear" w:color="000000" w:fill="FFFFFF"/>
            <w:noWrap/>
            <w:vAlign w:val="center"/>
            <w:hideMark/>
          </w:tcPr>
          <w:p w14:paraId="1EC38DAD"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96" w:type="dxa"/>
            <w:tcBorders>
              <w:top w:val="nil"/>
              <w:left w:val="nil"/>
              <w:bottom w:val="nil"/>
              <w:right w:val="nil"/>
            </w:tcBorders>
            <w:shd w:val="clear" w:color="000000" w:fill="FFFFFF"/>
            <w:noWrap/>
            <w:vAlign w:val="center"/>
            <w:hideMark/>
          </w:tcPr>
          <w:p w14:paraId="4F1EF712"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264" w:type="dxa"/>
            <w:tcBorders>
              <w:top w:val="nil"/>
              <w:left w:val="nil"/>
              <w:bottom w:val="nil"/>
              <w:right w:val="nil"/>
            </w:tcBorders>
            <w:shd w:val="clear" w:color="000000" w:fill="FFFFFF"/>
            <w:noWrap/>
            <w:vAlign w:val="center"/>
            <w:hideMark/>
          </w:tcPr>
          <w:p w14:paraId="71F9437B"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160" w:type="dxa"/>
            <w:tcBorders>
              <w:top w:val="nil"/>
              <w:left w:val="nil"/>
              <w:bottom w:val="nil"/>
              <w:right w:val="nil"/>
            </w:tcBorders>
            <w:shd w:val="clear" w:color="000000" w:fill="FFFFFF"/>
            <w:noWrap/>
            <w:vAlign w:val="center"/>
            <w:hideMark/>
          </w:tcPr>
          <w:p w14:paraId="029EACA4"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200" w:type="dxa"/>
            <w:tcBorders>
              <w:top w:val="nil"/>
              <w:left w:val="nil"/>
              <w:bottom w:val="nil"/>
              <w:right w:val="nil"/>
            </w:tcBorders>
            <w:shd w:val="clear" w:color="000000" w:fill="FFFFFF"/>
            <w:noWrap/>
            <w:vAlign w:val="center"/>
            <w:hideMark/>
          </w:tcPr>
          <w:p w14:paraId="1C51B2DF"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0547DDB3"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tcBorders>
              <w:top w:val="nil"/>
              <w:left w:val="nil"/>
              <w:bottom w:val="nil"/>
              <w:right w:val="nil"/>
            </w:tcBorders>
            <w:shd w:val="clear" w:color="000000" w:fill="FFFFFF"/>
            <w:noWrap/>
            <w:vAlign w:val="center"/>
            <w:hideMark/>
          </w:tcPr>
          <w:p w14:paraId="3110C77D"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6BC1C75F"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4E016BCC" w14:textId="77777777" w:rsidTr="009E6CF2">
        <w:trPr>
          <w:trHeight w:val="465"/>
        </w:trPr>
        <w:tc>
          <w:tcPr>
            <w:tcW w:w="280" w:type="dxa"/>
            <w:tcBorders>
              <w:top w:val="nil"/>
              <w:left w:val="nil"/>
              <w:bottom w:val="nil"/>
              <w:right w:val="nil"/>
            </w:tcBorders>
            <w:shd w:val="clear" w:color="000000" w:fill="FFFFFF"/>
            <w:noWrap/>
            <w:hideMark/>
          </w:tcPr>
          <w:p w14:paraId="200B8B93" w14:textId="77777777" w:rsidR="009E6CF2" w:rsidRPr="009E6CF2" w:rsidRDefault="009E6CF2" w:rsidP="009E6CF2">
            <w:pPr>
              <w:spacing w:after="0" w:line="240" w:lineRule="auto"/>
              <w:jc w:val="right"/>
              <w:rPr>
                <w:rFonts w:ascii="Times New Roman" w:eastAsia="Times New Roman" w:hAnsi="Times New Roman"/>
                <w:b/>
                <w:bCs/>
                <w:color w:val="000000"/>
                <w:sz w:val="18"/>
                <w:szCs w:val="18"/>
                <w:lang w:eastAsia="es-AR"/>
              </w:rPr>
            </w:pPr>
            <w:r w:rsidRPr="009E6CF2">
              <w:rPr>
                <w:rFonts w:ascii="Times New Roman" w:eastAsia="Times New Roman" w:hAnsi="Times New Roman"/>
                <w:b/>
                <w:bCs/>
                <w:color w:val="000000"/>
                <w:sz w:val="18"/>
                <w:szCs w:val="18"/>
                <w:lang w:eastAsia="es-AR"/>
              </w:rPr>
              <w:t>3</w:t>
            </w:r>
          </w:p>
        </w:tc>
        <w:tc>
          <w:tcPr>
            <w:tcW w:w="7480" w:type="dxa"/>
            <w:gridSpan w:val="6"/>
            <w:tcBorders>
              <w:top w:val="nil"/>
              <w:left w:val="nil"/>
              <w:bottom w:val="nil"/>
              <w:right w:val="nil"/>
            </w:tcBorders>
            <w:shd w:val="clear" w:color="000000" w:fill="FFFFFF"/>
            <w:vAlign w:val="center"/>
            <w:hideMark/>
          </w:tcPr>
          <w:p w14:paraId="75F65945" w14:textId="56352293" w:rsidR="009E6CF2" w:rsidRPr="009E6CF2" w:rsidRDefault="009E6CF2" w:rsidP="009E6CF2">
            <w:pPr>
              <w:spacing w:after="0" w:line="240" w:lineRule="auto"/>
              <w:jc w:val="both"/>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xml:space="preserve">Las deudas por obligaciones emitidas se miden a su costo amortizado. Las series emitidas </w:t>
            </w:r>
            <w:r w:rsidR="00C86136" w:rsidRPr="009E6CF2">
              <w:rPr>
                <w:rFonts w:ascii="Times New Roman" w:eastAsia="Times New Roman" w:hAnsi="Times New Roman"/>
                <w:color w:val="000000"/>
                <w:sz w:val="18"/>
                <w:szCs w:val="18"/>
                <w:lang w:eastAsia="es-AR"/>
              </w:rPr>
              <w:t>encuadran en</w:t>
            </w:r>
            <w:r w:rsidRPr="009E6CF2">
              <w:rPr>
                <w:rFonts w:ascii="Times New Roman" w:eastAsia="Times New Roman" w:hAnsi="Times New Roman"/>
                <w:color w:val="000000"/>
                <w:sz w:val="18"/>
                <w:szCs w:val="18"/>
                <w:lang w:eastAsia="es-AR"/>
              </w:rPr>
              <w:t xml:space="preserve"> el programa mencionado pendientes a cada fecha presentada son las siguientes:</w:t>
            </w:r>
          </w:p>
        </w:tc>
        <w:tc>
          <w:tcPr>
            <w:tcW w:w="280" w:type="dxa"/>
            <w:tcBorders>
              <w:top w:val="nil"/>
              <w:left w:val="nil"/>
              <w:bottom w:val="nil"/>
              <w:right w:val="nil"/>
            </w:tcBorders>
            <w:shd w:val="clear" w:color="000000" w:fill="FFFFFF"/>
            <w:noWrap/>
            <w:vAlign w:val="center"/>
            <w:hideMark/>
          </w:tcPr>
          <w:p w14:paraId="06CBA83A"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75B1785A" w14:textId="77777777" w:rsidTr="009E6CF2">
        <w:trPr>
          <w:trHeight w:val="240"/>
        </w:trPr>
        <w:tc>
          <w:tcPr>
            <w:tcW w:w="280" w:type="dxa"/>
            <w:tcBorders>
              <w:top w:val="nil"/>
              <w:left w:val="nil"/>
              <w:bottom w:val="nil"/>
              <w:right w:val="nil"/>
            </w:tcBorders>
            <w:shd w:val="clear" w:color="000000" w:fill="FFFFFF"/>
            <w:noWrap/>
            <w:vAlign w:val="center"/>
            <w:hideMark/>
          </w:tcPr>
          <w:p w14:paraId="279149D4"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96" w:type="dxa"/>
            <w:tcBorders>
              <w:top w:val="nil"/>
              <w:left w:val="nil"/>
              <w:bottom w:val="nil"/>
              <w:right w:val="nil"/>
            </w:tcBorders>
            <w:shd w:val="clear" w:color="000000" w:fill="FFFFFF"/>
            <w:noWrap/>
            <w:vAlign w:val="center"/>
            <w:hideMark/>
          </w:tcPr>
          <w:p w14:paraId="0BC9FFE5"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264" w:type="dxa"/>
            <w:tcBorders>
              <w:top w:val="nil"/>
              <w:left w:val="nil"/>
              <w:bottom w:val="nil"/>
              <w:right w:val="nil"/>
            </w:tcBorders>
            <w:shd w:val="clear" w:color="000000" w:fill="FFFFFF"/>
            <w:noWrap/>
            <w:vAlign w:val="center"/>
            <w:hideMark/>
          </w:tcPr>
          <w:p w14:paraId="5F6A984E" w14:textId="79D2DFE1" w:rsidR="009E6CF2" w:rsidRPr="009E6CF2" w:rsidRDefault="00C86136"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b/>
                <w:bCs/>
                <w:color w:val="000000"/>
                <w:sz w:val="18"/>
                <w:szCs w:val="18"/>
                <w:lang w:eastAsia="es-AR"/>
              </w:rPr>
              <w:t>Denominación</w:t>
            </w:r>
            <w:r w:rsidR="009E6CF2" w:rsidRPr="009E6CF2">
              <w:rPr>
                <w:rFonts w:ascii="Times New Roman" w:eastAsia="Times New Roman" w:hAnsi="Times New Roman"/>
                <w:b/>
                <w:bCs/>
                <w:color w:val="000000"/>
                <w:sz w:val="18"/>
                <w:szCs w:val="18"/>
                <w:lang w:eastAsia="es-AR"/>
              </w:rPr>
              <w:t>:</w:t>
            </w:r>
            <w:r w:rsidR="009E6CF2" w:rsidRPr="009E6CF2">
              <w:rPr>
                <w:rFonts w:ascii="Times New Roman" w:eastAsia="Times New Roman" w:hAnsi="Times New Roman"/>
                <w:color w:val="000000"/>
                <w:sz w:val="18"/>
                <w:szCs w:val="18"/>
                <w:lang w:eastAsia="es-AR"/>
              </w:rPr>
              <w:t xml:space="preserve"> Clase I</w:t>
            </w:r>
          </w:p>
        </w:tc>
        <w:tc>
          <w:tcPr>
            <w:tcW w:w="1160" w:type="dxa"/>
            <w:tcBorders>
              <w:top w:val="nil"/>
              <w:left w:val="nil"/>
              <w:bottom w:val="nil"/>
              <w:right w:val="nil"/>
            </w:tcBorders>
            <w:shd w:val="clear" w:color="000000" w:fill="FFFFFF"/>
            <w:noWrap/>
            <w:vAlign w:val="center"/>
            <w:hideMark/>
          </w:tcPr>
          <w:p w14:paraId="1761D74F"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200" w:type="dxa"/>
            <w:tcBorders>
              <w:top w:val="nil"/>
              <w:left w:val="nil"/>
              <w:bottom w:val="nil"/>
              <w:right w:val="nil"/>
            </w:tcBorders>
            <w:shd w:val="clear" w:color="000000" w:fill="FFFFFF"/>
            <w:noWrap/>
            <w:vAlign w:val="center"/>
            <w:hideMark/>
          </w:tcPr>
          <w:p w14:paraId="1F8DA58D"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1814E060"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tcBorders>
              <w:top w:val="nil"/>
              <w:left w:val="nil"/>
              <w:bottom w:val="nil"/>
              <w:right w:val="nil"/>
            </w:tcBorders>
            <w:shd w:val="clear" w:color="000000" w:fill="FFFFFF"/>
            <w:noWrap/>
            <w:vAlign w:val="center"/>
            <w:hideMark/>
          </w:tcPr>
          <w:p w14:paraId="73F087A8"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6D912E7E"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0C697BD9" w14:textId="77777777" w:rsidTr="009E6CF2">
        <w:trPr>
          <w:trHeight w:val="240"/>
        </w:trPr>
        <w:tc>
          <w:tcPr>
            <w:tcW w:w="280" w:type="dxa"/>
            <w:tcBorders>
              <w:top w:val="nil"/>
              <w:left w:val="nil"/>
              <w:bottom w:val="nil"/>
              <w:right w:val="nil"/>
            </w:tcBorders>
            <w:shd w:val="clear" w:color="000000" w:fill="FFFFFF"/>
            <w:noWrap/>
            <w:vAlign w:val="center"/>
            <w:hideMark/>
          </w:tcPr>
          <w:p w14:paraId="34631A25"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96" w:type="dxa"/>
            <w:tcBorders>
              <w:top w:val="nil"/>
              <w:left w:val="nil"/>
              <w:bottom w:val="nil"/>
              <w:right w:val="nil"/>
            </w:tcBorders>
            <w:shd w:val="clear" w:color="000000" w:fill="FFFFFF"/>
            <w:noWrap/>
            <w:vAlign w:val="center"/>
            <w:hideMark/>
          </w:tcPr>
          <w:p w14:paraId="58EEC43F"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264" w:type="dxa"/>
            <w:tcBorders>
              <w:top w:val="nil"/>
              <w:left w:val="nil"/>
              <w:bottom w:val="nil"/>
              <w:right w:val="nil"/>
            </w:tcBorders>
            <w:shd w:val="clear" w:color="000000" w:fill="FFFFFF"/>
            <w:noWrap/>
            <w:vAlign w:val="center"/>
            <w:hideMark/>
          </w:tcPr>
          <w:p w14:paraId="5AEB97AD"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b/>
                <w:bCs/>
                <w:color w:val="000000"/>
                <w:sz w:val="18"/>
                <w:szCs w:val="18"/>
                <w:lang w:eastAsia="es-AR"/>
              </w:rPr>
              <w:t>Moneda:</w:t>
            </w:r>
            <w:r w:rsidRPr="009E6CF2">
              <w:rPr>
                <w:rFonts w:ascii="Times New Roman" w:eastAsia="Times New Roman" w:hAnsi="Times New Roman"/>
                <w:color w:val="000000"/>
                <w:sz w:val="18"/>
                <w:szCs w:val="18"/>
                <w:lang w:eastAsia="es-AR"/>
              </w:rPr>
              <w:t xml:space="preserve"> Pesos</w:t>
            </w:r>
          </w:p>
        </w:tc>
        <w:tc>
          <w:tcPr>
            <w:tcW w:w="1160" w:type="dxa"/>
            <w:tcBorders>
              <w:top w:val="nil"/>
              <w:left w:val="nil"/>
              <w:bottom w:val="nil"/>
              <w:right w:val="nil"/>
            </w:tcBorders>
            <w:shd w:val="clear" w:color="000000" w:fill="FFFFFF"/>
            <w:noWrap/>
            <w:vAlign w:val="center"/>
            <w:hideMark/>
          </w:tcPr>
          <w:p w14:paraId="1B26AC2E"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200" w:type="dxa"/>
            <w:tcBorders>
              <w:top w:val="nil"/>
              <w:left w:val="nil"/>
              <w:bottom w:val="nil"/>
              <w:right w:val="nil"/>
            </w:tcBorders>
            <w:shd w:val="clear" w:color="000000" w:fill="FFFFFF"/>
            <w:noWrap/>
            <w:vAlign w:val="center"/>
            <w:hideMark/>
          </w:tcPr>
          <w:p w14:paraId="35A81C81"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0D5A58C2"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tcBorders>
              <w:top w:val="nil"/>
              <w:left w:val="nil"/>
              <w:bottom w:val="nil"/>
              <w:right w:val="nil"/>
            </w:tcBorders>
            <w:shd w:val="clear" w:color="000000" w:fill="FFFFFF"/>
            <w:noWrap/>
            <w:vAlign w:val="center"/>
            <w:hideMark/>
          </w:tcPr>
          <w:p w14:paraId="5E0BC06C"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03E1E70C"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686D619B" w14:textId="77777777" w:rsidTr="009E6CF2">
        <w:trPr>
          <w:trHeight w:val="240"/>
        </w:trPr>
        <w:tc>
          <w:tcPr>
            <w:tcW w:w="280" w:type="dxa"/>
            <w:tcBorders>
              <w:top w:val="nil"/>
              <w:left w:val="nil"/>
              <w:bottom w:val="nil"/>
              <w:right w:val="nil"/>
            </w:tcBorders>
            <w:shd w:val="clear" w:color="000000" w:fill="FFFFFF"/>
            <w:noWrap/>
            <w:vAlign w:val="center"/>
            <w:hideMark/>
          </w:tcPr>
          <w:p w14:paraId="45C0E80F"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96" w:type="dxa"/>
            <w:tcBorders>
              <w:top w:val="nil"/>
              <w:left w:val="nil"/>
              <w:bottom w:val="nil"/>
              <w:right w:val="nil"/>
            </w:tcBorders>
            <w:shd w:val="clear" w:color="000000" w:fill="FFFFFF"/>
            <w:noWrap/>
            <w:vAlign w:val="center"/>
            <w:hideMark/>
          </w:tcPr>
          <w:p w14:paraId="14935215"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264" w:type="dxa"/>
            <w:tcBorders>
              <w:top w:val="nil"/>
              <w:left w:val="nil"/>
              <w:bottom w:val="nil"/>
              <w:right w:val="nil"/>
            </w:tcBorders>
            <w:shd w:val="clear" w:color="000000" w:fill="FFFFFF"/>
            <w:noWrap/>
            <w:vAlign w:val="center"/>
            <w:hideMark/>
          </w:tcPr>
          <w:p w14:paraId="72C09FCE"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b/>
                <w:bCs/>
                <w:color w:val="000000"/>
                <w:sz w:val="18"/>
                <w:szCs w:val="18"/>
                <w:lang w:eastAsia="es-AR"/>
              </w:rPr>
              <w:t>Valor Emitidos:</w:t>
            </w:r>
            <w:r w:rsidRPr="009E6CF2">
              <w:rPr>
                <w:rFonts w:ascii="Times New Roman" w:eastAsia="Times New Roman" w:hAnsi="Times New Roman"/>
                <w:color w:val="000000"/>
                <w:sz w:val="18"/>
                <w:szCs w:val="18"/>
                <w:lang w:eastAsia="es-AR"/>
              </w:rPr>
              <w:t xml:space="preserve"> 75.000.000,-</w:t>
            </w:r>
          </w:p>
        </w:tc>
        <w:tc>
          <w:tcPr>
            <w:tcW w:w="1160" w:type="dxa"/>
            <w:tcBorders>
              <w:top w:val="nil"/>
              <w:left w:val="nil"/>
              <w:bottom w:val="nil"/>
              <w:right w:val="nil"/>
            </w:tcBorders>
            <w:shd w:val="clear" w:color="000000" w:fill="FFFFFF"/>
            <w:noWrap/>
            <w:vAlign w:val="center"/>
            <w:hideMark/>
          </w:tcPr>
          <w:p w14:paraId="62BF9A2B"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200" w:type="dxa"/>
            <w:tcBorders>
              <w:top w:val="nil"/>
              <w:left w:val="nil"/>
              <w:bottom w:val="nil"/>
              <w:right w:val="nil"/>
            </w:tcBorders>
            <w:shd w:val="clear" w:color="000000" w:fill="FFFFFF"/>
            <w:noWrap/>
            <w:vAlign w:val="center"/>
            <w:hideMark/>
          </w:tcPr>
          <w:p w14:paraId="6B8A5908"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358679F3"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tcBorders>
              <w:top w:val="nil"/>
              <w:left w:val="nil"/>
              <w:bottom w:val="nil"/>
              <w:right w:val="nil"/>
            </w:tcBorders>
            <w:shd w:val="clear" w:color="000000" w:fill="FFFFFF"/>
            <w:noWrap/>
            <w:vAlign w:val="center"/>
            <w:hideMark/>
          </w:tcPr>
          <w:p w14:paraId="03012471"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5DDFA943"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7E1C99F5" w14:textId="77777777" w:rsidTr="009E6CF2">
        <w:trPr>
          <w:trHeight w:val="240"/>
        </w:trPr>
        <w:tc>
          <w:tcPr>
            <w:tcW w:w="280" w:type="dxa"/>
            <w:tcBorders>
              <w:top w:val="nil"/>
              <w:left w:val="nil"/>
              <w:bottom w:val="nil"/>
              <w:right w:val="nil"/>
            </w:tcBorders>
            <w:shd w:val="clear" w:color="000000" w:fill="FFFFFF"/>
            <w:noWrap/>
            <w:vAlign w:val="center"/>
            <w:hideMark/>
          </w:tcPr>
          <w:p w14:paraId="4746683A"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96" w:type="dxa"/>
            <w:tcBorders>
              <w:top w:val="nil"/>
              <w:left w:val="nil"/>
              <w:bottom w:val="nil"/>
              <w:right w:val="nil"/>
            </w:tcBorders>
            <w:shd w:val="clear" w:color="000000" w:fill="FFFFFF"/>
            <w:noWrap/>
            <w:vAlign w:val="center"/>
            <w:hideMark/>
          </w:tcPr>
          <w:p w14:paraId="731948A4"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264" w:type="dxa"/>
            <w:tcBorders>
              <w:top w:val="nil"/>
              <w:left w:val="nil"/>
              <w:bottom w:val="nil"/>
              <w:right w:val="nil"/>
            </w:tcBorders>
            <w:shd w:val="clear" w:color="000000" w:fill="FFFFFF"/>
            <w:noWrap/>
            <w:vAlign w:val="center"/>
            <w:hideMark/>
          </w:tcPr>
          <w:p w14:paraId="2C04B809"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b/>
                <w:bCs/>
                <w:color w:val="000000"/>
                <w:sz w:val="18"/>
                <w:szCs w:val="18"/>
                <w:lang w:eastAsia="es-AR"/>
              </w:rPr>
              <w:t>Fecha de emisión:</w:t>
            </w:r>
            <w:r w:rsidRPr="009E6CF2">
              <w:rPr>
                <w:rFonts w:ascii="Times New Roman" w:eastAsia="Times New Roman" w:hAnsi="Times New Roman"/>
                <w:color w:val="000000"/>
                <w:sz w:val="18"/>
                <w:szCs w:val="18"/>
                <w:lang w:eastAsia="es-AR"/>
              </w:rPr>
              <w:t xml:space="preserve"> 13.01.2016</w:t>
            </w:r>
          </w:p>
        </w:tc>
        <w:tc>
          <w:tcPr>
            <w:tcW w:w="1160" w:type="dxa"/>
            <w:tcBorders>
              <w:top w:val="nil"/>
              <w:left w:val="nil"/>
              <w:bottom w:val="nil"/>
              <w:right w:val="nil"/>
            </w:tcBorders>
            <w:shd w:val="clear" w:color="000000" w:fill="FFFFFF"/>
            <w:noWrap/>
            <w:vAlign w:val="center"/>
            <w:hideMark/>
          </w:tcPr>
          <w:p w14:paraId="4C14FFDE"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200" w:type="dxa"/>
            <w:tcBorders>
              <w:top w:val="nil"/>
              <w:left w:val="nil"/>
              <w:bottom w:val="nil"/>
              <w:right w:val="nil"/>
            </w:tcBorders>
            <w:shd w:val="clear" w:color="000000" w:fill="FFFFFF"/>
            <w:noWrap/>
            <w:vAlign w:val="center"/>
            <w:hideMark/>
          </w:tcPr>
          <w:p w14:paraId="5CA8D63E"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542FE642"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tcBorders>
              <w:top w:val="nil"/>
              <w:left w:val="nil"/>
              <w:bottom w:val="nil"/>
              <w:right w:val="nil"/>
            </w:tcBorders>
            <w:shd w:val="clear" w:color="000000" w:fill="FFFFFF"/>
            <w:noWrap/>
            <w:vAlign w:val="center"/>
            <w:hideMark/>
          </w:tcPr>
          <w:p w14:paraId="4CA154BB"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643C7335"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5E92A37C" w14:textId="77777777" w:rsidTr="009E6CF2">
        <w:trPr>
          <w:trHeight w:val="240"/>
        </w:trPr>
        <w:tc>
          <w:tcPr>
            <w:tcW w:w="280" w:type="dxa"/>
            <w:tcBorders>
              <w:top w:val="nil"/>
              <w:left w:val="nil"/>
              <w:bottom w:val="nil"/>
              <w:right w:val="nil"/>
            </w:tcBorders>
            <w:shd w:val="clear" w:color="000000" w:fill="FFFFFF"/>
            <w:noWrap/>
            <w:vAlign w:val="center"/>
            <w:hideMark/>
          </w:tcPr>
          <w:p w14:paraId="2A4B46D0"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96" w:type="dxa"/>
            <w:tcBorders>
              <w:top w:val="nil"/>
              <w:left w:val="nil"/>
              <w:bottom w:val="nil"/>
              <w:right w:val="nil"/>
            </w:tcBorders>
            <w:shd w:val="clear" w:color="000000" w:fill="FFFFFF"/>
            <w:noWrap/>
            <w:vAlign w:val="center"/>
            <w:hideMark/>
          </w:tcPr>
          <w:p w14:paraId="24E86850"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3264" w:type="dxa"/>
            <w:tcBorders>
              <w:top w:val="nil"/>
              <w:left w:val="nil"/>
              <w:bottom w:val="nil"/>
              <w:right w:val="nil"/>
            </w:tcBorders>
            <w:shd w:val="clear" w:color="000000" w:fill="FFFFFF"/>
            <w:noWrap/>
            <w:vAlign w:val="center"/>
            <w:hideMark/>
          </w:tcPr>
          <w:p w14:paraId="02F69B3C"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b/>
                <w:bCs/>
                <w:color w:val="000000"/>
                <w:sz w:val="18"/>
                <w:szCs w:val="18"/>
                <w:lang w:eastAsia="es-AR"/>
              </w:rPr>
              <w:t xml:space="preserve">Fecha de vencimiento: </w:t>
            </w:r>
            <w:r w:rsidRPr="009E6CF2">
              <w:rPr>
                <w:rFonts w:ascii="Times New Roman" w:eastAsia="Times New Roman" w:hAnsi="Times New Roman"/>
                <w:color w:val="000000"/>
                <w:sz w:val="18"/>
                <w:szCs w:val="18"/>
                <w:lang w:eastAsia="es-AR"/>
              </w:rPr>
              <w:t>13.01.2021</w:t>
            </w:r>
          </w:p>
        </w:tc>
        <w:tc>
          <w:tcPr>
            <w:tcW w:w="1160" w:type="dxa"/>
            <w:tcBorders>
              <w:top w:val="nil"/>
              <w:left w:val="nil"/>
              <w:bottom w:val="nil"/>
              <w:right w:val="nil"/>
            </w:tcBorders>
            <w:shd w:val="clear" w:color="000000" w:fill="FFFFFF"/>
            <w:noWrap/>
            <w:vAlign w:val="center"/>
            <w:hideMark/>
          </w:tcPr>
          <w:p w14:paraId="49ADFBED"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200" w:type="dxa"/>
            <w:tcBorders>
              <w:top w:val="nil"/>
              <w:left w:val="nil"/>
              <w:bottom w:val="nil"/>
              <w:right w:val="nil"/>
            </w:tcBorders>
            <w:shd w:val="clear" w:color="000000" w:fill="FFFFFF"/>
            <w:noWrap/>
            <w:vAlign w:val="center"/>
            <w:hideMark/>
          </w:tcPr>
          <w:p w14:paraId="32A6969B"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3BEC8B2E"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tcBorders>
              <w:top w:val="nil"/>
              <w:left w:val="nil"/>
              <w:bottom w:val="nil"/>
              <w:right w:val="nil"/>
            </w:tcBorders>
            <w:shd w:val="clear" w:color="000000" w:fill="FFFFFF"/>
            <w:noWrap/>
            <w:vAlign w:val="center"/>
            <w:hideMark/>
          </w:tcPr>
          <w:p w14:paraId="7CA43980"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433EE2E1"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324DF8DA" w14:textId="77777777" w:rsidTr="009E6CF2">
        <w:trPr>
          <w:trHeight w:val="240"/>
        </w:trPr>
        <w:tc>
          <w:tcPr>
            <w:tcW w:w="280" w:type="dxa"/>
            <w:tcBorders>
              <w:top w:val="nil"/>
              <w:left w:val="nil"/>
              <w:bottom w:val="nil"/>
              <w:right w:val="nil"/>
            </w:tcBorders>
            <w:shd w:val="clear" w:color="000000" w:fill="FFFFFF"/>
            <w:noWrap/>
            <w:vAlign w:val="center"/>
            <w:hideMark/>
          </w:tcPr>
          <w:p w14:paraId="3A96AC68"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96" w:type="dxa"/>
            <w:tcBorders>
              <w:top w:val="nil"/>
              <w:left w:val="nil"/>
              <w:bottom w:val="nil"/>
              <w:right w:val="nil"/>
            </w:tcBorders>
            <w:shd w:val="clear" w:color="000000" w:fill="FFFFFF"/>
            <w:noWrap/>
            <w:vAlign w:val="center"/>
            <w:hideMark/>
          </w:tcPr>
          <w:p w14:paraId="4160DBE3"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5624" w:type="dxa"/>
            <w:gridSpan w:val="3"/>
            <w:tcBorders>
              <w:top w:val="nil"/>
              <w:left w:val="nil"/>
              <w:bottom w:val="nil"/>
              <w:right w:val="nil"/>
            </w:tcBorders>
            <w:shd w:val="clear" w:color="000000" w:fill="FFFFFF"/>
            <w:noWrap/>
            <w:vAlign w:val="center"/>
            <w:hideMark/>
          </w:tcPr>
          <w:p w14:paraId="3BE05F98"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b/>
                <w:bCs/>
                <w:color w:val="000000"/>
                <w:sz w:val="18"/>
                <w:szCs w:val="18"/>
                <w:lang w:eastAsia="es-AR"/>
              </w:rPr>
              <w:t>Tasa:</w:t>
            </w:r>
            <w:r w:rsidRPr="009E6CF2">
              <w:rPr>
                <w:rFonts w:ascii="Times New Roman" w:eastAsia="Times New Roman" w:hAnsi="Times New Roman"/>
                <w:color w:val="000000"/>
                <w:sz w:val="18"/>
                <w:szCs w:val="18"/>
                <w:lang w:eastAsia="es-AR"/>
              </w:rPr>
              <w:t xml:space="preserve"> 52,89% - Badlar Promedio + 4 Spread calculada al 30/09/2019</w:t>
            </w:r>
          </w:p>
        </w:tc>
        <w:tc>
          <w:tcPr>
            <w:tcW w:w="280" w:type="dxa"/>
            <w:tcBorders>
              <w:top w:val="nil"/>
              <w:left w:val="nil"/>
              <w:bottom w:val="nil"/>
              <w:right w:val="nil"/>
            </w:tcBorders>
            <w:shd w:val="clear" w:color="000000" w:fill="FFFFFF"/>
            <w:noWrap/>
            <w:vAlign w:val="center"/>
            <w:hideMark/>
          </w:tcPr>
          <w:p w14:paraId="29C012AD"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tcBorders>
              <w:top w:val="nil"/>
              <w:left w:val="nil"/>
              <w:bottom w:val="nil"/>
              <w:right w:val="nil"/>
            </w:tcBorders>
            <w:shd w:val="clear" w:color="000000" w:fill="FFFFFF"/>
            <w:noWrap/>
            <w:vAlign w:val="center"/>
            <w:hideMark/>
          </w:tcPr>
          <w:p w14:paraId="48994320"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3AB0F905"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0ABFCFAD" w14:textId="77777777" w:rsidTr="009E6CF2">
        <w:trPr>
          <w:trHeight w:val="240"/>
        </w:trPr>
        <w:tc>
          <w:tcPr>
            <w:tcW w:w="280" w:type="dxa"/>
            <w:tcBorders>
              <w:top w:val="nil"/>
              <w:left w:val="nil"/>
              <w:bottom w:val="nil"/>
              <w:right w:val="nil"/>
            </w:tcBorders>
            <w:shd w:val="clear" w:color="000000" w:fill="FFFFFF"/>
            <w:noWrap/>
            <w:vAlign w:val="center"/>
            <w:hideMark/>
          </w:tcPr>
          <w:p w14:paraId="74509A56"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96" w:type="dxa"/>
            <w:tcBorders>
              <w:top w:val="nil"/>
              <w:left w:val="nil"/>
              <w:bottom w:val="nil"/>
              <w:right w:val="nil"/>
            </w:tcBorders>
            <w:shd w:val="clear" w:color="000000" w:fill="FFFFFF"/>
            <w:noWrap/>
            <w:vAlign w:val="center"/>
            <w:hideMark/>
          </w:tcPr>
          <w:p w14:paraId="533DB899"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5624" w:type="dxa"/>
            <w:gridSpan w:val="3"/>
            <w:tcBorders>
              <w:top w:val="nil"/>
              <w:left w:val="nil"/>
              <w:bottom w:val="nil"/>
              <w:right w:val="nil"/>
            </w:tcBorders>
            <w:shd w:val="clear" w:color="000000" w:fill="FFFFFF"/>
            <w:noWrap/>
            <w:vAlign w:val="center"/>
            <w:hideMark/>
          </w:tcPr>
          <w:p w14:paraId="01DF9A08"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b/>
                <w:bCs/>
                <w:color w:val="000000"/>
                <w:sz w:val="18"/>
                <w:szCs w:val="18"/>
                <w:lang w:eastAsia="es-AR"/>
              </w:rPr>
              <w:t>Intereses devengados:</w:t>
            </w:r>
            <w:r w:rsidRPr="009E6CF2">
              <w:rPr>
                <w:rFonts w:ascii="Times New Roman" w:eastAsia="Times New Roman" w:hAnsi="Times New Roman"/>
                <w:color w:val="000000"/>
                <w:sz w:val="18"/>
                <w:szCs w:val="18"/>
                <w:lang w:eastAsia="es-AR"/>
              </w:rPr>
              <w:t xml:space="preserve"> al 30 de septiembre de 2019 - $ 28.364.596,38</w:t>
            </w:r>
          </w:p>
        </w:tc>
        <w:tc>
          <w:tcPr>
            <w:tcW w:w="280" w:type="dxa"/>
            <w:tcBorders>
              <w:top w:val="nil"/>
              <w:left w:val="nil"/>
              <w:bottom w:val="nil"/>
              <w:right w:val="nil"/>
            </w:tcBorders>
            <w:shd w:val="clear" w:color="000000" w:fill="FFFFFF"/>
            <w:noWrap/>
            <w:vAlign w:val="center"/>
            <w:hideMark/>
          </w:tcPr>
          <w:p w14:paraId="7A24CD37"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1480" w:type="dxa"/>
            <w:tcBorders>
              <w:top w:val="nil"/>
              <w:left w:val="nil"/>
              <w:bottom w:val="nil"/>
              <w:right w:val="nil"/>
            </w:tcBorders>
            <w:shd w:val="clear" w:color="000000" w:fill="FFFFFF"/>
            <w:noWrap/>
            <w:vAlign w:val="center"/>
            <w:hideMark/>
          </w:tcPr>
          <w:p w14:paraId="70E1AC8B"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c>
          <w:tcPr>
            <w:tcW w:w="280" w:type="dxa"/>
            <w:tcBorders>
              <w:top w:val="nil"/>
              <w:left w:val="nil"/>
              <w:bottom w:val="nil"/>
              <w:right w:val="nil"/>
            </w:tcBorders>
            <w:shd w:val="clear" w:color="000000" w:fill="FFFFFF"/>
            <w:noWrap/>
            <w:vAlign w:val="center"/>
            <w:hideMark/>
          </w:tcPr>
          <w:p w14:paraId="1CA5411E" w14:textId="77777777" w:rsidR="009E6CF2" w:rsidRPr="009E6CF2" w:rsidRDefault="009E6CF2" w:rsidP="009E6CF2">
            <w:pPr>
              <w:spacing w:after="0" w:line="240" w:lineRule="auto"/>
              <w:rPr>
                <w:rFonts w:ascii="Times New Roman" w:eastAsia="Times New Roman" w:hAnsi="Times New Roman"/>
                <w:color w:val="000000"/>
                <w:sz w:val="18"/>
                <w:szCs w:val="18"/>
                <w:lang w:eastAsia="es-AR"/>
              </w:rPr>
            </w:pPr>
            <w:r w:rsidRPr="009E6CF2">
              <w:rPr>
                <w:rFonts w:ascii="Times New Roman" w:eastAsia="Times New Roman" w:hAnsi="Times New Roman"/>
                <w:color w:val="000000"/>
                <w:sz w:val="18"/>
                <w:szCs w:val="18"/>
                <w:lang w:eastAsia="es-AR"/>
              </w:rPr>
              <w:t> </w:t>
            </w:r>
          </w:p>
        </w:tc>
      </w:tr>
      <w:tr w:rsidR="009E6CF2" w:rsidRPr="009E6CF2" w14:paraId="2C8B889C" w14:textId="77777777" w:rsidTr="009E6CF2">
        <w:trPr>
          <w:trHeight w:val="300"/>
        </w:trPr>
        <w:tc>
          <w:tcPr>
            <w:tcW w:w="280" w:type="dxa"/>
            <w:tcBorders>
              <w:top w:val="nil"/>
              <w:left w:val="nil"/>
              <w:bottom w:val="nil"/>
              <w:right w:val="nil"/>
            </w:tcBorders>
            <w:shd w:val="clear" w:color="000000" w:fill="FFFFFF"/>
            <w:noWrap/>
            <w:vAlign w:val="center"/>
            <w:hideMark/>
          </w:tcPr>
          <w:p w14:paraId="7B8EE707"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96" w:type="dxa"/>
            <w:tcBorders>
              <w:top w:val="nil"/>
              <w:left w:val="nil"/>
              <w:bottom w:val="nil"/>
              <w:right w:val="nil"/>
            </w:tcBorders>
            <w:shd w:val="clear" w:color="000000" w:fill="FFFFFF"/>
            <w:noWrap/>
            <w:vAlign w:val="center"/>
            <w:hideMark/>
          </w:tcPr>
          <w:p w14:paraId="3441E6D0"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3264" w:type="dxa"/>
            <w:tcBorders>
              <w:top w:val="nil"/>
              <w:left w:val="nil"/>
              <w:bottom w:val="nil"/>
              <w:right w:val="nil"/>
            </w:tcBorders>
            <w:shd w:val="clear" w:color="000000" w:fill="FFFFFF"/>
            <w:noWrap/>
            <w:vAlign w:val="center"/>
            <w:hideMark/>
          </w:tcPr>
          <w:p w14:paraId="5F40895C"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160" w:type="dxa"/>
            <w:tcBorders>
              <w:top w:val="nil"/>
              <w:left w:val="nil"/>
              <w:bottom w:val="nil"/>
              <w:right w:val="nil"/>
            </w:tcBorders>
            <w:shd w:val="clear" w:color="000000" w:fill="FFFFFF"/>
            <w:noWrap/>
            <w:vAlign w:val="center"/>
            <w:hideMark/>
          </w:tcPr>
          <w:p w14:paraId="49E2796B"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200" w:type="dxa"/>
            <w:tcBorders>
              <w:top w:val="nil"/>
              <w:left w:val="nil"/>
              <w:bottom w:val="nil"/>
              <w:right w:val="nil"/>
            </w:tcBorders>
            <w:shd w:val="clear" w:color="000000" w:fill="FFFFFF"/>
            <w:noWrap/>
            <w:vAlign w:val="center"/>
            <w:hideMark/>
          </w:tcPr>
          <w:p w14:paraId="1058E666"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280" w:type="dxa"/>
            <w:tcBorders>
              <w:top w:val="nil"/>
              <w:left w:val="nil"/>
              <w:bottom w:val="nil"/>
              <w:right w:val="nil"/>
            </w:tcBorders>
            <w:shd w:val="clear" w:color="000000" w:fill="FFFFFF"/>
            <w:noWrap/>
            <w:vAlign w:val="center"/>
            <w:hideMark/>
          </w:tcPr>
          <w:p w14:paraId="3D8B9971"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1480" w:type="dxa"/>
            <w:tcBorders>
              <w:top w:val="nil"/>
              <w:left w:val="nil"/>
              <w:bottom w:val="nil"/>
              <w:right w:val="nil"/>
            </w:tcBorders>
            <w:shd w:val="clear" w:color="000000" w:fill="FFFFFF"/>
            <w:noWrap/>
            <w:vAlign w:val="center"/>
            <w:hideMark/>
          </w:tcPr>
          <w:p w14:paraId="2F8A5B58"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c>
          <w:tcPr>
            <w:tcW w:w="280" w:type="dxa"/>
            <w:tcBorders>
              <w:top w:val="nil"/>
              <w:left w:val="nil"/>
              <w:bottom w:val="nil"/>
              <w:right w:val="nil"/>
            </w:tcBorders>
            <w:shd w:val="clear" w:color="000000" w:fill="FFFFFF"/>
            <w:noWrap/>
            <w:vAlign w:val="center"/>
            <w:hideMark/>
          </w:tcPr>
          <w:p w14:paraId="69DF09E5" w14:textId="77777777" w:rsidR="009E6CF2" w:rsidRPr="009E6CF2" w:rsidRDefault="009E6CF2" w:rsidP="009E6CF2">
            <w:pPr>
              <w:spacing w:after="0" w:line="240" w:lineRule="auto"/>
              <w:rPr>
                <w:rFonts w:ascii="Times New Roman" w:eastAsia="Times New Roman" w:hAnsi="Times New Roman"/>
                <w:color w:val="000000"/>
                <w:lang w:eastAsia="es-AR"/>
              </w:rPr>
            </w:pPr>
            <w:r w:rsidRPr="009E6CF2">
              <w:rPr>
                <w:rFonts w:ascii="Times New Roman" w:eastAsia="Times New Roman" w:hAnsi="Times New Roman"/>
                <w:color w:val="000000"/>
                <w:lang w:eastAsia="es-AR"/>
              </w:rPr>
              <w:t> </w:t>
            </w:r>
          </w:p>
        </w:tc>
      </w:tr>
    </w:tbl>
    <w:p w14:paraId="7A7D79AB" w14:textId="5F8A7992" w:rsidR="003E7C97" w:rsidRPr="006E3772" w:rsidRDefault="003E7C97" w:rsidP="003E7C97">
      <w:pPr>
        <w:spacing w:after="160" w:line="257" w:lineRule="auto"/>
        <w:jc w:val="both"/>
        <w:rPr>
          <w:i/>
          <w:iCs/>
          <w:color w:val="FF0000"/>
          <w:highlight w:val="yellow"/>
        </w:rPr>
      </w:pPr>
    </w:p>
    <w:p w14:paraId="49DCE159" w14:textId="77777777" w:rsidR="00256BC0" w:rsidRPr="00D72C32" w:rsidRDefault="00256BC0" w:rsidP="00256BC0">
      <w:pPr>
        <w:keepNext/>
        <w:keepLines/>
        <w:spacing w:after="0"/>
        <w:jc w:val="both"/>
        <w:rPr>
          <w:rFonts w:eastAsia="Times New Roman"/>
          <w:i/>
          <w:sz w:val="20"/>
          <w:szCs w:val="24"/>
          <w:lang w:eastAsia="es-ES"/>
        </w:rPr>
      </w:pPr>
      <w:bookmarkStart w:id="69" w:name="_Toc19299175"/>
      <w:r w:rsidRPr="00D72C32">
        <w:rPr>
          <w:rFonts w:eastAsia="Times New Roman"/>
          <w:i/>
          <w:sz w:val="20"/>
          <w:szCs w:val="24"/>
          <w:lang w:eastAsia="es-ES"/>
        </w:rPr>
        <w:t>Capital Social</w:t>
      </w:r>
      <w:bookmarkEnd w:id="69"/>
    </w:p>
    <w:p w14:paraId="39BDE89A" w14:textId="77777777" w:rsidR="00256BC0" w:rsidRPr="00D72C32" w:rsidRDefault="00256BC0" w:rsidP="00256BC0">
      <w:pPr>
        <w:keepNext/>
        <w:keepLines/>
        <w:spacing w:after="0"/>
        <w:jc w:val="both"/>
        <w:rPr>
          <w:rFonts w:eastAsia="Times New Roman"/>
          <w:sz w:val="20"/>
          <w:szCs w:val="24"/>
          <w:lang w:eastAsia="es-ES"/>
        </w:rPr>
      </w:pPr>
      <w:r w:rsidRPr="00D72C32">
        <w:rPr>
          <w:rFonts w:eastAsia="Times New Roman"/>
          <w:sz w:val="20"/>
          <w:szCs w:val="24"/>
          <w:lang w:val="es-ES_tradnl" w:eastAsia="es-ES"/>
        </w:rPr>
        <w:br/>
      </w:r>
      <w:r w:rsidRPr="00D72C32">
        <w:rPr>
          <w:rFonts w:eastAsia="Times New Roman"/>
          <w:sz w:val="20"/>
          <w:szCs w:val="24"/>
          <w:lang w:eastAsia="es-ES"/>
        </w:rPr>
        <w:t>El capital social de Grupo ST S.A. es de $257.557.442, representado por 257.557.442 acciones ordinarias, escriturales, de V/N $ 1 cada una y con derecho a cinco votos por acción.</w:t>
      </w:r>
    </w:p>
    <w:p w14:paraId="45912A8C" w14:textId="77777777" w:rsidR="003E7C97" w:rsidRPr="00D72C32" w:rsidRDefault="003E7C97" w:rsidP="00256BC0">
      <w:pPr>
        <w:keepNext/>
        <w:keepLines/>
        <w:spacing w:after="0"/>
        <w:jc w:val="both"/>
        <w:rPr>
          <w:rFonts w:eastAsia="Times New Roman"/>
          <w:sz w:val="20"/>
          <w:szCs w:val="24"/>
          <w:lang w:eastAsia="es-ES"/>
        </w:rPr>
      </w:pPr>
    </w:p>
    <w:p w14:paraId="6D1A0516" w14:textId="77777777" w:rsidR="003E7C97" w:rsidRPr="00D72C32" w:rsidRDefault="003E7C97" w:rsidP="003E7C97">
      <w:pPr>
        <w:keepNext/>
        <w:keepLines/>
        <w:spacing w:after="0"/>
        <w:jc w:val="both"/>
        <w:rPr>
          <w:rFonts w:eastAsia="Times New Roman"/>
          <w:i/>
          <w:sz w:val="20"/>
          <w:szCs w:val="24"/>
          <w:lang w:eastAsia="es-ES"/>
        </w:rPr>
      </w:pPr>
      <w:r w:rsidRPr="00D72C32">
        <w:rPr>
          <w:rFonts w:eastAsia="Times New Roman"/>
          <w:i/>
          <w:sz w:val="20"/>
          <w:szCs w:val="24"/>
          <w:lang w:eastAsia="es-ES"/>
        </w:rPr>
        <w:t>Valores Negociables en Circulación</w:t>
      </w:r>
    </w:p>
    <w:p w14:paraId="1A422118" w14:textId="77777777" w:rsidR="003E7C97" w:rsidRPr="00D72C32" w:rsidRDefault="003E7C97" w:rsidP="003E7C97">
      <w:pPr>
        <w:keepNext/>
        <w:keepLines/>
        <w:spacing w:after="0"/>
        <w:jc w:val="both"/>
        <w:rPr>
          <w:rFonts w:eastAsia="Times New Roman"/>
          <w:sz w:val="20"/>
          <w:szCs w:val="24"/>
          <w:lang w:eastAsia="es-ES"/>
        </w:rPr>
      </w:pPr>
    </w:p>
    <w:p w14:paraId="75FC522F" w14:textId="18C5B7E0" w:rsidR="003E7C97" w:rsidRPr="00D72C32" w:rsidRDefault="003E7C97" w:rsidP="003E7C97">
      <w:pPr>
        <w:jc w:val="both"/>
        <w:rPr>
          <w:sz w:val="20"/>
          <w:szCs w:val="20"/>
        </w:rPr>
      </w:pPr>
      <w:r w:rsidRPr="00D72C32">
        <w:rPr>
          <w:sz w:val="20"/>
          <w:szCs w:val="20"/>
        </w:rPr>
        <w:t xml:space="preserve">Los únicos valores negociables en </w:t>
      </w:r>
      <w:r w:rsidR="00A56AD0" w:rsidRPr="00D72C32">
        <w:rPr>
          <w:sz w:val="20"/>
          <w:szCs w:val="20"/>
        </w:rPr>
        <w:t>circulación de</w:t>
      </w:r>
      <w:r w:rsidR="00425929" w:rsidRPr="00D72C32">
        <w:rPr>
          <w:sz w:val="20"/>
          <w:szCs w:val="20"/>
        </w:rPr>
        <w:t xml:space="preserve">l </w:t>
      </w:r>
      <w:r w:rsidR="00A56AD0" w:rsidRPr="00D72C32">
        <w:rPr>
          <w:sz w:val="20"/>
          <w:szCs w:val="20"/>
        </w:rPr>
        <w:t>E</w:t>
      </w:r>
      <w:r w:rsidR="00425929" w:rsidRPr="00D72C32">
        <w:rPr>
          <w:sz w:val="20"/>
          <w:szCs w:val="20"/>
        </w:rPr>
        <w:t>misor</w:t>
      </w:r>
      <w:r w:rsidR="00D74AA7" w:rsidRPr="00D72C32">
        <w:rPr>
          <w:sz w:val="20"/>
          <w:szCs w:val="20"/>
        </w:rPr>
        <w:t xml:space="preserve"> son la</w:t>
      </w:r>
      <w:r w:rsidRPr="00D72C32">
        <w:rPr>
          <w:sz w:val="20"/>
          <w:szCs w:val="20"/>
        </w:rPr>
        <w:t xml:space="preserve">s </w:t>
      </w:r>
      <w:r w:rsidR="00D74AA7" w:rsidRPr="00D72C32">
        <w:rPr>
          <w:bCs/>
          <w:sz w:val="20"/>
          <w:szCs w:val="20"/>
        </w:rPr>
        <w:t>Obligaciones Negociables Clase 1</w:t>
      </w:r>
      <w:r w:rsidRPr="00D72C32">
        <w:rPr>
          <w:bCs/>
          <w:sz w:val="20"/>
          <w:szCs w:val="20"/>
        </w:rPr>
        <w:t xml:space="preserve"> </w:t>
      </w:r>
      <w:r w:rsidR="00D74AA7" w:rsidRPr="00D72C32">
        <w:rPr>
          <w:bCs/>
          <w:sz w:val="20"/>
          <w:szCs w:val="20"/>
        </w:rPr>
        <w:t>emitidas con fecha 13 de enero de 2016</w:t>
      </w:r>
      <w:r w:rsidRPr="00D72C32">
        <w:rPr>
          <w:bCs/>
          <w:sz w:val="20"/>
          <w:szCs w:val="20"/>
        </w:rPr>
        <w:t xml:space="preserve">, a tasa variable (BADLAR + </w:t>
      </w:r>
      <w:r w:rsidR="00D74AA7" w:rsidRPr="00D72C32">
        <w:rPr>
          <w:bCs/>
          <w:sz w:val="20"/>
          <w:szCs w:val="20"/>
        </w:rPr>
        <w:t>400 pb) y en el marco del Programa</w:t>
      </w:r>
      <w:r w:rsidRPr="00D72C32">
        <w:rPr>
          <w:bCs/>
          <w:sz w:val="20"/>
          <w:szCs w:val="20"/>
        </w:rPr>
        <w:t xml:space="preserve">, por un monto de </w:t>
      </w:r>
      <w:r w:rsidRPr="00D72C32">
        <w:rPr>
          <w:rFonts w:cs="Arial"/>
          <w:color w:val="000000"/>
          <w:sz w:val="20"/>
          <w:lang w:val="es-ES"/>
        </w:rPr>
        <w:t xml:space="preserve">$ </w:t>
      </w:r>
      <w:r w:rsidR="00D74AA7" w:rsidRPr="00D72C32">
        <w:rPr>
          <w:rFonts w:cs="Arial"/>
          <w:color w:val="000000"/>
          <w:sz w:val="20"/>
          <w:lang w:val="es-ES"/>
        </w:rPr>
        <w:t>75</w:t>
      </w:r>
      <w:r w:rsidRPr="00D72C32">
        <w:rPr>
          <w:rFonts w:cs="Arial"/>
          <w:color w:val="000000"/>
          <w:sz w:val="20"/>
          <w:lang w:val="es-ES"/>
        </w:rPr>
        <w:t>.</w:t>
      </w:r>
      <w:r w:rsidR="00D74AA7" w:rsidRPr="00D72C32">
        <w:rPr>
          <w:rFonts w:cs="Arial"/>
          <w:color w:val="000000"/>
          <w:sz w:val="20"/>
          <w:lang w:val="es-ES"/>
        </w:rPr>
        <w:t>000</w:t>
      </w:r>
      <w:r w:rsidRPr="00D72C32">
        <w:rPr>
          <w:rFonts w:cs="Arial"/>
          <w:color w:val="000000"/>
          <w:sz w:val="20"/>
          <w:lang w:val="es-ES"/>
        </w:rPr>
        <w:t>.</w:t>
      </w:r>
      <w:r w:rsidR="00D74AA7" w:rsidRPr="00D72C32">
        <w:rPr>
          <w:rFonts w:cs="Arial"/>
          <w:color w:val="000000"/>
          <w:sz w:val="20"/>
          <w:lang w:val="es-ES"/>
        </w:rPr>
        <w:t>000, cuyo vencimiento opera el 13</w:t>
      </w:r>
      <w:r w:rsidRPr="00D72C32">
        <w:rPr>
          <w:rFonts w:cs="Arial"/>
          <w:color w:val="000000"/>
          <w:sz w:val="20"/>
          <w:lang w:val="es-ES"/>
        </w:rPr>
        <w:t xml:space="preserve"> de </w:t>
      </w:r>
      <w:r w:rsidR="00D74AA7" w:rsidRPr="00D72C32">
        <w:rPr>
          <w:rFonts w:cs="Arial"/>
          <w:color w:val="000000"/>
          <w:sz w:val="20"/>
          <w:lang w:val="es-ES"/>
        </w:rPr>
        <w:t>enero de 2021.</w:t>
      </w:r>
    </w:p>
    <w:p w14:paraId="6BE9C551" w14:textId="77777777" w:rsidR="00256BC0" w:rsidRPr="00D72C32" w:rsidRDefault="00256BC0" w:rsidP="00256BC0">
      <w:pPr>
        <w:keepNext/>
        <w:keepLines/>
        <w:spacing w:after="0"/>
        <w:jc w:val="both"/>
        <w:rPr>
          <w:rFonts w:eastAsia="Times New Roman"/>
          <w:i/>
          <w:sz w:val="20"/>
          <w:szCs w:val="24"/>
          <w:lang w:eastAsia="es-ES"/>
        </w:rPr>
      </w:pPr>
      <w:bookmarkStart w:id="70" w:name="_Toc19299176"/>
      <w:r w:rsidRPr="00D72C32">
        <w:rPr>
          <w:rFonts w:eastAsia="Times New Roman"/>
          <w:i/>
          <w:sz w:val="20"/>
          <w:szCs w:val="24"/>
          <w:lang w:eastAsia="es-ES"/>
        </w:rPr>
        <w:lastRenderedPageBreak/>
        <w:t>Cambios Significativos</w:t>
      </w:r>
      <w:bookmarkEnd w:id="70"/>
    </w:p>
    <w:p w14:paraId="0243922A" w14:textId="77777777" w:rsidR="00256BC0" w:rsidRPr="00D72C32" w:rsidRDefault="00256BC0" w:rsidP="00256BC0">
      <w:pPr>
        <w:keepNext/>
        <w:keepLines/>
        <w:spacing w:after="0"/>
        <w:jc w:val="both"/>
        <w:rPr>
          <w:rFonts w:eastAsia="Times New Roman"/>
          <w:sz w:val="20"/>
          <w:szCs w:val="24"/>
          <w:lang w:val="es-ES_tradnl" w:eastAsia="es-ES"/>
        </w:rPr>
      </w:pPr>
      <w:r w:rsidRPr="00D72C32">
        <w:rPr>
          <w:rFonts w:eastAsia="Times New Roman"/>
          <w:sz w:val="20"/>
          <w:szCs w:val="24"/>
          <w:lang w:val="es-ES_tradnl" w:eastAsia="es-ES"/>
        </w:rPr>
        <w:br/>
        <w:t>No se han producido cambios significativos en la situación patrimonial, económica, financiera y/o de otro tipo, los resultados, las operaciones y/o los negocios del Emisor, y/o la capacidad del Emisor de cumplir con sus obligaciones en general, desde la fecha de los estados financieros más recientes incluidos en el presente Suplemento de Precio.</w:t>
      </w:r>
    </w:p>
    <w:p w14:paraId="754B11B9" w14:textId="77777777" w:rsidR="00DB2A45" w:rsidRPr="00D72C32" w:rsidRDefault="00DB2A45" w:rsidP="00256BC0">
      <w:pPr>
        <w:keepNext/>
        <w:keepLines/>
        <w:spacing w:after="0"/>
        <w:jc w:val="both"/>
        <w:rPr>
          <w:rFonts w:eastAsia="Times New Roman"/>
          <w:sz w:val="20"/>
          <w:szCs w:val="24"/>
          <w:lang w:val="es-ES_tradnl" w:eastAsia="es-ES"/>
        </w:rPr>
      </w:pPr>
    </w:p>
    <w:p w14:paraId="3476EE71" w14:textId="6A2701C0" w:rsidR="003E7C97" w:rsidRPr="00D72C32" w:rsidRDefault="00AC0486" w:rsidP="00256BC0">
      <w:pPr>
        <w:keepNext/>
        <w:keepLines/>
        <w:spacing w:after="0"/>
        <w:jc w:val="both"/>
        <w:rPr>
          <w:rFonts w:eastAsia="Times New Roman"/>
          <w:i/>
          <w:sz w:val="20"/>
          <w:szCs w:val="24"/>
          <w:lang w:val="es-ES_tradnl" w:eastAsia="es-ES"/>
        </w:rPr>
      </w:pPr>
      <w:r w:rsidRPr="00D72C32">
        <w:rPr>
          <w:rFonts w:eastAsia="Times New Roman"/>
          <w:i/>
          <w:sz w:val="20"/>
          <w:szCs w:val="24"/>
          <w:lang w:val="es-ES_tradnl" w:eastAsia="es-ES"/>
        </w:rPr>
        <w:t>Reseña informativa</w:t>
      </w:r>
    </w:p>
    <w:p w14:paraId="20401063" w14:textId="77777777" w:rsidR="008F3AF3" w:rsidRPr="00D72C32" w:rsidRDefault="008F3AF3" w:rsidP="008F3AF3">
      <w:pPr>
        <w:keepNext/>
        <w:keepLines/>
        <w:spacing w:after="0"/>
        <w:jc w:val="both"/>
        <w:rPr>
          <w:rFonts w:eastAsia="Times New Roman"/>
          <w:sz w:val="20"/>
          <w:szCs w:val="24"/>
          <w:lang w:val="es-ES_tradnl" w:eastAsia="es-ES"/>
        </w:rPr>
      </w:pPr>
    </w:p>
    <w:p w14:paraId="2BD4E48A" w14:textId="63B3FE41" w:rsidR="008F3AF3" w:rsidRPr="00D72C32" w:rsidRDefault="008F3AF3" w:rsidP="008F3AF3">
      <w:pPr>
        <w:keepNext/>
        <w:keepLines/>
        <w:spacing w:after="0"/>
        <w:jc w:val="both"/>
        <w:rPr>
          <w:rFonts w:eastAsia="Times New Roman"/>
          <w:sz w:val="20"/>
          <w:szCs w:val="24"/>
          <w:lang w:val="es-ES_tradnl" w:eastAsia="es-ES"/>
        </w:rPr>
      </w:pPr>
      <w:r w:rsidRPr="00D72C32">
        <w:rPr>
          <w:rFonts w:eastAsia="Times New Roman"/>
          <w:sz w:val="20"/>
          <w:szCs w:val="24"/>
          <w:lang w:val="es-ES_tradnl" w:eastAsia="es-ES"/>
        </w:rPr>
        <w:t xml:space="preserve">El siguiente análisis debe ser leído en conjunto con la información financiera sumaria expresada bajo el título </w:t>
      </w:r>
      <w:r w:rsidRPr="00D72C32">
        <w:rPr>
          <w:rFonts w:eastAsia="Times New Roman"/>
          <w:i/>
          <w:sz w:val="20"/>
          <w:szCs w:val="24"/>
          <w:lang w:val="es-ES_tradnl" w:eastAsia="es-ES"/>
        </w:rPr>
        <w:t>“Información Financiera – Estados Financieros”</w:t>
      </w:r>
      <w:r w:rsidRPr="00D72C32">
        <w:rPr>
          <w:rFonts w:eastAsia="Times New Roman"/>
          <w:sz w:val="20"/>
          <w:szCs w:val="24"/>
          <w:lang w:val="es-ES_tradnl" w:eastAsia="es-ES"/>
        </w:rPr>
        <w:t xml:space="preserve"> del presente Suplemento</w:t>
      </w:r>
    </w:p>
    <w:p w14:paraId="21503E01" w14:textId="77777777" w:rsidR="008F3AF3" w:rsidRPr="00D72C32" w:rsidRDefault="008F3AF3" w:rsidP="008F3AF3">
      <w:pPr>
        <w:keepNext/>
        <w:keepLines/>
        <w:spacing w:after="0"/>
        <w:jc w:val="both"/>
        <w:rPr>
          <w:rFonts w:eastAsia="Times New Roman"/>
          <w:sz w:val="20"/>
          <w:szCs w:val="24"/>
          <w:lang w:val="es-ES_tradnl" w:eastAsia="es-ES"/>
        </w:rPr>
      </w:pPr>
    </w:p>
    <w:p w14:paraId="1E6764DD" w14:textId="3B3BFDFA" w:rsidR="008F3AF3" w:rsidRPr="00D72C32" w:rsidRDefault="008F3AF3" w:rsidP="008F3AF3">
      <w:pPr>
        <w:keepNext/>
        <w:keepLines/>
        <w:spacing w:after="0"/>
        <w:jc w:val="both"/>
        <w:rPr>
          <w:rFonts w:eastAsia="Times New Roman"/>
          <w:sz w:val="20"/>
          <w:szCs w:val="24"/>
          <w:lang w:val="es-ES_tradnl" w:eastAsia="es-ES"/>
        </w:rPr>
      </w:pPr>
      <w:r w:rsidRPr="00D72C32">
        <w:rPr>
          <w:rFonts w:eastAsia="Times New Roman"/>
          <w:sz w:val="20"/>
          <w:szCs w:val="24"/>
          <w:lang w:val="es-ES_tradnl" w:eastAsia="es-ES"/>
        </w:rPr>
        <w:t xml:space="preserve">La información contenida en esta sección fue extraída de los estados financieros del Emisor correspondientes a </w:t>
      </w:r>
      <w:r w:rsidR="005B0E77" w:rsidRPr="00D72C32">
        <w:rPr>
          <w:rFonts w:eastAsia="Times New Roman"/>
          <w:sz w:val="20"/>
          <w:szCs w:val="24"/>
          <w:lang w:val="es-ES_tradnl" w:eastAsia="es-ES"/>
        </w:rPr>
        <w:t xml:space="preserve">los estados contables consolidados por el período de </w:t>
      </w:r>
      <w:r w:rsidR="009866AF" w:rsidRPr="00D72C32">
        <w:rPr>
          <w:rFonts w:eastAsia="Times New Roman"/>
          <w:sz w:val="20"/>
          <w:szCs w:val="24"/>
          <w:lang w:val="es-ES_tradnl" w:eastAsia="es-ES"/>
        </w:rPr>
        <w:t xml:space="preserve">nueve </w:t>
      </w:r>
      <w:r w:rsidR="005B0E77" w:rsidRPr="00D72C32">
        <w:rPr>
          <w:rFonts w:eastAsia="Times New Roman"/>
          <w:sz w:val="20"/>
          <w:szCs w:val="24"/>
          <w:lang w:val="es-ES_tradnl" w:eastAsia="es-ES"/>
        </w:rPr>
        <w:t xml:space="preserve">meses finalizado el 30 de </w:t>
      </w:r>
      <w:r w:rsidR="009866AF" w:rsidRPr="00D72C32">
        <w:rPr>
          <w:rFonts w:eastAsia="Times New Roman"/>
          <w:sz w:val="20"/>
          <w:szCs w:val="24"/>
          <w:lang w:val="es-ES_tradnl" w:eastAsia="es-ES"/>
        </w:rPr>
        <w:t xml:space="preserve">septiembre </w:t>
      </w:r>
      <w:r w:rsidR="005B0E77" w:rsidRPr="00D72C32">
        <w:rPr>
          <w:rFonts w:eastAsia="Times New Roman"/>
          <w:sz w:val="20"/>
          <w:szCs w:val="24"/>
          <w:lang w:val="es-ES_tradnl" w:eastAsia="es-ES"/>
        </w:rPr>
        <w:t>de 2019</w:t>
      </w:r>
      <w:r w:rsidRPr="00D72C32">
        <w:rPr>
          <w:rFonts w:eastAsia="Times New Roman"/>
          <w:sz w:val="20"/>
          <w:szCs w:val="24"/>
          <w:lang w:val="es-ES_tradnl" w:eastAsia="es-ES"/>
        </w:rPr>
        <w:t>.</w:t>
      </w:r>
    </w:p>
    <w:p w14:paraId="7F95241C" w14:textId="77777777" w:rsidR="008F3AF3" w:rsidRPr="00D72C32" w:rsidRDefault="008F3AF3" w:rsidP="008F3AF3">
      <w:pPr>
        <w:keepNext/>
        <w:keepLines/>
        <w:spacing w:after="0"/>
        <w:jc w:val="both"/>
        <w:rPr>
          <w:rFonts w:eastAsia="Times New Roman"/>
          <w:sz w:val="20"/>
          <w:szCs w:val="24"/>
          <w:lang w:val="es-ES_tradnl" w:eastAsia="es-ES"/>
        </w:rPr>
      </w:pPr>
    </w:p>
    <w:p w14:paraId="16D1E63C" w14:textId="33D07C93" w:rsidR="001756E7" w:rsidRPr="00D72C32" w:rsidRDefault="008F3AF3" w:rsidP="008F3AF3">
      <w:pPr>
        <w:keepNext/>
        <w:keepLines/>
        <w:spacing w:after="0"/>
        <w:jc w:val="both"/>
        <w:rPr>
          <w:rFonts w:eastAsia="Times New Roman"/>
          <w:sz w:val="20"/>
          <w:szCs w:val="24"/>
          <w:lang w:val="es-ES_tradnl" w:eastAsia="es-ES"/>
        </w:rPr>
      </w:pPr>
      <w:r w:rsidRPr="00D72C32">
        <w:rPr>
          <w:rFonts w:eastAsia="Times New Roman"/>
          <w:sz w:val="20"/>
          <w:szCs w:val="24"/>
          <w:lang w:val="es-ES_tradnl" w:eastAsia="es-ES"/>
        </w:rPr>
        <w:t xml:space="preserve">La política empresarial </w:t>
      </w:r>
      <w:r w:rsidR="005B0E77" w:rsidRPr="00D72C32">
        <w:rPr>
          <w:rFonts w:eastAsia="Times New Roman"/>
          <w:sz w:val="20"/>
          <w:szCs w:val="24"/>
          <w:lang w:val="es-ES_tradnl" w:eastAsia="es-ES"/>
        </w:rPr>
        <w:t xml:space="preserve">de la Sociedad </w:t>
      </w:r>
      <w:r w:rsidRPr="00D72C32">
        <w:rPr>
          <w:rFonts w:eastAsia="Times New Roman"/>
          <w:sz w:val="20"/>
          <w:szCs w:val="24"/>
          <w:lang w:val="es-ES_tradnl" w:eastAsia="es-ES"/>
        </w:rPr>
        <w:t>se orienta a consolidar la actividad de la empresa como inversora. La Sociedad tiene como actividad principal la tenencia de acciones de sociedades anónimas, en particular las que tienen como objeto actividades y servicios financieros. Por ende, sus principales variaciones en los resultados de un ejercicio a otro provienen principalmente de una diferencia en el valor patrimonial pr</w:t>
      </w:r>
      <w:r w:rsidR="005B0E77" w:rsidRPr="00D72C32">
        <w:rPr>
          <w:rFonts w:eastAsia="Times New Roman"/>
          <w:sz w:val="20"/>
          <w:szCs w:val="24"/>
          <w:lang w:val="es-ES_tradnl" w:eastAsia="es-ES"/>
        </w:rPr>
        <w:t>oporcional de sus controladas.</w:t>
      </w:r>
    </w:p>
    <w:p w14:paraId="54C16BF2" w14:textId="77777777" w:rsidR="008F3AF3" w:rsidRPr="00D72C32" w:rsidRDefault="008F3AF3" w:rsidP="008F3AF3">
      <w:pPr>
        <w:keepNext/>
        <w:keepLines/>
        <w:spacing w:after="0"/>
        <w:jc w:val="both"/>
        <w:rPr>
          <w:rFonts w:eastAsia="Times New Roman"/>
          <w:sz w:val="20"/>
          <w:szCs w:val="24"/>
          <w:lang w:val="es-ES_tradnl" w:eastAsia="es-ES"/>
        </w:rPr>
      </w:pPr>
    </w:p>
    <w:p w14:paraId="5EF8CBFD" w14:textId="14C220DA" w:rsidR="001756E7" w:rsidRPr="00D72C32" w:rsidRDefault="001756E7" w:rsidP="001756E7">
      <w:pPr>
        <w:pStyle w:val="Prrafodelista"/>
        <w:keepNext/>
        <w:keepLines/>
        <w:numPr>
          <w:ilvl w:val="0"/>
          <w:numId w:val="47"/>
        </w:numPr>
        <w:spacing w:after="0"/>
        <w:jc w:val="both"/>
        <w:rPr>
          <w:rFonts w:eastAsia="Times New Roman"/>
          <w:b/>
          <w:sz w:val="20"/>
          <w:szCs w:val="24"/>
          <w:lang w:val="es-ES_tradnl" w:eastAsia="es-ES"/>
        </w:rPr>
      </w:pPr>
      <w:r w:rsidRPr="00D72C32">
        <w:rPr>
          <w:rFonts w:eastAsia="Times New Roman"/>
          <w:b/>
          <w:sz w:val="20"/>
          <w:szCs w:val="24"/>
          <w:lang w:val="es-ES_tradnl" w:eastAsia="es-ES"/>
        </w:rPr>
        <w:t xml:space="preserve">Evolución del Capital Social </w:t>
      </w:r>
      <w:r w:rsidR="00ED5E73" w:rsidRPr="00D72C32">
        <w:rPr>
          <w:rFonts w:eastAsia="Times New Roman"/>
          <w:b/>
          <w:sz w:val="20"/>
          <w:szCs w:val="24"/>
          <w:lang w:val="es-ES_tradnl" w:eastAsia="es-ES"/>
        </w:rPr>
        <w:t>desde el cierre del</w:t>
      </w:r>
      <w:r w:rsidRPr="00D72C32">
        <w:rPr>
          <w:rFonts w:eastAsia="Times New Roman"/>
          <w:b/>
          <w:sz w:val="20"/>
          <w:szCs w:val="24"/>
          <w:lang w:val="es-ES_tradnl" w:eastAsia="es-ES"/>
        </w:rPr>
        <w:t xml:space="preserve"> ejercicio al 31</w:t>
      </w:r>
      <w:r w:rsidR="009A5FA3" w:rsidRPr="00D72C32">
        <w:rPr>
          <w:rFonts w:eastAsia="Times New Roman"/>
          <w:b/>
          <w:sz w:val="20"/>
          <w:szCs w:val="24"/>
          <w:lang w:val="es-ES_tradnl" w:eastAsia="es-ES"/>
        </w:rPr>
        <w:t xml:space="preserve"> de diciembre de 2018</w:t>
      </w:r>
      <w:r w:rsidR="00ED5E73" w:rsidRPr="00D72C32">
        <w:rPr>
          <w:rFonts w:eastAsia="Times New Roman"/>
          <w:b/>
          <w:sz w:val="20"/>
          <w:szCs w:val="24"/>
          <w:lang w:val="es-ES_tradnl" w:eastAsia="es-ES"/>
        </w:rPr>
        <w:t xml:space="preserve"> hasta el cierre del ejercicio al 30 de </w:t>
      </w:r>
      <w:r w:rsidR="009866AF" w:rsidRPr="00D72C32">
        <w:rPr>
          <w:rFonts w:eastAsia="Times New Roman"/>
          <w:b/>
          <w:sz w:val="20"/>
          <w:szCs w:val="24"/>
          <w:lang w:val="es-ES_tradnl" w:eastAsia="es-ES"/>
        </w:rPr>
        <w:t xml:space="preserve">septiembre </w:t>
      </w:r>
      <w:r w:rsidR="00ED5E73" w:rsidRPr="00D72C32">
        <w:rPr>
          <w:rFonts w:eastAsia="Times New Roman"/>
          <w:b/>
          <w:sz w:val="20"/>
          <w:szCs w:val="24"/>
          <w:lang w:val="es-ES_tradnl" w:eastAsia="es-ES"/>
        </w:rPr>
        <w:t xml:space="preserve">de </w:t>
      </w:r>
      <w:r w:rsidR="00D53660" w:rsidRPr="00D72C32">
        <w:rPr>
          <w:rFonts w:eastAsia="Times New Roman"/>
          <w:b/>
          <w:sz w:val="20"/>
          <w:szCs w:val="24"/>
          <w:lang w:val="es-ES_tradnl" w:eastAsia="es-ES"/>
        </w:rPr>
        <w:t xml:space="preserve">2019 </w:t>
      </w:r>
    </w:p>
    <w:p w14:paraId="57CC0FF3" w14:textId="77777777" w:rsidR="001756E7" w:rsidRPr="00D72C32" w:rsidRDefault="001756E7" w:rsidP="001756E7">
      <w:pPr>
        <w:keepNext/>
        <w:keepLines/>
        <w:spacing w:after="0"/>
        <w:jc w:val="both"/>
        <w:rPr>
          <w:rFonts w:eastAsia="Times New Roman"/>
          <w:sz w:val="20"/>
          <w:szCs w:val="24"/>
          <w:lang w:val="es-ES_tradnl" w:eastAsia="es-ES"/>
        </w:rPr>
      </w:pPr>
    </w:p>
    <w:p w14:paraId="09B68F6A" w14:textId="234D4A0C" w:rsidR="001756E7" w:rsidRPr="00D72C32" w:rsidRDefault="001756E7" w:rsidP="001756E7">
      <w:pPr>
        <w:keepNext/>
        <w:keepLines/>
        <w:spacing w:after="0"/>
        <w:jc w:val="both"/>
        <w:rPr>
          <w:rFonts w:eastAsia="Times New Roman"/>
          <w:sz w:val="20"/>
          <w:szCs w:val="24"/>
          <w:lang w:val="es-ES_tradnl" w:eastAsia="es-ES"/>
        </w:rPr>
      </w:pPr>
      <w:r w:rsidRPr="00D72C32">
        <w:rPr>
          <w:rFonts w:eastAsia="Times New Roman"/>
          <w:sz w:val="20"/>
          <w:szCs w:val="24"/>
          <w:lang w:val="es-ES_tradnl" w:eastAsia="es-ES"/>
        </w:rPr>
        <w:t xml:space="preserve">El resultado del ejercicio al 31 de diciembre de 2018 arrojó una pérdida de </w:t>
      </w:r>
      <w:r w:rsidR="002773AF" w:rsidRPr="00D72C32">
        <w:rPr>
          <w:rFonts w:eastAsia="Times New Roman"/>
          <w:sz w:val="20"/>
          <w:szCs w:val="24"/>
          <w:lang w:val="es-ES_tradnl" w:eastAsia="es-ES"/>
        </w:rPr>
        <w:t xml:space="preserve">miles de </w:t>
      </w:r>
      <w:r w:rsidRPr="00D72C32">
        <w:rPr>
          <w:rFonts w:eastAsia="Times New Roman"/>
          <w:sz w:val="20"/>
          <w:szCs w:val="24"/>
          <w:lang w:val="es-ES_tradnl" w:eastAsia="es-ES"/>
        </w:rPr>
        <w:t>$ 235.619, asimismo, con relación al resultado por aplicación por primera vez de las Normas Internacionales de Información Financiera (las “</w:t>
      </w:r>
      <w:r w:rsidRPr="00D72C32">
        <w:rPr>
          <w:rFonts w:eastAsia="Times New Roman"/>
          <w:sz w:val="20"/>
          <w:szCs w:val="24"/>
          <w:u w:val="single"/>
          <w:lang w:val="es-ES_tradnl" w:eastAsia="es-ES"/>
        </w:rPr>
        <w:t>NIIF</w:t>
      </w:r>
      <w:r w:rsidRPr="00D72C32">
        <w:rPr>
          <w:rFonts w:eastAsia="Times New Roman"/>
          <w:sz w:val="20"/>
          <w:szCs w:val="24"/>
          <w:lang w:val="es-ES_tradnl" w:eastAsia="es-ES"/>
        </w:rPr>
        <w:t>”), el mismo arrojó una pérdida de</w:t>
      </w:r>
      <w:r w:rsidR="002773AF" w:rsidRPr="00D72C32">
        <w:rPr>
          <w:rFonts w:eastAsia="Times New Roman"/>
          <w:sz w:val="20"/>
          <w:szCs w:val="24"/>
          <w:lang w:val="es-ES_tradnl" w:eastAsia="es-ES"/>
        </w:rPr>
        <w:t xml:space="preserve"> miles de</w:t>
      </w:r>
      <w:r w:rsidRPr="00D72C32">
        <w:rPr>
          <w:rFonts w:eastAsia="Times New Roman"/>
          <w:sz w:val="20"/>
          <w:szCs w:val="24"/>
          <w:lang w:val="es-ES_tradnl" w:eastAsia="es-ES"/>
        </w:rPr>
        <w:t xml:space="preserve"> $ 100.</w:t>
      </w:r>
      <w:r w:rsidR="00D90C2A" w:rsidRPr="00D72C32">
        <w:rPr>
          <w:rFonts w:eastAsia="Times New Roman"/>
          <w:sz w:val="20"/>
          <w:szCs w:val="24"/>
          <w:lang w:val="es-ES_tradnl" w:eastAsia="es-ES"/>
        </w:rPr>
        <w:t>253</w:t>
      </w:r>
      <w:r w:rsidRPr="00D72C32">
        <w:rPr>
          <w:rFonts w:eastAsia="Times New Roman"/>
          <w:sz w:val="20"/>
          <w:szCs w:val="24"/>
          <w:lang w:val="es-ES_tradnl" w:eastAsia="es-ES"/>
        </w:rPr>
        <w:t>.</w:t>
      </w:r>
    </w:p>
    <w:p w14:paraId="4A8CC188" w14:textId="77777777" w:rsidR="001756E7" w:rsidRPr="00D72C32" w:rsidRDefault="001756E7" w:rsidP="001756E7">
      <w:pPr>
        <w:keepNext/>
        <w:keepLines/>
        <w:spacing w:after="0"/>
        <w:jc w:val="both"/>
        <w:rPr>
          <w:rFonts w:eastAsia="Times New Roman"/>
          <w:sz w:val="20"/>
          <w:szCs w:val="24"/>
          <w:lang w:val="es-ES_tradnl" w:eastAsia="es-ES"/>
        </w:rPr>
      </w:pPr>
    </w:p>
    <w:p w14:paraId="3BA89B91" w14:textId="767317C5" w:rsidR="001756E7" w:rsidRPr="00D72C32" w:rsidRDefault="001756E7" w:rsidP="001756E7">
      <w:pPr>
        <w:keepNext/>
        <w:keepLines/>
        <w:spacing w:after="0"/>
        <w:jc w:val="both"/>
        <w:rPr>
          <w:rFonts w:eastAsia="Times New Roman"/>
          <w:sz w:val="20"/>
          <w:szCs w:val="24"/>
          <w:lang w:val="es-ES_tradnl" w:eastAsia="es-ES"/>
        </w:rPr>
      </w:pPr>
      <w:r w:rsidRPr="00D72C32">
        <w:rPr>
          <w:rFonts w:eastAsia="Times New Roman"/>
          <w:sz w:val="20"/>
          <w:szCs w:val="24"/>
          <w:lang w:val="es-ES_tradnl" w:eastAsia="es-ES"/>
        </w:rPr>
        <w:t>En virtud de lo expuesto los resultados no asignados al 31 de diciembre de 2018 acumulaban una pérdida</w:t>
      </w:r>
      <w:r w:rsidR="009A5FA3" w:rsidRPr="00D72C32">
        <w:rPr>
          <w:rFonts w:eastAsia="Times New Roman"/>
          <w:sz w:val="20"/>
          <w:szCs w:val="24"/>
          <w:lang w:val="es-ES_tradnl" w:eastAsia="es-ES"/>
        </w:rPr>
        <w:t xml:space="preserve"> acumulada de miles</w:t>
      </w:r>
      <w:r w:rsidRPr="00D72C32">
        <w:rPr>
          <w:rFonts w:eastAsia="Times New Roman"/>
          <w:sz w:val="20"/>
          <w:szCs w:val="24"/>
          <w:lang w:val="es-ES_tradnl" w:eastAsia="es-ES"/>
        </w:rPr>
        <w:t xml:space="preserve"> de $ 335.87</w:t>
      </w:r>
      <w:r w:rsidR="009866AF" w:rsidRPr="00D72C32">
        <w:rPr>
          <w:rFonts w:eastAsia="Times New Roman"/>
          <w:sz w:val="20"/>
          <w:szCs w:val="24"/>
          <w:lang w:val="es-ES_tradnl" w:eastAsia="es-ES"/>
        </w:rPr>
        <w:t>2</w:t>
      </w:r>
      <w:r w:rsidRPr="00D72C32">
        <w:rPr>
          <w:rFonts w:eastAsia="Times New Roman"/>
          <w:sz w:val="20"/>
          <w:szCs w:val="24"/>
          <w:lang w:val="es-ES_tradnl" w:eastAsia="es-ES"/>
        </w:rPr>
        <w:t>.</w:t>
      </w:r>
    </w:p>
    <w:p w14:paraId="14E95999" w14:textId="77777777" w:rsidR="001756E7" w:rsidRPr="00D72C32" w:rsidRDefault="001756E7" w:rsidP="001756E7">
      <w:pPr>
        <w:keepNext/>
        <w:keepLines/>
        <w:spacing w:after="0"/>
        <w:jc w:val="both"/>
        <w:rPr>
          <w:rFonts w:eastAsia="Times New Roman"/>
          <w:sz w:val="20"/>
          <w:szCs w:val="24"/>
          <w:lang w:val="es-ES_tradnl" w:eastAsia="es-ES"/>
        </w:rPr>
      </w:pPr>
    </w:p>
    <w:p w14:paraId="4E64DD25" w14:textId="10B1FFCC" w:rsidR="001756E7" w:rsidRPr="00D72C32" w:rsidRDefault="001756E7" w:rsidP="001756E7">
      <w:pPr>
        <w:keepNext/>
        <w:keepLines/>
        <w:spacing w:after="0"/>
        <w:jc w:val="both"/>
        <w:rPr>
          <w:rFonts w:eastAsia="Times New Roman"/>
          <w:sz w:val="20"/>
          <w:szCs w:val="24"/>
          <w:lang w:val="es-ES_tradnl" w:eastAsia="es-ES"/>
        </w:rPr>
      </w:pPr>
      <w:r w:rsidRPr="00D72C32">
        <w:rPr>
          <w:rFonts w:eastAsia="Times New Roman"/>
          <w:sz w:val="20"/>
          <w:szCs w:val="24"/>
          <w:lang w:val="es-ES_tradnl" w:eastAsia="es-ES"/>
        </w:rPr>
        <w:t xml:space="preserve">A su vez, el saldo de la cuenta Otros Resultados Integrales al 31 de diciembre de 2018 ascendió a la suma de </w:t>
      </w:r>
      <w:r w:rsidR="002773AF" w:rsidRPr="00D72C32">
        <w:rPr>
          <w:rFonts w:eastAsia="Times New Roman"/>
          <w:sz w:val="20"/>
          <w:szCs w:val="24"/>
          <w:lang w:val="es-ES_tradnl" w:eastAsia="es-ES"/>
        </w:rPr>
        <w:t xml:space="preserve">miles de </w:t>
      </w:r>
      <w:r w:rsidRPr="00D72C32">
        <w:rPr>
          <w:rFonts w:eastAsia="Times New Roman"/>
          <w:sz w:val="20"/>
          <w:szCs w:val="24"/>
          <w:lang w:val="es-ES_tradnl" w:eastAsia="es-ES"/>
        </w:rPr>
        <w:t xml:space="preserve">$ 31.025. Dicho saldo se generó por una ganancia de </w:t>
      </w:r>
      <w:r w:rsidR="002773AF" w:rsidRPr="00D72C32">
        <w:rPr>
          <w:rFonts w:eastAsia="Times New Roman"/>
          <w:sz w:val="20"/>
          <w:szCs w:val="24"/>
          <w:lang w:val="es-ES_tradnl" w:eastAsia="es-ES"/>
        </w:rPr>
        <w:t xml:space="preserve">miles de </w:t>
      </w:r>
      <w:r w:rsidRPr="00D72C32">
        <w:rPr>
          <w:rFonts w:eastAsia="Times New Roman"/>
          <w:sz w:val="20"/>
          <w:szCs w:val="24"/>
          <w:lang w:val="es-ES_tradnl" w:eastAsia="es-ES"/>
        </w:rPr>
        <w:t xml:space="preserve">$54.951 por aplicación por primera vez de las NIIF, y una pérdida del ejercicio de </w:t>
      </w:r>
      <w:r w:rsidR="002773AF" w:rsidRPr="00D72C32">
        <w:rPr>
          <w:rFonts w:eastAsia="Times New Roman"/>
          <w:sz w:val="20"/>
          <w:szCs w:val="24"/>
          <w:lang w:val="es-ES_tradnl" w:eastAsia="es-ES"/>
        </w:rPr>
        <w:t xml:space="preserve">miles de </w:t>
      </w:r>
      <w:r w:rsidRPr="00D72C32">
        <w:rPr>
          <w:rFonts w:eastAsia="Times New Roman"/>
          <w:sz w:val="20"/>
          <w:szCs w:val="24"/>
          <w:lang w:val="es-ES_tradnl" w:eastAsia="es-ES"/>
        </w:rPr>
        <w:t>$ 23.926.</w:t>
      </w:r>
    </w:p>
    <w:p w14:paraId="571EF83B" w14:textId="77777777" w:rsidR="001756E7" w:rsidRPr="00D72C32" w:rsidRDefault="001756E7" w:rsidP="001756E7">
      <w:pPr>
        <w:keepNext/>
        <w:keepLines/>
        <w:spacing w:after="0"/>
        <w:jc w:val="both"/>
        <w:rPr>
          <w:rFonts w:eastAsia="Times New Roman"/>
          <w:sz w:val="20"/>
          <w:szCs w:val="24"/>
          <w:lang w:val="es-ES_tradnl" w:eastAsia="es-ES"/>
        </w:rPr>
      </w:pPr>
    </w:p>
    <w:p w14:paraId="0E84BB9F" w14:textId="42731E20" w:rsidR="001756E7" w:rsidRPr="00D72C32" w:rsidRDefault="001756E7" w:rsidP="001756E7">
      <w:pPr>
        <w:keepNext/>
        <w:keepLines/>
        <w:spacing w:after="0"/>
        <w:jc w:val="both"/>
        <w:rPr>
          <w:rFonts w:eastAsia="Times New Roman"/>
          <w:sz w:val="20"/>
          <w:szCs w:val="24"/>
          <w:lang w:val="es-ES_tradnl" w:eastAsia="es-ES"/>
        </w:rPr>
      </w:pPr>
      <w:r w:rsidRPr="00D72C32">
        <w:rPr>
          <w:rFonts w:eastAsia="Times New Roman"/>
          <w:sz w:val="20"/>
          <w:szCs w:val="24"/>
          <w:lang w:val="es-ES_tradnl" w:eastAsia="es-ES"/>
        </w:rPr>
        <w:t xml:space="preserve">Las pérdidas expuestas excedían el 50% del capital social más las reservas libres, razón por la cual, la Compañía quedó encuadrada en el artículo 206 de la Ley General de Sociedades </w:t>
      </w:r>
      <w:r w:rsidR="009A5FA3" w:rsidRPr="00D72C32">
        <w:rPr>
          <w:rFonts w:eastAsia="Times New Roman"/>
          <w:sz w:val="20"/>
          <w:szCs w:val="24"/>
          <w:lang w:val="es-ES_tradnl" w:eastAsia="es-ES"/>
        </w:rPr>
        <w:t>n</w:t>
      </w:r>
      <w:r w:rsidRPr="00D72C32">
        <w:rPr>
          <w:rFonts w:eastAsia="Times New Roman"/>
          <w:sz w:val="20"/>
          <w:szCs w:val="24"/>
          <w:lang w:val="es-ES_tradnl" w:eastAsia="es-ES"/>
        </w:rPr>
        <w:t xml:space="preserve">° 19.550. </w:t>
      </w:r>
    </w:p>
    <w:p w14:paraId="5A25CB5F" w14:textId="77777777" w:rsidR="001756E7" w:rsidRPr="00D72C32" w:rsidRDefault="001756E7" w:rsidP="001756E7">
      <w:pPr>
        <w:keepNext/>
        <w:keepLines/>
        <w:spacing w:after="0"/>
        <w:jc w:val="both"/>
        <w:rPr>
          <w:rFonts w:eastAsia="Times New Roman"/>
          <w:sz w:val="20"/>
          <w:szCs w:val="24"/>
          <w:lang w:val="es-ES_tradnl" w:eastAsia="es-ES"/>
        </w:rPr>
      </w:pPr>
    </w:p>
    <w:p w14:paraId="151E7AD0" w14:textId="18E1D92D" w:rsidR="001756E7" w:rsidRPr="00D72C32" w:rsidRDefault="001756E7" w:rsidP="001756E7">
      <w:pPr>
        <w:keepNext/>
        <w:keepLines/>
        <w:spacing w:after="0"/>
        <w:jc w:val="both"/>
        <w:rPr>
          <w:rFonts w:eastAsia="Times New Roman"/>
          <w:sz w:val="20"/>
          <w:szCs w:val="24"/>
          <w:lang w:val="es-ES_tradnl" w:eastAsia="es-ES"/>
        </w:rPr>
      </w:pPr>
      <w:r w:rsidRPr="00D72C32">
        <w:rPr>
          <w:rFonts w:eastAsia="Times New Roman"/>
          <w:sz w:val="20"/>
          <w:szCs w:val="24"/>
          <w:lang w:val="es-ES_tradnl" w:eastAsia="es-ES"/>
        </w:rPr>
        <w:t xml:space="preserve">En consecuencia, en </w:t>
      </w:r>
      <w:r w:rsidR="00ED5E73" w:rsidRPr="00D72C32">
        <w:rPr>
          <w:rFonts w:eastAsia="Times New Roman"/>
          <w:sz w:val="20"/>
          <w:szCs w:val="24"/>
          <w:lang w:val="es-ES_tradnl" w:eastAsia="es-ES"/>
        </w:rPr>
        <w:t xml:space="preserve">la </w:t>
      </w:r>
      <w:r w:rsidRPr="00D72C32">
        <w:rPr>
          <w:rFonts w:eastAsia="Times New Roman"/>
          <w:sz w:val="20"/>
          <w:szCs w:val="24"/>
          <w:lang w:val="es-ES_tradnl" w:eastAsia="es-ES"/>
        </w:rPr>
        <w:t>Asamblea General Ordinaria y Extraordinaria de fecha 30 de abril de 2019</w:t>
      </w:r>
      <w:r w:rsidR="00ED5E73" w:rsidRPr="00D72C32">
        <w:rPr>
          <w:rFonts w:eastAsia="Times New Roman"/>
          <w:sz w:val="20"/>
          <w:szCs w:val="24"/>
          <w:lang w:val="es-ES_tradnl" w:eastAsia="es-ES"/>
        </w:rPr>
        <w:t xml:space="preserve"> (la “</w:t>
      </w:r>
      <w:r w:rsidR="00ED5E73" w:rsidRPr="00D72C32">
        <w:rPr>
          <w:rFonts w:eastAsia="Times New Roman"/>
          <w:sz w:val="20"/>
          <w:szCs w:val="24"/>
          <w:u w:val="single"/>
          <w:lang w:val="es-ES_tradnl" w:eastAsia="es-ES"/>
        </w:rPr>
        <w:t>Asamblea</w:t>
      </w:r>
      <w:r w:rsidR="00ED5E73" w:rsidRPr="00D72C32">
        <w:rPr>
          <w:rFonts w:eastAsia="Times New Roman"/>
          <w:sz w:val="20"/>
          <w:szCs w:val="24"/>
          <w:lang w:val="es-ES_tradnl" w:eastAsia="es-ES"/>
        </w:rPr>
        <w:t>”)</w:t>
      </w:r>
      <w:r w:rsidRPr="00D72C32">
        <w:rPr>
          <w:rFonts w:eastAsia="Times New Roman"/>
          <w:sz w:val="20"/>
          <w:szCs w:val="24"/>
          <w:lang w:val="es-ES_tradnl" w:eastAsia="es-ES"/>
        </w:rPr>
        <w:t xml:space="preserve"> </w:t>
      </w:r>
      <w:r w:rsidR="00ED5E73" w:rsidRPr="00D72C32">
        <w:rPr>
          <w:rFonts w:eastAsia="Times New Roman"/>
          <w:sz w:val="20"/>
          <w:szCs w:val="24"/>
          <w:lang w:val="es-ES_tradnl" w:eastAsia="es-ES"/>
        </w:rPr>
        <w:t>se resolvió</w:t>
      </w:r>
      <w:r w:rsidRPr="00D72C32">
        <w:rPr>
          <w:rFonts w:eastAsia="Times New Roman"/>
          <w:sz w:val="20"/>
          <w:szCs w:val="24"/>
          <w:lang w:val="es-ES_tradnl" w:eastAsia="es-ES"/>
        </w:rPr>
        <w:t xml:space="preserve"> desafectar las reservas legales y voluntarias que registraba la Sociedad, a fin de absorber parcialmente las pérdidas del ejercicio; y por el remanente de </w:t>
      </w:r>
      <w:r w:rsidR="002773AF" w:rsidRPr="00D72C32">
        <w:rPr>
          <w:rFonts w:eastAsia="Times New Roman"/>
          <w:sz w:val="20"/>
          <w:szCs w:val="24"/>
          <w:lang w:val="es-ES_tradnl" w:eastAsia="es-ES"/>
        </w:rPr>
        <w:t xml:space="preserve">miles de </w:t>
      </w:r>
      <w:r w:rsidRPr="00D72C32">
        <w:rPr>
          <w:rFonts w:eastAsia="Times New Roman"/>
          <w:sz w:val="20"/>
          <w:szCs w:val="24"/>
          <w:lang w:val="es-ES_tradnl" w:eastAsia="es-ES"/>
        </w:rPr>
        <w:t>$286.850 se resolvió realizar una reducción del capital social de la Sociedad por esa suma, pasando de $386.200.408 a $99.349.558.</w:t>
      </w:r>
    </w:p>
    <w:p w14:paraId="76F7D07A" w14:textId="77777777" w:rsidR="001756E7" w:rsidRPr="00D72C32" w:rsidRDefault="001756E7" w:rsidP="001756E7">
      <w:pPr>
        <w:keepNext/>
        <w:keepLines/>
        <w:spacing w:after="0"/>
        <w:jc w:val="both"/>
        <w:rPr>
          <w:rFonts w:eastAsia="Times New Roman"/>
          <w:sz w:val="20"/>
          <w:szCs w:val="24"/>
          <w:lang w:val="es-ES_tradnl" w:eastAsia="es-ES"/>
        </w:rPr>
      </w:pPr>
    </w:p>
    <w:p w14:paraId="4D5A2BF1" w14:textId="486F8B77" w:rsidR="001756E7" w:rsidRPr="00D72C32" w:rsidRDefault="001756E7" w:rsidP="001756E7">
      <w:pPr>
        <w:keepNext/>
        <w:keepLines/>
        <w:spacing w:after="0"/>
        <w:jc w:val="both"/>
        <w:rPr>
          <w:rFonts w:eastAsia="Times New Roman"/>
          <w:sz w:val="20"/>
          <w:szCs w:val="24"/>
          <w:lang w:val="es-ES_tradnl" w:eastAsia="es-ES"/>
        </w:rPr>
      </w:pPr>
      <w:r w:rsidRPr="00D72C32">
        <w:rPr>
          <w:rFonts w:eastAsia="Times New Roman"/>
          <w:sz w:val="20"/>
          <w:szCs w:val="24"/>
          <w:lang w:val="es-ES_tradnl" w:eastAsia="es-ES"/>
        </w:rPr>
        <w:t xml:space="preserve">De acuerdo con el compromiso asumido por </w:t>
      </w:r>
      <w:r w:rsidR="00ED5E73" w:rsidRPr="00D72C32">
        <w:rPr>
          <w:rFonts w:eastAsia="Times New Roman"/>
          <w:sz w:val="20"/>
          <w:szCs w:val="24"/>
          <w:lang w:val="es-ES_tradnl" w:eastAsia="es-ES"/>
        </w:rPr>
        <w:t>la Compañía</w:t>
      </w:r>
      <w:r w:rsidRPr="00D72C32">
        <w:rPr>
          <w:rFonts w:eastAsia="Times New Roman"/>
          <w:sz w:val="20"/>
          <w:szCs w:val="24"/>
          <w:lang w:val="es-ES_tradnl" w:eastAsia="es-ES"/>
        </w:rPr>
        <w:t xml:space="preserve"> tendiente al fortalecimiento de la estructura de capital de la Sociedad que le permita llevar adelante su plan de negocios, </w:t>
      </w:r>
      <w:r w:rsidR="00ED5E73" w:rsidRPr="00D72C32">
        <w:rPr>
          <w:rFonts w:eastAsia="Times New Roman"/>
          <w:sz w:val="20"/>
          <w:szCs w:val="24"/>
          <w:lang w:val="es-ES_tradnl" w:eastAsia="es-ES"/>
        </w:rPr>
        <w:t>en la Asamblea se</w:t>
      </w:r>
      <w:r w:rsidRPr="00D72C32">
        <w:rPr>
          <w:rFonts w:eastAsia="Times New Roman"/>
          <w:sz w:val="20"/>
          <w:szCs w:val="24"/>
          <w:lang w:val="es-ES_tradnl" w:eastAsia="es-ES"/>
        </w:rPr>
        <w:t xml:space="preserve"> aprobó la capitalización de </w:t>
      </w:r>
      <w:r w:rsidR="00ED5E73" w:rsidRPr="00D72C32">
        <w:rPr>
          <w:rFonts w:eastAsia="Times New Roman"/>
          <w:sz w:val="20"/>
          <w:szCs w:val="24"/>
          <w:lang w:val="es-ES_tradnl" w:eastAsia="es-ES"/>
        </w:rPr>
        <w:t xml:space="preserve">aportes irrevocables </w:t>
      </w:r>
      <w:r w:rsidRPr="00D72C32">
        <w:rPr>
          <w:rFonts w:eastAsia="Times New Roman"/>
          <w:sz w:val="20"/>
          <w:szCs w:val="24"/>
          <w:lang w:val="es-ES_tradnl" w:eastAsia="es-ES"/>
        </w:rPr>
        <w:t>por un total de miles de $ 58.208 y realizar un aumento de capital adicional por hasta la suma de miles de $ 100.000.</w:t>
      </w:r>
    </w:p>
    <w:p w14:paraId="1C05D7C7" w14:textId="77777777" w:rsidR="001756E7" w:rsidRPr="00D72C32" w:rsidRDefault="001756E7" w:rsidP="001756E7">
      <w:pPr>
        <w:keepNext/>
        <w:keepLines/>
        <w:spacing w:after="0"/>
        <w:jc w:val="both"/>
        <w:rPr>
          <w:rFonts w:eastAsia="Times New Roman"/>
          <w:sz w:val="20"/>
          <w:szCs w:val="24"/>
          <w:lang w:val="es-ES_tradnl" w:eastAsia="es-ES"/>
        </w:rPr>
      </w:pPr>
    </w:p>
    <w:p w14:paraId="1754A71A" w14:textId="7A463D94" w:rsidR="001756E7" w:rsidRPr="00D72C32" w:rsidRDefault="001756E7" w:rsidP="001756E7">
      <w:pPr>
        <w:keepNext/>
        <w:keepLines/>
        <w:spacing w:after="0"/>
        <w:jc w:val="both"/>
        <w:rPr>
          <w:rFonts w:eastAsia="Times New Roman"/>
          <w:sz w:val="20"/>
          <w:szCs w:val="24"/>
          <w:lang w:val="es-ES_tradnl" w:eastAsia="es-ES"/>
        </w:rPr>
      </w:pPr>
      <w:r w:rsidRPr="00D72C32">
        <w:rPr>
          <w:rFonts w:eastAsia="Times New Roman"/>
          <w:sz w:val="20"/>
          <w:szCs w:val="24"/>
          <w:lang w:val="es-ES_tradnl" w:eastAsia="es-ES"/>
        </w:rPr>
        <w:lastRenderedPageBreak/>
        <w:t xml:space="preserve">De esta manera, el capital social de la Sociedad se incrementó en la suma total de </w:t>
      </w:r>
      <w:r w:rsidR="002773AF" w:rsidRPr="00D72C32">
        <w:rPr>
          <w:rFonts w:eastAsia="Times New Roman"/>
          <w:sz w:val="20"/>
          <w:szCs w:val="24"/>
          <w:lang w:val="es-ES_tradnl" w:eastAsia="es-ES"/>
        </w:rPr>
        <w:t xml:space="preserve">miles de </w:t>
      </w:r>
      <w:r w:rsidRPr="00D72C32">
        <w:rPr>
          <w:rFonts w:eastAsia="Times New Roman"/>
          <w:sz w:val="20"/>
          <w:szCs w:val="24"/>
          <w:lang w:val="es-ES_tradnl" w:eastAsia="es-ES"/>
        </w:rPr>
        <w:t>$158.208 pasando de $99.349 a $257.557, quedando así constituido el capital social de la Compañía por 257.557.442 acciones ordinarias, escriturales, de $1 valor nominal cada una y con derecho a 5 votos por acción.</w:t>
      </w:r>
    </w:p>
    <w:p w14:paraId="259B4F2A" w14:textId="77777777" w:rsidR="001756E7" w:rsidRPr="00D72C32" w:rsidRDefault="001756E7" w:rsidP="001756E7">
      <w:pPr>
        <w:keepNext/>
        <w:keepLines/>
        <w:spacing w:after="0"/>
        <w:jc w:val="both"/>
        <w:rPr>
          <w:rFonts w:eastAsia="Times New Roman"/>
          <w:sz w:val="20"/>
          <w:szCs w:val="24"/>
          <w:lang w:val="es-ES_tradnl" w:eastAsia="es-ES"/>
        </w:rPr>
      </w:pPr>
    </w:p>
    <w:p w14:paraId="5238B302" w14:textId="689C0F5E" w:rsidR="001756E7" w:rsidRPr="00D72C32" w:rsidRDefault="001756E7" w:rsidP="00D773E5">
      <w:pPr>
        <w:pStyle w:val="Prrafodelista"/>
        <w:keepNext/>
        <w:keepLines/>
        <w:numPr>
          <w:ilvl w:val="0"/>
          <w:numId w:val="47"/>
        </w:numPr>
        <w:spacing w:after="0"/>
        <w:jc w:val="both"/>
        <w:rPr>
          <w:rFonts w:eastAsia="Times New Roman"/>
          <w:b/>
          <w:sz w:val="20"/>
          <w:szCs w:val="24"/>
          <w:lang w:val="es-ES_tradnl" w:eastAsia="es-ES"/>
        </w:rPr>
      </w:pPr>
      <w:r w:rsidRPr="00D72C32">
        <w:rPr>
          <w:rFonts w:eastAsia="Times New Roman"/>
          <w:b/>
          <w:sz w:val="20"/>
          <w:szCs w:val="24"/>
          <w:lang w:val="es-ES_tradnl" w:eastAsia="es-ES"/>
        </w:rPr>
        <w:t xml:space="preserve">Evolución Patrimonial de la Sociedad </w:t>
      </w:r>
      <w:r w:rsidR="00ED5E73" w:rsidRPr="00D72C32">
        <w:rPr>
          <w:rFonts w:eastAsia="Times New Roman"/>
          <w:b/>
          <w:sz w:val="20"/>
          <w:szCs w:val="24"/>
          <w:lang w:val="es-ES_tradnl" w:eastAsia="es-ES"/>
        </w:rPr>
        <w:t xml:space="preserve">desde el  ejercicio al 31 de diciembre de 2018 hasta el cierre del ejercicio al 30 de </w:t>
      </w:r>
      <w:r w:rsidR="00CB447A" w:rsidRPr="00D72C32">
        <w:rPr>
          <w:rFonts w:eastAsia="Times New Roman"/>
          <w:b/>
          <w:sz w:val="20"/>
          <w:szCs w:val="24"/>
          <w:lang w:val="es-ES_tradnl" w:eastAsia="es-ES"/>
        </w:rPr>
        <w:t xml:space="preserve">septiembre </w:t>
      </w:r>
      <w:r w:rsidR="00ED5E73" w:rsidRPr="00D72C32">
        <w:rPr>
          <w:rFonts w:eastAsia="Times New Roman"/>
          <w:b/>
          <w:sz w:val="20"/>
          <w:szCs w:val="24"/>
          <w:lang w:val="es-ES_tradnl" w:eastAsia="es-ES"/>
        </w:rPr>
        <w:t xml:space="preserve">de </w:t>
      </w:r>
      <w:r w:rsidR="00D53660" w:rsidRPr="00D72C32">
        <w:rPr>
          <w:rFonts w:eastAsia="Times New Roman"/>
          <w:b/>
          <w:sz w:val="20"/>
          <w:szCs w:val="24"/>
          <w:lang w:val="es-ES_tradnl" w:eastAsia="es-ES"/>
        </w:rPr>
        <w:t>2019</w:t>
      </w:r>
    </w:p>
    <w:p w14:paraId="27339FB9" w14:textId="77777777" w:rsidR="001756E7" w:rsidRPr="00D72C32" w:rsidRDefault="001756E7" w:rsidP="001756E7">
      <w:pPr>
        <w:keepNext/>
        <w:keepLines/>
        <w:spacing w:after="0"/>
        <w:jc w:val="both"/>
        <w:rPr>
          <w:rFonts w:eastAsia="Times New Roman"/>
          <w:sz w:val="20"/>
          <w:szCs w:val="24"/>
          <w:lang w:val="es-ES_tradnl" w:eastAsia="es-ES"/>
        </w:rPr>
      </w:pPr>
    </w:p>
    <w:p w14:paraId="643828C5" w14:textId="3074CCEF" w:rsidR="001756E7" w:rsidRPr="00D72C32" w:rsidRDefault="001756E7" w:rsidP="001756E7">
      <w:pPr>
        <w:keepNext/>
        <w:keepLines/>
        <w:spacing w:after="0"/>
        <w:jc w:val="both"/>
        <w:rPr>
          <w:rFonts w:eastAsia="Times New Roman"/>
          <w:sz w:val="20"/>
          <w:szCs w:val="24"/>
          <w:lang w:val="es-ES_tradnl" w:eastAsia="es-ES"/>
        </w:rPr>
      </w:pPr>
      <w:r w:rsidRPr="00D72C32">
        <w:rPr>
          <w:rFonts w:eastAsia="Times New Roman"/>
          <w:sz w:val="20"/>
          <w:szCs w:val="24"/>
          <w:lang w:val="es-ES_tradnl" w:eastAsia="es-ES"/>
        </w:rPr>
        <w:t xml:space="preserve">Al 30 de </w:t>
      </w:r>
      <w:r w:rsidR="00CB447A" w:rsidRPr="00D72C32">
        <w:rPr>
          <w:rFonts w:eastAsia="Times New Roman"/>
          <w:sz w:val="20"/>
          <w:szCs w:val="24"/>
          <w:lang w:val="es-ES_tradnl" w:eastAsia="es-ES"/>
        </w:rPr>
        <w:t xml:space="preserve">septiembre </w:t>
      </w:r>
      <w:r w:rsidRPr="00D72C32">
        <w:rPr>
          <w:rFonts w:eastAsia="Times New Roman"/>
          <w:sz w:val="20"/>
          <w:szCs w:val="24"/>
          <w:lang w:val="es-ES_tradnl" w:eastAsia="es-ES"/>
        </w:rPr>
        <w:t xml:space="preserve">de 2019, el </w:t>
      </w:r>
      <w:r w:rsidR="00ED5E73" w:rsidRPr="00D72C32">
        <w:rPr>
          <w:rFonts w:eastAsia="Times New Roman"/>
          <w:sz w:val="20"/>
          <w:szCs w:val="24"/>
          <w:lang w:val="es-ES_tradnl" w:eastAsia="es-ES"/>
        </w:rPr>
        <w:t xml:space="preserve">patrimonio neto </w:t>
      </w:r>
      <w:r w:rsidRPr="00D72C32">
        <w:rPr>
          <w:rFonts w:eastAsia="Times New Roman"/>
          <w:sz w:val="20"/>
          <w:szCs w:val="24"/>
          <w:lang w:val="es-ES_tradnl" w:eastAsia="es-ES"/>
        </w:rPr>
        <w:t xml:space="preserve">de la Sociedad tuvo un incremento en miles de pesos de $ </w:t>
      </w:r>
      <w:r w:rsidR="00CB447A" w:rsidRPr="00D72C32">
        <w:rPr>
          <w:rFonts w:eastAsia="Times New Roman"/>
          <w:sz w:val="20"/>
          <w:szCs w:val="24"/>
          <w:lang w:val="es-ES_tradnl" w:eastAsia="es-ES"/>
        </w:rPr>
        <w:t>1</w:t>
      </w:r>
      <w:r w:rsidRPr="00D72C32">
        <w:rPr>
          <w:rFonts w:eastAsia="Times New Roman"/>
          <w:sz w:val="20"/>
          <w:szCs w:val="24"/>
          <w:lang w:val="es-ES_tradnl" w:eastAsia="es-ES"/>
        </w:rPr>
        <w:t>2</w:t>
      </w:r>
      <w:r w:rsidR="00CB447A" w:rsidRPr="00D72C32">
        <w:rPr>
          <w:rFonts w:eastAsia="Times New Roman"/>
          <w:sz w:val="20"/>
          <w:szCs w:val="24"/>
          <w:lang w:val="es-ES_tradnl" w:eastAsia="es-ES"/>
        </w:rPr>
        <w:t>0</w:t>
      </w:r>
      <w:r w:rsidRPr="00D72C32">
        <w:rPr>
          <w:rFonts w:eastAsia="Times New Roman"/>
          <w:sz w:val="20"/>
          <w:szCs w:val="24"/>
          <w:lang w:val="es-ES_tradnl" w:eastAsia="es-ES"/>
        </w:rPr>
        <w:t>.0</w:t>
      </w:r>
      <w:r w:rsidR="00CB447A" w:rsidRPr="00D72C32">
        <w:rPr>
          <w:rFonts w:eastAsia="Times New Roman"/>
          <w:sz w:val="20"/>
          <w:szCs w:val="24"/>
          <w:lang w:val="es-ES_tradnl" w:eastAsia="es-ES"/>
        </w:rPr>
        <w:t>01</w:t>
      </w:r>
      <w:r w:rsidRPr="00D72C32">
        <w:rPr>
          <w:rFonts w:eastAsia="Times New Roman"/>
          <w:sz w:val="20"/>
          <w:szCs w:val="24"/>
          <w:lang w:val="es-ES_tradnl" w:eastAsia="es-ES"/>
        </w:rPr>
        <w:t xml:space="preserve">, pasando de </w:t>
      </w:r>
      <w:r w:rsidR="002773AF" w:rsidRPr="00D72C32">
        <w:rPr>
          <w:rFonts w:eastAsia="Times New Roman"/>
          <w:sz w:val="20"/>
          <w:szCs w:val="24"/>
          <w:lang w:val="es-ES_tradnl" w:eastAsia="es-ES"/>
        </w:rPr>
        <w:t xml:space="preserve">miles de </w:t>
      </w:r>
      <w:r w:rsidRPr="00D72C32">
        <w:rPr>
          <w:rFonts w:eastAsia="Times New Roman"/>
          <w:sz w:val="20"/>
          <w:szCs w:val="24"/>
          <w:lang w:val="es-ES_tradnl" w:eastAsia="es-ES"/>
        </w:rPr>
        <w:t xml:space="preserve">$ 135.373 al 31 de diciembre de 2018 a </w:t>
      </w:r>
      <w:r w:rsidR="002773AF" w:rsidRPr="00D72C32">
        <w:rPr>
          <w:rFonts w:eastAsia="Times New Roman"/>
          <w:sz w:val="20"/>
          <w:szCs w:val="24"/>
          <w:lang w:val="es-ES_tradnl" w:eastAsia="es-ES"/>
        </w:rPr>
        <w:t xml:space="preserve">miles de </w:t>
      </w:r>
      <w:r w:rsidRPr="00D72C32">
        <w:rPr>
          <w:rFonts w:eastAsia="Times New Roman"/>
          <w:sz w:val="20"/>
          <w:szCs w:val="24"/>
          <w:lang w:val="es-ES_tradnl" w:eastAsia="es-ES"/>
        </w:rPr>
        <w:t xml:space="preserve">$ </w:t>
      </w:r>
      <w:r w:rsidR="00CB447A" w:rsidRPr="00D72C32">
        <w:rPr>
          <w:rFonts w:eastAsia="Times New Roman"/>
          <w:sz w:val="20"/>
          <w:szCs w:val="24"/>
          <w:lang w:val="es-ES_tradnl" w:eastAsia="es-ES"/>
        </w:rPr>
        <w:t>255</w:t>
      </w:r>
      <w:r w:rsidRPr="00D72C32">
        <w:rPr>
          <w:rFonts w:eastAsia="Times New Roman"/>
          <w:sz w:val="20"/>
          <w:szCs w:val="24"/>
          <w:lang w:val="es-ES_tradnl" w:eastAsia="es-ES"/>
        </w:rPr>
        <w:t>.3</w:t>
      </w:r>
      <w:r w:rsidR="00CB447A" w:rsidRPr="00D72C32">
        <w:rPr>
          <w:rFonts w:eastAsia="Times New Roman"/>
          <w:sz w:val="20"/>
          <w:szCs w:val="24"/>
          <w:lang w:val="es-ES_tradnl" w:eastAsia="es-ES"/>
        </w:rPr>
        <w:t>74</w:t>
      </w:r>
      <w:r w:rsidRPr="00D72C32">
        <w:rPr>
          <w:rFonts w:eastAsia="Times New Roman"/>
          <w:sz w:val="20"/>
          <w:szCs w:val="24"/>
          <w:lang w:val="es-ES_tradnl" w:eastAsia="es-ES"/>
        </w:rPr>
        <w:t xml:space="preserve"> al 30 de </w:t>
      </w:r>
      <w:r w:rsidR="004B3029" w:rsidRPr="00D72C32">
        <w:rPr>
          <w:rFonts w:eastAsia="Times New Roman"/>
          <w:sz w:val="20"/>
          <w:szCs w:val="24"/>
          <w:lang w:val="es-ES_tradnl" w:eastAsia="es-ES"/>
        </w:rPr>
        <w:t>septiembre</w:t>
      </w:r>
      <w:r w:rsidRPr="00D72C32">
        <w:rPr>
          <w:rFonts w:eastAsia="Times New Roman"/>
          <w:sz w:val="20"/>
          <w:szCs w:val="24"/>
          <w:lang w:val="es-ES_tradnl" w:eastAsia="es-ES"/>
        </w:rPr>
        <w:t xml:space="preserve"> de 2019, que representa un aumento del </w:t>
      </w:r>
      <w:r w:rsidR="004B3029" w:rsidRPr="00D72C32">
        <w:rPr>
          <w:rFonts w:eastAsia="Times New Roman"/>
          <w:sz w:val="20"/>
          <w:szCs w:val="24"/>
          <w:lang w:val="es-ES_tradnl" w:eastAsia="es-ES"/>
        </w:rPr>
        <w:t>88</w:t>
      </w:r>
      <w:r w:rsidRPr="00D72C32">
        <w:rPr>
          <w:rFonts w:eastAsia="Times New Roman"/>
          <w:sz w:val="20"/>
          <w:szCs w:val="24"/>
          <w:lang w:val="es-ES_tradnl" w:eastAsia="es-ES"/>
        </w:rPr>
        <w:t>,</w:t>
      </w:r>
      <w:r w:rsidR="004B3029" w:rsidRPr="00D72C32">
        <w:rPr>
          <w:rFonts w:eastAsia="Times New Roman"/>
          <w:sz w:val="20"/>
          <w:szCs w:val="24"/>
          <w:lang w:val="es-ES_tradnl" w:eastAsia="es-ES"/>
        </w:rPr>
        <w:t>6</w:t>
      </w:r>
      <w:r w:rsidRPr="00D72C32">
        <w:rPr>
          <w:rFonts w:eastAsia="Times New Roman"/>
          <w:sz w:val="20"/>
          <w:szCs w:val="24"/>
          <w:lang w:val="es-ES_tradnl" w:eastAsia="es-ES"/>
        </w:rPr>
        <w:t>4%.</w:t>
      </w:r>
    </w:p>
    <w:p w14:paraId="7AAA3EC3" w14:textId="77777777" w:rsidR="001756E7" w:rsidRPr="00D72C32" w:rsidRDefault="001756E7" w:rsidP="001756E7">
      <w:pPr>
        <w:keepNext/>
        <w:keepLines/>
        <w:spacing w:after="0"/>
        <w:jc w:val="both"/>
        <w:rPr>
          <w:rFonts w:eastAsia="Times New Roman"/>
          <w:sz w:val="20"/>
          <w:szCs w:val="24"/>
          <w:lang w:val="es-ES_tradnl" w:eastAsia="es-ES"/>
        </w:rPr>
      </w:pPr>
    </w:p>
    <w:p w14:paraId="5980EDA0" w14:textId="1E8F525E" w:rsidR="001756E7" w:rsidRPr="00D72C32" w:rsidRDefault="001756E7" w:rsidP="001756E7">
      <w:pPr>
        <w:keepNext/>
        <w:keepLines/>
        <w:spacing w:after="0"/>
        <w:jc w:val="both"/>
        <w:rPr>
          <w:rFonts w:eastAsia="Times New Roman"/>
          <w:sz w:val="20"/>
          <w:szCs w:val="24"/>
          <w:lang w:val="es-ES_tradnl" w:eastAsia="es-ES"/>
        </w:rPr>
      </w:pPr>
      <w:r w:rsidRPr="00D72C32">
        <w:rPr>
          <w:rFonts w:eastAsia="Times New Roman"/>
          <w:sz w:val="20"/>
          <w:szCs w:val="24"/>
          <w:lang w:val="es-ES_tradnl" w:eastAsia="es-ES"/>
        </w:rPr>
        <w:t>Dicha mejora en su Patrimonio Neto responde a una disminución en sus pasivos en miles de pesos $</w:t>
      </w:r>
      <w:r w:rsidR="00D90C2A" w:rsidRPr="005C4267">
        <w:rPr>
          <w:rFonts w:eastAsia="Times New Roman"/>
          <w:sz w:val="20"/>
          <w:szCs w:val="24"/>
          <w:lang w:val="es-ES_tradnl" w:eastAsia="es-ES"/>
        </w:rPr>
        <w:t xml:space="preserve">49.738 </w:t>
      </w:r>
      <w:r w:rsidR="00D90C2A" w:rsidRPr="00D72C32">
        <w:rPr>
          <w:rFonts w:eastAsia="Times New Roman"/>
          <w:sz w:val="20"/>
          <w:szCs w:val="24"/>
          <w:lang w:val="es-ES_tradnl" w:eastAsia="es-ES"/>
        </w:rPr>
        <w:t xml:space="preserve"> </w:t>
      </w:r>
      <w:r w:rsidRPr="00D72C32">
        <w:rPr>
          <w:rFonts w:eastAsia="Times New Roman"/>
          <w:sz w:val="20"/>
          <w:szCs w:val="24"/>
          <w:lang w:val="es-ES_tradnl" w:eastAsia="es-ES"/>
        </w:rPr>
        <w:t xml:space="preserve">al 30 de </w:t>
      </w:r>
      <w:r w:rsidR="00780F2D" w:rsidRPr="00D72C32">
        <w:rPr>
          <w:rFonts w:eastAsia="Times New Roman"/>
          <w:sz w:val="20"/>
          <w:szCs w:val="24"/>
          <w:lang w:val="es-ES_tradnl" w:eastAsia="es-ES"/>
        </w:rPr>
        <w:t xml:space="preserve">septiembre </w:t>
      </w:r>
      <w:r w:rsidRPr="00D72C32">
        <w:rPr>
          <w:rFonts w:eastAsia="Times New Roman"/>
          <w:sz w:val="20"/>
          <w:szCs w:val="24"/>
          <w:lang w:val="es-ES_tradnl" w:eastAsia="es-ES"/>
        </w:rPr>
        <w:t xml:space="preserve">de 2019 respecto al cierre del 31 de diciembre de 2018 que representan una disminución en el período equivalente al </w:t>
      </w:r>
      <w:r w:rsidR="00780F2D" w:rsidRPr="00D72C32">
        <w:rPr>
          <w:rFonts w:eastAsia="Times New Roman"/>
          <w:sz w:val="20"/>
          <w:szCs w:val="24"/>
          <w:lang w:val="es-ES_tradnl" w:eastAsia="es-ES"/>
        </w:rPr>
        <w:t>15</w:t>
      </w:r>
      <w:r w:rsidRPr="00D72C32">
        <w:rPr>
          <w:rFonts w:eastAsia="Times New Roman"/>
          <w:sz w:val="20"/>
          <w:szCs w:val="24"/>
          <w:lang w:val="es-ES_tradnl" w:eastAsia="es-ES"/>
        </w:rPr>
        <w:t>,</w:t>
      </w:r>
      <w:r w:rsidR="00780F2D" w:rsidRPr="00D72C32">
        <w:rPr>
          <w:rFonts w:eastAsia="Times New Roman"/>
          <w:sz w:val="20"/>
          <w:szCs w:val="24"/>
          <w:lang w:val="es-ES_tradnl" w:eastAsia="es-ES"/>
        </w:rPr>
        <w:t>65</w:t>
      </w:r>
      <w:r w:rsidRPr="00D72C32">
        <w:rPr>
          <w:rFonts w:eastAsia="Times New Roman"/>
          <w:sz w:val="20"/>
          <w:szCs w:val="24"/>
          <w:lang w:val="es-ES_tradnl" w:eastAsia="es-ES"/>
        </w:rPr>
        <w:t>% de sus pasivos.</w:t>
      </w:r>
    </w:p>
    <w:p w14:paraId="6C4700DC" w14:textId="77777777" w:rsidR="00ED5E73" w:rsidRPr="00D72C32" w:rsidRDefault="00ED5E73" w:rsidP="001756E7">
      <w:pPr>
        <w:keepNext/>
        <w:keepLines/>
        <w:spacing w:after="0"/>
        <w:jc w:val="both"/>
        <w:rPr>
          <w:rFonts w:eastAsia="Times New Roman"/>
          <w:sz w:val="20"/>
          <w:szCs w:val="24"/>
          <w:lang w:val="es-ES_tradnl" w:eastAsia="es-ES"/>
        </w:rPr>
      </w:pPr>
    </w:p>
    <w:p w14:paraId="4228E7B8" w14:textId="7B57A621" w:rsidR="001756E7" w:rsidRPr="00D72C32" w:rsidRDefault="001756E7" w:rsidP="001756E7">
      <w:pPr>
        <w:keepNext/>
        <w:keepLines/>
        <w:spacing w:after="0"/>
        <w:jc w:val="both"/>
        <w:rPr>
          <w:rFonts w:eastAsia="Times New Roman"/>
          <w:sz w:val="20"/>
          <w:szCs w:val="24"/>
          <w:lang w:val="es-ES_tradnl" w:eastAsia="es-ES"/>
        </w:rPr>
      </w:pPr>
      <w:r w:rsidRPr="00D72C32">
        <w:rPr>
          <w:rFonts w:eastAsia="Times New Roman"/>
          <w:sz w:val="20"/>
          <w:szCs w:val="24"/>
          <w:lang w:val="es-ES_tradnl" w:eastAsia="es-ES"/>
        </w:rPr>
        <w:t xml:space="preserve">La disminución en sus pasivos que permitió una mejora en el </w:t>
      </w:r>
      <w:r w:rsidR="00ED5E73" w:rsidRPr="00D72C32">
        <w:rPr>
          <w:rFonts w:eastAsia="Times New Roman"/>
          <w:sz w:val="20"/>
          <w:szCs w:val="24"/>
          <w:lang w:val="es-ES_tradnl" w:eastAsia="es-ES"/>
        </w:rPr>
        <w:t xml:space="preserve">patrimonio neto </w:t>
      </w:r>
      <w:r w:rsidRPr="00D72C32">
        <w:rPr>
          <w:rFonts w:eastAsia="Times New Roman"/>
          <w:sz w:val="20"/>
          <w:szCs w:val="24"/>
          <w:lang w:val="es-ES_tradnl" w:eastAsia="es-ES"/>
        </w:rPr>
        <w:t xml:space="preserve">de la Compañía al 30 de </w:t>
      </w:r>
      <w:r w:rsidR="00780F2D" w:rsidRPr="00D72C32">
        <w:rPr>
          <w:rFonts w:eastAsia="Times New Roman"/>
          <w:sz w:val="20"/>
          <w:szCs w:val="24"/>
          <w:lang w:val="es-ES_tradnl" w:eastAsia="es-ES"/>
        </w:rPr>
        <w:t xml:space="preserve">septiembre </w:t>
      </w:r>
      <w:r w:rsidRPr="00D72C32">
        <w:rPr>
          <w:rFonts w:eastAsia="Times New Roman"/>
          <w:sz w:val="20"/>
          <w:szCs w:val="24"/>
          <w:lang w:val="es-ES_tradnl" w:eastAsia="es-ES"/>
        </w:rPr>
        <w:t xml:space="preserve">de 2019 obedece principalmente a la capitalización de pasivos que la Sociedad </w:t>
      </w:r>
      <w:r w:rsidR="00D90C2A" w:rsidRPr="00D72C32">
        <w:rPr>
          <w:rFonts w:eastAsia="Times New Roman"/>
          <w:sz w:val="20"/>
          <w:szCs w:val="24"/>
          <w:lang w:val="es-ES_tradnl" w:eastAsia="es-ES"/>
        </w:rPr>
        <w:t xml:space="preserve">registró </w:t>
      </w:r>
      <w:r w:rsidRPr="00D72C32">
        <w:rPr>
          <w:rFonts w:eastAsia="Times New Roman"/>
          <w:sz w:val="20"/>
          <w:szCs w:val="24"/>
          <w:lang w:val="es-ES_tradnl" w:eastAsia="es-ES"/>
        </w:rPr>
        <w:t>a favor de su controlante por la suma de miles de $ 44.385</w:t>
      </w:r>
      <w:r w:rsidR="00D90C2A" w:rsidRPr="00D72C32">
        <w:rPr>
          <w:rFonts w:eastAsia="Times New Roman"/>
          <w:sz w:val="20"/>
          <w:szCs w:val="24"/>
          <w:lang w:val="es-ES_tradnl" w:eastAsia="es-ES"/>
        </w:rPr>
        <w:t xml:space="preserve"> </w:t>
      </w:r>
      <w:r w:rsidR="00D90C2A" w:rsidRPr="005C4267">
        <w:rPr>
          <w:rFonts w:eastAsia="Times New Roman"/>
          <w:sz w:val="20"/>
          <w:szCs w:val="24"/>
          <w:lang w:val="es-ES_tradnl" w:eastAsia="es-ES"/>
        </w:rPr>
        <w:t>en la Asamblea celebrada el 30 de abril de 2019</w:t>
      </w:r>
      <w:r w:rsidRPr="00D72C32">
        <w:rPr>
          <w:rFonts w:eastAsia="Times New Roman"/>
          <w:sz w:val="20"/>
          <w:szCs w:val="24"/>
          <w:lang w:val="es-ES_tradnl" w:eastAsia="es-ES"/>
        </w:rPr>
        <w:t>.</w:t>
      </w:r>
    </w:p>
    <w:p w14:paraId="7036AEDB" w14:textId="77777777" w:rsidR="001756E7" w:rsidRPr="00D72C32" w:rsidRDefault="001756E7" w:rsidP="001756E7">
      <w:pPr>
        <w:keepNext/>
        <w:keepLines/>
        <w:spacing w:after="0"/>
        <w:jc w:val="both"/>
        <w:rPr>
          <w:rFonts w:eastAsia="Times New Roman"/>
          <w:sz w:val="20"/>
          <w:szCs w:val="24"/>
          <w:lang w:val="es-ES_tradnl" w:eastAsia="es-ES"/>
        </w:rPr>
      </w:pPr>
    </w:p>
    <w:p w14:paraId="364E5A75" w14:textId="13DA4E63" w:rsidR="001756E7" w:rsidRPr="00D72C32" w:rsidRDefault="001756E7" w:rsidP="001756E7">
      <w:pPr>
        <w:keepNext/>
        <w:keepLines/>
        <w:spacing w:after="0"/>
        <w:jc w:val="both"/>
        <w:rPr>
          <w:rFonts w:eastAsia="Times New Roman"/>
          <w:sz w:val="20"/>
          <w:szCs w:val="24"/>
          <w:lang w:val="es-ES_tradnl" w:eastAsia="es-ES"/>
        </w:rPr>
      </w:pPr>
      <w:r w:rsidRPr="00D72C32">
        <w:rPr>
          <w:rFonts w:eastAsia="Times New Roman"/>
          <w:sz w:val="20"/>
          <w:szCs w:val="24"/>
          <w:lang w:val="es-ES_tradnl" w:eastAsia="es-ES"/>
        </w:rPr>
        <w:t xml:space="preserve">La Sociedad no posee situaciones contingentes al 30 de </w:t>
      </w:r>
      <w:r w:rsidR="00780F2D" w:rsidRPr="00D72C32">
        <w:rPr>
          <w:rFonts w:eastAsia="Times New Roman"/>
          <w:sz w:val="20"/>
          <w:szCs w:val="24"/>
          <w:lang w:val="es-ES_tradnl" w:eastAsia="es-ES"/>
        </w:rPr>
        <w:t xml:space="preserve">septiembre </w:t>
      </w:r>
      <w:r w:rsidRPr="00D72C32">
        <w:rPr>
          <w:rFonts w:eastAsia="Times New Roman"/>
          <w:sz w:val="20"/>
          <w:szCs w:val="24"/>
          <w:lang w:val="es-ES_tradnl" w:eastAsia="es-ES"/>
        </w:rPr>
        <w:t xml:space="preserve">de 2019 cuya probabilidad de ocurrencia no sea remota cuyos efectos patrimoniales no hayan sido contabilizados. </w:t>
      </w:r>
    </w:p>
    <w:p w14:paraId="7CDEF6AD" w14:textId="77777777" w:rsidR="001756E7" w:rsidRPr="00D72C32" w:rsidRDefault="001756E7" w:rsidP="001756E7">
      <w:pPr>
        <w:keepNext/>
        <w:keepLines/>
        <w:spacing w:after="0"/>
        <w:jc w:val="both"/>
        <w:rPr>
          <w:rFonts w:eastAsia="Times New Roman"/>
          <w:sz w:val="20"/>
          <w:szCs w:val="24"/>
          <w:lang w:val="es-ES_tradnl" w:eastAsia="es-ES"/>
        </w:rPr>
      </w:pPr>
    </w:p>
    <w:p w14:paraId="5B3985C7" w14:textId="76F10175" w:rsidR="001756E7" w:rsidRPr="00D72C32" w:rsidRDefault="001756E7" w:rsidP="001756E7">
      <w:pPr>
        <w:keepNext/>
        <w:keepLines/>
        <w:spacing w:after="0"/>
        <w:jc w:val="both"/>
        <w:rPr>
          <w:rFonts w:eastAsia="Times New Roman"/>
          <w:sz w:val="20"/>
          <w:szCs w:val="24"/>
          <w:lang w:val="es-ES_tradnl" w:eastAsia="es-ES"/>
        </w:rPr>
      </w:pPr>
      <w:r w:rsidRPr="00D72C32">
        <w:rPr>
          <w:rFonts w:eastAsia="Times New Roman"/>
          <w:sz w:val="20"/>
          <w:szCs w:val="24"/>
          <w:lang w:val="es-ES_tradnl" w:eastAsia="es-ES"/>
        </w:rPr>
        <w:t>No han existido modificaciones significativas en las actividades de la Sociedad o circunstancias similares que afecten la comparabilidad de sus estados contables con los presentados en ejercicios anteriores.</w:t>
      </w:r>
    </w:p>
    <w:p w14:paraId="65313686" w14:textId="77777777" w:rsidR="00DC1948" w:rsidRDefault="00DB2A45" w:rsidP="002773AF">
      <w:pPr>
        <w:pStyle w:val="Puesto"/>
        <w:jc w:val="left"/>
        <w:rPr>
          <w:lang w:val="es-ES_tradnl"/>
        </w:rPr>
      </w:pPr>
      <w:r w:rsidRPr="00EC4665">
        <w:rPr>
          <w:lang w:val="es-ES_tradnl"/>
        </w:rPr>
        <w:br w:type="page"/>
      </w:r>
    </w:p>
    <w:p w14:paraId="2C059DC1" w14:textId="77777777" w:rsidR="00DC1948" w:rsidRPr="001C2C31" w:rsidRDefault="00DC1948" w:rsidP="00DC1948">
      <w:pPr>
        <w:pStyle w:val="Puesto"/>
      </w:pPr>
      <w:bookmarkStart w:id="71" w:name="_Toc20327137"/>
      <w:r>
        <w:lastRenderedPageBreak/>
        <w:t>VI</w:t>
      </w:r>
      <w:r w:rsidR="00BA4CB5">
        <w:t>I</w:t>
      </w:r>
      <w:r>
        <w:t xml:space="preserve">. </w:t>
      </w:r>
      <w:r w:rsidRPr="001C2C31">
        <w:t>DESTINO DE LOS FONDOS</w:t>
      </w:r>
      <w:bookmarkEnd w:id="71"/>
    </w:p>
    <w:p w14:paraId="6E81BE3E" w14:textId="77777777" w:rsidR="00DC1948" w:rsidRDefault="00DC1948" w:rsidP="00DC1948">
      <w:pPr>
        <w:spacing w:after="0"/>
        <w:jc w:val="both"/>
        <w:rPr>
          <w:rFonts w:eastAsia="Times New Roman"/>
          <w:sz w:val="20"/>
          <w:szCs w:val="24"/>
          <w:lang w:eastAsia="es-ES"/>
        </w:rPr>
      </w:pPr>
      <w:bookmarkStart w:id="72" w:name="_DV_M16"/>
      <w:bookmarkStart w:id="73" w:name="_DV_M17"/>
      <w:bookmarkStart w:id="74" w:name="_DV_M18"/>
      <w:bookmarkStart w:id="75" w:name="_DV_M19"/>
      <w:bookmarkEnd w:id="72"/>
      <w:bookmarkEnd w:id="73"/>
      <w:bookmarkEnd w:id="74"/>
      <w:bookmarkEnd w:id="75"/>
    </w:p>
    <w:p w14:paraId="026C3528" w14:textId="231294C7" w:rsidR="00DC1948" w:rsidRDefault="00DC1948" w:rsidP="00BA4CB5">
      <w:pPr>
        <w:spacing w:after="0"/>
        <w:jc w:val="both"/>
        <w:rPr>
          <w:rFonts w:eastAsia="Times New Roman"/>
          <w:sz w:val="20"/>
          <w:szCs w:val="24"/>
          <w:lang w:eastAsia="es-ES"/>
        </w:rPr>
      </w:pPr>
      <w:r w:rsidRPr="001C2C31">
        <w:rPr>
          <w:rFonts w:eastAsia="Times New Roman"/>
          <w:sz w:val="20"/>
          <w:szCs w:val="24"/>
          <w:lang w:eastAsia="es-ES"/>
        </w:rPr>
        <w:t>Los fondos netos provenientes de la colocación de las Obligaciones Negociables serán destinados de acuerdo a lo previsto por el artículo 36 de la Ley de Obligaciones Negociables. El Emisor prevé destinar dichos fondos para la integración de aportes de capital en sociedades controladas por el Emisor</w:t>
      </w:r>
      <w:r w:rsidR="00EC009E">
        <w:rPr>
          <w:rFonts w:eastAsia="Times New Roman"/>
          <w:sz w:val="20"/>
          <w:szCs w:val="24"/>
          <w:lang w:eastAsia="es-ES"/>
        </w:rPr>
        <w:t xml:space="preserve"> (</w:t>
      </w:r>
      <w:r w:rsidRPr="001C2C31">
        <w:rPr>
          <w:rFonts w:eastAsia="Times New Roman"/>
          <w:sz w:val="20"/>
          <w:szCs w:val="24"/>
          <w:lang w:eastAsia="es-ES"/>
        </w:rPr>
        <w:t>cuyo producido se aplique exclusivamente a los demás destinos contemplados en la mencionada normativa</w:t>
      </w:r>
      <w:r w:rsidR="00EC009E">
        <w:rPr>
          <w:rFonts w:eastAsia="Times New Roman"/>
          <w:sz w:val="20"/>
          <w:szCs w:val="24"/>
          <w:lang w:eastAsia="es-ES"/>
        </w:rPr>
        <w:t>), capital de trabajo, re</w:t>
      </w:r>
      <w:r w:rsidR="00D62FAD">
        <w:rPr>
          <w:rFonts w:eastAsia="Times New Roman"/>
          <w:sz w:val="20"/>
          <w:szCs w:val="24"/>
          <w:lang w:eastAsia="es-ES"/>
        </w:rPr>
        <w:t>financiación</w:t>
      </w:r>
      <w:r w:rsidR="00EC009E">
        <w:rPr>
          <w:rFonts w:eastAsia="Times New Roman"/>
          <w:sz w:val="20"/>
          <w:szCs w:val="24"/>
          <w:lang w:eastAsia="es-ES"/>
        </w:rPr>
        <w:t xml:space="preserve"> de pasivos o adquisición de nuevos negocios</w:t>
      </w:r>
      <w:r w:rsidRPr="001C2C31">
        <w:rPr>
          <w:rFonts w:eastAsia="Times New Roman"/>
          <w:sz w:val="20"/>
          <w:szCs w:val="24"/>
          <w:lang w:eastAsia="es-ES"/>
        </w:rPr>
        <w:t xml:space="preserve">. </w:t>
      </w:r>
    </w:p>
    <w:p w14:paraId="0FB97F29" w14:textId="77777777" w:rsidR="006E3772" w:rsidRDefault="006E3772" w:rsidP="00BA4CB5">
      <w:pPr>
        <w:spacing w:after="0"/>
        <w:jc w:val="both"/>
        <w:rPr>
          <w:rFonts w:eastAsia="Times New Roman"/>
          <w:sz w:val="20"/>
          <w:szCs w:val="24"/>
          <w:lang w:eastAsia="es-ES"/>
        </w:rPr>
      </w:pPr>
    </w:p>
    <w:p w14:paraId="5A5008DB" w14:textId="09CCA694" w:rsidR="006E3772" w:rsidRDefault="006E3772" w:rsidP="00BA4CB5">
      <w:pPr>
        <w:spacing w:after="0"/>
        <w:jc w:val="both"/>
        <w:rPr>
          <w:rFonts w:eastAsia="Times New Roman"/>
          <w:sz w:val="20"/>
          <w:szCs w:val="24"/>
          <w:lang w:eastAsia="es-ES"/>
        </w:rPr>
      </w:pPr>
      <w:r w:rsidRPr="006E3772">
        <w:rPr>
          <w:rFonts w:eastAsia="Times New Roman"/>
          <w:sz w:val="20"/>
          <w:szCs w:val="24"/>
          <w:lang w:eastAsia="es-ES"/>
        </w:rPr>
        <w:t xml:space="preserve">Pendiente la aplicación de fondos de acuerdo al </w:t>
      </w:r>
      <w:r w:rsidR="007E0752">
        <w:rPr>
          <w:rFonts w:eastAsia="Times New Roman"/>
          <w:sz w:val="20"/>
          <w:szCs w:val="24"/>
          <w:lang w:eastAsia="es-ES"/>
        </w:rPr>
        <w:t>destino mencionado en el párrafo precedente</w:t>
      </w:r>
      <w:r w:rsidRPr="006E3772">
        <w:rPr>
          <w:rFonts w:eastAsia="Times New Roman"/>
          <w:sz w:val="20"/>
          <w:szCs w:val="24"/>
          <w:lang w:eastAsia="es-ES"/>
        </w:rPr>
        <w:t>, los mismos podrán ser invertidos transitoriamente en títulos públicos –incluyendo Letras y Notas emitidas por el Banco Central- y en títulos privados y/o en préstamos interfinancieros de alta calidad y liquidez.”</w:t>
      </w:r>
    </w:p>
    <w:p w14:paraId="0C3FF0EA" w14:textId="77777777" w:rsidR="00BA4CB5" w:rsidRPr="00BA4CB5" w:rsidRDefault="00BA4CB5" w:rsidP="00BA4CB5">
      <w:pPr>
        <w:spacing w:after="0"/>
        <w:jc w:val="both"/>
        <w:rPr>
          <w:rFonts w:eastAsia="Times New Roman"/>
          <w:sz w:val="20"/>
          <w:szCs w:val="24"/>
          <w:lang w:eastAsia="es-ES"/>
        </w:rPr>
      </w:pPr>
    </w:p>
    <w:p w14:paraId="0C09E906" w14:textId="098721BB" w:rsidR="00DC1948" w:rsidRPr="001C2C31" w:rsidRDefault="00DC1948" w:rsidP="00DC1948">
      <w:pPr>
        <w:spacing w:after="0"/>
        <w:jc w:val="both"/>
        <w:rPr>
          <w:rFonts w:eastAsia="Times New Roman"/>
          <w:sz w:val="20"/>
          <w:szCs w:val="24"/>
          <w:lang w:eastAsia="es-ES"/>
        </w:rPr>
      </w:pPr>
      <w:r w:rsidRPr="001C2C31">
        <w:rPr>
          <w:rFonts w:eastAsia="Times New Roman"/>
          <w:sz w:val="20"/>
          <w:szCs w:val="20"/>
          <w:lang w:val="es-ES" w:eastAsia="es-ES"/>
        </w:rPr>
        <w:t xml:space="preserve">GST estima el ingreso neto esperado de fondos en </w:t>
      </w:r>
      <w:r w:rsidR="00D30BBA">
        <w:rPr>
          <w:rFonts w:eastAsia="Times New Roman"/>
          <w:sz w:val="20"/>
          <w:szCs w:val="20"/>
          <w:lang w:val="es-ES" w:eastAsia="es-ES"/>
        </w:rPr>
        <w:t xml:space="preserve">$172.573.825 </w:t>
      </w:r>
      <w:r w:rsidR="00BA4CB5">
        <w:rPr>
          <w:rFonts w:eastAsia="Times New Roman"/>
          <w:sz w:val="20"/>
          <w:szCs w:val="20"/>
          <w:lang w:val="es-ES" w:eastAsia="es-ES"/>
        </w:rPr>
        <w:t xml:space="preserve"> (asumiendo una emisión de valor nominal </w:t>
      </w:r>
      <w:r w:rsidR="00C566AF">
        <w:rPr>
          <w:rFonts w:eastAsia="Times New Roman"/>
          <w:sz w:val="20"/>
          <w:szCs w:val="20"/>
          <w:lang w:val="es-ES" w:eastAsia="es-ES"/>
        </w:rPr>
        <w:t>$</w:t>
      </w:r>
      <w:r w:rsidR="00D90C2A">
        <w:rPr>
          <w:rFonts w:eastAsia="Times New Roman"/>
          <w:sz w:val="20"/>
          <w:szCs w:val="20"/>
          <w:lang w:val="es-ES" w:eastAsia="es-ES"/>
        </w:rPr>
        <w:t>175</w:t>
      </w:r>
      <w:r w:rsidR="00C566AF">
        <w:rPr>
          <w:rFonts w:eastAsia="Times New Roman"/>
          <w:sz w:val="20"/>
          <w:szCs w:val="20"/>
          <w:lang w:val="es-ES" w:eastAsia="es-ES"/>
        </w:rPr>
        <w:t>.000.000)</w:t>
      </w:r>
      <w:r w:rsidR="00C566AF" w:rsidRPr="001C2C31">
        <w:rPr>
          <w:rFonts w:eastAsia="Times New Roman"/>
          <w:sz w:val="20"/>
          <w:szCs w:val="20"/>
          <w:lang w:val="es-ES" w:eastAsia="es-ES"/>
        </w:rPr>
        <w:t xml:space="preserve">. </w:t>
      </w:r>
      <w:r w:rsidRPr="001C2C31">
        <w:rPr>
          <w:rFonts w:eastAsia="Times New Roman"/>
          <w:sz w:val="20"/>
          <w:szCs w:val="20"/>
          <w:lang w:val="es-ES" w:eastAsia="es-ES"/>
        </w:rPr>
        <w:t>La aplicación de los ingresos netos se hará de acuerdo a lo informado en el párrafo anterior, no habiéndose determinado a la fecha la aplicación definitiva de los mismos. El uso de los fondos será informado oportunamente mediante el Informe de Destino de los Fondos elaborado por el Auditor.</w:t>
      </w:r>
    </w:p>
    <w:p w14:paraId="733D557F" w14:textId="77777777" w:rsidR="00DC1948" w:rsidRPr="00BA4CB5" w:rsidRDefault="00DC1948" w:rsidP="00BA4CB5">
      <w:pPr>
        <w:spacing w:after="0" w:line="240" w:lineRule="auto"/>
        <w:rPr>
          <w:rFonts w:eastAsia="Times New Roman" w:cs="Arial"/>
          <w:b/>
          <w:bCs/>
          <w:kern w:val="32"/>
          <w:sz w:val="20"/>
          <w:szCs w:val="20"/>
          <w:lang w:eastAsia="es-ES"/>
        </w:rPr>
      </w:pPr>
      <w:r>
        <w:br w:type="page"/>
      </w:r>
    </w:p>
    <w:p w14:paraId="1305E147" w14:textId="66CC11E9" w:rsidR="00DB2A45" w:rsidRDefault="008A5C86" w:rsidP="00916F81">
      <w:pPr>
        <w:pStyle w:val="Puesto"/>
        <w:rPr>
          <w:szCs w:val="24"/>
          <w:lang w:val="es-ES_tradnl"/>
        </w:rPr>
      </w:pPr>
      <w:bookmarkStart w:id="76" w:name="_Toc20327138"/>
      <w:r>
        <w:lastRenderedPageBreak/>
        <w:t>VI</w:t>
      </w:r>
      <w:r w:rsidR="00D74AA7">
        <w:t>I</w:t>
      </w:r>
      <w:r>
        <w:t>I</w:t>
      </w:r>
      <w:r w:rsidR="00417966" w:rsidRPr="00916F81">
        <w:t xml:space="preserve">. </w:t>
      </w:r>
      <w:r w:rsidR="00DB2A45" w:rsidRPr="00916F81">
        <w:t>GASTOS DE EMISIÓN</w:t>
      </w:r>
      <w:bookmarkEnd w:id="76"/>
    </w:p>
    <w:p w14:paraId="63A02234" w14:textId="77777777" w:rsidR="00DB2A45" w:rsidRDefault="00DB2A45" w:rsidP="00AC0486">
      <w:pPr>
        <w:keepNext/>
        <w:keepLines/>
        <w:spacing w:after="0"/>
        <w:jc w:val="both"/>
        <w:rPr>
          <w:rFonts w:eastAsia="Times New Roman"/>
          <w:sz w:val="20"/>
          <w:szCs w:val="24"/>
          <w:lang w:val="es-ES_tradnl" w:eastAsia="es-ES"/>
        </w:rPr>
      </w:pPr>
    </w:p>
    <w:p w14:paraId="114D14B0" w14:textId="40559156" w:rsidR="00DB2A45" w:rsidRDefault="00DB2A45" w:rsidP="00D176FC">
      <w:pPr>
        <w:keepNext/>
        <w:keepLines/>
        <w:spacing w:after="0"/>
        <w:jc w:val="both"/>
        <w:rPr>
          <w:rFonts w:eastAsia="Times New Roman"/>
          <w:sz w:val="20"/>
          <w:szCs w:val="24"/>
          <w:lang w:eastAsia="es-ES"/>
        </w:rPr>
      </w:pPr>
      <w:r w:rsidRPr="00DB2A45">
        <w:rPr>
          <w:rFonts w:eastAsia="Times New Roman"/>
          <w:sz w:val="20"/>
          <w:szCs w:val="24"/>
          <w:lang w:eastAsia="es-ES"/>
        </w:rPr>
        <w:t xml:space="preserve">Los gastos vinculados con la emisión de las Obligaciones Negociables serán soportados por </w:t>
      </w:r>
      <w:r>
        <w:rPr>
          <w:rFonts w:eastAsia="Times New Roman"/>
          <w:sz w:val="20"/>
          <w:szCs w:val="24"/>
          <w:lang w:eastAsia="es-ES"/>
        </w:rPr>
        <w:t>el Emisor</w:t>
      </w:r>
      <w:r w:rsidRPr="00DB2A45">
        <w:rPr>
          <w:rFonts w:eastAsia="Times New Roman"/>
          <w:sz w:val="20"/>
          <w:szCs w:val="24"/>
          <w:lang w:eastAsia="es-ES"/>
        </w:rPr>
        <w:t xml:space="preserve">. Asumiendo un monto de emisión de $ </w:t>
      </w:r>
      <w:r w:rsidR="004D5B12">
        <w:rPr>
          <w:rFonts w:eastAsia="Times New Roman"/>
          <w:sz w:val="20"/>
          <w:szCs w:val="24"/>
          <w:lang w:eastAsia="es-ES"/>
        </w:rPr>
        <w:t>1</w:t>
      </w:r>
      <w:r w:rsidR="00FA63FF">
        <w:rPr>
          <w:rFonts w:eastAsia="Times New Roman"/>
          <w:sz w:val="20"/>
          <w:szCs w:val="24"/>
          <w:lang w:eastAsia="es-ES"/>
        </w:rPr>
        <w:t>75</w:t>
      </w:r>
      <w:r w:rsidR="004D5B12">
        <w:rPr>
          <w:rFonts w:eastAsia="Times New Roman"/>
          <w:sz w:val="20"/>
          <w:szCs w:val="24"/>
          <w:lang w:eastAsia="es-ES"/>
        </w:rPr>
        <w:t>.000.000</w:t>
      </w:r>
      <w:r w:rsidR="004D5B12" w:rsidRPr="00DB2A45">
        <w:rPr>
          <w:rFonts w:eastAsia="Times New Roman"/>
          <w:sz w:val="20"/>
          <w:szCs w:val="24"/>
          <w:lang w:eastAsia="es-ES"/>
        </w:rPr>
        <w:t xml:space="preserve">, </w:t>
      </w:r>
      <w:r w:rsidRPr="00DB2A45">
        <w:rPr>
          <w:rFonts w:eastAsia="Times New Roman"/>
          <w:sz w:val="20"/>
          <w:szCs w:val="24"/>
          <w:lang w:eastAsia="es-ES"/>
        </w:rPr>
        <w:t xml:space="preserve">tales gastos ascenderían aproximadamente a la suma de $ </w:t>
      </w:r>
      <w:r w:rsidR="00AC07C5">
        <w:rPr>
          <w:rFonts w:eastAsia="Times New Roman"/>
          <w:sz w:val="20"/>
          <w:szCs w:val="24"/>
          <w:lang w:eastAsia="es-ES"/>
        </w:rPr>
        <w:t>2.</w:t>
      </w:r>
      <w:r w:rsidR="00FA63FF">
        <w:rPr>
          <w:rFonts w:eastAsia="Times New Roman"/>
          <w:sz w:val="20"/>
          <w:szCs w:val="24"/>
          <w:lang w:eastAsia="es-ES"/>
        </w:rPr>
        <w:t>426</w:t>
      </w:r>
      <w:r w:rsidR="004D5B12">
        <w:rPr>
          <w:rFonts w:eastAsia="Times New Roman"/>
          <w:sz w:val="20"/>
          <w:szCs w:val="24"/>
          <w:lang w:eastAsia="es-ES"/>
        </w:rPr>
        <w:t>.</w:t>
      </w:r>
      <w:r w:rsidR="00FA63FF">
        <w:rPr>
          <w:rFonts w:eastAsia="Times New Roman"/>
          <w:sz w:val="20"/>
          <w:szCs w:val="24"/>
          <w:lang w:eastAsia="es-ES"/>
        </w:rPr>
        <w:t>175</w:t>
      </w:r>
      <w:r w:rsidR="004D5B12" w:rsidRPr="00DB2A45">
        <w:rPr>
          <w:rFonts w:eastAsia="Times New Roman"/>
          <w:sz w:val="20"/>
          <w:szCs w:val="24"/>
          <w:lang w:eastAsia="es-ES"/>
        </w:rPr>
        <w:t xml:space="preserve"> </w:t>
      </w:r>
      <w:r w:rsidRPr="00DB2A45">
        <w:rPr>
          <w:rFonts w:eastAsia="Times New Roman"/>
          <w:sz w:val="20"/>
          <w:szCs w:val="24"/>
          <w:lang w:eastAsia="es-ES"/>
        </w:rPr>
        <w:t xml:space="preserve">y representarán </w:t>
      </w:r>
      <w:r w:rsidR="004D5B12">
        <w:rPr>
          <w:rFonts w:eastAsia="Times New Roman"/>
          <w:sz w:val="20"/>
          <w:szCs w:val="24"/>
          <w:lang w:eastAsia="es-ES"/>
        </w:rPr>
        <w:t>alrededor d</w:t>
      </w:r>
      <w:r w:rsidRPr="00DB2A45">
        <w:rPr>
          <w:rFonts w:eastAsia="Times New Roman"/>
          <w:sz w:val="20"/>
          <w:szCs w:val="24"/>
          <w:lang w:eastAsia="es-ES"/>
        </w:rPr>
        <w:t xml:space="preserve">el </w:t>
      </w:r>
      <w:r w:rsidR="004D5B12">
        <w:rPr>
          <w:rFonts w:eastAsia="Times New Roman"/>
          <w:sz w:val="20"/>
          <w:szCs w:val="24"/>
          <w:lang w:eastAsia="es-ES"/>
        </w:rPr>
        <w:t>1,</w:t>
      </w:r>
      <w:r w:rsidR="00FA63FF">
        <w:rPr>
          <w:rFonts w:eastAsia="Times New Roman"/>
          <w:sz w:val="20"/>
          <w:szCs w:val="24"/>
          <w:lang w:eastAsia="es-ES"/>
        </w:rPr>
        <w:t>39</w:t>
      </w:r>
      <w:r w:rsidR="004D5B12" w:rsidRPr="00DB2A45">
        <w:rPr>
          <w:rFonts w:eastAsia="Times New Roman"/>
          <w:sz w:val="20"/>
          <w:szCs w:val="24"/>
          <w:lang w:eastAsia="es-ES"/>
        </w:rPr>
        <w:t xml:space="preserve"> </w:t>
      </w:r>
      <w:r w:rsidRPr="00DB2A45">
        <w:rPr>
          <w:rFonts w:eastAsia="Times New Roman"/>
          <w:sz w:val="20"/>
          <w:szCs w:val="24"/>
          <w:lang w:eastAsia="es-ES"/>
        </w:rPr>
        <w:t xml:space="preserve">% de los del monto de emisión asumido de las Obligaciones Negociables. Tales gastos comprenden: </w:t>
      </w:r>
    </w:p>
    <w:p w14:paraId="551F57B6" w14:textId="77777777" w:rsidR="00417966" w:rsidRPr="00DB2A45" w:rsidRDefault="00417966" w:rsidP="00D176FC">
      <w:pPr>
        <w:keepNext/>
        <w:keepLines/>
        <w:spacing w:after="0"/>
        <w:jc w:val="both"/>
        <w:rPr>
          <w:rFonts w:eastAsia="Times New Roman"/>
          <w:sz w:val="20"/>
          <w:szCs w:val="24"/>
          <w:lang w:eastAsia="es-ES"/>
        </w:rPr>
      </w:pPr>
    </w:p>
    <w:p w14:paraId="2E74CEAA" w14:textId="1FB3F8F5" w:rsidR="00DB2A45" w:rsidRPr="00DB2A45" w:rsidRDefault="00DB2A45" w:rsidP="00D176FC">
      <w:pPr>
        <w:keepNext/>
        <w:keepLines/>
        <w:numPr>
          <w:ilvl w:val="0"/>
          <w:numId w:val="45"/>
        </w:numPr>
        <w:spacing w:after="0"/>
        <w:jc w:val="both"/>
        <w:rPr>
          <w:rFonts w:eastAsia="Times New Roman"/>
          <w:sz w:val="20"/>
          <w:szCs w:val="24"/>
          <w:lang w:eastAsia="es-ES"/>
        </w:rPr>
      </w:pPr>
      <w:r w:rsidRPr="00DB2A45">
        <w:rPr>
          <w:rFonts w:eastAsia="Times New Roman"/>
          <w:sz w:val="20"/>
          <w:szCs w:val="24"/>
          <w:lang w:eastAsia="es-ES"/>
        </w:rPr>
        <w:t xml:space="preserve">Honorarios </w:t>
      </w:r>
      <w:r w:rsidR="00D13AAD">
        <w:rPr>
          <w:rFonts w:eastAsia="Times New Roman"/>
          <w:sz w:val="20"/>
          <w:szCs w:val="24"/>
          <w:lang w:eastAsia="es-ES"/>
        </w:rPr>
        <w:t>Agente Colocador</w:t>
      </w:r>
      <w:r w:rsidRPr="00DB2A45">
        <w:rPr>
          <w:rFonts w:eastAsia="Times New Roman"/>
          <w:sz w:val="20"/>
          <w:szCs w:val="24"/>
          <w:lang w:eastAsia="es-ES"/>
        </w:rPr>
        <w:t xml:space="preserve">: </w:t>
      </w:r>
      <w:r w:rsidR="004D5B12" w:rsidRPr="00DB2A45">
        <w:rPr>
          <w:rFonts w:eastAsia="Times New Roman"/>
          <w:sz w:val="20"/>
          <w:szCs w:val="24"/>
          <w:lang w:eastAsia="es-ES"/>
        </w:rPr>
        <w:t>$</w:t>
      </w:r>
      <w:r w:rsidR="00FA63FF">
        <w:rPr>
          <w:rFonts w:eastAsia="Times New Roman"/>
          <w:sz w:val="20"/>
          <w:szCs w:val="24"/>
          <w:lang w:eastAsia="es-ES"/>
        </w:rPr>
        <w:t>1.225.000</w:t>
      </w:r>
    </w:p>
    <w:p w14:paraId="0DA4017C" w14:textId="1B36E7D8" w:rsidR="00DB2A45" w:rsidRPr="00574D3C" w:rsidRDefault="00DB2A45">
      <w:pPr>
        <w:keepNext/>
        <w:keepLines/>
        <w:numPr>
          <w:ilvl w:val="0"/>
          <w:numId w:val="45"/>
        </w:numPr>
        <w:spacing w:after="0"/>
        <w:jc w:val="both"/>
        <w:rPr>
          <w:rFonts w:eastAsia="Times New Roman"/>
          <w:sz w:val="20"/>
          <w:szCs w:val="24"/>
          <w:lang w:eastAsia="es-ES"/>
        </w:rPr>
      </w:pPr>
      <w:r w:rsidRPr="00574D3C">
        <w:rPr>
          <w:rFonts w:eastAsia="Times New Roman"/>
          <w:sz w:val="20"/>
          <w:szCs w:val="24"/>
          <w:lang w:eastAsia="es-ES"/>
        </w:rPr>
        <w:t xml:space="preserve">Honorarios </w:t>
      </w:r>
      <w:r w:rsidR="005A00D7">
        <w:rPr>
          <w:rFonts w:eastAsia="Times New Roman"/>
          <w:sz w:val="20"/>
          <w:szCs w:val="24"/>
          <w:lang w:eastAsia="es-ES"/>
        </w:rPr>
        <w:t>A</w:t>
      </w:r>
      <w:r w:rsidR="005A00D7" w:rsidRPr="00574D3C">
        <w:rPr>
          <w:rFonts w:eastAsia="Times New Roman"/>
          <w:sz w:val="20"/>
          <w:szCs w:val="24"/>
          <w:lang w:eastAsia="es-ES"/>
        </w:rPr>
        <w:t xml:space="preserve">sesores </w:t>
      </w:r>
      <w:r w:rsidR="005A00D7">
        <w:rPr>
          <w:rFonts w:eastAsia="Times New Roman"/>
          <w:sz w:val="20"/>
          <w:szCs w:val="24"/>
          <w:lang w:eastAsia="es-ES"/>
        </w:rPr>
        <w:t>L</w:t>
      </w:r>
      <w:r w:rsidR="005A00D7" w:rsidRPr="00574D3C">
        <w:rPr>
          <w:rFonts w:eastAsia="Times New Roman"/>
          <w:sz w:val="20"/>
          <w:szCs w:val="24"/>
          <w:lang w:eastAsia="es-ES"/>
        </w:rPr>
        <w:t xml:space="preserve">egales </w:t>
      </w:r>
      <w:r w:rsidRPr="00574D3C">
        <w:rPr>
          <w:rFonts w:eastAsia="Times New Roman"/>
          <w:sz w:val="20"/>
          <w:szCs w:val="24"/>
          <w:lang w:eastAsia="es-ES"/>
        </w:rPr>
        <w:t xml:space="preserve">de la Compañía: </w:t>
      </w:r>
      <w:r w:rsidR="004D5B12" w:rsidRPr="00574D3C">
        <w:rPr>
          <w:rFonts w:eastAsia="Times New Roman"/>
          <w:sz w:val="20"/>
          <w:szCs w:val="24"/>
          <w:lang w:eastAsia="es-ES"/>
        </w:rPr>
        <w:t>$</w:t>
      </w:r>
      <w:r w:rsidR="004D5B12">
        <w:rPr>
          <w:rFonts w:eastAsia="Times New Roman"/>
          <w:sz w:val="20"/>
          <w:szCs w:val="24"/>
          <w:lang w:eastAsia="es-ES"/>
        </w:rPr>
        <w:t>7</w:t>
      </w:r>
      <w:r w:rsidR="00AC07C5">
        <w:rPr>
          <w:rFonts w:eastAsia="Times New Roman"/>
          <w:sz w:val="20"/>
          <w:szCs w:val="24"/>
          <w:lang w:eastAsia="es-ES"/>
        </w:rPr>
        <w:t>56</w:t>
      </w:r>
      <w:r w:rsidR="004D5B12">
        <w:rPr>
          <w:rFonts w:eastAsia="Times New Roman"/>
          <w:sz w:val="20"/>
          <w:szCs w:val="24"/>
          <w:lang w:eastAsia="es-ES"/>
        </w:rPr>
        <w:t>.000</w:t>
      </w:r>
    </w:p>
    <w:p w14:paraId="5D50A431" w14:textId="7A54ED37" w:rsidR="004D5B12" w:rsidRDefault="004D5B12" w:rsidP="008E0994">
      <w:pPr>
        <w:keepNext/>
        <w:keepLines/>
        <w:numPr>
          <w:ilvl w:val="0"/>
          <w:numId w:val="45"/>
        </w:numPr>
        <w:spacing w:after="0"/>
        <w:jc w:val="both"/>
        <w:rPr>
          <w:rFonts w:eastAsia="Times New Roman"/>
          <w:sz w:val="20"/>
          <w:szCs w:val="24"/>
          <w:lang w:eastAsia="es-ES"/>
        </w:rPr>
      </w:pPr>
      <w:r>
        <w:rPr>
          <w:rFonts w:eastAsia="Times New Roman"/>
          <w:sz w:val="20"/>
          <w:szCs w:val="24"/>
          <w:lang w:eastAsia="es-ES"/>
        </w:rPr>
        <w:t xml:space="preserve">Honorarios </w:t>
      </w:r>
      <w:r w:rsidR="005A00D7">
        <w:rPr>
          <w:rFonts w:eastAsia="Times New Roman"/>
          <w:sz w:val="20"/>
          <w:szCs w:val="24"/>
          <w:lang w:eastAsia="es-ES"/>
        </w:rPr>
        <w:t>A</w:t>
      </w:r>
      <w:r>
        <w:rPr>
          <w:rFonts w:eastAsia="Times New Roman"/>
          <w:sz w:val="20"/>
          <w:szCs w:val="24"/>
          <w:lang w:eastAsia="es-ES"/>
        </w:rPr>
        <w:t xml:space="preserve">uditores de la Compañía: </w:t>
      </w:r>
      <w:r w:rsidRPr="00574D3C">
        <w:rPr>
          <w:rFonts w:eastAsia="Times New Roman"/>
          <w:sz w:val="20"/>
          <w:szCs w:val="24"/>
          <w:lang w:eastAsia="es-ES"/>
        </w:rPr>
        <w:t>$</w:t>
      </w:r>
      <w:r>
        <w:rPr>
          <w:rFonts w:eastAsia="Times New Roman"/>
          <w:sz w:val="20"/>
          <w:szCs w:val="24"/>
          <w:lang w:eastAsia="es-ES"/>
        </w:rPr>
        <w:t>57.800</w:t>
      </w:r>
    </w:p>
    <w:p w14:paraId="67D9AFB6" w14:textId="64157265" w:rsidR="00DB2A45" w:rsidRPr="00DB2A45" w:rsidRDefault="004D5B12" w:rsidP="008E0994">
      <w:pPr>
        <w:keepNext/>
        <w:keepLines/>
        <w:numPr>
          <w:ilvl w:val="0"/>
          <w:numId w:val="45"/>
        </w:numPr>
        <w:spacing w:after="0"/>
        <w:jc w:val="both"/>
        <w:rPr>
          <w:rFonts w:eastAsia="Times New Roman"/>
          <w:sz w:val="20"/>
          <w:szCs w:val="24"/>
          <w:lang w:eastAsia="es-ES"/>
        </w:rPr>
      </w:pPr>
      <w:r>
        <w:rPr>
          <w:rFonts w:eastAsia="Times New Roman"/>
          <w:sz w:val="20"/>
          <w:szCs w:val="24"/>
          <w:lang w:eastAsia="es-ES"/>
        </w:rPr>
        <w:t>A</w:t>
      </w:r>
      <w:r w:rsidR="00DB2A45" w:rsidRPr="00DB2A45">
        <w:rPr>
          <w:rFonts w:eastAsia="Times New Roman"/>
          <w:sz w:val="20"/>
          <w:szCs w:val="24"/>
          <w:lang w:eastAsia="es-ES"/>
        </w:rPr>
        <w:t xml:space="preserve">ranceles a pagar a organismos de control y otras entidades reguladoras: </w:t>
      </w:r>
      <w:r w:rsidRPr="00DB2A45">
        <w:rPr>
          <w:rFonts w:eastAsia="Times New Roman"/>
          <w:sz w:val="20"/>
          <w:szCs w:val="24"/>
          <w:lang w:eastAsia="es-ES"/>
        </w:rPr>
        <w:t>$</w:t>
      </w:r>
      <w:r>
        <w:rPr>
          <w:rFonts w:eastAsia="Times New Roman"/>
          <w:sz w:val="20"/>
          <w:szCs w:val="24"/>
          <w:lang w:eastAsia="es-ES"/>
        </w:rPr>
        <w:t>3</w:t>
      </w:r>
      <w:r w:rsidR="00FA63FF">
        <w:rPr>
          <w:rFonts w:eastAsia="Times New Roman"/>
          <w:sz w:val="20"/>
          <w:szCs w:val="24"/>
          <w:lang w:eastAsia="es-ES"/>
        </w:rPr>
        <w:t>84</w:t>
      </w:r>
      <w:r>
        <w:rPr>
          <w:rFonts w:eastAsia="Times New Roman"/>
          <w:sz w:val="20"/>
          <w:szCs w:val="24"/>
          <w:lang w:eastAsia="es-ES"/>
        </w:rPr>
        <w:t>.</w:t>
      </w:r>
      <w:r w:rsidR="00FA63FF">
        <w:rPr>
          <w:rFonts w:eastAsia="Times New Roman"/>
          <w:sz w:val="20"/>
          <w:szCs w:val="24"/>
          <w:lang w:eastAsia="es-ES"/>
        </w:rPr>
        <w:t>375</w:t>
      </w:r>
    </w:p>
    <w:p w14:paraId="2536C5C4" w14:textId="3AB347FE" w:rsidR="00DB2A45" w:rsidRPr="00DB2A45" w:rsidRDefault="00DB2A45" w:rsidP="008E0994">
      <w:pPr>
        <w:keepNext/>
        <w:keepLines/>
        <w:numPr>
          <w:ilvl w:val="0"/>
          <w:numId w:val="45"/>
        </w:numPr>
        <w:spacing w:after="0"/>
        <w:jc w:val="both"/>
        <w:rPr>
          <w:rFonts w:eastAsia="Times New Roman"/>
          <w:sz w:val="20"/>
          <w:szCs w:val="24"/>
          <w:lang w:eastAsia="es-ES"/>
        </w:rPr>
      </w:pPr>
      <w:r w:rsidRPr="00DB2A45">
        <w:rPr>
          <w:rFonts w:eastAsia="Times New Roman"/>
          <w:sz w:val="20"/>
          <w:szCs w:val="24"/>
          <w:lang w:eastAsia="es-ES"/>
        </w:rPr>
        <w:t xml:space="preserve">Otros Gastos: </w:t>
      </w:r>
      <w:r w:rsidR="004D5B12" w:rsidRPr="00DB2A45">
        <w:rPr>
          <w:rFonts w:eastAsia="Times New Roman"/>
          <w:sz w:val="20"/>
          <w:szCs w:val="24"/>
          <w:lang w:eastAsia="es-ES"/>
        </w:rPr>
        <w:t>$</w:t>
      </w:r>
      <w:r w:rsidR="004D5B12">
        <w:rPr>
          <w:rFonts w:eastAsia="Times New Roman"/>
          <w:sz w:val="20"/>
          <w:szCs w:val="24"/>
          <w:lang w:eastAsia="es-ES"/>
        </w:rPr>
        <w:t>3.000</w:t>
      </w:r>
      <w:bookmarkStart w:id="77" w:name="_GoBack"/>
      <w:bookmarkEnd w:id="77"/>
    </w:p>
    <w:p w14:paraId="414DB237" w14:textId="77777777" w:rsidR="00417966" w:rsidRDefault="00417966" w:rsidP="008E0994">
      <w:pPr>
        <w:keepNext/>
        <w:keepLines/>
        <w:spacing w:after="0"/>
        <w:jc w:val="both"/>
        <w:rPr>
          <w:rFonts w:eastAsia="Times New Roman"/>
          <w:sz w:val="20"/>
          <w:szCs w:val="24"/>
          <w:lang w:eastAsia="es-ES"/>
        </w:rPr>
      </w:pPr>
    </w:p>
    <w:p w14:paraId="5CBAC2CB" w14:textId="77777777" w:rsidR="00DB2A45" w:rsidRDefault="00DB2A45" w:rsidP="008E0994">
      <w:pPr>
        <w:keepNext/>
        <w:keepLines/>
        <w:spacing w:after="0"/>
        <w:jc w:val="both"/>
        <w:rPr>
          <w:rFonts w:eastAsia="Times New Roman"/>
          <w:sz w:val="20"/>
          <w:szCs w:val="24"/>
          <w:lang w:eastAsia="es-ES"/>
        </w:rPr>
      </w:pPr>
      <w:r w:rsidRPr="00DB2A45">
        <w:rPr>
          <w:rFonts w:eastAsia="Times New Roman"/>
          <w:sz w:val="20"/>
          <w:szCs w:val="24"/>
          <w:lang w:eastAsia="es-ES"/>
        </w:rPr>
        <w:t>Los gastos antes mencionados no incluyen Impuesto al Valor Agregado.</w:t>
      </w:r>
    </w:p>
    <w:p w14:paraId="03CFC549" w14:textId="77777777" w:rsidR="00417966" w:rsidRPr="00AC0486" w:rsidRDefault="00D13AAD" w:rsidP="00916F81">
      <w:pPr>
        <w:pStyle w:val="Puesto"/>
      </w:pPr>
      <w:r>
        <w:br w:type="page"/>
      </w:r>
      <w:bookmarkStart w:id="78" w:name="_Toc20327139"/>
      <w:r w:rsidR="00D74AA7">
        <w:lastRenderedPageBreak/>
        <w:t>IX</w:t>
      </w:r>
      <w:r w:rsidRPr="00AC0486">
        <w:t>. CONTRATO DE COLOCACIÓN</w:t>
      </w:r>
      <w:bookmarkEnd w:id="78"/>
    </w:p>
    <w:p w14:paraId="54D02556" w14:textId="77777777" w:rsidR="00D13AAD" w:rsidRPr="00DB2A45" w:rsidRDefault="00D13AAD" w:rsidP="00DB2A45">
      <w:pPr>
        <w:keepNext/>
        <w:keepLines/>
        <w:spacing w:after="0"/>
        <w:jc w:val="both"/>
        <w:rPr>
          <w:rFonts w:eastAsia="Times New Roman"/>
          <w:sz w:val="20"/>
          <w:szCs w:val="24"/>
          <w:lang w:eastAsia="es-ES"/>
        </w:rPr>
      </w:pPr>
    </w:p>
    <w:p w14:paraId="50352756" w14:textId="77777777" w:rsidR="00D13AAD" w:rsidRDefault="00D13AAD" w:rsidP="00D13AAD">
      <w:pPr>
        <w:keepNext/>
        <w:keepLines/>
        <w:spacing w:after="0"/>
        <w:jc w:val="both"/>
        <w:rPr>
          <w:rFonts w:eastAsia="Times New Roman"/>
          <w:sz w:val="20"/>
          <w:szCs w:val="24"/>
          <w:lang w:eastAsia="es-ES"/>
        </w:rPr>
      </w:pPr>
      <w:r w:rsidRPr="00D13AAD">
        <w:rPr>
          <w:rFonts w:eastAsia="Times New Roman"/>
          <w:sz w:val="20"/>
          <w:szCs w:val="24"/>
          <w:lang w:eastAsia="es-ES"/>
        </w:rPr>
        <w:t xml:space="preserve">En o antes del primer día del </w:t>
      </w:r>
      <w:r w:rsidR="001E0721" w:rsidRPr="001E0721">
        <w:rPr>
          <w:rFonts w:eastAsia="Times New Roman"/>
          <w:sz w:val="20"/>
          <w:szCs w:val="24"/>
          <w:lang w:eastAsia="es-ES"/>
        </w:rPr>
        <w:t>Período de Difusión Pública</w:t>
      </w:r>
      <w:r>
        <w:rPr>
          <w:rFonts w:eastAsia="Times New Roman"/>
          <w:sz w:val="20"/>
          <w:szCs w:val="24"/>
          <w:lang w:eastAsia="es-ES"/>
        </w:rPr>
        <w:t>, GST y el Agente Colocador</w:t>
      </w:r>
      <w:r w:rsidRPr="00D13AAD">
        <w:rPr>
          <w:rFonts w:eastAsia="Times New Roman"/>
          <w:sz w:val="20"/>
          <w:szCs w:val="24"/>
          <w:lang w:eastAsia="es-ES"/>
        </w:rPr>
        <w:t xml:space="preserve"> firmarán un contrato de colocación (el “</w:t>
      </w:r>
      <w:r w:rsidRPr="00916F81">
        <w:rPr>
          <w:rFonts w:eastAsia="Times New Roman"/>
          <w:sz w:val="20"/>
          <w:szCs w:val="24"/>
          <w:u w:val="single"/>
          <w:lang w:eastAsia="es-ES"/>
        </w:rPr>
        <w:t>Contrato de Colocación</w:t>
      </w:r>
      <w:r>
        <w:rPr>
          <w:rFonts w:eastAsia="Times New Roman"/>
          <w:sz w:val="20"/>
          <w:szCs w:val="24"/>
          <w:lang w:eastAsia="es-ES"/>
        </w:rPr>
        <w:t>”) a través del cual el Emisor</w:t>
      </w:r>
      <w:r w:rsidRPr="00D13AAD">
        <w:rPr>
          <w:rFonts w:eastAsia="Times New Roman"/>
          <w:sz w:val="20"/>
          <w:szCs w:val="24"/>
          <w:lang w:eastAsia="es-ES"/>
        </w:rPr>
        <w:t xml:space="preserve"> designará a</w:t>
      </w:r>
      <w:r w:rsidR="00AC0486">
        <w:rPr>
          <w:rFonts w:eastAsia="Times New Roman"/>
          <w:sz w:val="20"/>
          <w:szCs w:val="24"/>
          <w:lang w:eastAsia="es-ES"/>
        </w:rPr>
        <w:t>l</w:t>
      </w:r>
      <w:r w:rsidRPr="00D13AAD">
        <w:rPr>
          <w:rFonts w:eastAsia="Times New Roman"/>
          <w:sz w:val="20"/>
          <w:szCs w:val="24"/>
          <w:lang w:eastAsia="es-ES"/>
        </w:rPr>
        <w:t xml:space="preserve"> </w:t>
      </w:r>
      <w:r w:rsidR="00AC0486">
        <w:rPr>
          <w:rFonts w:eastAsia="Times New Roman"/>
          <w:sz w:val="20"/>
          <w:szCs w:val="24"/>
          <w:lang w:eastAsia="es-ES"/>
        </w:rPr>
        <w:t>Agente Colocador para que realice</w:t>
      </w:r>
      <w:r w:rsidRPr="00D13AAD">
        <w:rPr>
          <w:rFonts w:eastAsia="Times New Roman"/>
          <w:sz w:val="20"/>
          <w:szCs w:val="24"/>
          <w:lang w:eastAsia="es-ES"/>
        </w:rPr>
        <w:t xml:space="preserve"> sus mejores esfuerzos para colocar mediante oferta pública en Argentina las Obligaciones Negociables, conforme los procedimientos usuales en el mercado de capitales de la Argentina y de acuerdo con el procedimiento descripto en la sección “</w:t>
      </w:r>
      <w:r w:rsidRPr="001E0721">
        <w:rPr>
          <w:rFonts w:eastAsia="Times New Roman"/>
          <w:i/>
          <w:sz w:val="20"/>
          <w:szCs w:val="24"/>
          <w:lang w:eastAsia="es-ES"/>
        </w:rPr>
        <w:t>Plan de Distribución</w:t>
      </w:r>
      <w:r w:rsidRPr="00D13AAD">
        <w:rPr>
          <w:rFonts w:eastAsia="Times New Roman"/>
          <w:sz w:val="20"/>
          <w:szCs w:val="24"/>
          <w:lang w:eastAsia="es-ES"/>
        </w:rPr>
        <w:t>” del present</w:t>
      </w:r>
      <w:r>
        <w:rPr>
          <w:rFonts w:eastAsia="Times New Roman"/>
          <w:sz w:val="20"/>
          <w:szCs w:val="24"/>
          <w:lang w:eastAsia="es-ES"/>
        </w:rPr>
        <w:t>e Suplemento de Precio.</w:t>
      </w:r>
    </w:p>
    <w:p w14:paraId="2232F8F1" w14:textId="77777777" w:rsidR="00D13AAD" w:rsidRPr="00D13AAD" w:rsidRDefault="00D13AAD" w:rsidP="00AC0486">
      <w:pPr>
        <w:keepNext/>
        <w:keepLines/>
        <w:spacing w:after="0"/>
        <w:jc w:val="both"/>
        <w:rPr>
          <w:rFonts w:eastAsia="Times New Roman"/>
          <w:sz w:val="20"/>
          <w:szCs w:val="24"/>
          <w:lang w:eastAsia="es-ES"/>
        </w:rPr>
      </w:pPr>
    </w:p>
    <w:p w14:paraId="18850235" w14:textId="77777777" w:rsidR="00DB2A45" w:rsidRDefault="00D13AAD" w:rsidP="00D176FC">
      <w:pPr>
        <w:keepNext/>
        <w:keepLines/>
        <w:spacing w:after="0"/>
        <w:jc w:val="both"/>
        <w:rPr>
          <w:rFonts w:eastAsia="Times New Roman"/>
          <w:sz w:val="20"/>
          <w:szCs w:val="24"/>
          <w:lang w:eastAsia="es-ES"/>
        </w:rPr>
      </w:pPr>
      <w:r w:rsidRPr="00D13AAD">
        <w:rPr>
          <w:rFonts w:eastAsia="Times New Roman"/>
          <w:sz w:val="20"/>
          <w:szCs w:val="24"/>
          <w:lang w:eastAsia="es-ES"/>
        </w:rPr>
        <w:t>El Contrato de Colo</w:t>
      </w:r>
      <w:r>
        <w:rPr>
          <w:rFonts w:eastAsia="Times New Roman"/>
          <w:sz w:val="20"/>
          <w:szCs w:val="24"/>
          <w:lang w:eastAsia="es-ES"/>
        </w:rPr>
        <w:t xml:space="preserve">cación determina que </w:t>
      </w:r>
      <w:r w:rsidR="001E0721">
        <w:rPr>
          <w:rFonts w:eastAsia="Times New Roman"/>
          <w:sz w:val="20"/>
          <w:szCs w:val="24"/>
          <w:lang w:eastAsia="es-ES"/>
        </w:rPr>
        <w:t>el Agente Colocador</w:t>
      </w:r>
      <w:r w:rsidRPr="00D13AAD">
        <w:rPr>
          <w:rFonts w:eastAsia="Times New Roman"/>
          <w:sz w:val="20"/>
          <w:szCs w:val="24"/>
          <w:lang w:eastAsia="es-ES"/>
        </w:rPr>
        <w:t xml:space="preserve"> deberán cumplir con las normas vigentes que resulten aplicables, incluyendo, sin limitación, las Normas de la CNV y demás normativa vigente ap</w:t>
      </w:r>
      <w:r>
        <w:rPr>
          <w:rFonts w:eastAsia="Times New Roman"/>
          <w:sz w:val="20"/>
          <w:szCs w:val="24"/>
          <w:lang w:eastAsia="es-ES"/>
        </w:rPr>
        <w:t xml:space="preserve">licable. </w:t>
      </w:r>
      <w:r w:rsidR="001E0721">
        <w:rPr>
          <w:rFonts w:eastAsia="Times New Roman"/>
          <w:sz w:val="20"/>
          <w:szCs w:val="24"/>
          <w:lang w:eastAsia="es-ES"/>
        </w:rPr>
        <w:t>El</w:t>
      </w:r>
      <w:r>
        <w:rPr>
          <w:rFonts w:eastAsia="Times New Roman"/>
          <w:sz w:val="20"/>
          <w:szCs w:val="24"/>
          <w:lang w:eastAsia="es-ES"/>
        </w:rPr>
        <w:t xml:space="preserve"> Agente Colocador</w:t>
      </w:r>
      <w:r w:rsidR="001E0721">
        <w:rPr>
          <w:rFonts w:eastAsia="Times New Roman"/>
          <w:sz w:val="20"/>
          <w:szCs w:val="24"/>
          <w:lang w:eastAsia="es-ES"/>
        </w:rPr>
        <w:t xml:space="preserve"> no asume</w:t>
      </w:r>
      <w:r w:rsidRPr="00D13AAD">
        <w:rPr>
          <w:rFonts w:eastAsia="Times New Roman"/>
          <w:sz w:val="20"/>
          <w:szCs w:val="24"/>
          <w:lang w:eastAsia="es-ES"/>
        </w:rPr>
        <w:t xml:space="preserve"> compromiso alguno de suscripción en firme de las Obli</w:t>
      </w:r>
      <w:r w:rsidR="001E0721">
        <w:rPr>
          <w:rFonts w:eastAsia="Times New Roman"/>
          <w:sz w:val="20"/>
          <w:szCs w:val="24"/>
          <w:lang w:eastAsia="es-ES"/>
        </w:rPr>
        <w:t>gaciones Negociables y recibirá</w:t>
      </w:r>
      <w:r w:rsidRPr="00D13AAD">
        <w:rPr>
          <w:rFonts w:eastAsia="Times New Roman"/>
          <w:sz w:val="20"/>
          <w:szCs w:val="24"/>
          <w:lang w:eastAsia="es-ES"/>
        </w:rPr>
        <w:t xml:space="preserve"> una comisión de colocación por sus servicios. El Contrato de Colocación incluye cláusulas estándar en el mercado en relación a la responsabilidad de las partes, indemnidades, declaraciones y garantías y gastos.</w:t>
      </w:r>
    </w:p>
    <w:p w14:paraId="41B257C3" w14:textId="77777777" w:rsidR="00AC0486" w:rsidRDefault="00AC0486" w:rsidP="00916F81">
      <w:pPr>
        <w:pStyle w:val="Puesto"/>
      </w:pPr>
      <w:r>
        <w:br w:type="page"/>
      </w:r>
      <w:bookmarkStart w:id="79" w:name="_Toc20327140"/>
      <w:r>
        <w:lastRenderedPageBreak/>
        <w:t>X- HECHOS POSTERIORES AL CIERRE</w:t>
      </w:r>
      <w:bookmarkEnd w:id="79"/>
    </w:p>
    <w:p w14:paraId="71DDA9A1" w14:textId="77777777" w:rsidR="00AC0486" w:rsidRDefault="00AC0486" w:rsidP="00916F81">
      <w:pPr>
        <w:spacing w:after="0"/>
        <w:jc w:val="both"/>
      </w:pPr>
    </w:p>
    <w:p w14:paraId="5FC184DD" w14:textId="7FE4C090" w:rsidR="00BA4CB5" w:rsidRDefault="00AC0486" w:rsidP="00916F81">
      <w:pPr>
        <w:spacing w:after="0"/>
        <w:jc w:val="both"/>
        <w:rPr>
          <w:sz w:val="20"/>
          <w:szCs w:val="20"/>
        </w:rPr>
      </w:pPr>
      <w:r w:rsidRPr="00916F81">
        <w:rPr>
          <w:sz w:val="20"/>
          <w:szCs w:val="20"/>
        </w:rPr>
        <w:t xml:space="preserve">No han ocurrido cambios significativos desde la fecha de los estados financieros más recientes por períodos intermedios de fecha al 30 de </w:t>
      </w:r>
      <w:r w:rsidR="00DA6560">
        <w:rPr>
          <w:sz w:val="20"/>
          <w:szCs w:val="20"/>
        </w:rPr>
        <w:t>septiembre</w:t>
      </w:r>
      <w:r w:rsidR="00DA6560" w:rsidRPr="00916F81">
        <w:rPr>
          <w:sz w:val="20"/>
          <w:szCs w:val="20"/>
        </w:rPr>
        <w:t xml:space="preserve"> </w:t>
      </w:r>
      <w:r w:rsidRPr="00916F81">
        <w:rPr>
          <w:sz w:val="20"/>
          <w:szCs w:val="20"/>
        </w:rPr>
        <w:t>de 2019, incluidos en el presente Suplemento</w:t>
      </w:r>
      <w:r w:rsidR="00BA4CB5">
        <w:rPr>
          <w:sz w:val="20"/>
          <w:szCs w:val="20"/>
        </w:rPr>
        <w:t xml:space="preserve"> de Precio</w:t>
      </w:r>
      <w:r w:rsidRPr="00916F81">
        <w:rPr>
          <w:sz w:val="20"/>
          <w:szCs w:val="20"/>
        </w:rPr>
        <w:t>.</w:t>
      </w:r>
    </w:p>
    <w:p w14:paraId="1E130A66" w14:textId="77777777" w:rsidR="001C2C31" w:rsidRPr="00BA4CB5" w:rsidRDefault="00BA4CB5" w:rsidP="00BA4CB5">
      <w:pPr>
        <w:spacing w:after="0" w:line="240" w:lineRule="auto"/>
        <w:rPr>
          <w:sz w:val="20"/>
          <w:szCs w:val="20"/>
        </w:rPr>
      </w:pPr>
      <w:r>
        <w:rPr>
          <w:sz w:val="20"/>
          <w:szCs w:val="20"/>
        </w:rPr>
        <w:br w:type="page"/>
      </w:r>
      <w:bookmarkStart w:id="80" w:name="_DV_M163"/>
      <w:bookmarkStart w:id="81" w:name="_DV_M173"/>
      <w:bookmarkStart w:id="82" w:name="_DV_M175"/>
      <w:bookmarkStart w:id="83" w:name="_DV_M176"/>
      <w:bookmarkStart w:id="84" w:name="_DV_M177"/>
      <w:bookmarkEnd w:id="80"/>
      <w:bookmarkEnd w:id="81"/>
      <w:bookmarkEnd w:id="82"/>
      <w:bookmarkEnd w:id="83"/>
      <w:bookmarkEnd w:id="84"/>
    </w:p>
    <w:p w14:paraId="5B82A50C" w14:textId="77777777" w:rsidR="00BA4CB5" w:rsidRDefault="00BA4CB5" w:rsidP="00916F81">
      <w:pPr>
        <w:spacing w:after="0"/>
        <w:jc w:val="center"/>
        <w:rPr>
          <w:rFonts w:eastAsia="Times New Roman"/>
          <w:b/>
          <w:sz w:val="18"/>
          <w:szCs w:val="18"/>
          <w:lang w:val="es-ES_tradnl" w:eastAsia="es-ES"/>
        </w:rPr>
      </w:pPr>
    </w:p>
    <w:p w14:paraId="3E02ADD4" w14:textId="77777777" w:rsidR="00BA4CB5" w:rsidRDefault="00BA4CB5" w:rsidP="00916F81">
      <w:pPr>
        <w:spacing w:after="0"/>
        <w:jc w:val="center"/>
        <w:rPr>
          <w:rFonts w:eastAsia="Times New Roman"/>
          <w:b/>
          <w:sz w:val="18"/>
          <w:szCs w:val="18"/>
          <w:lang w:val="es-ES_tradnl" w:eastAsia="es-ES"/>
        </w:rPr>
      </w:pPr>
    </w:p>
    <w:p w14:paraId="07D36A26" w14:textId="77777777" w:rsidR="00BA4CB5" w:rsidRDefault="00BA4CB5" w:rsidP="00916F81">
      <w:pPr>
        <w:spacing w:after="0"/>
        <w:jc w:val="center"/>
        <w:rPr>
          <w:rFonts w:eastAsia="Times New Roman"/>
          <w:b/>
          <w:sz w:val="18"/>
          <w:szCs w:val="18"/>
          <w:lang w:val="es-ES_tradnl" w:eastAsia="es-ES"/>
        </w:rPr>
      </w:pPr>
    </w:p>
    <w:p w14:paraId="549BD5E5" w14:textId="77777777" w:rsidR="00BA4CB5" w:rsidRDefault="00BA4CB5" w:rsidP="00916F81">
      <w:pPr>
        <w:spacing w:after="0"/>
        <w:jc w:val="center"/>
        <w:rPr>
          <w:rFonts w:eastAsia="Times New Roman"/>
          <w:b/>
          <w:sz w:val="18"/>
          <w:szCs w:val="18"/>
          <w:lang w:val="es-ES_tradnl" w:eastAsia="es-ES"/>
        </w:rPr>
      </w:pPr>
    </w:p>
    <w:p w14:paraId="7969A4D4" w14:textId="77777777" w:rsidR="00BA4CB5" w:rsidRDefault="00BA4CB5" w:rsidP="00916F81">
      <w:pPr>
        <w:spacing w:after="0"/>
        <w:jc w:val="center"/>
        <w:rPr>
          <w:rFonts w:eastAsia="Times New Roman"/>
          <w:b/>
          <w:sz w:val="18"/>
          <w:szCs w:val="18"/>
          <w:lang w:val="es-ES_tradnl" w:eastAsia="es-ES"/>
        </w:rPr>
      </w:pPr>
    </w:p>
    <w:p w14:paraId="64E555C5" w14:textId="77777777" w:rsidR="00BA4CB5" w:rsidRDefault="00BA4CB5" w:rsidP="00916F81">
      <w:pPr>
        <w:spacing w:after="0"/>
        <w:jc w:val="center"/>
        <w:rPr>
          <w:rFonts w:eastAsia="Times New Roman"/>
          <w:b/>
          <w:sz w:val="18"/>
          <w:szCs w:val="18"/>
          <w:lang w:val="es-ES_tradnl" w:eastAsia="es-ES"/>
        </w:rPr>
      </w:pPr>
    </w:p>
    <w:p w14:paraId="4D18510A" w14:textId="77777777" w:rsidR="00BA4CB5" w:rsidRDefault="00BA4CB5" w:rsidP="00916F81">
      <w:pPr>
        <w:spacing w:after="0"/>
        <w:jc w:val="center"/>
        <w:rPr>
          <w:rFonts w:eastAsia="Times New Roman"/>
          <w:b/>
          <w:sz w:val="18"/>
          <w:szCs w:val="18"/>
          <w:lang w:val="es-ES_tradnl" w:eastAsia="es-ES"/>
        </w:rPr>
      </w:pPr>
    </w:p>
    <w:p w14:paraId="38E9CABE" w14:textId="77777777" w:rsidR="00BA4CB5" w:rsidRDefault="00BA4CB5" w:rsidP="00916F81">
      <w:pPr>
        <w:spacing w:after="0"/>
        <w:jc w:val="center"/>
        <w:rPr>
          <w:rFonts w:eastAsia="Times New Roman"/>
          <w:b/>
          <w:sz w:val="18"/>
          <w:szCs w:val="18"/>
          <w:lang w:val="es-ES_tradnl" w:eastAsia="es-ES"/>
        </w:rPr>
      </w:pPr>
    </w:p>
    <w:p w14:paraId="7C13BA41" w14:textId="77777777" w:rsidR="00BA4CB5" w:rsidRDefault="00BA4CB5" w:rsidP="00916F81">
      <w:pPr>
        <w:spacing w:after="0"/>
        <w:jc w:val="center"/>
        <w:rPr>
          <w:rFonts w:eastAsia="Times New Roman"/>
          <w:b/>
          <w:sz w:val="18"/>
          <w:szCs w:val="18"/>
          <w:lang w:val="es-ES_tradnl" w:eastAsia="es-ES"/>
        </w:rPr>
      </w:pPr>
    </w:p>
    <w:p w14:paraId="1BDD4AA6" w14:textId="77777777" w:rsidR="00BA4CB5" w:rsidRDefault="00BA4CB5" w:rsidP="00916F81">
      <w:pPr>
        <w:spacing w:after="0"/>
        <w:jc w:val="center"/>
        <w:rPr>
          <w:rFonts w:eastAsia="Times New Roman"/>
          <w:b/>
          <w:sz w:val="18"/>
          <w:szCs w:val="18"/>
          <w:lang w:val="es-ES_tradnl" w:eastAsia="es-ES"/>
        </w:rPr>
      </w:pPr>
    </w:p>
    <w:p w14:paraId="13857FAD" w14:textId="77777777" w:rsidR="001C2C31" w:rsidRPr="00BA4CB5" w:rsidRDefault="001C2C31" w:rsidP="00916F81">
      <w:pPr>
        <w:spacing w:after="0"/>
        <w:jc w:val="center"/>
        <w:rPr>
          <w:rFonts w:eastAsia="Times New Roman"/>
          <w:b/>
          <w:sz w:val="18"/>
          <w:szCs w:val="18"/>
          <w:lang w:val="es-ES_tradnl" w:eastAsia="es-ES"/>
        </w:rPr>
      </w:pPr>
      <w:r w:rsidRPr="00BA4CB5">
        <w:rPr>
          <w:rFonts w:eastAsia="Times New Roman"/>
          <w:b/>
          <w:sz w:val="18"/>
          <w:szCs w:val="18"/>
          <w:lang w:val="es-ES_tradnl" w:eastAsia="es-ES"/>
        </w:rPr>
        <w:t xml:space="preserve">EMISOR </w:t>
      </w:r>
    </w:p>
    <w:p w14:paraId="037FBA43" w14:textId="77777777" w:rsidR="001C2C31" w:rsidRPr="00BA4CB5" w:rsidRDefault="001C2C31" w:rsidP="00916F81">
      <w:pPr>
        <w:tabs>
          <w:tab w:val="left" w:pos="0"/>
        </w:tabs>
        <w:suppressAutoHyphens/>
        <w:spacing w:after="0"/>
        <w:jc w:val="center"/>
        <w:rPr>
          <w:rFonts w:eastAsia="Times New Roman"/>
          <w:b/>
          <w:sz w:val="18"/>
          <w:szCs w:val="18"/>
          <w:lang w:val="es-ES_tradnl" w:eastAsia="es-ES"/>
        </w:rPr>
      </w:pPr>
      <w:r w:rsidRPr="00BA4CB5">
        <w:rPr>
          <w:rFonts w:eastAsia="Times New Roman"/>
          <w:b/>
          <w:spacing w:val="-1"/>
          <w:sz w:val="18"/>
          <w:szCs w:val="18"/>
          <w:lang w:eastAsia="es-ES"/>
        </w:rPr>
        <w:t>Grupo ST S.A.</w:t>
      </w:r>
    </w:p>
    <w:p w14:paraId="56194879" w14:textId="77777777" w:rsidR="001C2C31" w:rsidRPr="00BA4CB5" w:rsidRDefault="001C2C31" w:rsidP="00916F81">
      <w:pPr>
        <w:tabs>
          <w:tab w:val="left" w:pos="0"/>
        </w:tabs>
        <w:suppressAutoHyphens/>
        <w:spacing w:after="0"/>
        <w:jc w:val="center"/>
        <w:rPr>
          <w:rFonts w:eastAsia="Times New Roman"/>
          <w:sz w:val="18"/>
          <w:szCs w:val="18"/>
          <w:lang w:eastAsia="es-ES"/>
        </w:rPr>
      </w:pPr>
      <w:r w:rsidRPr="00BA4CB5">
        <w:rPr>
          <w:rFonts w:eastAsia="Times New Roman"/>
          <w:sz w:val="18"/>
          <w:szCs w:val="18"/>
          <w:lang w:eastAsia="es-ES"/>
        </w:rPr>
        <w:t>Av. Corrientes 1174, piso 9°</w:t>
      </w:r>
    </w:p>
    <w:p w14:paraId="22FE2346" w14:textId="77777777" w:rsidR="001C2C31" w:rsidRPr="00BA4CB5" w:rsidRDefault="001C2C31" w:rsidP="00916F81">
      <w:pPr>
        <w:tabs>
          <w:tab w:val="left" w:pos="0"/>
        </w:tabs>
        <w:suppressAutoHyphens/>
        <w:spacing w:after="0"/>
        <w:jc w:val="center"/>
        <w:rPr>
          <w:rFonts w:eastAsia="Times New Roman"/>
          <w:sz w:val="18"/>
          <w:szCs w:val="18"/>
          <w:lang w:val="es-ES_tradnl" w:eastAsia="es-ES"/>
        </w:rPr>
      </w:pPr>
      <w:r w:rsidRPr="00BA4CB5">
        <w:rPr>
          <w:rFonts w:eastAsia="Times New Roman"/>
          <w:sz w:val="18"/>
          <w:szCs w:val="18"/>
          <w:lang w:eastAsia="es-ES"/>
        </w:rPr>
        <w:t>(C1043AAY) Ciudad Autónoma de Buenos Aires</w:t>
      </w:r>
    </w:p>
    <w:p w14:paraId="0A9BFBB1" w14:textId="77777777" w:rsidR="001C2C31" w:rsidRPr="00BA4CB5" w:rsidRDefault="001C2C31" w:rsidP="00916F81">
      <w:pPr>
        <w:tabs>
          <w:tab w:val="left" w:pos="0"/>
        </w:tabs>
        <w:suppressAutoHyphens/>
        <w:spacing w:after="0"/>
        <w:jc w:val="center"/>
        <w:rPr>
          <w:rFonts w:eastAsia="Times New Roman"/>
          <w:sz w:val="18"/>
          <w:szCs w:val="18"/>
          <w:lang w:val="es-ES_tradnl" w:eastAsia="es-ES"/>
        </w:rPr>
      </w:pPr>
      <w:r w:rsidRPr="00BA4CB5">
        <w:rPr>
          <w:rFonts w:eastAsia="Times New Roman"/>
          <w:sz w:val="18"/>
          <w:szCs w:val="18"/>
          <w:lang w:val="es-ES_tradnl" w:eastAsia="es-ES"/>
        </w:rPr>
        <w:t>República Argentina</w:t>
      </w:r>
    </w:p>
    <w:p w14:paraId="1D135ED0" w14:textId="77777777" w:rsidR="001C2C31" w:rsidRPr="00BA4CB5" w:rsidRDefault="001C2C31" w:rsidP="00916F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center"/>
        <w:rPr>
          <w:rFonts w:eastAsia="Times New Roman"/>
          <w:sz w:val="18"/>
          <w:szCs w:val="18"/>
          <w:lang w:val="es-ES_tradnl" w:eastAsia="es-ES"/>
        </w:rPr>
      </w:pPr>
    </w:p>
    <w:p w14:paraId="0B291D2B" w14:textId="77777777" w:rsidR="001C2C31" w:rsidRPr="00BA4CB5" w:rsidRDefault="001C2C31" w:rsidP="00916F81">
      <w:pPr>
        <w:spacing w:after="0"/>
        <w:jc w:val="center"/>
        <w:rPr>
          <w:rFonts w:eastAsia="Times New Roman"/>
          <w:b/>
          <w:sz w:val="18"/>
          <w:szCs w:val="18"/>
          <w:lang w:val="es-ES_tradnl" w:eastAsia="es-ES"/>
        </w:rPr>
      </w:pPr>
      <w:r w:rsidRPr="00BA4CB5">
        <w:rPr>
          <w:rFonts w:eastAsia="Times New Roman"/>
          <w:b/>
          <w:sz w:val="18"/>
          <w:szCs w:val="18"/>
          <w:lang w:val="es-ES_tradnl" w:eastAsia="es-ES"/>
        </w:rPr>
        <w:t>ORGANIZADOR Y AGENTE COLOCADOR</w:t>
      </w:r>
    </w:p>
    <w:p w14:paraId="4350B8A9" w14:textId="77777777" w:rsidR="001C2C31" w:rsidRPr="00BA4CB5" w:rsidRDefault="001C2C31" w:rsidP="00916F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center"/>
        <w:rPr>
          <w:rFonts w:eastAsia="Times New Roman"/>
          <w:b/>
          <w:sz w:val="18"/>
          <w:szCs w:val="18"/>
          <w:lang w:val="es-ES_tradnl" w:eastAsia="es-ES"/>
        </w:rPr>
      </w:pPr>
      <w:r w:rsidRPr="00BA4CB5">
        <w:rPr>
          <w:rFonts w:eastAsia="Times New Roman"/>
          <w:b/>
          <w:sz w:val="18"/>
          <w:szCs w:val="18"/>
          <w:lang w:val="es-ES_tradnl" w:eastAsia="es-ES"/>
        </w:rPr>
        <w:t>Banco de Servicios y Transacciones S.A.</w:t>
      </w:r>
    </w:p>
    <w:p w14:paraId="0AC91486" w14:textId="77777777" w:rsidR="001C2C31" w:rsidRPr="00BA4CB5" w:rsidRDefault="001C2C31" w:rsidP="00916F81">
      <w:pPr>
        <w:tabs>
          <w:tab w:val="center" w:pos="4306"/>
        </w:tabs>
        <w:spacing w:after="0"/>
        <w:jc w:val="center"/>
        <w:rPr>
          <w:rFonts w:eastAsia="Times New Roman"/>
          <w:b/>
          <w:color w:val="000000"/>
          <w:sz w:val="18"/>
          <w:szCs w:val="18"/>
          <w:lang w:eastAsia="es-ES"/>
        </w:rPr>
      </w:pPr>
      <w:r w:rsidRPr="00BA4CB5">
        <w:rPr>
          <w:rFonts w:eastAsia="Times New Roman" w:cs="Arial"/>
          <w:color w:val="000000"/>
          <w:sz w:val="18"/>
          <w:szCs w:val="18"/>
          <w:shd w:val="clear" w:color="auto" w:fill="FFFFFF"/>
          <w:lang w:eastAsia="es-ES"/>
        </w:rPr>
        <w:t>ALyC-AN Integral registrado bajo el N° </w:t>
      </w:r>
      <w:r w:rsidRPr="00BA4CB5">
        <w:rPr>
          <w:rFonts w:eastAsia="Times New Roman" w:cs="Arial"/>
          <w:bCs/>
          <w:color w:val="000000"/>
          <w:sz w:val="18"/>
          <w:szCs w:val="18"/>
          <w:shd w:val="clear" w:color="auto" w:fill="FFFFFF"/>
          <w:lang w:eastAsia="es-ES"/>
        </w:rPr>
        <w:t>64</w:t>
      </w:r>
      <w:r w:rsidRPr="00BA4CB5">
        <w:rPr>
          <w:rFonts w:eastAsia="Times New Roman" w:cs="Arial"/>
          <w:color w:val="000000"/>
          <w:sz w:val="18"/>
          <w:szCs w:val="18"/>
          <w:shd w:val="clear" w:color="auto" w:fill="FFFFFF"/>
          <w:lang w:eastAsia="es-ES"/>
        </w:rPr>
        <w:t> de la CNV.</w:t>
      </w:r>
    </w:p>
    <w:p w14:paraId="5F250616" w14:textId="77777777" w:rsidR="001C2C31" w:rsidRPr="00BA4CB5" w:rsidRDefault="001C2C31" w:rsidP="00916F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center"/>
        <w:rPr>
          <w:rFonts w:eastAsia="Times New Roman"/>
          <w:sz w:val="18"/>
          <w:szCs w:val="18"/>
          <w:lang w:val="es-ES_tradnl" w:eastAsia="es-ES"/>
        </w:rPr>
      </w:pPr>
      <w:r w:rsidRPr="00BA4CB5">
        <w:rPr>
          <w:rFonts w:eastAsia="Times New Roman"/>
          <w:sz w:val="18"/>
          <w:szCs w:val="18"/>
          <w:lang w:val="es-ES_tradnl" w:eastAsia="es-ES"/>
        </w:rPr>
        <w:t>Av. Corrientes 1174, piso 3°</w:t>
      </w:r>
    </w:p>
    <w:p w14:paraId="2A6756AE" w14:textId="77777777" w:rsidR="001C2C31" w:rsidRPr="00BA4CB5" w:rsidRDefault="001C2C31" w:rsidP="00916F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center"/>
        <w:rPr>
          <w:rFonts w:eastAsia="Times New Roman"/>
          <w:sz w:val="18"/>
          <w:szCs w:val="18"/>
          <w:lang w:val="es-ES_tradnl" w:eastAsia="es-ES"/>
        </w:rPr>
      </w:pPr>
      <w:r w:rsidRPr="00BA4CB5">
        <w:rPr>
          <w:rFonts w:eastAsia="Times New Roman"/>
          <w:sz w:val="18"/>
          <w:szCs w:val="18"/>
          <w:lang w:val="es-ES_tradnl" w:eastAsia="es-ES"/>
        </w:rPr>
        <w:t>(C1043AAY) Ciudad Autónoma de Buenos Aires</w:t>
      </w:r>
    </w:p>
    <w:p w14:paraId="59751F23" w14:textId="77777777" w:rsidR="001C2C31" w:rsidRPr="00BA4CB5" w:rsidRDefault="001C2C31" w:rsidP="00916F8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center"/>
        <w:rPr>
          <w:rFonts w:eastAsia="Times New Roman"/>
          <w:sz w:val="18"/>
          <w:szCs w:val="18"/>
          <w:lang w:val="es-ES_tradnl" w:eastAsia="es-ES"/>
        </w:rPr>
      </w:pPr>
      <w:r w:rsidRPr="00BA4CB5">
        <w:rPr>
          <w:rFonts w:eastAsia="Times New Roman"/>
          <w:sz w:val="18"/>
          <w:szCs w:val="18"/>
          <w:lang w:val="es-ES_tradnl" w:eastAsia="es-ES"/>
        </w:rPr>
        <w:t>República Argentina</w:t>
      </w:r>
    </w:p>
    <w:p w14:paraId="7D3857F4" w14:textId="77777777" w:rsidR="001C2C31" w:rsidRPr="00BA4CB5" w:rsidRDefault="001C2C31" w:rsidP="00916F81">
      <w:pPr>
        <w:widowControl w:val="0"/>
        <w:autoSpaceDE w:val="0"/>
        <w:autoSpaceDN w:val="0"/>
        <w:adjustRightInd w:val="0"/>
        <w:spacing w:after="0"/>
        <w:jc w:val="both"/>
        <w:rPr>
          <w:rFonts w:eastAsia="Times New Roman"/>
          <w:b/>
          <w:sz w:val="18"/>
          <w:szCs w:val="18"/>
          <w:lang w:val="es-ES_tradnl" w:eastAsia="es-ES"/>
        </w:rPr>
      </w:pPr>
    </w:p>
    <w:p w14:paraId="75932E76" w14:textId="77777777" w:rsidR="001C2C31" w:rsidRPr="00BA4CB5" w:rsidRDefault="001C2C31" w:rsidP="00916F81">
      <w:pPr>
        <w:widowControl w:val="0"/>
        <w:autoSpaceDE w:val="0"/>
        <w:autoSpaceDN w:val="0"/>
        <w:adjustRightInd w:val="0"/>
        <w:spacing w:after="0"/>
        <w:jc w:val="center"/>
        <w:rPr>
          <w:rFonts w:eastAsia="Times New Roman"/>
          <w:b/>
          <w:sz w:val="18"/>
          <w:szCs w:val="18"/>
          <w:lang w:val="es-ES_tradnl" w:eastAsia="es-ES"/>
        </w:rPr>
      </w:pPr>
      <w:r w:rsidRPr="00BA4CB5">
        <w:rPr>
          <w:rFonts w:eastAsia="Times New Roman"/>
          <w:b/>
          <w:sz w:val="18"/>
          <w:szCs w:val="18"/>
          <w:lang w:val="es-ES_tradnl" w:eastAsia="es-ES"/>
        </w:rPr>
        <w:t xml:space="preserve">ASESORES LEGALES DE LA TRANSACCIÓN </w:t>
      </w:r>
    </w:p>
    <w:p w14:paraId="2A6A6AC4" w14:textId="77777777" w:rsidR="001C2C31" w:rsidRPr="00BA4CB5" w:rsidRDefault="001C2C31" w:rsidP="00916F81">
      <w:pPr>
        <w:widowControl w:val="0"/>
        <w:autoSpaceDE w:val="0"/>
        <w:autoSpaceDN w:val="0"/>
        <w:adjustRightInd w:val="0"/>
        <w:spacing w:after="0"/>
        <w:jc w:val="center"/>
        <w:rPr>
          <w:rFonts w:eastAsia="Times New Roman"/>
          <w:b/>
          <w:sz w:val="18"/>
          <w:szCs w:val="18"/>
          <w:lang w:val="es-ES_tradnl" w:eastAsia="es-ES"/>
        </w:rPr>
      </w:pPr>
      <w:r w:rsidRPr="00BA4CB5">
        <w:rPr>
          <w:rFonts w:eastAsia="Times New Roman"/>
          <w:b/>
          <w:sz w:val="18"/>
          <w:szCs w:val="18"/>
          <w:lang w:val="es-ES_tradnl" w:eastAsia="es-ES"/>
        </w:rPr>
        <w:t>Salaverri, Burgio &amp; Wetzler Malbrán</w:t>
      </w:r>
    </w:p>
    <w:p w14:paraId="4F8EAB75" w14:textId="77777777" w:rsidR="001C2C31" w:rsidRPr="00BA4CB5" w:rsidRDefault="001C2C31" w:rsidP="00916F81">
      <w:pPr>
        <w:widowControl w:val="0"/>
        <w:autoSpaceDE w:val="0"/>
        <w:autoSpaceDN w:val="0"/>
        <w:adjustRightInd w:val="0"/>
        <w:spacing w:after="0"/>
        <w:jc w:val="center"/>
        <w:rPr>
          <w:rFonts w:eastAsia="Times New Roman"/>
          <w:sz w:val="18"/>
          <w:szCs w:val="18"/>
          <w:lang w:val="es-ES_tradnl" w:eastAsia="es-ES"/>
        </w:rPr>
      </w:pPr>
      <w:r w:rsidRPr="00BA4CB5">
        <w:rPr>
          <w:rFonts w:eastAsia="Times New Roman"/>
          <w:sz w:val="18"/>
          <w:szCs w:val="18"/>
          <w:lang w:val="es-ES_tradnl" w:eastAsia="es-ES"/>
        </w:rPr>
        <w:t xml:space="preserve">Av. Del Libertador 602, Piso 3° – </w:t>
      </w:r>
    </w:p>
    <w:p w14:paraId="2F548192" w14:textId="77777777" w:rsidR="001C2C31" w:rsidRPr="00BA4CB5" w:rsidRDefault="001C2C31" w:rsidP="00916F81">
      <w:pPr>
        <w:widowControl w:val="0"/>
        <w:autoSpaceDE w:val="0"/>
        <w:autoSpaceDN w:val="0"/>
        <w:adjustRightInd w:val="0"/>
        <w:spacing w:after="0"/>
        <w:jc w:val="center"/>
        <w:rPr>
          <w:rFonts w:eastAsia="Times New Roman"/>
          <w:sz w:val="18"/>
          <w:szCs w:val="18"/>
          <w:lang w:val="es-ES_tradnl" w:eastAsia="es-ES"/>
        </w:rPr>
      </w:pPr>
      <w:r w:rsidRPr="00BA4CB5">
        <w:rPr>
          <w:rFonts w:eastAsia="Times New Roman"/>
          <w:sz w:val="18"/>
          <w:szCs w:val="18"/>
          <w:lang w:eastAsia="es-ES"/>
        </w:rPr>
        <w:t>(C1001ABT)</w:t>
      </w:r>
      <w:r w:rsidRPr="00BA4CB5">
        <w:rPr>
          <w:rFonts w:eastAsia="Times New Roman"/>
          <w:sz w:val="18"/>
          <w:szCs w:val="18"/>
          <w:lang w:val="es-ES_tradnl" w:eastAsia="es-ES"/>
        </w:rPr>
        <w:t xml:space="preserve"> Ciudad Autónoma de Buenos Aires</w:t>
      </w:r>
    </w:p>
    <w:p w14:paraId="57FB7E40" w14:textId="77777777" w:rsidR="001C2C31" w:rsidRPr="00BA4CB5" w:rsidRDefault="001C2C31" w:rsidP="00916F81">
      <w:pPr>
        <w:spacing w:after="0"/>
        <w:jc w:val="center"/>
        <w:rPr>
          <w:rFonts w:eastAsia="Times New Roman"/>
          <w:sz w:val="18"/>
          <w:szCs w:val="18"/>
          <w:lang w:eastAsia="es-ES"/>
        </w:rPr>
      </w:pPr>
      <w:r w:rsidRPr="00BA4CB5">
        <w:rPr>
          <w:rFonts w:eastAsia="Times New Roman"/>
          <w:sz w:val="18"/>
          <w:szCs w:val="18"/>
          <w:lang w:val="es-ES_tradnl" w:eastAsia="es-ES"/>
        </w:rPr>
        <w:t>República Argentina</w:t>
      </w:r>
    </w:p>
    <w:p w14:paraId="662750A3" w14:textId="77777777" w:rsidR="001C2C31" w:rsidRPr="00BA4CB5" w:rsidRDefault="001C2C31" w:rsidP="00916F81">
      <w:pPr>
        <w:widowControl w:val="0"/>
        <w:autoSpaceDE w:val="0"/>
        <w:autoSpaceDN w:val="0"/>
        <w:adjustRightInd w:val="0"/>
        <w:spacing w:after="0"/>
        <w:jc w:val="center"/>
        <w:rPr>
          <w:rFonts w:eastAsia="Times New Roman"/>
          <w:sz w:val="18"/>
          <w:szCs w:val="18"/>
          <w:lang w:val="es-ES_tradnl" w:eastAsia="es-ES"/>
        </w:rPr>
      </w:pPr>
    </w:p>
    <w:p w14:paraId="0D4D72EE" w14:textId="77777777" w:rsidR="001C2C31" w:rsidRPr="00BA4CB5" w:rsidRDefault="001C2C31" w:rsidP="00916F81">
      <w:pPr>
        <w:spacing w:after="0"/>
        <w:jc w:val="center"/>
        <w:rPr>
          <w:rFonts w:eastAsia="Times New Roman"/>
          <w:b/>
          <w:sz w:val="18"/>
          <w:szCs w:val="18"/>
          <w:lang w:val="es-ES_tradnl" w:eastAsia="es-ES"/>
        </w:rPr>
      </w:pPr>
      <w:r w:rsidRPr="00BA4CB5">
        <w:rPr>
          <w:rFonts w:eastAsia="Times New Roman"/>
          <w:b/>
          <w:sz w:val="18"/>
          <w:szCs w:val="18"/>
          <w:lang w:val="es-ES_tradnl" w:eastAsia="es-ES"/>
        </w:rPr>
        <w:t xml:space="preserve">AUDITORES DEL EMISOR </w:t>
      </w:r>
    </w:p>
    <w:p w14:paraId="6F3ED5A5" w14:textId="77777777" w:rsidR="001C2C31" w:rsidRPr="00BA4CB5" w:rsidRDefault="001578BE" w:rsidP="00916F81">
      <w:pPr>
        <w:spacing w:after="0"/>
        <w:jc w:val="center"/>
        <w:rPr>
          <w:rFonts w:eastAsia="Times New Roman"/>
          <w:b/>
          <w:sz w:val="18"/>
          <w:szCs w:val="18"/>
          <w:lang w:val="es-ES_tradnl" w:eastAsia="es-ES"/>
        </w:rPr>
      </w:pPr>
      <w:r w:rsidRPr="00BA4CB5">
        <w:rPr>
          <w:rFonts w:eastAsia="Times New Roman"/>
          <w:b/>
          <w:sz w:val="18"/>
          <w:szCs w:val="18"/>
          <w:lang w:val="es-ES_tradnl" w:eastAsia="es-ES"/>
        </w:rPr>
        <w:t>BDO Becher &amp; Asociados S.R.L</w:t>
      </w:r>
    </w:p>
    <w:p w14:paraId="58971C31" w14:textId="77777777" w:rsidR="002A342F" w:rsidRPr="00BA4CB5" w:rsidRDefault="001578BE" w:rsidP="00916F81">
      <w:pPr>
        <w:spacing w:after="0"/>
        <w:jc w:val="center"/>
        <w:rPr>
          <w:rFonts w:eastAsia="Times New Roman"/>
          <w:sz w:val="18"/>
          <w:szCs w:val="18"/>
          <w:lang w:eastAsia="es-ES"/>
        </w:rPr>
      </w:pPr>
      <w:r w:rsidRPr="00BA4CB5">
        <w:rPr>
          <w:rFonts w:eastAsia="Times New Roman"/>
          <w:sz w:val="18"/>
          <w:szCs w:val="18"/>
          <w:lang w:eastAsia="es-ES"/>
        </w:rPr>
        <w:t>Maipú 942</w:t>
      </w:r>
    </w:p>
    <w:p w14:paraId="38216A61" w14:textId="77777777" w:rsidR="001C2C31" w:rsidRPr="00BA4CB5" w:rsidRDefault="001C2C31" w:rsidP="00916F81">
      <w:pPr>
        <w:spacing w:after="0"/>
        <w:jc w:val="center"/>
        <w:rPr>
          <w:rFonts w:eastAsia="Times New Roman"/>
          <w:sz w:val="18"/>
          <w:szCs w:val="18"/>
          <w:lang w:eastAsia="es-ES"/>
        </w:rPr>
      </w:pPr>
      <w:bookmarkStart w:id="85" w:name="_Toc101785716"/>
      <w:bookmarkStart w:id="86" w:name="_Toc101870790"/>
      <w:r w:rsidRPr="00BA4CB5">
        <w:rPr>
          <w:rFonts w:eastAsia="Times New Roman"/>
          <w:sz w:val="18"/>
          <w:szCs w:val="18"/>
          <w:lang w:eastAsia="es-ES"/>
        </w:rPr>
        <w:t>(</w:t>
      </w:r>
      <w:r w:rsidR="002A342F" w:rsidRPr="00BA4CB5">
        <w:rPr>
          <w:rFonts w:eastAsia="Times New Roman"/>
          <w:sz w:val="18"/>
          <w:szCs w:val="18"/>
          <w:lang w:eastAsia="es-ES"/>
        </w:rPr>
        <w:t>C1106ACN</w:t>
      </w:r>
      <w:r w:rsidRPr="00BA4CB5">
        <w:rPr>
          <w:rFonts w:eastAsia="Times New Roman"/>
          <w:sz w:val="18"/>
          <w:szCs w:val="18"/>
          <w:lang w:eastAsia="es-ES"/>
        </w:rPr>
        <w:t>) Ciudad Autónoma de Buenos Aires</w:t>
      </w:r>
      <w:bookmarkEnd w:id="85"/>
      <w:bookmarkEnd w:id="86"/>
    </w:p>
    <w:p w14:paraId="74FAD843" w14:textId="77777777" w:rsidR="00DF6CB4" w:rsidRPr="00BA4CB5" w:rsidRDefault="001C2C31" w:rsidP="00916F81">
      <w:pPr>
        <w:spacing w:after="0"/>
        <w:jc w:val="center"/>
        <w:rPr>
          <w:rFonts w:eastAsia="Times New Roman"/>
          <w:spacing w:val="-3"/>
          <w:sz w:val="18"/>
          <w:szCs w:val="18"/>
          <w:lang w:val="es-ES_tradnl" w:eastAsia="es-ES"/>
        </w:rPr>
      </w:pPr>
      <w:bookmarkStart w:id="87" w:name="_Toc101785717"/>
      <w:bookmarkStart w:id="88" w:name="_Toc101870791"/>
      <w:r w:rsidRPr="00BA4CB5">
        <w:rPr>
          <w:rFonts w:eastAsia="Times New Roman"/>
          <w:sz w:val="18"/>
          <w:szCs w:val="18"/>
          <w:lang w:eastAsia="es-ES"/>
        </w:rPr>
        <w:t>República Argentina</w:t>
      </w:r>
      <w:bookmarkEnd w:id="87"/>
      <w:bookmarkEnd w:id="88"/>
    </w:p>
    <w:p w14:paraId="5647780D" w14:textId="77777777" w:rsidR="00DF6CB4" w:rsidRPr="00BA4CB5" w:rsidRDefault="00DF6CB4" w:rsidP="00916F81">
      <w:pPr>
        <w:spacing w:after="0"/>
        <w:jc w:val="center"/>
        <w:rPr>
          <w:rFonts w:eastAsia="Times New Roman"/>
          <w:spacing w:val="-3"/>
          <w:sz w:val="18"/>
          <w:szCs w:val="18"/>
          <w:lang w:val="es-ES_tradnl" w:eastAsia="es-ES"/>
        </w:rPr>
      </w:pPr>
    </w:p>
    <w:p w14:paraId="0ED5725A" w14:textId="77777777" w:rsidR="00DF6CB4" w:rsidRPr="00BA4CB5" w:rsidRDefault="00DF6CB4" w:rsidP="00916F81">
      <w:pPr>
        <w:spacing w:after="0"/>
        <w:jc w:val="center"/>
        <w:rPr>
          <w:rFonts w:eastAsia="Times New Roman"/>
          <w:spacing w:val="-3"/>
          <w:sz w:val="18"/>
          <w:szCs w:val="18"/>
          <w:lang w:val="es-ES_tradnl" w:eastAsia="es-ES"/>
        </w:rPr>
      </w:pPr>
    </w:p>
    <w:p w14:paraId="2D90A231" w14:textId="77777777" w:rsidR="00DF6CB4" w:rsidRPr="00BA4CB5" w:rsidRDefault="00DF6CB4" w:rsidP="00916F81">
      <w:pPr>
        <w:spacing w:after="0"/>
        <w:jc w:val="center"/>
        <w:rPr>
          <w:rFonts w:eastAsia="Times New Roman"/>
          <w:spacing w:val="-3"/>
          <w:sz w:val="18"/>
          <w:szCs w:val="18"/>
          <w:lang w:val="es-ES_tradnl" w:eastAsia="es-ES"/>
        </w:rPr>
      </w:pPr>
    </w:p>
    <w:p w14:paraId="20AAEDD2" w14:textId="77777777" w:rsidR="00DF6CB4" w:rsidRPr="00BA4CB5" w:rsidRDefault="00DF6CB4" w:rsidP="00916F81">
      <w:pPr>
        <w:spacing w:after="0"/>
        <w:jc w:val="center"/>
        <w:rPr>
          <w:rFonts w:eastAsia="Times New Roman"/>
          <w:spacing w:val="-3"/>
          <w:sz w:val="18"/>
          <w:szCs w:val="18"/>
          <w:lang w:val="es-ES_tradnl" w:eastAsia="es-ES"/>
        </w:rPr>
      </w:pPr>
    </w:p>
    <w:p w14:paraId="587257B8" w14:textId="77777777" w:rsidR="00DF6CB4" w:rsidRPr="00BA4CB5" w:rsidRDefault="00DF6CB4" w:rsidP="00916F81">
      <w:pPr>
        <w:spacing w:after="0"/>
        <w:jc w:val="center"/>
        <w:rPr>
          <w:rFonts w:eastAsia="Times New Roman"/>
          <w:spacing w:val="-3"/>
          <w:sz w:val="18"/>
          <w:szCs w:val="18"/>
          <w:lang w:val="es-ES_tradnl" w:eastAsia="es-ES"/>
        </w:rPr>
      </w:pPr>
    </w:p>
    <w:p w14:paraId="359C2428" w14:textId="77777777" w:rsidR="00DF6CB4" w:rsidRPr="00BA4CB5" w:rsidRDefault="00DF6CB4" w:rsidP="00916F81">
      <w:pPr>
        <w:spacing w:after="0"/>
        <w:jc w:val="center"/>
        <w:rPr>
          <w:rFonts w:eastAsia="Times New Roman"/>
          <w:sz w:val="18"/>
          <w:szCs w:val="18"/>
          <w:lang w:eastAsia="es-ES"/>
        </w:rPr>
      </w:pPr>
    </w:p>
    <w:p w14:paraId="4223E51A" w14:textId="77777777" w:rsidR="00BA4CB5" w:rsidRPr="00BA4CB5" w:rsidRDefault="00BA4CB5" w:rsidP="00916F81">
      <w:pPr>
        <w:spacing w:after="0"/>
        <w:jc w:val="center"/>
        <w:rPr>
          <w:rFonts w:eastAsia="Times New Roman"/>
          <w:sz w:val="18"/>
          <w:szCs w:val="18"/>
          <w:lang w:eastAsia="es-ES"/>
        </w:rPr>
      </w:pPr>
    </w:p>
    <w:p w14:paraId="7618F6BA" w14:textId="77777777" w:rsidR="00BA4CB5" w:rsidRPr="00BA4CB5" w:rsidRDefault="00BA4CB5" w:rsidP="00916F81">
      <w:pPr>
        <w:spacing w:after="0"/>
        <w:jc w:val="center"/>
        <w:rPr>
          <w:rFonts w:eastAsia="Times New Roman"/>
          <w:sz w:val="18"/>
          <w:szCs w:val="18"/>
          <w:lang w:eastAsia="es-ES"/>
        </w:rPr>
      </w:pPr>
    </w:p>
    <w:p w14:paraId="36BE2712" w14:textId="77777777" w:rsidR="00BA4CB5" w:rsidRPr="00BA4CB5" w:rsidRDefault="00BA4CB5" w:rsidP="00916F81">
      <w:pPr>
        <w:spacing w:after="0"/>
        <w:jc w:val="center"/>
        <w:rPr>
          <w:rFonts w:eastAsia="Times New Roman"/>
          <w:sz w:val="18"/>
          <w:szCs w:val="18"/>
          <w:lang w:eastAsia="es-ES"/>
        </w:rPr>
      </w:pPr>
    </w:p>
    <w:p w14:paraId="37EDADCA" w14:textId="77777777" w:rsidR="00BA4CB5" w:rsidRPr="00BA4CB5" w:rsidRDefault="00BA4CB5" w:rsidP="00916F81">
      <w:pPr>
        <w:spacing w:after="0"/>
        <w:jc w:val="center"/>
        <w:rPr>
          <w:rFonts w:eastAsia="Times New Roman"/>
          <w:sz w:val="18"/>
          <w:szCs w:val="18"/>
          <w:lang w:eastAsia="es-ES"/>
        </w:rPr>
      </w:pPr>
    </w:p>
    <w:p w14:paraId="3430E677" w14:textId="77777777" w:rsidR="00BA4CB5" w:rsidRPr="00BA4CB5" w:rsidRDefault="00BA4CB5" w:rsidP="00BA4CB5">
      <w:pPr>
        <w:spacing w:after="0"/>
        <w:rPr>
          <w:rFonts w:eastAsia="Times New Roman"/>
          <w:sz w:val="18"/>
          <w:szCs w:val="18"/>
          <w:lang w:eastAsia="es-ES"/>
        </w:rPr>
      </w:pPr>
    </w:p>
    <w:p w14:paraId="53063307" w14:textId="77777777" w:rsidR="00BA4CB5" w:rsidRPr="00BA4CB5" w:rsidRDefault="00BA4CB5" w:rsidP="00916F81">
      <w:pPr>
        <w:spacing w:after="0"/>
        <w:jc w:val="center"/>
        <w:rPr>
          <w:rFonts w:eastAsia="Times New Roman"/>
          <w:sz w:val="18"/>
          <w:szCs w:val="18"/>
          <w:lang w:eastAsia="es-ES"/>
        </w:rPr>
      </w:pPr>
    </w:p>
    <w:p w14:paraId="2FE07E8B" w14:textId="77777777" w:rsidR="001C2C31" w:rsidRPr="00BA4CB5" w:rsidRDefault="001C2C31" w:rsidP="00916F81">
      <w:pPr>
        <w:spacing w:after="0"/>
        <w:jc w:val="center"/>
        <w:rPr>
          <w:rFonts w:eastAsia="Times New Roman"/>
          <w:spacing w:val="-3"/>
          <w:sz w:val="18"/>
          <w:szCs w:val="18"/>
          <w:lang w:val="es-ES_tradnl" w:eastAsia="es-ES"/>
        </w:rPr>
      </w:pPr>
    </w:p>
    <w:p w14:paraId="52635CA8" w14:textId="3F6F437A" w:rsidR="00DF6CB4" w:rsidRPr="00BA4CB5" w:rsidRDefault="00DF6CB4" w:rsidP="00BA4CB5">
      <w:pPr>
        <w:spacing w:after="0"/>
        <w:ind w:right="849"/>
        <w:jc w:val="center"/>
        <w:rPr>
          <w:sz w:val="18"/>
          <w:szCs w:val="18"/>
        </w:rPr>
        <w:sectPr w:rsidR="00DF6CB4" w:rsidRPr="00BA4CB5" w:rsidSect="00BA4CB5">
          <w:pgSz w:w="11907" w:h="16840" w:code="9"/>
          <w:pgMar w:top="1701" w:right="1418" w:bottom="1701" w:left="1418" w:header="720" w:footer="720" w:gutter="0"/>
          <w:cols w:space="720"/>
          <w:docGrid w:linePitch="272"/>
        </w:sectPr>
      </w:pPr>
      <w:r w:rsidRPr="00BA4CB5">
        <w:rPr>
          <w:sz w:val="18"/>
          <w:szCs w:val="18"/>
        </w:rPr>
        <w:t>Ciudad Autónoma de Buenos Aires</w:t>
      </w:r>
      <w:r w:rsidR="00BA4CB5">
        <w:rPr>
          <w:sz w:val="18"/>
          <w:szCs w:val="18"/>
        </w:rPr>
        <w:t>,</w:t>
      </w:r>
      <w:r w:rsidRPr="00BA4CB5">
        <w:rPr>
          <w:sz w:val="18"/>
          <w:szCs w:val="18"/>
        </w:rPr>
        <w:t xml:space="preserve"> </w:t>
      </w:r>
      <w:r w:rsidR="003E1F5A">
        <w:rPr>
          <w:sz w:val="18"/>
          <w:szCs w:val="18"/>
        </w:rPr>
        <w:t xml:space="preserve">3 </w:t>
      </w:r>
      <w:r w:rsidRPr="00BA4CB5">
        <w:rPr>
          <w:sz w:val="18"/>
          <w:szCs w:val="18"/>
        </w:rPr>
        <w:t xml:space="preserve">de </w:t>
      </w:r>
      <w:r w:rsidR="003E1F5A">
        <w:rPr>
          <w:sz w:val="18"/>
          <w:szCs w:val="18"/>
        </w:rPr>
        <w:t>diciembre</w:t>
      </w:r>
      <w:r w:rsidR="00DA6560" w:rsidRPr="00BA4CB5">
        <w:rPr>
          <w:sz w:val="18"/>
          <w:szCs w:val="18"/>
        </w:rPr>
        <w:t xml:space="preserve"> </w:t>
      </w:r>
      <w:r w:rsidRPr="00BA4CB5">
        <w:rPr>
          <w:sz w:val="18"/>
          <w:szCs w:val="18"/>
        </w:rPr>
        <w:t xml:space="preserve">de </w:t>
      </w:r>
      <w:bookmarkStart w:id="89" w:name="_Hlt532121141"/>
      <w:bookmarkStart w:id="90" w:name="_DV_M279"/>
      <w:bookmarkStart w:id="91" w:name="_Hlt76356354"/>
      <w:bookmarkStart w:id="92" w:name="_Hlt77737626"/>
      <w:bookmarkStart w:id="93" w:name="_Toc100563495"/>
      <w:bookmarkEnd w:id="89"/>
      <w:bookmarkEnd w:id="90"/>
      <w:bookmarkEnd w:id="91"/>
      <w:bookmarkEnd w:id="92"/>
      <w:r w:rsidR="00BA4CB5">
        <w:rPr>
          <w:sz w:val="18"/>
          <w:szCs w:val="18"/>
        </w:rPr>
        <w:t>2019</w:t>
      </w:r>
    </w:p>
    <w:bookmarkEnd w:id="93"/>
    <w:p w14:paraId="48E681C8" w14:textId="77777777" w:rsidR="005464A7" w:rsidRDefault="005464A7" w:rsidP="00916F81">
      <w:pPr>
        <w:spacing w:after="0"/>
      </w:pPr>
    </w:p>
    <w:sectPr w:rsidR="005464A7" w:rsidSect="005464A7">
      <w:footerReference w:type="default" r:id="rId20"/>
      <w:pgSz w:w="11907" w:h="16840" w:code="9"/>
      <w:pgMar w:top="851" w:right="1134" w:bottom="851" w:left="1701" w:header="425"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1DC0A" w14:textId="77777777" w:rsidR="00E401AB" w:rsidRDefault="00E401AB">
      <w:pPr>
        <w:spacing w:after="0" w:line="240" w:lineRule="auto"/>
      </w:pPr>
      <w:r>
        <w:separator/>
      </w:r>
    </w:p>
  </w:endnote>
  <w:endnote w:type="continuationSeparator" w:id="0">
    <w:p w14:paraId="34FEDD17" w14:textId="77777777" w:rsidR="00E401AB" w:rsidRDefault="00E4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DD2D0" w14:textId="77777777" w:rsidR="003E1F5A" w:rsidRPr="00BA4CB5" w:rsidRDefault="003E1F5A" w:rsidP="00BA4CB5">
    <w:pPr>
      <w:pStyle w:val="Piedepgina"/>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16D40" w14:textId="77777777" w:rsidR="00E401AB" w:rsidRDefault="00E401AB">
      <w:pPr>
        <w:spacing w:after="0" w:line="240" w:lineRule="auto"/>
      </w:pPr>
      <w:r>
        <w:separator/>
      </w:r>
    </w:p>
  </w:footnote>
  <w:footnote w:type="continuationSeparator" w:id="0">
    <w:p w14:paraId="02CF2CBD" w14:textId="77777777" w:rsidR="00E401AB" w:rsidRDefault="00E40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hybridMultilevel"/>
    <w:tmpl w:val="84F67032"/>
    <w:lvl w:ilvl="0" w:tplc="AEA22D70">
      <w:start w:val="1"/>
      <w:numFmt w:val="lowerRoman"/>
      <w:lvlText w:val="(%1)"/>
      <w:lvlJc w:val="left"/>
      <w:pPr>
        <w:widowControl w:val="0"/>
        <w:autoSpaceDE w:val="0"/>
        <w:autoSpaceDN w:val="0"/>
        <w:adjustRightInd w:val="0"/>
        <w:ind w:left="1080" w:hanging="720"/>
      </w:pPr>
      <w:rPr>
        <w:rFonts w:ascii="Calibri" w:hAnsi="Calibri" w:cs="Calibri" w:hint="default"/>
        <w:sz w:val="20"/>
        <w:szCs w:val="20"/>
      </w:rPr>
    </w:lvl>
    <w:lvl w:ilvl="1" w:tplc="C682E718">
      <w:start w:val="1"/>
      <w:numFmt w:val="lowerLetter"/>
      <w:lvlText w:val="%2."/>
      <w:lvlJc w:val="left"/>
      <w:pPr>
        <w:widowControl w:val="0"/>
        <w:autoSpaceDE w:val="0"/>
        <w:autoSpaceDN w:val="0"/>
        <w:adjustRightInd w:val="0"/>
        <w:ind w:left="1440" w:hanging="360"/>
      </w:pPr>
      <w:rPr>
        <w:rFonts w:ascii="Calibri" w:hAnsi="Calibri" w:cs="Times New Roman" w:hint="default"/>
        <w:sz w:val="22"/>
        <w:szCs w:val="22"/>
      </w:rPr>
    </w:lvl>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sz w:val="24"/>
        <w:szCs w:val="24"/>
      </w:rPr>
    </w:lvl>
  </w:abstractNum>
  <w:abstractNum w:abstractNumId="1" w15:restartNumberingAfterBreak="0">
    <w:nsid w:val="00754734"/>
    <w:multiLevelType w:val="hybridMultilevel"/>
    <w:tmpl w:val="965A9A38"/>
    <w:lvl w:ilvl="0" w:tplc="7444DF06">
      <w:start w:val="1"/>
      <w:numFmt w:val="lowerRoman"/>
      <w:lvlText w:val="(%1)"/>
      <w:lvlJc w:val="left"/>
      <w:pPr>
        <w:tabs>
          <w:tab w:val="num" w:pos="4167"/>
        </w:tabs>
        <w:ind w:left="4167" w:hanging="2160"/>
      </w:pPr>
      <w:rPr>
        <w:rFonts w:hint="default"/>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2" w15:restartNumberingAfterBreak="0">
    <w:nsid w:val="010128D6"/>
    <w:multiLevelType w:val="hybridMultilevel"/>
    <w:tmpl w:val="86FE5D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10CFD"/>
    <w:multiLevelType w:val="multilevel"/>
    <w:tmpl w:val="07D24F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6A64A3"/>
    <w:multiLevelType w:val="hybridMultilevel"/>
    <w:tmpl w:val="4CA274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996727"/>
    <w:multiLevelType w:val="hybridMultilevel"/>
    <w:tmpl w:val="6A5A9E52"/>
    <w:lvl w:ilvl="0" w:tplc="2FEE3F42">
      <w:start w:val="1"/>
      <w:numFmt w:val="lowerLetter"/>
      <w:lvlText w:val="%1)"/>
      <w:lvlJc w:val="left"/>
      <w:pPr>
        <w:tabs>
          <w:tab w:val="num" w:pos="720"/>
        </w:tabs>
        <w:ind w:left="720" w:hanging="360"/>
      </w:pPr>
      <w:rPr>
        <w:rFonts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8E733A"/>
    <w:multiLevelType w:val="hybridMultilevel"/>
    <w:tmpl w:val="2B28F312"/>
    <w:lvl w:ilvl="0" w:tplc="B448AF72">
      <w:start w:val="1"/>
      <w:numFmt w:val="decimal"/>
      <w:lvlText w:val="%1."/>
      <w:lvlJc w:val="left"/>
      <w:pPr>
        <w:ind w:left="720" w:hanging="360"/>
      </w:pPr>
      <w:rPr>
        <w:rFonts w:hint="default"/>
        <w:i/>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15:restartNumberingAfterBreak="0">
    <w:nsid w:val="08BC5750"/>
    <w:multiLevelType w:val="hybridMultilevel"/>
    <w:tmpl w:val="52E0C1BC"/>
    <w:lvl w:ilvl="0" w:tplc="1B4EDE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796500"/>
    <w:multiLevelType w:val="hybridMultilevel"/>
    <w:tmpl w:val="09508526"/>
    <w:lvl w:ilvl="0" w:tplc="266C8200">
      <w:start w:val="1"/>
      <w:numFmt w:val="lowerLetter"/>
      <w:lvlText w:val="(%1)"/>
      <w:lvlJc w:val="left"/>
      <w:pPr>
        <w:tabs>
          <w:tab w:val="num" w:pos="720"/>
        </w:tabs>
        <w:ind w:left="720" w:hanging="360"/>
      </w:pPr>
      <w:rPr>
        <w:rFonts w:hint="default"/>
      </w:rPr>
    </w:lvl>
    <w:lvl w:ilvl="1" w:tplc="36B415A8">
      <w:start w:val="1"/>
      <w:numFmt w:val="bullet"/>
      <w:lvlText w:val=""/>
      <w:lvlJc w:val="left"/>
      <w:pPr>
        <w:tabs>
          <w:tab w:val="num" w:pos="1440"/>
        </w:tabs>
        <w:ind w:left="1440" w:hanging="360"/>
      </w:pPr>
      <w:rPr>
        <w:rFonts w:ascii="Symbol" w:hAnsi="Symbol" w:hint="default"/>
        <w:color w:val="auto"/>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330655"/>
    <w:multiLevelType w:val="hybridMultilevel"/>
    <w:tmpl w:val="3160A2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4F1A08"/>
    <w:multiLevelType w:val="hybridMultilevel"/>
    <w:tmpl w:val="B4B61F94"/>
    <w:lvl w:ilvl="0" w:tplc="D21E75D4">
      <w:start w:val="1"/>
      <w:numFmt w:val="decimal"/>
      <w:lvlText w:val="(%1)"/>
      <w:lvlJc w:val="left"/>
      <w:pPr>
        <w:tabs>
          <w:tab w:val="num" w:pos="1080"/>
        </w:tabs>
        <w:ind w:left="1080" w:hanging="72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1017D60"/>
    <w:multiLevelType w:val="hybridMultilevel"/>
    <w:tmpl w:val="068C7B42"/>
    <w:lvl w:ilvl="0" w:tplc="4FBC5B0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1B03125"/>
    <w:multiLevelType w:val="hybridMultilevel"/>
    <w:tmpl w:val="1236E77A"/>
    <w:lvl w:ilvl="0" w:tplc="C1DCC2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DE14A0"/>
    <w:multiLevelType w:val="hybridMultilevel"/>
    <w:tmpl w:val="2D685F98"/>
    <w:lvl w:ilvl="0" w:tplc="0D70EF48">
      <w:start w:val="1"/>
      <w:numFmt w:val="lowerRoman"/>
      <w:lvlText w:val="(%1)"/>
      <w:lvlJc w:val="left"/>
      <w:pPr>
        <w:tabs>
          <w:tab w:val="num" w:pos="1080"/>
        </w:tabs>
        <w:ind w:left="1080" w:hanging="720"/>
      </w:pPr>
      <w:rPr>
        <w:rFonts w:hint="default"/>
      </w:rPr>
    </w:lvl>
    <w:lvl w:ilvl="1" w:tplc="04AA518E">
      <w:start w:val="2"/>
      <w:numFmt w:val="decimal"/>
      <w:lvlText w:val="%2)"/>
      <w:lvlJc w:val="left"/>
      <w:pPr>
        <w:tabs>
          <w:tab w:val="num" w:pos="1440"/>
        </w:tabs>
        <w:ind w:left="1440" w:hanging="360"/>
      </w:pPr>
      <w:rPr>
        <w:rFonts w:hint="default"/>
      </w:rPr>
    </w:lvl>
    <w:lvl w:ilvl="2" w:tplc="CD90AE76">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512164"/>
    <w:multiLevelType w:val="hybridMultilevel"/>
    <w:tmpl w:val="76ECD9CE"/>
    <w:lvl w:ilvl="0" w:tplc="18722EA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D81BEE"/>
    <w:multiLevelType w:val="hybridMultilevel"/>
    <w:tmpl w:val="4A46D6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2B18C5"/>
    <w:multiLevelType w:val="hybridMultilevel"/>
    <w:tmpl w:val="07883362"/>
    <w:lvl w:ilvl="0" w:tplc="04CA1F8E">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1E8F1C23"/>
    <w:multiLevelType w:val="hybridMultilevel"/>
    <w:tmpl w:val="6A908714"/>
    <w:lvl w:ilvl="0" w:tplc="D694934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2F36F32"/>
    <w:multiLevelType w:val="hybridMultilevel"/>
    <w:tmpl w:val="B2666838"/>
    <w:lvl w:ilvl="0" w:tplc="FFFFFFFF">
      <w:start w:val="1"/>
      <w:numFmt w:val="low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5B42A2A"/>
    <w:multiLevelType w:val="hybridMultilevel"/>
    <w:tmpl w:val="72E06AC0"/>
    <w:lvl w:ilvl="0" w:tplc="2D56BA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9833CCF"/>
    <w:multiLevelType w:val="hybridMultilevel"/>
    <w:tmpl w:val="9C68CA68"/>
    <w:lvl w:ilvl="0" w:tplc="6688F67E">
      <w:start w:val="2"/>
      <w:numFmt w:val="decimal"/>
      <w:lvlText w:val="(%1)"/>
      <w:lvlJc w:val="left"/>
      <w:pPr>
        <w:tabs>
          <w:tab w:val="num" w:pos="720"/>
        </w:tabs>
        <w:ind w:left="720" w:hanging="360"/>
      </w:pPr>
      <w:rPr>
        <w:rFonts w:hint="default"/>
      </w:rPr>
    </w:lvl>
    <w:lvl w:ilvl="1" w:tplc="A13860B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655ED5"/>
    <w:multiLevelType w:val="hybridMultilevel"/>
    <w:tmpl w:val="96B666FC"/>
    <w:lvl w:ilvl="0" w:tplc="B7B40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1F2122"/>
    <w:multiLevelType w:val="multilevel"/>
    <w:tmpl w:val="7A2A0A60"/>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68B2F59"/>
    <w:multiLevelType w:val="hybridMultilevel"/>
    <w:tmpl w:val="C4BCD766"/>
    <w:lvl w:ilvl="0" w:tplc="5024E8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AED512D"/>
    <w:multiLevelType w:val="hybridMultilevel"/>
    <w:tmpl w:val="01206E6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3BBC6437"/>
    <w:multiLevelType w:val="singleLevel"/>
    <w:tmpl w:val="E186589A"/>
    <w:lvl w:ilvl="0">
      <w:start w:val="1"/>
      <w:numFmt w:val="lowerLetter"/>
      <w:lvlText w:val="(%1)"/>
      <w:lvlJc w:val="left"/>
      <w:pPr>
        <w:tabs>
          <w:tab w:val="num" w:pos="360"/>
        </w:tabs>
        <w:ind w:left="360" w:hanging="360"/>
      </w:pPr>
      <w:rPr>
        <w:rFonts w:cs="Times New Roman" w:hint="default"/>
      </w:rPr>
    </w:lvl>
  </w:abstractNum>
  <w:abstractNum w:abstractNumId="26" w15:restartNumberingAfterBreak="0">
    <w:nsid w:val="3E2A16D8"/>
    <w:multiLevelType w:val="hybridMultilevel"/>
    <w:tmpl w:val="C1E2A22C"/>
    <w:lvl w:ilvl="0" w:tplc="F1EC8012">
      <w:start w:val="10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724FB5"/>
    <w:multiLevelType w:val="hybridMultilevel"/>
    <w:tmpl w:val="05C4AEAE"/>
    <w:lvl w:ilvl="0" w:tplc="20B8B7A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0E7212D"/>
    <w:multiLevelType w:val="hybridMultilevel"/>
    <w:tmpl w:val="3CA277A4"/>
    <w:lvl w:ilvl="0" w:tplc="4B706214">
      <w:start w:val="3"/>
      <w:numFmt w:val="lowerLetter"/>
      <w:lvlText w:val="(%1)"/>
      <w:lvlJc w:val="left"/>
      <w:pPr>
        <w:tabs>
          <w:tab w:val="num" w:pos="900"/>
        </w:tabs>
        <w:ind w:left="900" w:hanging="540"/>
      </w:pPr>
      <w:rPr>
        <w:rFonts w:ascii="Times New Roman" w:hAnsi="Times New Roman" w:cs="Times New Roman" w:hint="default"/>
        <w:b w:val="0"/>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29" w15:restartNumberingAfterBreak="0">
    <w:nsid w:val="41790A74"/>
    <w:multiLevelType w:val="hybridMultilevel"/>
    <w:tmpl w:val="BF00DA98"/>
    <w:lvl w:ilvl="0" w:tplc="0DACE488">
      <w:start w:val="101"/>
      <w:numFmt w:val="bullet"/>
      <w:lvlText w:val="-"/>
      <w:lvlJc w:val="left"/>
      <w:pPr>
        <w:tabs>
          <w:tab w:val="num" w:pos="720"/>
        </w:tabs>
        <w:ind w:left="720" w:hanging="360"/>
      </w:pPr>
      <w:rPr>
        <w:rFonts w:ascii="Times New Roman" w:eastAsia="SimSu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B74AF4"/>
    <w:multiLevelType w:val="hybridMultilevel"/>
    <w:tmpl w:val="CDC6A70E"/>
    <w:lvl w:ilvl="0" w:tplc="385C83EE">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49E3487E"/>
    <w:multiLevelType w:val="hybridMultilevel"/>
    <w:tmpl w:val="0E0EAE44"/>
    <w:lvl w:ilvl="0" w:tplc="E43A2AF2">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4E1A7050"/>
    <w:multiLevelType w:val="hybridMultilevel"/>
    <w:tmpl w:val="3AF2BEB0"/>
    <w:lvl w:ilvl="0" w:tplc="0D70EF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B45DFB"/>
    <w:multiLevelType w:val="hybridMultilevel"/>
    <w:tmpl w:val="6F9666A2"/>
    <w:lvl w:ilvl="0" w:tplc="2D2C70CA">
      <w:numFmt w:val="bullet"/>
      <w:lvlText w:val="-"/>
      <w:lvlJc w:val="left"/>
      <w:pPr>
        <w:tabs>
          <w:tab w:val="num" w:pos="720"/>
        </w:tabs>
        <w:ind w:left="720" w:hanging="360"/>
      </w:pPr>
      <w:rPr>
        <w:rFonts w:ascii="Times New Roman" w:eastAsia="Times New Roman" w:hAnsi="Times New Roman" w:cs="Times New Roman"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905622"/>
    <w:multiLevelType w:val="hybridMultilevel"/>
    <w:tmpl w:val="7506E95A"/>
    <w:lvl w:ilvl="0" w:tplc="D9425AB0">
      <w:start w:val="1"/>
      <w:numFmt w:val="bullet"/>
      <w:lvlText w:val="-"/>
      <w:lvlJc w:val="left"/>
      <w:pPr>
        <w:tabs>
          <w:tab w:val="num" w:pos="720"/>
        </w:tabs>
        <w:ind w:left="720" w:hanging="360"/>
      </w:pPr>
      <w:rPr>
        <w:rFonts w:ascii="Times New Roman" w:eastAsia="SimSu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F179B3"/>
    <w:multiLevelType w:val="hybridMultilevel"/>
    <w:tmpl w:val="C12EABBE"/>
    <w:lvl w:ilvl="0" w:tplc="4FA6E91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480337"/>
    <w:multiLevelType w:val="multilevel"/>
    <w:tmpl w:val="52E0C1B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9AB2D51"/>
    <w:multiLevelType w:val="multilevel"/>
    <w:tmpl w:val="28B291B6"/>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B674605"/>
    <w:multiLevelType w:val="hybridMultilevel"/>
    <w:tmpl w:val="E21264DC"/>
    <w:lvl w:ilvl="0" w:tplc="18722EA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3578B8"/>
    <w:multiLevelType w:val="hybridMultilevel"/>
    <w:tmpl w:val="48B2364C"/>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40" w15:restartNumberingAfterBreak="0">
    <w:nsid w:val="67283C1C"/>
    <w:multiLevelType w:val="hybridMultilevel"/>
    <w:tmpl w:val="A0A695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6F4B03"/>
    <w:multiLevelType w:val="hybridMultilevel"/>
    <w:tmpl w:val="DA3014C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C47F33"/>
    <w:multiLevelType w:val="hybridMultilevel"/>
    <w:tmpl w:val="391AE5C2"/>
    <w:lvl w:ilvl="0" w:tplc="36B415A8">
      <w:start w:val="1"/>
      <w:numFmt w:val="bullet"/>
      <w:lvlText w:val=""/>
      <w:lvlJc w:val="left"/>
      <w:pPr>
        <w:tabs>
          <w:tab w:val="num" w:pos="720"/>
        </w:tabs>
        <w:ind w:left="720" w:hanging="360"/>
      </w:pPr>
      <w:rPr>
        <w:rFonts w:ascii="Symbol" w:hAnsi="Symbol" w:hint="default"/>
        <w:color w:val="auto"/>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B97559"/>
    <w:multiLevelType w:val="hybridMultilevel"/>
    <w:tmpl w:val="E7DEC226"/>
    <w:lvl w:ilvl="0" w:tplc="FE269C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F111AB"/>
    <w:multiLevelType w:val="hybridMultilevel"/>
    <w:tmpl w:val="C4883E16"/>
    <w:lvl w:ilvl="0" w:tplc="3C3AED1A">
      <w:start w:val="1"/>
      <w:numFmt w:val="bullet"/>
      <w:lvlText w:val="-"/>
      <w:lvlJc w:val="left"/>
      <w:pPr>
        <w:ind w:left="218" w:hanging="360"/>
      </w:pPr>
      <w:rPr>
        <w:rFonts w:ascii="Calibri" w:eastAsia="Times New Roman" w:hAnsi="Calibri" w:cs="Calibri" w:hint="default"/>
      </w:rPr>
    </w:lvl>
    <w:lvl w:ilvl="1" w:tplc="04090003">
      <w:start w:val="1"/>
      <w:numFmt w:val="bullet"/>
      <w:lvlText w:val="o"/>
      <w:lvlJc w:val="left"/>
      <w:pPr>
        <w:ind w:left="938" w:hanging="360"/>
      </w:pPr>
      <w:rPr>
        <w:rFonts w:ascii="Courier New" w:hAnsi="Courier New" w:cs="Courier New" w:hint="default"/>
      </w:rPr>
    </w:lvl>
    <w:lvl w:ilvl="2" w:tplc="04090005">
      <w:start w:val="1"/>
      <w:numFmt w:val="bullet"/>
      <w:lvlText w:val=""/>
      <w:lvlJc w:val="left"/>
      <w:pPr>
        <w:ind w:left="1658" w:hanging="360"/>
      </w:pPr>
      <w:rPr>
        <w:rFonts w:ascii="Wingdings" w:hAnsi="Wingdings" w:hint="default"/>
      </w:rPr>
    </w:lvl>
    <w:lvl w:ilvl="3" w:tplc="04090001">
      <w:start w:val="1"/>
      <w:numFmt w:val="bullet"/>
      <w:lvlText w:val=""/>
      <w:lvlJc w:val="left"/>
      <w:pPr>
        <w:ind w:left="2378" w:hanging="360"/>
      </w:pPr>
      <w:rPr>
        <w:rFonts w:ascii="Symbol" w:hAnsi="Symbol" w:hint="default"/>
      </w:rPr>
    </w:lvl>
    <w:lvl w:ilvl="4" w:tplc="04090003">
      <w:start w:val="1"/>
      <w:numFmt w:val="bullet"/>
      <w:lvlText w:val="o"/>
      <w:lvlJc w:val="left"/>
      <w:pPr>
        <w:ind w:left="3098" w:hanging="360"/>
      </w:pPr>
      <w:rPr>
        <w:rFonts w:ascii="Courier New" w:hAnsi="Courier New" w:cs="Courier New" w:hint="default"/>
      </w:rPr>
    </w:lvl>
    <w:lvl w:ilvl="5" w:tplc="04090005">
      <w:start w:val="1"/>
      <w:numFmt w:val="bullet"/>
      <w:lvlText w:val=""/>
      <w:lvlJc w:val="left"/>
      <w:pPr>
        <w:ind w:left="3818" w:hanging="360"/>
      </w:pPr>
      <w:rPr>
        <w:rFonts w:ascii="Wingdings" w:hAnsi="Wingdings" w:hint="default"/>
      </w:rPr>
    </w:lvl>
    <w:lvl w:ilvl="6" w:tplc="04090001">
      <w:start w:val="1"/>
      <w:numFmt w:val="bullet"/>
      <w:lvlText w:val=""/>
      <w:lvlJc w:val="left"/>
      <w:pPr>
        <w:ind w:left="4538" w:hanging="360"/>
      </w:pPr>
      <w:rPr>
        <w:rFonts w:ascii="Symbol" w:hAnsi="Symbol" w:hint="default"/>
      </w:rPr>
    </w:lvl>
    <w:lvl w:ilvl="7" w:tplc="04090003">
      <w:start w:val="1"/>
      <w:numFmt w:val="bullet"/>
      <w:lvlText w:val="o"/>
      <w:lvlJc w:val="left"/>
      <w:pPr>
        <w:ind w:left="5258" w:hanging="360"/>
      </w:pPr>
      <w:rPr>
        <w:rFonts w:ascii="Courier New" w:hAnsi="Courier New" w:cs="Courier New" w:hint="default"/>
      </w:rPr>
    </w:lvl>
    <w:lvl w:ilvl="8" w:tplc="04090005">
      <w:start w:val="1"/>
      <w:numFmt w:val="bullet"/>
      <w:lvlText w:val=""/>
      <w:lvlJc w:val="left"/>
      <w:pPr>
        <w:ind w:left="5978" w:hanging="360"/>
      </w:pPr>
      <w:rPr>
        <w:rFonts w:ascii="Wingdings" w:hAnsi="Wingdings" w:hint="default"/>
      </w:rPr>
    </w:lvl>
  </w:abstractNum>
  <w:abstractNum w:abstractNumId="45" w15:restartNumberingAfterBreak="0">
    <w:nsid w:val="770373F7"/>
    <w:multiLevelType w:val="hybridMultilevel"/>
    <w:tmpl w:val="BEC2BFFC"/>
    <w:lvl w:ilvl="0" w:tplc="266C82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F907CDE"/>
    <w:multiLevelType w:val="hybridMultilevel"/>
    <w:tmpl w:val="01267514"/>
    <w:lvl w:ilvl="0" w:tplc="6BB6B61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8"/>
  </w:num>
  <w:num w:numId="3">
    <w:abstractNumId w:val="41"/>
  </w:num>
  <w:num w:numId="4">
    <w:abstractNumId w:val="40"/>
  </w:num>
  <w:num w:numId="5">
    <w:abstractNumId w:val="9"/>
  </w:num>
  <w:num w:numId="6">
    <w:abstractNumId w:val="7"/>
  </w:num>
  <w:num w:numId="7">
    <w:abstractNumId w:val="19"/>
  </w:num>
  <w:num w:numId="8">
    <w:abstractNumId w:val="36"/>
  </w:num>
  <w:num w:numId="9">
    <w:abstractNumId w:val="8"/>
  </w:num>
  <w:num w:numId="10">
    <w:abstractNumId w:val="10"/>
  </w:num>
  <w:num w:numId="11">
    <w:abstractNumId w:val="45"/>
  </w:num>
  <w:num w:numId="12">
    <w:abstractNumId w:val="12"/>
  </w:num>
  <w:num w:numId="13">
    <w:abstractNumId w:val="33"/>
  </w:num>
  <w:num w:numId="14">
    <w:abstractNumId w:val="20"/>
  </w:num>
  <w:num w:numId="15">
    <w:abstractNumId w:val="38"/>
  </w:num>
  <w:num w:numId="16">
    <w:abstractNumId w:val="43"/>
  </w:num>
  <w:num w:numId="17">
    <w:abstractNumId w:val="17"/>
  </w:num>
  <w:num w:numId="18">
    <w:abstractNumId w:val="32"/>
  </w:num>
  <w:num w:numId="19">
    <w:abstractNumId w:val="23"/>
  </w:num>
  <w:num w:numId="20">
    <w:abstractNumId w:val="42"/>
  </w:num>
  <w:num w:numId="21">
    <w:abstractNumId w:val="27"/>
  </w:num>
  <w:num w:numId="22">
    <w:abstractNumId w:val="26"/>
  </w:num>
  <w:num w:numId="23">
    <w:abstractNumId w:val="46"/>
  </w:num>
  <w:num w:numId="24">
    <w:abstractNumId w:val="5"/>
  </w:num>
  <w:num w:numId="25">
    <w:abstractNumId w:val="37"/>
  </w:num>
  <w:num w:numId="26">
    <w:abstractNumId w:val="21"/>
  </w:num>
  <w:num w:numId="27">
    <w:abstractNumId w:val="13"/>
  </w:num>
  <w:num w:numId="28">
    <w:abstractNumId w:val="14"/>
  </w:num>
  <w:num w:numId="29">
    <w:abstractNumId w:val="22"/>
  </w:num>
  <w:num w:numId="30">
    <w:abstractNumId w:val="1"/>
  </w:num>
  <w:num w:numId="31">
    <w:abstractNumId w:val="2"/>
  </w:num>
  <w:num w:numId="32">
    <w:abstractNumId w:val="31"/>
  </w:num>
  <w:num w:numId="33">
    <w:abstractNumId w:val="4"/>
  </w:num>
  <w:num w:numId="34">
    <w:abstractNumId w:val="15"/>
  </w:num>
  <w:num w:numId="35">
    <w:abstractNumId w:val="11"/>
  </w:num>
  <w:num w:numId="36">
    <w:abstractNumId w:val="29"/>
  </w:num>
  <w:num w:numId="37">
    <w:abstractNumId w:val="16"/>
  </w:num>
  <w:num w:numId="38">
    <w:abstractNumId w:val="34"/>
  </w:num>
  <w:num w:numId="39">
    <w:abstractNumId w:val="35"/>
  </w:num>
  <w:num w:numId="40">
    <w:abstractNumId w:val="39"/>
  </w:num>
  <w:num w:numId="41">
    <w:abstractNumId w:val="25"/>
  </w:num>
  <w:num w:numId="42">
    <w:abstractNumId w:val="28"/>
  </w:num>
  <w:num w:numId="43">
    <w:abstractNumId w:val="0"/>
  </w:num>
  <w:num w:numId="44">
    <w:abstractNumId w:val="24"/>
  </w:num>
  <w:num w:numId="45">
    <w:abstractNumId w:val="30"/>
  </w:num>
  <w:num w:numId="46">
    <w:abstractNumId w:val="44"/>
  </w:num>
  <w:num w:numId="4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amma Toto Ruá">
    <w15:presenceInfo w15:providerId="AD" w15:userId="S-1-5-21-1961012504-2089601447-555178246-2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A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MX" w:vendorID="64" w:dllVersion="0" w:nlCheck="1" w:checkStyle="0"/>
  <w:activeWritingStyle w:appName="MSWord" w:lang="es-A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AR"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31"/>
    <w:rsid w:val="00001DDA"/>
    <w:rsid w:val="000051A1"/>
    <w:rsid w:val="0002184D"/>
    <w:rsid w:val="00023996"/>
    <w:rsid w:val="000312B8"/>
    <w:rsid w:val="00064F44"/>
    <w:rsid w:val="000A6E53"/>
    <w:rsid w:val="000B5903"/>
    <w:rsid w:val="000D2AF7"/>
    <w:rsid w:val="00101518"/>
    <w:rsid w:val="001578BE"/>
    <w:rsid w:val="001756E7"/>
    <w:rsid w:val="001B0F8E"/>
    <w:rsid w:val="001C2C31"/>
    <w:rsid w:val="001C68ED"/>
    <w:rsid w:val="001D5202"/>
    <w:rsid w:val="001E0721"/>
    <w:rsid w:val="001E6D2D"/>
    <w:rsid w:val="001F48CC"/>
    <w:rsid w:val="0020539C"/>
    <w:rsid w:val="002237D2"/>
    <w:rsid w:val="00230365"/>
    <w:rsid w:val="00253A14"/>
    <w:rsid w:val="00256BC0"/>
    <w:rsid w:val="002773AF"/>
    <w:rsid w:val="0029024C"/>
    <w:rsid w:val="002A342F"/>
    <w:rsid w:val="002B46F6"/>
    <w:rsid w:val="002C26CC"/>
    <w:rsid w:val="003142EA"/>
    <w:rsid w:val="00344767"/>
    <w:rsid w:val="00357713"/>
    <w:rsid w:val="00365D09"/>
    <w:rsid w:val="00385CD8"/>
    <w:rsid w:val="003E1F5A"/>
    <w:rsid w:val="003E7C97"/>
    <w:rsid w:val="00417966"/>
    <w:rsid w:val="00425929"/>
    <w:rsid w:val="00441914"/>
    <w:rsid w:val="0046137B"/>
    <w:rsid w:val="00465264"/>
    <w:rsid w:val="00475F27"/>
    <w:rsid w:val="004811E7"/>
    <w:rsid w:val="004B3029"/>
    <w:rsid w:val="004C5B92"/>
    <w:rsid w:val="004D5B12"/>
    <w:rsid w:val="004F08A4"/>
    <w:rsid w:val="004F3733"/>
    <w:rsid w:val="005236DE"/>
    <w:rsid w:val="005464A7"/>
    <w:rsid w:val="005557EF"/>
    <w:rsid w:val="005559C7"/>
    <w:rsid w:val="00574D3C"/>
    <w:rsid w:val="005A00D7"/>
    <w:rsid w:val="005A058D"/>
    <w:rsid w:val="005A778C"/>
    <w:rsid w:val="005B0E77"/>
    <w:rsid w:val="005C0F69"/>
    <w:rsid w:val="005C3522"/>
    <w:rsid w:val="005C4267"/>
    <w:rsid w:val="005D7666"/>
    <w:rsid w:val="005F0EC4"/>
    <w:rsid w:val="005F0F66"/>
    <w:rsid w:val="00605227"/>
    <w:rsid w:val="006056E2"/>
    <w:rsid w:val="0062629F"/>
    <w:rsid w:val="00662CD1"/>
    <w:rsid w:val="00677543"/>
    <w:rsid w:val="006804C8"/>
    <w:rsid w:val="006D0EED"/>
    <w:rsid w:val="006D634C"/>
    <w:rsid w:val="006E3772"/>
    <w:rsid w:val="006F570A"/>
    <w:rsid w:val="00705B6A"/>
    <w:rsid w:val="007134B9"/>
    <w:rsid w:val="00761E80"/>
    <w:rsid w:val="00780F2D"/>
    <w:rsid w:val="00786B8A"/>
    <w:rsid w:val="007A10D9"/>
    <w:rsid w:val="007B4CB1"/>
    <w:rsid w:val="007C05E7"/>
    <w:rsid w:val="007E0752"/>
    <w:rsid w:val="007E32B2"/>
    <w:rsid w:val="008157C9"/>
    <w:rsid w:val="00851E18"/>
    <w:rsid w:val="00855B9C"/>
    <w:rsid w:val="00860996"/>
    <w:rsid w:val="0086449F"/>
    <w:rsid w:val="008648C7"/>
    <w:rsid w:val="00875B40"/>
    <w:rsid w:val="00897642"/>
    <w:rsid w:val="008A1D23"/>
    <w:rsid w:val="008A5C86"/>
    <w:rsid w:val="008B1056"/>
    <w:rsid w:val="008E0994"/>
    <w:rsid w:val="008F3AF3"/>
    <w:rsid w:val="008F7FD0"/>
    <w:rsid w:val="00916F81"/>
    <w:rsid w:val="00947FC0"/>
    <w:rsid w:val="0095008F"/>
    <w:rsid w:val="009550B0"/>
    <w:rsid w:val="009866AF"/>
    <w:rsid w:val="009A5FA3"/>
    <w:rsid w:val="009C0C7B"/>
    <w:rsid w:val="009D3235"/>
    <w:rsid w:val="009D773D"/>
    <w:rsid w:val="009E296C"/>
    <w:rsid w:val="009E6CF2"/>
    <w:rsid w:val="009F4027"/>
    <w:rsid w:val="00A0531E"/>
    <w:rsid w:val="00A3148A"/>
    <w:rsid w:val="00A419A9"/>
    <w:rsid w:val="00A56AD0"/>
    <w:rsid w:val="00A73EEB"/>
    <w:rsid w:val="00AC0486"/>
    <w:rsid w:val="00AC07C5"/>
    <w:rsid w:val="00AD6D7C"/>
    <w:rsid w:val="00B0699D"/>
    <w:rsid w:val="00B20B49"/>
    <w:rsid w:val="00B27F96"/>
    <w:rsid w:val="00BA4CB5"/>
    <w:rsid w:val="00BD558C"/>
    <w:rsid w:val="00C36BD2"/>
    <w:rsid w:val="00C539E7"/>
    <w:rsid w:val="00C55BCB"/>
    <w:rsid w:val="00C566AF"/>
    <w:rsid w:val="00C86136"/>
    <w:rsid w:val="00C96C05"/>
    <w:rsid w:val="00CB447A"/>
    <w:rsid w:val="00CD0F60"/>
    <w:rsid w:val="00CD405B"/>
    <w:rsid w:val="00CD502A"/>
    <w:rsid w:val="00CE3303"/>
    <w:rsid w:val="00D13AAD"/>
    <w:rsid w:val="00D176FC"/>
    <w:rsid w:val="00D23D58"/>
    <w:rsid w:val="00D277AD"/>
    <w:rsid w:val="00D30BBA"/>
    <w:rsid w:val="00D44219"/>
    <w:rsid w:val="00D464A4"/>
    <w:rsid w:val="00D53660"/>
    <w:rsid w:val="00D60884"/>
    <w:rsid w:val="00D62FAD"/>
    <w:rsid w:val="00D72C32"/>
    <w:rsid w:val="00D74AA7"/>
    <w:rsid w:val="00D773E5"/>
    <w:rsid w:val="00D90C2A"/>
    <w:rsid w:val="00DA6560"/>
    <w:rsid w:val="00DB2A45"/>
    <w:rsid w:val="00DC1948"/>
    <w:rsid w:val="00DC3B92"/>
    <w:rsid w:val="00DE0E82"/>
    <w:rsid w:val="00DF5A53"/>
    <w:rsid w:val="00DF6CB4"/>
    <w:rsid w:val="00E12107"/>
    <w:rsid w:val="00E27AF4"/>
    <w:rsid w:val="00E3549A"/>
    <w:rsid w:val="00E37FDB"/>
    <w:rsid w:val="00E401AB"/>
    <w:rsid w:val="00E71F71"/>
    <w:rsid w:val="00E7386A"/>
    <w:rsid w:val="00E769C8"/>
    <w:rsid w:val="00EC009E"/>
    <w:rsid w:val="00EC4665"/>
    <w:rsid w:val="00ED5E73"/>
    <w:rsid w:val="00EF22DE"/>
    <w:rsid w:val="00F14B71"/>
    <w:rsid w:val="00F4294D"/>
    <w:rsid w:val="00F6343C"/>
    <w:rsid w:val="00F975C5"/>
    <w:rsid w:val="00FA63FF"/>
    <w:rsid w:val="00FB11C8"/>
    <w:rsid w:val="00FC08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28E4"/>
  <w15:chartTrackingRefBased/>
  <w15:docId w15:val="{5C8161C7-5FBC-4250-93BB-484BEDCC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1C2C31"/>
    <w:pPr>
      <w:keepNext/>
      <w:spacing w:before="240" w:after="60" w:line="240" w:lineRule="auto"/>
      <w:jc w:val="both"/>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1C2C31"/>
    <w:pPr>
      <w:keepNext/>
      <w:overflowPunct w:val="0"/>
      <w:autoSpaceDE w:val="0"/>
      <w:autoSpaceDN w:val="0"/>
      <w:adjustRightInd w:val="0"/>
      <w:spacing w:before="240" w:after="60" w:line="240" w:lineRule="auto"/>
      <w:jc w:val="both"/>
      <w:textAlignment w:val="baseline"/>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qFormat/>
    <w:rsid w:val="001C2C31"/>
    <w:pPr>
      <w:keepNext/>
      <w:spacing w:before="240" w:after="60" w:line="240" w:lineRule="auto"/>
      <w:jc w:val="both"/>
      <w:outlineLvl w:val="2"/>
    </w:pPr>
    <w:rPr>
      <w:rFonts w:ascii="Arial" w:eastAsia="Times New Roman" w:hAnsi="Arial" w:cs="Arial"/>
      <w:b/>
      <w:bCs/>
      <w:sz w:val="26"/>
      <w:szCs w:val="26"/>
      <w:lang w:eastAsia="es-ES"/>
    </w:rPr>
  </w:style>
  <w:style w:type="paragraph" w:styleId="Ttulo5">
    <w:name w:val="heading 5"/>
    <w:basedOn w:val="Normal"/>
    <w:next w:val="Normal"/>
    <w:link w:val="Ttulo5Car"/>
    <w:qFormat/>
    <w:rsid w:val="001C2C31"/>
    <w:pPr>
      <w:spacing w:before="240" w:after="60" w:line="240" w:lineRule="auto"/>
      <w:jc w:val="both"/>
      <w:outlineLvl w:val="4"/>
    </w:pPr>
    <w:rPr>
      <w:rFonts w:eastAsia="Times New Roman"/>
      <w:b/>
      <w:bCs/>
      <w:i/>
      <w:iCs/>
      <w:sz w:val="26"/>
      <w:szCs w:val="26"/>
      <w:lang w:eastAsia="es-ES"/>
    </w:rPr>
  </w:style>
  <w:style w:type="paragraph" w:styleId="Ttulo7">
    <w:name w:val="heading 7"/>
    <w:basedOn w:val="Normal"/>
    <w:next w:val="Normal"/>
    <w:link w:val="Ttulo7Car"/>
    <w:qFormat/>
    <w:rsid w:val="001C2C31"/>
    <w:pPr>
      <w:keepNext/>
      <w:autoSpaceDE w:val="0"/>
      <w:autoSpaceDN w:val="0"/>
      <w:adjustRightInd w:val="0"/>
      <w:spacing w:after="120" w:line="240" w:lineRule="auto"/>
      <w:jc w:val="both"/>
      <w:outlineLvl w:val="6"/>
    </w:pPr>
    <w:rPr>
      <w:rFonts w:eastAsia="Times New Roman"/>
      <w:i/>
      <w:i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1C2C31"/>
    <w:rPr>
      <w:rFonts w:ascii="Arial" w:eastAsia="Times New Roman" w:hAnsi="Arial" w:cs="Arial"/>
      <w:b/>
      <w:bCs/>
      <w:kern w:val="32"/>
      <w:sz w:val="32"/>
      <w:szCs w:val="32"/>
      <w:lang w:eastAsia="es-ES"/>
    </w:rPr>
  </w:style>
  <w:style w:type="character" w:customStyle="1" w:styleId="Ttulo2Car">
    <w:name w:val="Título 2 Car"/>
    <w:link w:val="Ttulo2"/>
    <w:rsid w:val="001C2C31"/>
    <w:rPr>
      <w:rFonts w:ascii="Arial" w:eastAsia="Times New Roman" w:hAnsi="Arial" w:cs="Arial"/>
      <w:b/>
      <w:bCs/>
      <w:i/>
      <w:iCs/>
      <w:sz w:val="28"/>
      <w:szCs w:val="28"/>
      <w:lang w:eastAsia="es-ES"/>
    </w:rPr>
  </w:style>
  <w:style w:type="character" w:customStyle="1" w:styleId="Ttulo3Car">
    <w:name w:val="Título 3 Car"/>
    <w:link w:val="Ttulo3"/>
    <w:rsid w:val="001C2C31"/>
    <w:rPr>
      <w:rFonts w:ascii="Arial" w:eastAsia="Times New Roman" w:hAnsi="Arial" w:cs="Arial"/>
      <w:b/>
      <w:bCs/>
      <w:sz w:val="26"/>
      <w:szCs w:val="26"/>
      <w:lang w:eastAsia="es-ES"/>
    </w:rPr>
  </w:style>
  <w:style w:type="character" w:customStyle="1" w:styleId="Ttulo5Car">
    <w:name w:val="Título 5 Car"/>
    <w:link w:val="Ttulo5"/>
    <w:rsid w:val="001C2C31"/>
    <w:rPr>
      <w:rFonts w:eastAsia="Times New Roman"/>
      <w:b/>
      <w:bCs/>
      <w:i/>
      <w:iCs/>
      <w:sz w:val="26"/>
      <w:szCs w:val="26"/>
      <w:lang w:eastAsia="es-ES"/>
    </w:rPr>
  </w:style>
  <w:style w:type="character" w:customStyle="1" w:styleId="Ttulo7Car">
    <w:name w:val="Título 7 Car"/>
    <w:link w:val="Ttulo7"/>
    <w:rsid w:val="001C2C31"/>
    <w:rPr>
      <w:rFonts w:eastAsia="Times New Roman"/>
      <w:i/>
      <w:iCs/>
      <w:lang w:eastAsia="es-ES"/>
    </w:rPr>
  </w:style>
  <w:style w:type="numbering" w:customStyle="1" w:styleId="Sinlista1">
    <w:name w:val="Sin lista1"/>
    <w:next w:val="Sinlista"/>
    <w:uiPriority w:val="99"/>
    <w:semiHidden/>
    <w:unhideWhenUsed/>
    <w:rsid w:val="001C2C31"/>
  </w:style>
  <w:style w:type="character" w:styleId="Hipervnculo">
    <w:name w:val="Hyperlink"/>
    <w:uiPriority w:val="99"/>
    <w:rsid w:val="001C2C31"/>
    <w:rPr>
      <w:color w:val="0000FF"/>
      <w:u w:val="single"/>
    </w:rPr>
  </w:style>
  <w:style w:type="paragraph" w:styleId="Textoindependiente">
    <w:name w:val="Body Text"/>
    <w:basedOn w:val="Normal"/>
    <w:link w:val="TextoindependienteCar"/>
    <w:rsid w:val="001C2C31"/>
    <w:pPr>
      <w:spacing w:after="120" w:line="240" w:lineRule="auto"/>
      <w:jc w:val="both"/>
    </w:pPr>
    <w:rPr>
      <w:rFonts w:eastAsia="Times New Roman"/>
      <w:sz w:val="20"/>
      <w:szCs w:val="24"/>
      <w:lang w:eastAsia="es-ES"/>
    </w:rPr>
  </w:style>
  <w:style w:type="character" w:customStyle="1" w:styleId="TextoindependienteCar">
    <w:name w:val="Texto independiente Car"/>
    <w:link w:val="Textoindependiente"/>
    <w:rsid w:val="001C2C31"/>
    <w:rPr>
      <w:rFonts w:eastAsia="Times New Roman"/>
      <w:szCs w:val="24"/>
      <w:lang w:eastAsia="es-ES"/>
    </w:rPr>
  </w:style>
  <w:style w:type="paragraph" w:styleId="Textoindependiente3">
    <w:name w:val="Body Text 3"/>
    <w:basedOn w:val="Normal"/>
    <w:link w:val="Textoindependiente3Car"/>
    <w:rsid w:val="001C2C31"/>
    <w:pPr>
      <w:spacing w:after="120" w:line="240" w:lineRule="auto"/>
      <w:jc w:val="both"/>
    </w:pPr>
    <w:rPr>
      <w:rFonts w:eastAsia="Times New Roman"/>
      <w:sz w:val="20"/>
      <w:szCs w:val="24"/>
      <w:lang w:eastAsia="es-ES"/>
    </w:rPr>
  </w:style>
  <w:style w:type="character" w:customStyle="1" w:styleId="Textoindependiente3Car">
    <w:name w:val="Texto independiente 3 Car"/>
    <w:link w:val="Textoindependiente3"/>
    <w:rsid w:val="001C2C31"/>
    <w:rPr>
      <w:rFonts w:eastAsia="Times New Roman"/>
      <w:szCs w:val="24"/>
      <w:lang w:eastAsia="es-ES"/>
    </w:rPr>
  </w:style>
  <w:style w:type="paragraph" w:customStyle="1" w:styleId="OmniPage770">
    <w:name w:val="OmniPage #770"/>
    <w:rsid w:val="001C2C31"/>
    <w:pPr>
      <w:tabs>
        <w:tab w:val="left" w:pos="162"/>
        <w:tab w:val="right" w:pos="10668"/>
      </w:tabs>
      <w:autoSpaceDE w:val="0"/>
      <w:autoSpaceDN w:val="0"/>
      <w:adjustRightInd w:val="0"/>
      <w:jc w:val="both"/>
    </w:pPr>
    <w:rPr>
      <w:rFonts w:ascii="Times New Roman" w:eastAsia="Times New Roman" w:hAnsi="Times New Roman"/>
      <w:sz w:val="18"/>
      <w:szCs w:val="18"/>
      <w:lang w:val="en-US" w:eastAsia="en-US"/>
    </w:rPr>
  </w:style>
  <w:style w:type="paragraph" w:styleId="Sangra2detindependiente">
    <w:name w:val="Body Text Indent 2"/>
    <w:basedOn w:val="Normal"/>
    <w:link w:val="Sangra2detindependienteCar"/>
    <w:rsid w:val="001C2C31"/>
    <w:pPr>
      <w:widowControl w:val="0"/>
      <w:tabs>
        <w:tab w:val="left" w:pos="664"/>
      </w:tabs>
      <w:spacing w:before="120" w:after="60" w:line="240" w:lineRule="auto"/>
      <w:ind w:left="1985"/>
      <w:jc w:val="both"/>
    </w:pPr>
    <w:rPr>
      <w:rFonts w:ascii="Arial" w:eastAsia="Times New Roman" w:hAnsi="Arial"/>
      <w:i/>
      <w:sz w:val="20"/>
      <w:szCs w:val="20"/>
    </w:rPr>
  </w:style>
  <w:style w:type="character" w:customStyle="1" w:styleId="Sangra2detindependienteCar">
    <w:name w:val="Sangría 2 de t. independiente Car"/>
    <w:link w:val="Sangra2detindependiente"/>
    <w:rsid w:val="001C2C31"/>
    <w:rPr>
      <w:rFonts w:ascii="Arial" w:eastAsia="Times New Roman" w:hAnsi="Arial"/>
      <w:i/>
      <w:lang w:eastAsia="en-US"/>
    </w:rPr>
  </w:style>
  <w:style w:type="paragraph" w:customStyle="1" w:styleId="Texto">
    <w:name w:val="Texto"/>
    <w:basedOn w:val="Normal"/>
    <w:rsid w:val="001C2C31"/>
    <w:pPr>
      <w:spacing w:after="120" w:line="240" w:lineRule="auto"/>
      <w:jc w:val="both"/>
    </w:pPr>
    <w:rPr>
      <w:rFonts w:ascii="Book Antiqua" w:eastAsia="Times New Roman" w:hAnsi="Book Antiqua"/>
      <w:sz w:val="20"/>
      <w:szCs w:val="20"/>
      <w:lang w:val="es-ES_tradnl"/>
    </w:rPr>
  </w:style>
  <w:style w:type="paragraph" w:styleId="Piedepgina">
    <w:name w:val="footer"/>
    <w:basedOn w:val="Normal"/>
    <w:link w:val="PiedepginaCar"/>
    <w:rsid w:val="001C2C31"/>
    <w:pPr>
      <w:tabs>
        <w:tab w:val="center" w:pos="4252"/>
        <w:tab w:val="right" w:pos="8504"/>
      </w:tabs>
      <w:spacing w:after="120" w:line="240" w:lineRule="auto"/>
      <w:jc w:val="both"/>
    </w:pPr>
    <w:rPr>
      <w:rFonts w:eastAsia="Times New Roman"/>
      <w:sz w:val="20"/>
      <w:szCs w:val="24"/>
      <w:lang w:eastAsia="es-ES"/>
    </w:rPr>
  </w:style>
  <w:style w:type="character" w:customStyle="1" w:styleId="PiedepginaCar">
    <w:name w:val="Pie de página Car"/>
    <w:link w:val="Piedepgina"/>
    <w:rsid w:val="001C2C31"/>
    <w:rPr>
      <w:rFonts w:eastAsia="Times New Roman"/>
      <w:szCs w:val="24"/>
      <w:lang w:eastAsia="es-ES"/>
    </w:rPr>
  </w:style>
  <w:style w:type="character" w:styleId="Nmerodepgina">
    <w:name w:val="page number"/>
    <w:rsid w:val="001C2C31"/>
  </w:style>
  <w:style w:type="paragraph" w:styleId="Encabezado">
    <w:name w:val="header"/>
    <w:basedOn w:val="Normal"/>
    <w:link w:val="EncabezadoCar"/>
    <w:rsid w:val="001C2C31"/>
    <w:pPr>
      <w:tabs>
        <w:tab w:val="center" w:pos="4252"/>
        <w:tab w:val="right" w:pos="8504"/>
      </w:tabs>
      <w:spacing w:after="120" w:line="240" w:lineRule="auto"/>
      <w:jc w:val="both"/>
    </w:pPr>
    <w:rPr>
      <w:rFonts w:eastAsia="Times New Roman"/>
      <w:sz w:val="20"/>
      <w:szCs w:val="24"/>
      <w:lang w:eastAsia="es-ES"/>
    </w:rPr>
  </w:style>
  <w:style w:type="character" w:customStyle="1" w:styleId="EncabezadoCar">
    <w:name w:val="Encabezado Car"/>
    <w:link w:val="Encabezado"/>
    <w:rsid w:val="001C2C31"/>
    <w:rPr>
      <w:rFonts w:eastAsia="Times New Roman"/>
      <w:szCs w:val="24"/>
      <w:lang w:eastAsia="es-ES"/>
    </w:rPr>
  </w:style>
  <w:style w:type="paragraph" w:styleId="Sangradetextonormal">
    <w:name w:val="Body Text Indent"/>
    <w:basedOn w:val="Normal"/>
    <w:link w:val="SangradetextonormalCar"/>
    <w:rsid w:val="001C2C31"/>
    <w:pPr>
      <w:spacing w:after="120" w:line="240" w:lineRule="auto"/>
      <w:ind w:left="283"/>
      <w:jc w:val="both"/>
    </w:pPr>
    <w:rPr>
      <w:rFonts w:eastAsia="Times New Roman"/>
      <w:sz w:val="20"/>
      <w:szCs w:val="24"/>
      <w:lang w:eastAsia="es-ES"/>
    </w:rPr>
  </w:style>
  <w:style w:type="character" w:customStyle="1" w:styleId="SangradetextonormalCar">
    <w:name w:val="Sangría de texto normal Car"/>
    <w:link w:val="Sangradetextonormal"/>
    <w:rsid w:val="001C2C31"/>
    <w:rPr>
      <w:rFonts w:eastAsia="Times New Roman"/>
      <w:szCs w:val="24"/>
      <w:lang w:eastAsia="es-ES"/>
    </w:rPr>
  </w:style>
  <w:style w:type="paragraph" w:styleId="Textoindependiente2">
    <w:name w:val="Body Text 2"/>
    <w:basedOn w:val="Normal"/>
    <w:link w:val="Textoindependiente2Car"/>
    <w:rsid w:val="001C2C31"/>
    <w:pPr>
      <w:spacing w:after="120" w:line="480" w:lineRule="auto"/>
      <w:jc w:val="both"/>
    </w:pPr>
    <w:rPr>
      <w:rFonts w:eastAsia="Times New Roman"/>
      <w:sz w:val="20"/>
      <w:szCs w:val="24"/>
      <w:lang w:eastAsia="es-ES"/>
    </w:rPr>
  </w:style>
  <w:style w:type="character" w:customStyle="1" w:styleId="Textoindependiente2Car">
    <w:name w:val="Texto independiente 2 Car"/>
    <w:link w:val="Textoindependiente2"/>
    <w:rsid w:val="001C2C31"/>
    <w:rPr>
      <w:rFonts w:eastAsia="Times New Roman"/>
      <w:szCs w:val="24"/>
      <w:lang w:eastAsia="es-ES"/>
    </w:rPr>
  </w:style>
  <w:style w:type="paragraph" w:styleId="Sangra3detindependiente">
    <w:name w:val="Body Text Indent 3"/>
    <w:basedOn w:val="Normal"/>
    <w:link w:val="Sangra3detindependienteCar"/>
    <w:rsid w:val="001C2C31"/>
    <w:pPr>
      <w:spacing w:after="120" w:line="240" w:lineRule="auto"/>
      <w:ind w:firstLine="708"/>
      <w:jc w:val="both"/>
    </w:pPr>
    <w:rPr>
      <w:rFonts w:eastAsia="Times New Roman"/>
      <w:sz w:val="20"/>
      <w:szCs w:val="20"/>
      <w:lang w:eastAsia="es-ES"/>
    </w:rPr>
  </w:style>
  <w:style w:type="character" w:customStyle="1" w:styleId="Sangra3detindependienteCar">
    <w:name w:val="Sangría 3 de t. independiente Car"/>
    <w:link w:val="Sangra3detindependiente"/>
    <w:rsid w:val="001C2C31"/>
    <w:rPr>
      <w:rFonts w:eastAsia="Times New Roman"/>
      <w:lang w:eastAsia="es-ES"/>
    </w:rPr>
  </w:style>
  <w:style w:type="character" w:customStyle="1" w:styleId="DeltaViewInsertion">
    <w:name w:val="DeltaView Insertion"/>
    <w:rsid w:val="001C2C31"/>
    <w:rPr>
      <w:b/>
      <w:bCs/>
      <w:spacing w:val="0"/>
      <w:u w:val="double"/>
    </w:rPr>
  </w:style>
  <w:style w:type="character" w:customStyle="1" w:styleId="DeltaViewDeletion">
    <w:name w:val="DeltaView Deletion"/>
    <w:rsid w:val="001C2C31"/>
    <w:rPr>
      <w:strike/>
      <w:spacing w:val="0"/>
    </w:rPr>
  </w:style>
  <w:style w:type="paragraph" w:customStyle="1" w:styleId="HPCarta">
    <w:name w:val="HP Carta"/>
    <w:rsid w:val="001C2C31"/>
    <w:pPr>
      <w:widowControl w:val="0"/>
      <w:tabs>
        <w:tab w:val="left" w:pos="-720"/>
      </w:tabs>
      <w:suppressAutoHyphens/>
      <w:spacing w:line="360" w:lineRule="auto"/>
    </w:pPr>
    <w:rPr>
      <w:rFonts w:ascii="Courier" w:eastAsia="Times New Roman" w:hAnsi="Courier"/>
      <w:sz w:val="24"/>
      <w:lang w:val="en-US" w:eastAsia="es-ES"/>
    </w:rPr>
  </w:style>
  <w:style w:type="table" w:styleId="Tablaconcuadrcula">
    <w:name w:val="Table Grid"/>
    <w:basedOn w:val="Tablanormal"/>
    <w:rsid w:val="001C2C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ar"/>
    <w:qFormat/>
    <w:rsid w:val="001C2C31"/>
    <w:pPr>
      <w:spacing w:after="120" w:line="240" w:lineRule="auto"/>
      <w:jc w:val="both"/>
    </w:pPr>
    <w:rPr>
      <w:rFonts w:eastAsia="Times New Roman"/>
      <w:i/>
      <w:sz w:val="20"/>
      <w:szCs w:val="20"/>
    </w:rPr>
  </w:style>
  <w:style w:type="character" w:customStyle="1" w:styleId="SubttuloCar">
    <w:name w:val="Subtítulo Car"/>
    <w:link w:val="Subttulo"/>
    <w:rsid w:val="001C2C31"/>
    <w:rPr>
      <w:rFonts w:eastAsia="Times New Roman"/>
      <w:i/>
      <w:lang w:eastAsia="en-US"/>
    </w:rPr>
  </w:style>
  <w:style w:type="character" w:customStyle="1" w:styleId="a1">
    <w:name w:val="a1"/>
    <w:rsid w:val="001C2C31"/>
    <w:rPr>
      <w:rFonts w:cs="Times New Roman"/>
      <w:spacing w:val="0"/>
    </w:rPr>
  </w:style>
  <w:style w:type="paragraph" w:styleId="Puesto">
    <w:name w:val="Title"/>
    <w:basedOn w:val="Normal"/>
    <w:link w:val="PuestoCar"/>
    <w:qFormat/>
    <w:rsid w:val="00417966"/>
    <w:pPr>
      <w:keepNext/>
      <w:spacing w:after="0"/>
      <w:jc w:val="center"/>
      <w:outlineLvl w:val="0"/>
    </w:pPr>
    <w:rPr>
      <w:rFonts w:eastAsia="Times New Roman" w:cs="Arial"/>
      <w:b/>
      <w:bCs/>
      <w:kern w:val="32"/>
      <w:sz w:val="20"/>
      <w:szCs w:val="20"/>
      <w:lang w:eastAsia="es-ES"/>
    </w:rPr>
  </w:style>
  <w:style w:type="character" w:customStyle="1" w:styleId="PuestoCar">
    <w:name w:val="Puesto Car"/>
    <w:link w:val="Puesto"/>
    <w:rsid w:val="00417966"/>
    <w:rPr>
      <w:rFonts w:eastAsia="Times New Roman" w:cs="Arial"/>
      <w:b/>
      <w:bCs/>
      <w:kern w:val="32"/>
      <w:lang w:eastAsia="es-ES"/>
    </w:rPr>
  </w:style>
  <w:style w:type="paragraph" w:styleId="TDC3">
    <w:name w:val="toc 3"/>
    <w:basedOn w:val="Normal"/>
    <w:next w:val="Normal"/>
    <w:autoRedefine/>
    <w:uiPriority w:val="39"/>
    <w:rsid w:val="001C2C31"/>
    <w:pPr>
      <w:tabs>
        <w:tab w:val="right" w:leader="dot" w:pos="9061"/>
      </w:tabs>
      <w:spacing w:after="120" w:line="360" w:lineRule="auto"/>
      <w:jc w:val="both"/>
    </w:pPr>
    <w:rPr>
      <w:rFonts w:eastAsia="Times New Roman"/>
      <w:sz w:val="20"/>
      <w:szCs w:val="24"/>
      <w:lang w:eastAsia="es-ES"/>
    </w:rPr>
  </w:style>
  <w:style w:type="paragraph" w:styleId="NormalWeb">
    <w:name w:val="Normal (Web)"/>
    <w:basedOn w:val="Normal"/>
    <w:rsid w:val="001C2C31"/>
    <w:pPr>
      <w:spacing w:before="100" w:beforeAutospacing="1" w:after="100" w:afterAutospacing="1" w:line="240" w:lineRule="auto"/>
      <w:jc w:val="both"/>
    </w:pPr>
    <w:rPr>
      <w:rFonts w:ascii="Verdana" w:eastAsia="Times New Roman" w:hAnsi="Verdana"/>
      <w:color w:val="000000"/>
      <w:sz w:val="16"/>
      <w:szCs w:val="16"/>
      <w:lang w:val="en-US"/>
    </w:rPr>
  </w:style>
  <w:style w:type="paragraph" w:customStyle="1" w:styleId="C8H">
    <w:name w:val="C8H"/>
    <w:rsid w:val="001C2C31"/>
    <w:pPr>
      <w:spacing w:line="160" w:lineRule="exact"/>
      <w:jc w:val="center"/>
    </w:pPr>
    <w:rPr>
      <w:rFonts w:ascii="Times New Roman" w:eastAsia="Times New Roman" w:hAnsi="Times New Roman"/>
      <w:b/>
      <w:noProof/>
      <w:sz w:val="16"/>
      <w:lang w:val="en-US" w:eastAsia="en-US"/>
    </w:rPr>
  </w:style>
  <w:style w:type="paragraph" w:customStyle="1" w:styleId="Nt">
    <w:name w:val="Nt"/>
    <w:basedOn w:val="Normal"/>
    <w:rsid w:val="001C2C31"/>
    <w:pPr>
      <w:autoSpaceDE w:val="0"/>
      <w:autoSpaceDN w:val="0"/>
      <w:adjustRightInd w:val="0"/>
      <w:spacing w:after="240" w:line="240" w:lineRule="auto"/>
      <w:jc w:val="both"/>
    </w:pPr>
    <w:rPr>
      <w:rFonts w:eastAsia="Times New Roman"/>
      <w:noProof/>
      <w:sz w:val="20"/>
      <w:szCs w:val="20"/>
    </w:rPr>
  </w:style>
  <w:style w:type="paragraph" w:customStyle="1" w:styleId="arcor">
    <w:name w:val="arcor"/>
    <w:basedOn w:val="Normal"/>
    <w:rsid w:val="001C2C31"/>
    <w:pPr>
      <w:spacing w:after="160" w:line="240" w:lineRule="exact"/>
      <w:jc w:val="center"/>
    </w:pPr>
    <w:rPr>
      <w:rFonts w:eastAsia="Times New Roman"/>
      <w:b/>
      <w:bCs/>
      <w:noProof/>
      <w:sz w:val="18"/>
      <w:szCs w:val="18"/>
      <w:lang w:eastAsia="es-AR"/>
    </w:rPr>
  </w:style>
  <w:style w:type="paragraph" w:customStyle="1" w:styleId="A4">
    <w:name w:val="A4"/>
    <w:rsid w:val="001C2C31"/>
    <w:pPr>
      <w:widowControl w:val="0"/>
      <w:tabs>
        <w:tab w:val="left" w:pos="-720"/>
      </w:tabs>
      <w:suppressAutoHyphens/>
      <w:spacing w:line="360" w:lineRule="auto"/>
    </w:pPr>
    <w:rPr>
      <w:rFonts w:ascii="Courier" w:eastAsia="Times New Roman" w:hAnsi="Courier"/>
      <w:sz w:val="24"/>
      <w:lang w:val="es-ES" w:eastAsia="es-ES"/>
    </w:rPr>
  </w:style>
  <w:style w:type="paragraph" w:styleId="Textodeglobo">
    <w:name w:val="Balloon Text"/>
    <w:basedOn w:val="Normal"/>
    <w:link w:val="TextodegloboCar"/>
    <w:semiHidden/>
    <w:rsid w:val="001C2C31"/>
    <w:pPr>
      <w:spacing w:after="120" w:line="240" w:lineRule="auto"/>
      <w:jc w:val="both"/>
    </w:pPr>
    <w:rPr>
      <w:rFonts w:ascii="Tahoma" w:eastAsia="Times New Roman" w:hAnsi="Tahoma" w:cs="Tahoma"/>
      <w:sz w:val="16"/>
      <w:szCs w:val="16"/>
      <w:lang w:eastAsia="es-ES"/>
    </w:rPr>
  </w:style>
  <w:style w:type="character" w:customStyle="1" w:styleId="TextodegloboCar">
    <w:name w:val="Texto de globo Car"/>
    <w:link w:val="Textodeglobo"/>
    <w:semiHidden/>
    <w:rsid w:val="001C2C31"/>
    <w:rPr>
      <w:rFonts w:ascii="Tahoma" w:eastAsia="Times New Roman" w:hAnsi="Tahoma" w:cs="Tahoma"/>
      <w:sz w:val="16"/>
      <w:szCs w:val="16"/>
      <w:lang w:eastAsia="es-ES"/>
    </w:rPr>
  </w:style>
  <w:style w:type="character" w:styleId="Refdecomentario">
    <w:name w:val="annotation reference"/>
    <w:semiHidden/>
    <w:rsid w:val="001C2C31"/>
    <w:rPr>
      <w:sz w:val="16"/>
      <w:szCs w:val="16"/>
    </w:rPr>
  </w:style>
  <w:style w:type="paragraph" w:styleId="Textocomentario">
    <w:name w:val="annotation text"/>
    <w:basedOn w:val="Normal"/>
    <w:link w:val="TextocomentarioCar"/>
    <w:semiHidden/>
    <w:rsid w:val="001C2C31"/>
    <w:pPr>
      <w:spacing w:after="120" w:line="240" w:lineRule="auto"/>
      <w:jc w:val="both"/>
    </w:pPr>
    <w:rPr>
      <w:rFonts w:eastAsia="Times New Roman"/>
      <w:sz w:val="20"/>
      <w:szCs w:val="20"/>
      <w:lang w:eastAsia="es-ES"/>
    </w:rPr>
  </w:style>
  <w:style w:type="character" w:customStyle="1" w:styleId="TextocomentarioCar">
    <w:name w:val="Texto comentario Car"/>
    <w:link w:val="Textocomentario"/>
    <w:semiHidden/>
    <w:rsid w:val="001C2C31"/>
    <w:rPr>
      <w:rFonts w:eastAsia="Times New Roman"/>
      <w:lang w:eastAsia="es-ES"/>
    </w:rPr>
  </w:style>
  <w:style w:type="paragraph" w:styleId="Asuntodelcomentario">
    <w:name w:val="annotation subject"/>
    <w:basedOn w:val="Textocomentario"/>
    <w:next w:val="Textocomentario"/>
    <w:link w:val="AsuntodelcomentarioCar"/>
    <w:semiHidden/>
    <w:rsid w:val="001C2C31"/>
    <w:rPr>
      <w:b/>
      <w:bCs/>
    </w:rPr>
  </w:style>
  <w:style w:type="character" w:customStyle="1" w:styleId="AsuntodelcomentarioCar">
    <w:name w:val="Asunto del comentario Car"/>
    <w:link w:val="Asuntodelcomentario"/>
    <w:semiHidden/>
    <w:rsid w:val="001C2C31"/>
    <w:rPr>
      <w:rFonts w:eastAsia="Times New Roman"/>
      <w:b/>
      <w:bCs/>
      <w:lang w:eastAsia="es-ES"/>
    </w:rPr>
  </w:style>
  <w:style w:type="paragraph" w:styleId="Textonotapie">
    <w:name w:val="footnote text"/>
    <w:basedOn w:val="Normal"/>
    <w:link w:val="TextonotapieCar"/>
    <w:semiHidden/>
    <w:rsid w:val="001C2C31"/>
    <w:pPr>
      <w:spacing w:after="120" w:line="240" w:lineRule="auto"/>
      <w:jc w:val="both"/>
    </w:pPr>
    <w:rPr>
      <w:rFonts w:eastAsia="Times New Roman"/>
      <w:sz w:val="20"/>
      <w:szCs w:val="20"/>
      <w:lang w:eastAsia="es-ES"/>
    </w:rPr>
  </w:style>
  <w:style w:type="character" w:customStyle="1" w:styleId="TextonotapieCar">
    <w:name w:val="Texto nota pie Car"/>
    <w:link w:val="Textonotapie"/>
    <w:semiHidden/>
    <w:rsid w:val="001C2C31"/>
    <w:rPr>
      <w:rFonts w:eastAsia="Times New Roman"/>
      <w:lang w:eastAsia="es-ES"/>
    </w:rPr>
  </w:style>
  <w:style w:type="character" w:styleId="Refdenotaalpie">
    <w:name w:val="footnote reference"/>
    <w:semiHidden/>
    <w:rsid w:val="001C2C31"/>
    <w:rPr>
      <w:vertAlign w:val="superscript"/>
    </w:rPr>
  </w:style>
  <w:style w:type="paragraph" w:customStyle="1" w:styleId="s4">
    <w:name w:val="s4"/>
    <w:basedOn w:val="Normal"/>
    <w:rsid w:val="001C2C31"/>
    <w:pPr>
      <w:spacing w:after="120" w:line="240" w:lineRule="auto"/>
      <w:ind w:left="57" w:firstLine="284"/>
      <w:jc w:val="both"/>
    </w:pPr>
    <w:rPr>
      <w:rFonts w:ascii="Arial" w:eastAsia="Times New Roman" w:hAnsi="Arial" w:cs="Arial"/>
      <w:sz w:val="20"/>
      <w:szCs w:val="20"/>
      <w:lang w:val="en-US"/>
    </w:rPr>
  </w:style>
  <w:style w:type="paragraph" w:styleId="TDC1">
    <w:name w:val="toc 1"/>
    <w:basedOn w:val="Normal"/>
    <w:next w:val="Normal"/>
    <w:autoRedefine/>
    <w:uiPriority w:val="39"/>
    <w:rsid w:val="001C2C31"/>
    <w:pPr>
      <w:spacing w:after="120" w:line="240" w:lineRule="auto"/>
      <w:jc w:val="both"/>
    </w:pPr>
    <w:rPr>
      <w:rFonts w:eastAsia="Times New Roman"/>
      <w:sz w:val="20"/>
      <w:szCs w:val="24"/>
      <w:lang w:eastAsia="es-ES"/>
    </w:rPr>
  </w:style>
  <w:style w:type="character" w:customStyle="1" w:styleId="texto1">
    <w:name w:val="texto1"/>
    <w:rsid w:val="001C2C31"/>
    <w:rPr>
      <w:rFonts w:ascii="Verdana" w:hAnsi="Verdana" w:hint="default"/>
      <w:strike w:val="0"/>
      <w:dstrike w:val="0"/>
      <w:color w:val="666666"/>
      <w:sz w:val="15"/>
      <w:szCs w:val="15"/>
      <w:u w:val="none"/>
      <w:effect w:val="none"/>
    </w:rPr>
  </w:style>
  <w:style w:type="paragraph" w:customStyle="1" w:styleId="DeltaViewTableBody">
    <w:name w:val="DeltaView Table Body"/>
    <w:basedOn w:val="Normal"/>
    <w:rsid w:val="001C2C31"/>
    <w:pPr>
      <w:autoSpaceDE w:val="0"/>
      <w:autoSpaceDN w:val="0"/>
      <w:adjustRightInd w:val="0"/>
      <w:spacing w:after="120" w:line="240" w:lineRule="auto"/>
      <w:jc w:val="both"/>
    </w:pPr>
    <w:rPr>
      <w:rFonts w:ascii="Arial" w:eastAsia="Times New Roman" w:hAnsi="Arial" w:cs="Arial"/>
      <w:sz w:val="20"/>
      <w:szCs w:val="24"/>
      <w:lang w:val="en-US"/>
    </w:rPr>
  </w:style>
  <w:style w:type="paragraph" w:styleId="Mapadeldocumento">
    <w:name w:val="Document Map"/>
    <w:basedOn w:val="Normal"/>
    <w:link w:val="MapadeldocumentoCar"/>
    <w:semiHidden/>
    <w:rsid w:val="001C2C31"/>
    <w:pPr>
      <w:shd w:val="clear" w:color="auto" w:fill="000080"/>
      <w:spacing w:after="120" w:line="240" w:lineRule="auto"/>
      <w:jc w:val="both"/>
    </w:pPr>
    <w:rPr>
      <w:rFonts w:ascii="Tahoma" w:eastAsia="Times New Roman" w:hAnsi="Tahoma" w:cs="Tahoma"/>
      <w:sz w:val="20"/>
      <w:szCs w:val="20"/>
      <w:lang w:eastAsia="es-ES"/>
    </w:rPr>
  </w:style>
  <w:style w:type="character" w:customStyle="1" w:styleId="MapadeldocumentoCar">
    <w:name w:val="Mapa del documento Car"/>
    <w:link w:val="Mapadeldocumento"/>
    <w:semiHidden/>
    <w:rsid w:val="001C2C31"/>
    <w:rPr>
      <w:rFonts w:ascii="Tahoma" w:eastAsia="Times New Roman" w:hAnsi="Tahoma" w:cs="Tahoma"/>
      <w:shd w:val="clear" w:color="auto" w:fill="000080"/>
      <w:lang w:eastAsia="es-ES"/>
    </w:rPr>
  </w:style>
  <w:style w:type="paragraph" w:customStyle="1" w:styleId="BodyTextContinued">
    <w:name w:val="Body Text Continued"/>
    <w:basedOn w:val="Normal"/>
    <w:rsid w:val="001C2C31"/>
    <w:pPr>
      <w:autoSpaceDE w:val="0"/>
      <w:autoSpaceDN w:val="0"/>
      <w:adjustRightInd w:val="0"/>
      <w:spacing w:after="240" w:line="240" w:lineRule="auto"/>
      <w:jc w:val="both"/>
    </w:pPr>
    <w:rPr>
      <w:rFonts w:eastAsia="Times New Roman"/>
      <w:color w:val="000000"/>
      <w:sz w:val="20"/>
      <w:szCs w:val="20"/>
      <w:lang w:val="en-US"/>
    </w:rPr>
  </w:style>
  <w:style w:type="paragraph" w:customStyle="1" w:styleId="notaalpie">
    <w:name w:val="nota al pie"/>
    <w:basedOn w:val="Normal"/>
    <w:rsid w:val="001C2C31"/>
    <w:pPr>
      <w:autoSpaceDE w:val="0"/>
      <w:autoSpaceDN w:val="0"/>
      <w:adjustRightInd w:val="0"/>
      <w:spacing w:after="120" w:line="240" w:lineRule="auto"/>
      <w:jc w:val="both"/>
    </w:pPr>
    <w:rPr>
      <w:rFonts w:ascii="Arial" w:eastAsia="Times New Roman" w:hAnsi="Arial" w:cs="Arial"/>
      <w:sz w:val="20"/>
      <w:szCs w:val="20"/>
      <w:lang w:val="es-ES_tradnl"/>
    </w:rPr>
  </w:style>
  <w:style w:type="paragraph" w:styleId="Textosinformato">
    <w:name w:val="Plain Text"/>
    <w:basedOn w:val="Normal"/>
    <w:link w:val="TextosinformatoCar"/>
    <w:rsid w:val="001C2C31"/>
    <w:pPr>
      <w:autoSpaceDE w:val="0"/>
      <w:autoSpaceDN w:val="0"/>
      <w:adjustRightInd w:val="0"/>
      <w:spacing w:after="120" w:line="240" w:lineRule="auto"/>
      <w:jc w:val="both"/>
    </w:pPr>
    <w:rPr>
      <w:rFonts w:ascii="Courier New" w:eastAsia="Times New Roman" w:hAnsi="Courier New" w:cs="Courier New"/>
      <w:sz w:val="20"/>
      <w:szCs w:val="20"/>
    </w:rPr>
  </w:style>
  <w:style w:type="character" w:customStyle="1" w:styleId="TextosinformatoCar">
    <w:name w:val="Texto sin formato Car"/>
    <w:link w:val="Textosinformato"/>
    <w:rsid w:val="001C2C31"/>
    <w:rPr>
      <w:rFonts w:ascii="Courier New" w:eastAsia="Times New Roman" w:hAnsi="Courier New" w:cs="Courier New"/>
      <w:lang w:eastAsia="en-US"/>
    </w:rPr>
  </w:style>
  <w:style w:type="paragraph" w:customStyle="1" w:styleId="CG-Title-Center">
    <w:name w:val="CG-Title-Center"/>
    <w:aliases w:val="t5"/>
    <w:basedOn w:val="Normal"/>
    <w:next w:val="Normal"/>
    <w:rsid w:val="001C2C31"/>
    <w:pPr>
      <w:keepNext/>
      <w:autoSpaceDE w:val="0"/>
      <w:autoSpaceDN w:val="0"/>
      <w:adjustRightInd w:val="0"/>
      <w:spacing w:after="240" w:line="240" w:lineRule="auto"/>
      <w:jc w:val="center"/>
    </w:pPr>
    <w:rPr>
      <w:rFonts w:eastAsia="Times New Roman"/>
      <w:sz w:val="20"/>
      <w:szCs w:val="20"/>
      <w:lang w:val="en-US"/>
    </w:rPr>
  </w:style>
  <w:style w:type="paragraph" w:customStyle="1" w:styleId="DPWfdHDCenterCAP">
    <w:name w:val="DPWfd HD Center (CAP)"/>
    <w:aliases w:val="hp"/>
    <w:basedOn w:val="Normal"/>
    <w:next w:val="Normal"/>
    <w:rsid w:val="001C2C31"/>
    <w:pPr>
      <w:keepNext/>
      <w:overflowPunct w:val="0"/>
      <w:autoSpaceDE w:val="0"/>
      <w:autoSpaceDN w:val="0"/>
      <w:adjustRightInd w:val="0"/>
      <w:spacing w:before="200" w:line="240" w:lineRule="auto"/>
      <w:jc w:val="center"/>
      <w:textAlignment w:val="baseline"/>
    </w:pPr>
    <w:rPr>
      <w:rFonts w:eastAsia="Times New Roman"/>
      <w:b/>
      <w:caps/>
      <w:sz w:val="20"/>
      <w:szCs w:val="20"/>
      <w:lang w:val="en-US" w:eastAsia="es-ES"/>
    </w:rPr>
  </w:style>
  <w:style w:type="paragraph" w:customStyle="1" w:styleId="notaalpie0">
    <w:name w:val="notaalpie"/>
    <w:basedOn w:val="Normal"/>
    <w:rsid w:val="001C2C31"/>
    <w:pPr>
      <w:spacing w:before="100" w:beforeAutospacing="1" w:after="100" w:afterAutospacing="1" w:line="240" w:lineRule="auto"/>
      <w:jc w:val="both"/>
    </w:pPr>
    <w:rPr>
      <w:rFonts w:eastAsia="Times New Roman"/>
      <w:sz w:val="20"/>
      <w:szCs w:val="24"/>
      <w:lang w:val="en-US"/>
    </w:rPr>
  </w:style>
  <w:style w:type="character" w:customStyle="1" w:styleId="DeltaViewMoveSource">
    <w:name w:val="DeltaView Move Source"/>
    <w:rsid w:val="001C2C31"/>
    <w:rPr>
      <w:strike/>
      <w:color w:val="00C000"/>
      <w:spacing w:val="0"/>
    </w:rPr>
  </w:style>
  <w:style w:type="character" w:customStyle="1" w:styleId="DeltaViewMoveDestination">
    <w:name w:val="DeltaView Move Destination"/>
    <w:rsid w:val="001C2C31"/>
    <w:rPr>
      <w:color w:val="00C000"/>
      <w:spacing w:val="0"/>
      <w:u w:val="double"/>
    </w:rPr>
  </w:style>
  <w:style w:type="paragraph" w:customStyle="1" w:styleId="Car">
    <w:name w:val="Car"/>
    <w:basedOn w:val="Normal"/>
    <w:rsid w:val="001C2C31"/>
    <w:pPr>
      <w:spacing w:after="160" w:line="240" w:lineRule="exact"/>
      <w:jc w:val="both"/>
    </w:pPr>
    <w:rPr>
      <w:rFonts w:ascii="Verdana" w:eastAsia="PMingLiU" w:hAnsi="Verdana"/>
      <w:sz w:val="20"/>
      <w:szCs w:val="20"/>
      <w:lang w:val="en-US"/>
    </w:rPr>
  </w:style>
  <w:style w:type="paragraph" w:customStyle="1" w:styleId="Car2">
    <w:name w:val="Car2"/>
    <w:aliases w:val="Footnote Text"/>
    <w:basedOn w:val="Normal"/>
    <w:rsid w:val="001C2C31"/>
    <w:pPr>
      <w:spacing w:after="160" w:line="240" w:lineRule="exact"/>
      <w:jc w:val="both"/>
    </w:pPr>
    <w:rPr>
      <w:rFonts w:ascii="Verdana" w:eastAsia="PMingLiU" w:hAnsi="Verdana" w:cs="Verdana"/>
      <w:sz w:val="20"/>
      <w:szCs w:val="20"/>
      <w:lang w:val="en-US"/>
    </w:rPr>
  </w:style>
  <w:style w:type="paragraph" w:customStyle="1" w:styleId="BodyText2Sgl">
    <w:name w:val="Body Text 2 Sgl"/>
    <w:link w:val="BodyText2SglChar"/>
    <w:rsid w:val="001C2C31"/>
    <w:pPr>
      <w:autoSpaceDE w:val="0"/>
      <w:autoSpaceDN w:val="0"/>
      <w:adjustRightInd w:val="0"/>
    </w:pPr>
    <w:rPr>
      <w:rFonts w:ascii="Arial" w:eastAsia="SimSun" w:hAnsi="Arial"/>
      <w:sz w:val="24"/>
      <w:szCs w:val="24"/>
      <w:lang w:val="en-US" w:eastAsia="zh-TW"/>
    </w:rPr>
  </w:style>
  <w:style w:type="character" w:customStyle="1" w:styleId="BodyText2SglChar">
    <w:name w:val="Body Text 2 Sgl Char"/>
    <w:link w:val="BodyText2Sgl"/>
    <w:rsid w:val="001C2C31"/>
    <w:rPr>
      <w:rFonts w:ascii="Arial" w:eastAsia="SimSun" w:hAnsi="Arial"/>
      <w:sz w:val="24"/>
      <w:szCs w:val="24"/>
      <w:lang w:val="en-US" w:eastAsia="zh-TW"/>
    </w:rPr>
  </w:style>
  <w:style w:type="paragraph" w:customStyle="1" w:styleId="CharChar">
    <w:name w:val="Char Char"/>
    <w:basedOn w:val="Normal"/>
    <w:rsid w:val="001C2C31"/>
    <w:pPr>
      <w:spacing w:after="160" w:line="240" w:lineRule="exact"/>
      <w:jc w:val="both"/>
    </w:pPr>
    <w:rPr>
      <w:rFonts w:ascii="Verdana" w:eastAsia="PMingLiU" w:hAnsi="Verdana"/>
      <w:sz w:val="20"/>
      <w:szCs w:val="20"/>
      <w:lang w:val="en-US"/>
    </w:rPr>
  </w:style>
  <w:style w:type="paragraph" w:customStyle="1" w:styleId="BodyText22">
    <w:name w:val="Body Text 22"/>
    <w:basedOn w:val="Normal"/>
    <w:rsid w:val="001C2C31"/>
    <w:pPr>
      <w:widowControl w:val="0"/>
      <w:autoSpaceDE w:val="0"/>
      <w:autoSpaceDN w:val="0"/>
      <w:adjustRightInd w:val="0"/>
      <w:spacing w:after="120" w:line="240" w:lineRule="auto"/>
      <w:jc w:val="both"/>
    </w:pPr>
    <w:rPr>
      <w:rFonts w:eastAsia="Times New Roman"/>
      <w:sz w:val="20"/>
      <w:szCs w:val="20"/>
      <w:lang w:eastAsia="es-ES"/>
    </w:rPr>
  </w:style>
  <w:style w:type="paragraph" w:customStyle="1" w:styleId="Normal10pt">
    <w:name w:val="Normal + 10 pt"/>
    <w:aliases w:val="Negro"/>
    <w:basedOn w:val="Normal"/>
    <w:rsid w:val="001C2C31"/>
    <w:pPr>
      <w:widowControl w:val="0"/>
      <w:autoSpaceDE w:val="0"/>
      <w:autoSpaceDN w:val="0"/>
      <w:adjustRightInd w:val="0"/>
      <w:spacing w:before="100" w:beforeAutospacing="1" w:after="100" w:afterAutospacing="1" w:line="240" w:lineRule="auto"/>
      <w:jc w:val="both"/>
    </w:pPr>
    <w:rPr>
      <w:rFonts w:eastAsia="Times New Roman"/>
      <w:sz w:val="20"/>
      <w:szCs w:val="20"/>
      <w:lang w:eastAsia="es-ES"/>
    </w:rPr>
  </w:style>
  <w:style w:type="paragraph" w:styleId="Textoindependienteprimerasangra">
    <w:name w:val="Body Text First Indent"/>
    <w:basedOn w:val="Textoindependiente"/>
    <w:link w:val="TextoindependienteprimerasangraCar"/>
    <w:rsid w:val="001C2C31"/>
    <w:pPr>
      <w:ind w:firstLine="210"/>
    </w:pPr>
  </w:style>
  <w:style w:type="character" w:customStyle="1" w:styleId="TextoindependienteprimerasangraCar">
    <w:name w:val="Texto independiente primera sangría Car"/>
    <w:basedOn w:val="TextoindependienteCar"/>
    <w:link w:val="Textoindependienteprimerasangra"/>
    <w:rsid w:val="001C2C31"/>
    <w:rPr>
      <w:rFonts w:eastAsia="Times New Roman"/>
      <w:szCs w:val="24"/>
      <w:lang w:eastAsia="es-ES"/>
    </w:rPr>
  </w:style>
  <w:style w:type="paragraph" w:customStyle="1" w:styleId="DPWfdPF">
    <w:name w:val="DPW fd PF"/>
    <w:aliases w:val="pf,p,f,DPW PF,f Car"/>
    <w:basedOn w:val="Normal"/>
    <w:link w:val="DPWfdPFChar"/>
    <w:rsid w:val="001C2C31"/>
    <w:pPr>
      <w:overflowPunct w:val="0"/>
      <w:autoSpaceDE w:val="0"/>
      <w:autoSpaceDN w:val="0"/>
      <w:adjustRightInd w:val="0"/>
      <w:spacing w:line="240" w:lineRule="auto"/>
      <w:ind w:firstLine="360"/>
      <w:jc w:val="both"/>
      <w:textAlignment w:val="baseline"/>
    </w:pPr>
    <w:rPr>
      <w:rFonts w:eastAsia="Times New Roman"/>
      <w:sz w:val="20"/>
      <w:szCs w:val="20"/>
      <w:lang w:val="en-US" w:eastAsia="es-ES"/>
    </w:rPr>
  </w:style>
  <w:style w:type="character" w:customStyle="1" w:styleId="DPWfdPFChar">
    <w:name w:val="DPW fd PF Char"/>
    <w:link w:val="DPWfdPF"/>
    <w:locked/>
    <w:rsid w:val="001C2C31"/>
    <w:rPr>
      <w:rFonts w:eastAsia="Times New Roman"/>
      <w:lang w:val="en-US" w:eastAsia="es-ES"/>
    </w:rPr>
  </w:style>
  <w:style w:type="paragraph" w:customStyle="1" w:styleId="DPWfdHDItalBold">
    <w:name w:val="DPWfd HD Ital Bold"/>
    <w:basedOn w:val="Normal"/>
    <w:next w:val="DPWfdPF"/>
    <w:link w:val="DPWfdHDItalBoldChar"/>
    <w:rsid w:val="001C2C31"/>
    <w:pPr>
      <w:keepNext/>
      <w:spacing w:line="240" w:lineRule="auto"/>
      <w:ind w:left="187"/>
      <w:jc w:val="both"/>
    </w:pPr>
    <w:rPr>
      <w:rFonts w:eastAsia="Times New Roman"/>
      <w:b/>
      <w:bCs/>
      <w:i/>
      <w:iCs/>
      <w:sz w:val="20"/>
      <w:szCs w:val="20"/>
      <w:lang w:val="en-US"/>
    </w:rPr>
  </w:style>
  <w:style w:type="character" w:customStyle="1" w:styleId="DPWfdHDItalBoldChar">
    <w:name w:val="DPWfd HD Ital Bold Char"/>
    <w:link w:val="DPWfdHDItalBold"/>
    <w:locked/>
    <w:rsid w:val="001C2C31"/>
    <w:rPr>
      <w:rFonts w:eastAsia="Times New Roman"/>
      <w:b/>
      <w:bCs/>
      <w:i/>
      <w:iCs/>
      <w:lang w:val="en-US" w:eastAsia="en-US"/>
    </w:rPr>
  </w:style>
  <w:style w:type="paragraph" w:customStyle="1" w:styleId="BFnormalChar">
    <w:name w:val="_BFnormal Char"/>
    <w:basedOn w:val="Normal"/>
    <w:rsid w:val="001C2C31"/>
    <w:pPr>
      <w:overflowPunct w:val="0"/>
      <w:autoSpaceDE w:val="0"/>
      <w:autoSpaceDN w:val="0"/>
      <w:adjustRightInd w:val="0"/>
      <w:spacing w:after="240" w:line="240" w:lineRule="auto"/>
      <w:ind w:firstLine="720"/>
      <w:jc w:val="both"/>
      <w:textAlignment w:val="baseline"/>
    </w:pPr>
    <w:rPr>
      <w:rFonts w:eastAsia="Times New Roman"/>
      <w:sz w:val="18"/>
      <w:szCs w:val="20"/>
      <w:lang w:val="en-US" w:eastAsia="es-ES"/>
    </w:rPr>
  </w:style>
  <w:style w:type="paragraph" w:customStyle="1" w:styleId="DPWfdtblbody10">
    <w:name w:val="DPWfd tbl body10"/>
    <w:aliases w:val="y1"/>
    <w:basedOn w:val="Normal"/>
    <w:rsid w:val="001C2C31"/>
    <w:pPr>
      <w:overflowPunct w:val="0"/>
      <w:autoSpaceDE w:val="0"/>
      <w:autoSpaceDN w:val="0"/>
      <w:adjustRightInd w:val="0"/>
      <w:spacing w:after="120" w:line="200" w:lineRule="exact"/>
      <w:jc w:val="both"/>
      <w:textAlignment w:val="baseline"/>
    </w:pPr>
    <w:rPr>
      <w:rFonts w:eastAsia="Times New Roman"/>
      <w:sz w:val="20"/>
      <w:szCs w:val="20"/>
      <w:lang w:val="en-US" w:eastAsia="es-ES"/>
    </w:rPr>
  </w:style>
  <w:style w:type="paragraph" w:customStyle="1" w:styleId="BFitalhead">
    <w:name w:val="_BFitalhead"/>
    <w:basedOn w:val="Normal"/>
    <w:rsid w:val="001C2C31"/>
    <w:pPr>
      <w:keepNext/>
      <w:overflowPunct w:val="0"/>
      <w:autoSpaceDE w:val="0"/>
      <w:autoSpaceDN w:val="0"/>
      <w:adjustRightInd w:val="0"/>
      <w:spacing w:after="240" w:line="240" w:lineRule="auto"/>
      <w:ind w:firstLine="360"/>
      <w:jc w:val="both"/>
      <w:textAlignment w:val="baseline"/>
    </w:pPr>
    <w:rPr>
      <w:rFonts w:eastAsia="Times New Roman"/>
      <w:i/>
      <w:sz w:val="18"/>
      <w:szCs w:val="20"/>
      <w:lang w:val="en-US" w:eastAsia="es-ES"/>
    </w:rPr>
  </w:style>
  <w:style w:type="paragraph" w:customStyle="1" w:styleId="bti">
    <w:name w:val="bti"/>
    <w:aliases w:val="BodyTextInd"/>
    <w:basedOn w:val="Sangradetextonormal"/>
    <w:rsid w:val="001C2C31"/>
    <w:pPr>
      <w:autoSpaceDE w:val="0"/>
      <w:autoSpaceDN w:val="0"/>
      <w:adjustRightInd w:val="0"/>
      <w:spacing w:after="240"/>
      <w:ind w:left="0" w:firstLine="360"/>
    </w:pPr>
    <w:rPr>
      <w:color w:val="000000"/>
      <w:szCs w:val="18"/>
      <w:lang w:val="en-US" w:eastAsia="pt-BR"/>
    </w:rPr>
  </w:style>
  <w:style w:type="paragraph" w:customStyle="1" w:styleId="TitleBoldItal">
    <w:name w:val="Title Bold/Ital"/>
    <w:basedOn w:val="Normal"/>
    <w:rsid w:val="001C2C31"/>
    <w:pPr>
      <w:keepNext/>
      <w:spacing w:after="240" w:line="240" w:lineRule="auto"/>
      <w:jc w:val="both"/>
    </w:pPr>
    <w:rPr>
      <w:rFonts w:eastAsia="Times New Roman"/>
      <w:b/>
      <w:i/>
      <w:sz w:val="20"/>
      <w:szCs w:val="24"/>
      <w:lang w:val="en-US"/>
    </w:rPr>
  </w:style>
  <w:style w:type="paragraph" w:customStyle="1" w:styleId="NormaProspecto">
    <w:name w:val="Norma Prospecto"/>
    <w:basedOn w:val="Normal"/>
    <w:link w:val="NormaProspectoCar"/>
    <w:rsid w:val="001C2C31"/>
    <w:pPr>
      <w:overflowPunct w:val="0"/>
      <w:autoSpaceDE w:val="0"/>
      <w:autoSpaceDN w:val="0"/>
      <w:adjustRightInd w:val="0"/>
      <w:spacing w:after="120" w:line="240" w:lineRule="auto"/>
      <w:jc w:val="both"/>
      <w:textAlignment w:val="baseline"/>
    </w:pPr>
    <w:rPr>
      <w:rFonts w:eastAsia="Times New Roman"/>
      <w:sz w:val="20"/>
      <w:szCs w:val="20"/>
      <w:lang w:eastAsia="es-ES"/>
    </w:rPr>
  </w:style>
  <w:style w:type="character" w:customStyle="1" w:styleId="NormaProspectoCar">
    <w:name w:val="Norma Prospecto Car"/>
    <w:link w:val="NormaProspecto"/>
    <w:rsid w:val="001C2C31"/>
    <w:rPr>
      <w:rFonts w:eastAsia="Times New Roman"/>
      <w:lang w:eastAsia="es-ES"/>
    </w:rPr>
  </w:style>
  <w:style w:type="paragraph" w:styleId="TDC2">
    <w:name w:val="toc 2"/>
    <w:basedOn w:val="Normal"/>
    <w:next w:val="Normal"/>
    <w:autoRedefine/>
    <w:semiHidden/>
    <w:rsid w:val="001C2C31"/>
    <w:pPr>
      <w:spacing w:after="120" w:line="240" w:lineRule="auto"/>
      <w:ind w:left="240"/>
      <w:jc w:val="both"/>
    </w:pPr>
    <w:rPr>
      <w:rFonts w:eastAsia="Times New Roman"/>
      <w:sz w:val="20"/>
      <w:szCs w:val="24"/>
      <w:lang w:eastAsia="es-ES"/>
    </w:rPr>
  </w:style>
  <w:style w:type="paragraph" w:customStyle="1" w:styleId="CarCarCarCar">
    <w:name w:val="Car Car Car Car"/>
    <w:basedOn w:val="Normal"/>
    <w:rsid w:val="001C2C31"/>
    <w:pPr>
      <w:spacing w:after="160" w:line="240" w:lineRule="exact"/>
      <w:jc w:val="both"/>
    </w:pPr>
    <w:rPr>
      <w:rFonts w:ascii="Verdana" w:eastAsia="PMingLiU" w:hAnsi="Verdana"/>
      <w:sz w:val="20"/>
      <w:szCs w:val="20"/>
      <w:lang w:val="en-US"/>
    </w:rPr>
  </w:style>
  <w:style w:type="paragraph" w:customStyle="1" w:styleId="CPNormalLeftBOLD">
    <w:name w:val="CPNormalLeft (BOLD)"/>
    <w:basedOn w:val="Normal"/>
    <w:rsid w:val="001C2C31"/>
    <w:pPr>
      <w:tabs>
        <w:tab w:val="right" w:pos="900"/>
        <w:tab w:val="left" w:pos="1170"/>
      </w:tabs>
      <w:spacing w:line="240" w:lineRule="auto"/>
      <w:jc w:val="both"/>
    </w:pPr>
    <w:rPr>
      <w:rFonts w:eastAsia="Times New Roman"/>
      <w:b/>
      <w:sz w:val="20"/>
      <w:szCs w:val="20"/>
      <w:lang w:val="en-US"/>
    </w:rPr>
  </w:style>
  <w:style w:type="paragraph" w:customStyle="1" w:styleId="Default">
    <w:name w:val="Default"/>
    <w:rsid w:val="001C2C31"/>
    <w:pPr>
      <w:autoSpaceDE w:val="0"/>
      <w:autoSpaceDN w:val="0"/>
      <w:adjustRightInd w:val="0"/>
    </w:pPr>
    <w:rPr>
      <w:rFonts w:ascii="Times New Roman" w:eastAsia="Times New Roman" w:hAnsi="Times New Roman"/>
      <w:color w:val="000000"/>
      <w:sz w:val="24"/>
      <w:szCs w:val="24"/>
      <w:lang w:val="es-ES" w:eastAsia="es-ES"/>
    </w:rPr>
  </w:style>
  <w:style w:type="character" w:customStyle="1" w:styleId="ParaNum">
    <w:name w:val="ParaNum"/>
    <w:rsid w:val="001C2C31"/>
    <w:rPr>
      <w:u w:val="none"/>
    </w:rPr>
  </w:style>
  <w:style w:type="paragraph" w:customStyle="1" w:styleId="Textoindependiente21">
    <w:name w:val="Texto independiente 21"/>
    <w:basedOn w:val="Normal"/>
    <w:rsid w:val="001C2C31"/>
    <w:pPr>
      <w:tabs>
        <w:tab w:val="left" w:pos="0"/>
        <w:tab w:val="left" w:pos="708"/>
        <w:tab w:val="left" w:pos="1416"/>
        <w:tab w:val="left" w:pos="2832"/>
        <w:tab w:val="left" w:pos="3540"/>
        <w:tab w:val="left" w:pos="4248"/>
        <w:tab w:val="left" w:pos="4956"/>
        <w:tab w:val="left" w:pos="5664"/>
      </w:tabs>
      <w:suppressAutoHyphens/>
      <w:spacing w:after="120" w:line="240" w:lineRule="auto"/>
      <w:jc w:val="both"/>
    </w:pPr>
    <w:rPr>
      <w:rFonts w:eastAsia="Times New Roman"/>
      <w:spacing w:val="-2"/>
      <w:sz w:val="20"/>
      <w:szCs w:val="20"/>
      <w:lang w:eastAsia="es-ES"/>
    </w:rPr>
  </w:style>
  <w:style w:type="paragraph" w:styleId="Fecha">
    <w:name w:val="Date"/>
    <w:basedOn w:val="Normal"/>
    <w:next w:val="Normal"/>
    <w:link w:val="FechaCar"/>
    <w:rsid w:val="001C2C31"/>
    <w:pPr>
      <w:spacing w:after="240" w:line="240" w:lineRule="auto"/>
      <w:jc w:val="both"/>
    </w:pPr>
    <w:rPr>
      <w:rFonts w:eastAsia="Times New Roman"/>
      <w:sz w:val="20"/>
      <w:szCs w:val="20"/>
      <w:lang w:val="en-US"/>
    </w:rPr>
  </w:style>
  <w:style w:type="character" w:customStyle="1" w:styleId="FechaCar">
    <w:name w:val="Fecha Car"/>
    <w:link w:val="Fecha"/>
    <w:rsid w:val="001C2C31"/>
    <w:rPr>
      <w:rFonts w:eastAsia="Times New Roman"/>
      <w:lang w:val="en-US" w:eastAsia="en-US"/>
    </w:rPr>
  </w:style>
  <w:style w:type="paragraph" w:customStyle="1" w:styleId="ItalicsBold">
    <w:name w:val="Italics/Bold"/>
    <w:basedOn w:val="Normal"/>
    <w:rsid w:val="001C2C31"/>
    <w:pPr>
      <w:keepNext/>
      <w:spacing w:after="240" w:line="240" w:lineRule="auto"/>
      <w:jc w:val="both"/>
    </w:pPr>
    <w:rPr>
      <w:rFonts w:eastAsia="Times New Roman"/>
      <w:b/>
      <w:i/>
      <w:sz w:val="20"/>
      <w:szCs w:val="24"/>
      <w:lang w:val="en-US"/>
    </w:rPr>
  </w:style>
  <w:style w:type="paragraph" w:customStyle="1" w:styleId="CarCarCarCarCarCar1CarCarCarCarCarCarCarCarCarCarCarCarCharCharCarCarCarCar">
    <w:name w:val="Car Car Car Car Car Car1 Car Car Car Car Car Car Car Car Car Car Car Car Char Char Car Car Car Car"/>
    <w:basedOn w:val="Normal"/>
    <w:rsid w:val="001C2C31"/>
    <w:pPr>
      <w:spacing w:after="160" w:line="240" w:lineRule="exact"/>
    </w:pPr>
    <w:rPr>
      <w:rFonts w:ascii="Verdana" w:eastAsia="PMingLiU" w:hAnsi="Verdana"/>
      <w:sz w:val="20"/>
      <w:szCs w:val="20"/>
      <w:lang w:val="en-US"/>
    </w:rPr>
  </w:style>
  <w:style w:type="paragraph" w:customStyle="1" w:styleId="CharChar2">
    <w:name w:val="Char Char2"/>
    <w:basedOn w:val="Normal"/>
    <w:rsid w:val="001C2C31"/>
    <w:pPr>
      <w:spacing w:after="160" w:line="240" w:lineRule="exact"/>
      <w:jc w:val="both"/>
    </w:pPr>
    <w:rPr>
      <w:rFonts w:ascii="Verdana" w:eastAsia="PMingLiU" w:hAnsi="Verdana"/>
      <w:sz w:val="20"/>
      <w:szCs w:val="20"/>
      <w:lang w:val="en-US"/>
    </w:rPr>
  </w:style>
  <w:style w:type="paragraph" w:customStyle="1" w:styleId="CarCarCarCar2">
    <w:name w:val="Car Car Car Car2"/>
    <w:basedOn w:val="Normal"/>
    <w:rsid w:val="001C2C31"/>
    <w:pPr>
      <w:spacing w:after="160" w:line="240" w:lineRule="exact"/>
      <w:jc w:val="both"/>
    </w:pPr>
    <w:rPr>
      <w:rFonts w:ascii="Verdana" w:eastAsia="PMingLiU" w:hAnsi="Verdana"/>
      <w:sz w:val="20"/>
      <w:szCs w:val="20"/>
      <w:lang w:val="en-US"/>
    </w:rPr>
  </w:style>
  <w:style w:type="paragraph" w:customStyle="1" w:styleId="CarCarCarCarCarCar1CarCarCarCarCarCarCarCarCarCarCarCarCharCharCarCarCarCar2">
    <w:name w:val="Car Car Car Car Car Car1 Car Car Car Car Car Car Car Car Car Car Car Car Char Char Car Car Car Car2"/>
    <w:basedOn w:val="Normal"/>
    <w:rsid w:val="001C2C31"/>
    <w:pPr>
      <w:spacing w:after="160" w:line="240" w:lineRule="exact"/>
    </w:pPr>
    <w:rPr>
      <w:rFonts w:ascii="Verdana" w:eastAsia="PMingLiU" w:hAnsi="Verdana"/>
      <w:sz w:val="20"/>
      <w:szCs w:val="20"/>
      <w:lang w:val="en-US"/>
    </w:rPr>
  </w:style>
  <w:style w:type="paragraph" w:styleId="Revisin">
    <w:name w:val="Revision"/>
    <w:hidden/>
    <w:uiPriority w:val="99"/>
    <w:semiHidden/>
    <w:rsid w:val="001C2C31"/>
    <w:rPr>
      <w:rFonts w:eastAsia="Times New Roman"/>
      <w:szCs w:val="24"/>
      <w:lang w:eastAsia="es-ES"/>
    </w:rPr>
  </w:style>
  <w:style w:type="character" w:customStyle="1" w:styleId="apple-converted-space">
    <w:name w:val="apple-converted-space"/>
    <w:rsid w:val="001C2C31"/>
  </w:style>
  <w:style w:type="paragraph" w:customStyle="1" w:styleId="Car1">
    <w:name w:val="Car1"/>
    <w:basedOn w:val="Normal"/>
    <w:rsid w:val="001C2C31"/>
    <w:pPr>
      <w:spacing w:after="160" w:line="240" w:lineRule="exact"/>
      <w:jc w:val="both"/>
    </w:pPr>
    <w:rPr>
      <w:rFonts w:ascii="Verdana" w:eastAsia="PMingLiU" w:hAnsi="Verdana"/>
      <w:sz w:val="20"/>
      <w:szCs w:val="20"/>
      <w:lang w:val="en-US"/>
    </w:rPr>
  </w:style>
  <w:style w:type="paragraph" w:customStyle="1" w:styleId="CharChar1">
    <w:name w:val="Char Char1"/>
    <w:basedOn w:val="Normal"/>
    <w:rsid w:val="001C2C31"/>
    <w:pPr>
      <w:spacing w:after="160" w:line="240" w:lineRule="exact"/>
      <w:jc w:val="both"/>
    </w:pPr>
    <w:rPr>
      <w:rFonts w:ascii="Verdana" w:eastAsia="PMingLiU" w:hAnsi="Verdana"/>
      <w:sz w:val="20"/>
      <w:szCs w:val="20"/>
      <w:lang w:val="en-US"/>
    </w:rPr>
  </w:style>
  <w:style w:type="paragraph" w:customStyle="1" w:styleId="CarCarCarCar1">
    <w:name w:val="Car Car Car Car1"/>
    <w:basedOn w:val="Normal"/>
    <w:rsid w:val="001C2C31"/>
    <w:pPr>
      <w:spacing w:after="160" w:line="240" w:lineRule="exact"/>
      <w:jc w:val="both"/>
    </w:pPr>
    <w:rPr>
      <w:rFonts w:ascii="Verdana" w:eastAsia="PMingLiU" w:hAnsi="Verdana"/>
      <w:sz w:val="20"/>
      <w:szCs w:val="20"/>
      <w:lang w:val="en-US"/>
    </w:rPr>
  </w:style>
  <w:style w:type="paragraph" w:customStyle="1" w:styleId="CarCarCarCarCarCar1CarCarCarCarCarCarCarCarCarCarCarCarCharCharCarCarCarCar1">
    <w:name w:val="Car Car Car Car Car Car1 Car Car Car Car Car Car Car Car Car Car Car Car Char Char Car Car Car Car1"/>
    <w:basedOn w:val="Normal"/>
    <w:rsid w:val="001C2C31"/>
    <w:pPr>
      <w:spacing w:after="160" w:line="240" w:lineRule="exact"/>
    </w:pPr>
    <w:rPr>
      <w:rFonts w:ascii="Verdana" w:eastAsia="PMingLiU" w:hAnsi="Verdana"/>
      <w:sz w:val="20"/>
      <w:szCs w:val="20"/>
      <w:lang w:val="en-US"/>
    </w:rPr>
  </w:style>
  <w:style w:type="paragraph" w:styleId="TtulodeTDC">
    <w:name w:val="TOC Heading"/>
    <w:basedOn w:val="Ttulo1"/>
    <w:next w:val="Normal"/>
    <w:uiPriority w:val="39"/>
    <w:semiHidden/>
    <w:unhideWhenUsed/>
    <w:qFormat/>
    <w:rsid w:val="001C2C31"/>
    <w:pPr>
      <w:keepLines/>
      <w:spacing w:before="480" w:after="0" w:line="276" w:lineRule="auto"/>
      <w:jc w:val="left"/>
      <w:outlineLvl w:val="9"/>
    </w:pPr>
    <w:rPr>
      <w:rFonts w:ascii="Cambria" w:hAnsi="Cambria" w:cs="Times New Roman"/>
      <w:color w:val="365F91"/>
      <w:kern w:val="0"/>
      <w:sz w:val="28"/>
      <w:szCs w:val="28"/>
      <w:lang w:eastAsia="es-AR"/>
    </w:rPr>
  </w:style>
  <w:style w:type="character" w:styleId="nfasis">
    <w:name w:val="Emphasis"/>
    <w:uiPriority w:val="20"/>
    <w:qFormat/>
    <w:rsid w:val="001C2C31"/>
    <w:rPr>
      <w:i/>
      <w:iCs/>
    </w:rPr>
  </w:style>
  <w:style w:type="paragraph" w:styleId="Prrafodelista">
    <w:name w:val="List Paragraph"/>
    <w:basedOn w:val="Normal"/>
    <w:uiPriority w:val="34"/>
    <w:qFormat/>
    <w:rsid w:val="00064F44"/>
    <w:pPr>
      <w:spacing w:after="24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73979">
      <w:bodyDiv w:val="1"/>
      <w:marLeft w:val="0"/>
      <w:marRight w:val="0"/>
      <w:marTop w:val="0"/>
      <w:marBottom w:val="0"/>
      <w:divBdr>
        <w:top w:val="none" w:sz="0" w:space="0" w:color="auto"/>
        <w:left w:val="none" w:sz="0" w:space="0" w:color="auto"/>
        <w:bottom w:val="none" w:sz="0" w:space="0" w:color="auto"/>
        <w:right w:val="none" w:sz="0" w:space="0" w:color="auto"/>
      </w:divBdr>
    </w:div>
    <w:div w:id="279800748">
      <w:bodyDiv w:val="1"/>
      <w:marLeft w:val="0"/>
      <w:marRight w:val="0"/>
      <w:marTop w:val="0"/>
      <w:marBottom w:val="0"/>
      <w:divBdr>
        <w:top w:val="none" w:sz="0" w:space="0" w:color="auto"/>
        <w:left w:val="none" w:sz="0" w:space="0" w:color="auto"/>
        <w:bottom w:val="none" w:sz="0" w:space="0" w:color="auto"/>
        <w:right w:val="none" w:sz="0" w:space="0" w:color="auto"/>
      </w:divBdr>
    </w:div>
    <w:div w:id="1447040802">
      <w:bodyDiv w:val="1"/>
      <w:marLeft w:val="0"/>
      <w:marRight w:val="0"/>
      <w:marTop w:val="0"/>
      <w:marBottom w:val="0"/>
      <w:divBdr>
        <w:top w:val="none" w:sz="0" w:space="0" w:color="auto"/>
        <w:left w:val="none" w:sz="0" w:space="0" w:color="auto"/>
        <w:bottom w:val="none" w:sz="0" w:space="0" w:color="auto"/>
        <w:right w:val="none" w:sz="0" w:space="0" w:color="auto"/>
      </w:divBdr>
    </w:div>
    <w:div w:id="199571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225;gina" TargetMode="Externa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http://www.cnv.gob.ar" TargetMode="External"/><Relationship Id="rId14" Type="http://schemas.openxmlformats.org/officeDocument/2006/relationships/image" Target="media/image5.emf"/><Relationship Id="rId22"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FA43A-A380-42F3-99D1-DA810630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12177</Words>
  <Characters>66976</Characters>
  <Application>Microsoft Office Word</Application>
  <DocSecurity>0</DocSecurity>
  <Lines>558</Lines>
  <Paragraphs>157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78996</CharactersWithSpaces>
  <SharedDoc>false</SharedDoc>
  <HLinks>
    <vt:vector size="72" baseType="variant">
      <vt:variant>
        <vt:i4>8192224</vt:i4>
      </vt:variant>
      <vt:variant>
        <vt:i4>66</vt:i4>
      </vt:variant>
      <vt:variant>
        <vt:i4>0</vt:i4>
      </vt:variant>
      <vt:variant>
        <vt:i4>5</vt:i4>
      </vt:variant>
      <vt:variant>
        <vt:lpwstr>http://página/</vt:lpwstr>
      </vt:variant>
      <vt:variant>
        <vt:lpwstr/>
      </vt:variant>
      <vt:variant>
        <vt:i4>1507380</vt:i4>
      </vt:variant>
      <vt:variant>
        <vt:i4>59</vt:i4>
      </vt:variant>
      <vt:variant>
        <vt:i4>0</vt:i4>
      </vt:variant>
      <vt:variant>
        <vt:i4>5</vt:i4>
      </vt:variant>
      <vt:variant>
        <vt:lpwstr/>
      </vt:variant>
      <vt:variant>
        <vt:lpwstr>_Toc20224103</vt:lpwstr>
      </vt:variant>
      <vt:variant>
        <vt:i4>1441844</vt:i4>
      </vt:variant>
      <vt:variant>
        <vt:i4>53</vt:i4>
      </vt:variant>
      <vt:variant>
        <vt:i4>0</vt:i4>
      </vt:variant>
      <vt:variant>
        <vt:i4>5</vt:i4>
      </vt:variant>
      <vt:variant>
        <vt:lpwstr/>
      </vt:variant>
      <vt:variant>
        <vt:lpwstr>_Toc20224102</vt:lpwstr>
      </vt:variant>
      <vt:variant>
        <vt:i4>1376308</vt:i4>
      </vt:variant>
      <vt:variant>
        <vt:i4>47</vt:i4>
      </vt:variant>
      <vt:variant>
        <vt:i4>0</vt:i4>
      </vt:variant>
      <vt:variant>
        <vt:i4>5</vt:i4>
      </vt:variant>
      <vt:variant>
        <vt:lpwstr/>
      </vt:variant>
      <vt:variant>
        <vt:lpwstr>_Toc20224101</vt:lpwstr>
      </vt:variant>
      <vt:variant>
        <vt:i4>1310772</vt:i4>
      </vt:variant>
      <vt:variant>
        <vt:i4>41</vt:i4>
      </vt:variant>
      <vt:variant>
        <vt:i4>0</vt:i4>
      </vt:variant>
      <vt:variant>
        <vt:i4>5</vt:i4>
      </vt:variant>
      <vt:variant>
        <vt:lpwstr/>
      </vt:variant>
      <vt:variant>
        <vt:lpwstr>_Toc20224100</vt:lpwstr>
      </vt:variant>
      <vt:variant>
        <vt:i4>1835069</vt:i4>
      </vt:variant>
      <vt:variant>
        <vt:i4>35</vt:i4>
      </vt:variant>
      <vt:variant>
        <vt:i4>0</vt:i4>
      </vt:variant>
      <vt:variant>
        <vt:i4>5</vt:i4>
      </vt:variant>
      <vt:variant>
        <vt:lpwstr/>
      </vt:variant>
      <vt:variant>
        <vt:lpwstr>_Toc20224099</vt:lpwstr>
      </vt:variant>
      <vt:variant>
        <vt:i4>1900605</vt:i4>
      </vt:variant>
      <vt:variant>
        <vt:i4>29</vt:i4>
      </vt:variant>
      <vt:variant>
        <vt:i4>0</vt:i4>
      </vt:variant>
      <vt:variant>
        <vt:i4>5</vt:i4>
      </vt:variant>
      <vt:variant>
        <vt:lpwstr/>
      </vt:variant>
      <vt:variant>
        <vt:lpwstr>_Toc20224098</vt:lpwstr>
      </vt:variant>
      <vt:variant>
        <vt:i4>1179709</vt:i4>
      </vt:variant>
      <vt:variant>
        <vt:i4>23</vt:i4>
      </vt:variant>
      <vt:variant>
        <vt:i4>0</vt:i4>
      </vt:variant>
      <vt:variant>
        <vt:i4>5</vt:i4>
      </vt:variant>
      <vt:variant>
        <vt:lpwstr/>
      </vt:variant>
      <vt:variant>
        <vt:lpwstr>_Toc20224097</vt:lpwstr>
      </vt:variant>
      <vt:variant>
        <vt:i4>1245245</vt:i4>
      </vt:variant>
      <vt:variant>
        <vt:i4>17</vt:i4>
      </vt:variant>
      <vt:variant>
        <vt:i4>0</vt:i4>
      </vt:variant>
      <vt:variant>
        <vt:i4>5</vt:i4>
      </vt:variant>
      <vt:variant>
        <vt:lpwstr/>
      </vt:variant>
      <vt:variant>
        <vt:lpwstr>_Toc20224096</vt:lpwstr>
      </vt:variant>
      <vt:variant>
        <vt:i4>1048637</vt:i4>
      </vt:variant>
      <vt:variant>
        <vt:i4>11</vt:i4>
      </vt:variant>
      <vt:variant>
        <vt:i4>0</vt:i4>
      </vt:variant>
      <vt:variant>
        <vt:i4>5</vt:i4>
      </vt:variant>
      <vt:variant>
        <vt:lpwstr/>
      </vt:variant>
      <vt:variant>
        <vt:lpwstr>_Toc20224095</vt:lpwstr>
      </vt:variant>
      <vt:variant>
        <vt:i4>1114173</vt:i4>
      </vt:variant>
      <vt:variant>
        <vt:i4>5</vt:i4>
      </vt:variant>
      <vt:variant>
        <vt:i4>0</vt:i4>
      </vt:variant>
      <vt:variant>
        <vt:i4>5</vt:i4>
      </vt:variant>
      <vt:variant>
        <vt:lpwstr/>
      </vt:variant>
      <vt:variant>
        <vt:lpwstr>_Toc20224094</vt:lpwstr>
      </vt:variant>
      <vt:variant>
        <vt:i4>7667747</vt:i4>
      </vt:variant>
      <vt:variant>
        <vt:i4>0</vt:i4>
      </vt:variant>
      <vt:variant>
        <vt:i4>0</vt:i4>
      </vt:variant>
      <vt:variant>
        <vt:i4>5</vt:i4>
      </vt:variant>
      <vt:variant>
        <vt:lpwstr>http://www.cnv.gob.ar/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Gomariz Alicia (B00650)</dc:creator>
  <cp:keywords/>
  <cp:lastModifiedBy>Fiamma Toto Ruá</cp:lastModifiedBy>
  <cp:revision>4</cp:revision>
  <cp:lastPrinted>2019-11-27T18:20:00Z</cp:lastPrinted>
  <dcterms:created xsi:type="dcterms:W3CDTF">2019-12-03T14:59:00Z</dcterms:created>
  <dcterms:modified xsi:type="dcterms:W3CDTF">2019-12-03T15:08:00Z</dcterms:modified>
</cp:coreProperties>
</file>