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32119" w14:textId="77777777" w:rsidR="00427624" w:rsidRPr="0014404F" w:rsidRDefault="0014404F" w:rsidP="00427624">
      <w:pPr>
        <w:widowControl w:val="0"/>
        <w:jc w:val="center"/>
        <w:rPr>
          <w:rFonts w:asciiTheme="minorHAnsi" w:hAnsiTheme="minorHAnsi"/>
          <w:b/>
          <w:sz w:val="18"/>
          <w:szCs w:val="18"/>
          <w:lang w:eastAsia="es-AR"/>
        </w:rPr>
      </w:pPr>
      <w:r w:rsidRPr="0014404F">
        <w:rPr>
          <w:rFonts w:asciiTheme="minorHAnsi" w:hAnsiTheme="minorHAnsi"/>
          <w:b/>
          <w:sz w:val="18"/>
          <w:szCs w:val="18"/>
          <w:lang w:eastAsia="es-AR"/>
        </w:rPr>
        <w:t>AVISO DE RESULTADOS</w:t>
      </w:r>
    </w:p>
    <w:p w14:paraId="76099BFD" w14:textId="77777777" w:rsidR="00E252C7" w:rsidRPr="0014404F" w:rsidRDefault="00E252C7" w:rsidP="00427624">
      <w:pPr>
        <w:widowControl w:val="0"/>
        <w:jc w:val="center"/>
        <w:rPr>
          <w:rFonts w:asciiTheme="minorHAnsi" w:hAnsiTheme="minorHAnsi"/>
          <w:b/>
          <w:sz w:val="18"/>
          <w:szCs w:val="18"/>
          <w:lang w:eastAsia="es-AR"/>
        </w:rPr>
      </w:pPr>
    </w:p>
    <w:p w14:paraId="69B225EE" w14:textId="77777777" w:rsidR="00427624" w:rsidRPr="0014404F" w:rsidRDefault="00E72E5E" w:rsidP="00427624">
      <w:pPr>
        <w:jc w:val="center"/>
        <w:rPr>
          <w:rFonts w:asciiTheme="minorHAnsi" w:hAnsiTheme="minorHAnsi"/>
          <w:b/>
          <w:sz w:val="18"/>
          <w:szCs w:val="18"/>
          <w:lang w:val="es-AR"/>
        </w:rPr>
      </w:pPr>
      <w:r w:rsidRPr="0014404F">
        <w:rPr>
          <w:rFonts w:asciiTheme="minorHAnsi" w:hAnsiTheme="minorHAnsi"/>
          <w:sz w:val="18"/>
          <w:szCs w:val="18"/>
          <w:lang w:val="es-US" w:eastAsia="es-US"/>
        </w:rPr>
        <w:drawing>
          <wp:inline distT="0" distB="0" distL="0" distR="0" wp14:anchorId="2C76A19F" wp14:editId="5E230B94">
            <wp:extent cx="807085" cy="5791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7085" cy="579120"/>
                    </a:xfrm>
                    <a:prstGeom prst="rect">
                      <a:avLst/>
                    </a:prstGeom>
                    <a:noFill/>
                    <a:ln>
                      <a:noFill/>
                    </a:ln>
                  </pic:spPr>
                </pic:pic>
              </a:graphicData>
            </a:graphic>
          </wp:inline>
        </w:drawing>
      </w:r>
    </w:p>
    <w:p w14:paraId="72660063" w14:textId="77777777" w:rsidR="00E72E5E" w:rsidRPr="0014404F" w:rsidRDefault="00E72E5E" w:rsidP="00E72E5E">
      <w:pPr>
        <w:jc w:val="center"/>
        <w:rPr>
          <w:rFonts w:asciiTheme="minorHAnsi" w:eastAsia="MS Mincho" w:hAnsiTheme="minorHAnsi"/>
          <w:b/>
          <w:bCs/>
          <w:sz w:val="18"/>
          <w:szCs w:val="18"/>
          <w:lang w:val="es-US"/>
        </w:rPr>
      </w:pPr>
      <w:r w:rsidRPr="0014404F">
        <w:rPr>
          <w:rFonts w:asciiTheme="minorHAnsi" w:eastAsia="MS Mincho" w:hAnsiTheme="minorHAnsi"/>
          <w:b/>
          <w:bCs/>
          <w:sz w:val="18"/>
          <w:szCs w:val="18"/>
          <w:lang w:val="es-US"/>
        </w:rPr>
        <w:t>Grupo ST S.A.</w:t>
      </w:r>
    </w:p>
    <w:p w14:paraId="4E29C981" w14:textId="77777777" w:rsidR="00E72E5E" w:rsidRPr="0014404F" w:rsidRDefault="00E72E5E" w:rsidP="00E252C7">
      <w:pPr>
        <w:jc w:val="center"/>
        <w:rPr>
          <w:rFonts w:asciiTheme="minorHAnsi" w:eastAsia="MS Mincho" w:hAnsiTheme="minorHAnsi"/>
          <w:b/>
          <w:bCs/>
          <w:sz w:val="18"/>
          <w:szCs w:val="18"/>
          <w:lang w:val="es-US"/>
        </w:rPr>
      </w:pPr>
      <w:r w:rsidRPr="0014404F">
        <w:rPr>
          <w:rFonts w:asciiTheme="minorHAnsi" w:eastAsia="MS Mincho" w:hAnsiTheme="minorHAnsi"/>
          <w:b/>
          <w:bCs/>
          <w:sz w:val="18"/>
          <w:szCs w:val="18"/>
          <w:lang w:val="es-US"/>
        </w:rPr>
        <w:t>Emisora</w:t>
      </w:r>
    </w:p>
    <w:p w14:paraId="3424374D" w14:textId="77777777" w:rsidR="00E252C7" w:rsidRPr="0014404F" w:rsidRDefault="00E252C7" w:rsidP="00E252C7">
      <w:pPr>
        <w:jc w:val="center"/>
        <w:rPr>
          <w:rFonts w:asciiTheme="minorHAnsi" w:eastAsia="MS Mincho" w:hAnsiTheme="minorHAnsi"/>
          <w:b/>
          <w:bCs/>
          <w:sz w:val="18"/>
          <w:szCs w:val="18"/>
          <w:lang w:val="es-US"/>
        </w:rPr>
      </w:pPr>
    </w:p>
    <w:p w14:paraId="6C6A4BDA" w14:textId="77777777" w:rsidR="004622A1" w:rsidRPr="0014404F" w:rsidRDefault="004622A1" w:rsidP="00E252C7">
      <w:pPr>
        <w:spacing w:line="276" w:lineRule="auto"/>
        <w:ind w:right="-17"/>
        <w:jc w:val="center"/>
        <w:rPr>
          <w:rFonts w:asciiTheme="minorHAnsi" w:hAnsiTheme="minorHAnsi"/>
          <w:b/>
          <w:noProof w:val="0"/>
          <w:sz w:val="18"/>
          <w:szCs w:val="18"/>
          <w:lang w:val="es-MX" w:eastAsia="es-ES"/>
        </w:rPr>
      </w:pPr>
      <w:r w:rsidRPr="0014404F">
        <w:rPr>
          <w:rFonts w:asciiTheme="minorHAnsi" w:hAnsiTheme="minorHAnsi"/>
          <w:b/>
          <w:noProof w:val="0"/>
          <w:sz w:val="18"/>
          <w:szCs w:val="18"/>
          <w:lang w:val="es-MX" w:eastAsia="es-ES"/>
        </w:rPr>
        <w:t>OBLIGACIONES NEGOCIABLES CLASE 2 DENOMINADAS EN PESOS A TASA VARIABLE CON VENCIMIENTO A LOS 180 DÍAS CORRIDOS DE LA FECHA DE EMISIÓN Y LIQUIDACIÓN</w:t>
      </w:r>
    </w:p>
    <w:p w14:paraId="44ECE3F4" w14:textId="77777777" w:rsidR="004622A1" w:rsidRPr="0014404F" w:rsidRDefault="004622A1" w:rsidP="00E252C7">
      <w:pPr>
        <w:spacing w:line="276" w:lineRule="auto"/>
        <w:ind w:right="-17"/>
        <w:jc w:val="center"/>
        <w:rPr>
          <w:rFonts w:asciiTheme="minorHAnsi" w:hAnsiTheme="minorHAnsi"/>
          <w:b/>
          <w:noProof w:val="0"/>
          <w:sz w:val="18"/>
          <w:szCs w:val="18"/>
          <w:lang w:val="es-MX" w:eastAsia="es-ES"/>
        </w:rPr>
      </w:pPr>
      <w:r w:rsidRPr="0014404F">
        <w:rPr>
          <w:rFonts w:asciiTheme="minorHAnsi" w:hAnsiTheme="minorHAnsi"/>
          <w:b/>
          <w:noProof w:val="0"/>
          <w:sz w:val="18"/>
          <w:szCs w:val="18"/>
          <w:lang w:val="es-MX" w:eastAsia="es-ES"/>
        </w:rPr>
        <w:t>POR UN VALOR NOMINAL DE HASTA $100.000.000 AMPLIABLE HASTA $175.000.000</w:t>
      </w:r>
    </w:p>
    <w:p w14:paraId="4EF1E7EC" w14:textId="77777777" w:rsidR="004622A1" w:rsidRPr="0014404F" w:rsidRDefault="004622A1" w:rsidP="00E252C7">
      <w:pPr>
        <w:spacing w:line="276" w:lineRule="auto"/>
        <w:ind w:right="-17"/>
        <w:jc w:val="center"/>
        <w:rPr>
          <w:rFonts w:asciiTheme="minorHAnsi" w:hAnsiTheme="minorHAnsi"/>
          <w:b/>
          <w:noProof w:val="0"/>
          <w:sz w:val="18"/>
          <w:szCs w:val="18"/>
          <w:lang w:val="es-MX" w:eastAsia="es-ES"/>
        </w:rPr>
      </w:pPr>
      <w:r w:rsidRPr="0014404F">
        <w:rPr>
          <w:rFonts w:asciiTheme="minorHAnsi" w:hAnsiTheme="minorHAnsi"/>
          <w:b/>
          <w:noProof w:val="0"/>
          <w:sz w:val="18"/>
          <w:szCs w:val="18"/>
          <w:lang w:val="es-MX" w:eastAsia="es-ES"/>
        </w:rPr>
        <w:t>A EMITIRSE EN EL MARCO DEL PROGRAMA GLOBAL DE EMISIÓN DE OBLIGACIONES NEGOCIABLES SIMPLES (NO CONVERTIBLES EN ACCIONES) POR HASTA $2.000.000.000 (O SU EQUIVALENTE EN OTRAS MONEDAS)</w:t>
      </w:r>
    </w:p>
    <w:p w14:paraId="315B323C" w14:textId="77777777" w:rsidR="00427624" w:rsidRPr="0014404F" w:rsidRDefault="00427624" w:rsidP="00E252C7">
      <w:pPr>
        <w:pStyle w:val="Title20"/>
        <w:spacing w:after="0" w:line="276" w:lineRule="auto"/>
        <w:jc w:val="left"/>
        <w:rPr>
          <w:rFonts w:asciiTheme="minorHAnsi" w:hAnsiTheme="minorHAnsi"/>
          <w:sz w:val="18"/>
          <w:szCs w:val="18"/>
          <w:lang w:val="es-AR"/>
        </w:rPr>
      </w:pPr>
    </w:p>
    <w:p w14:paraId="12A2F80C" w14:textId="77777777" w:rsidR="0014404F" w:rsidRPr="0014404F" w:rsidRDefault="0014404F" w:rsidP="001A6D78">
      <w:pPr>
        <w:keepNext/>
        <w:spacing w:line="276" w:lineRule="auto"/>
        <w:ind w:left="708" w:hanging="708"/>
        <w:jc w:val="both"/>
        <w:rPr>
          <w:rFonts w:asciiTheme="minorHAnsi" w:hAnsiTheme="minorHAnsi"/>
          <w:spacing w:val="-3"/>
          <w:sz w:val="18"/>
          <w:szCs w:val="18"/>
          <w:lang w:val="es-AR" w:eastAsia="es-ES"/>
        </w:rPr>
      </w:pPr>
      <w:r w:rsidRPr="0014404F">
        <w:rPr>
          <w:rFonts w:asciiTheme="minorHAnsi" w:hAnsiTheme="minorHAnsi"/>
          <w:spacing w:val="-3"/>
          <w:sz w:val="18"/>
          <w:szCs w:val="18"/>
          <w:lang w:val="es-AR" w:eastAsia="es-ES"/>
        </w:rPr>
        <w:t xml:space="preserve">En relación con las </w:t>
      </w:r>
      <w:r w:rsidRPr="0014404F">
        <w:rPr>
          <w:rFonts w:asciiTheme="minorHAnsi" w:hAnsiTheme="minorHAnsi"/>
          <w:color w:val="000000"/>
          <w:sz w:val="18"/>
          <w:szCs w:val="18"/>
          <w:lang w:val="es-MX" w:eastAsia="es-ES"/>
        </w:rPr>
        <w:t xml:space="preserve">obligaciones negociables clase 2 denominadas en pesos a tasa variable con vencimiento a los </w:t>
      </w:r>
      <w:r>
        <w:rPr>
          <w:rFonts w:asciiTheme="minorHAnsi" w:hAnsiTheme="minorHAnsi"/>
          <w:color w:val="000000"/>
          <w:sz w:val="18"/>
          <w:szCs w:val="18"/>
          <w:lang w:val="es-MX" w:eastAsia="es-ES"/>
        </w:rPr>
        <w:t>180 días corridos</w:t>
      </w:r>
      <w:r w:rsidRPr="0014404F">
        <w:rPr>
          <w:rFonts w:asciiTheme="minorHAnsi" w:hAnsiTheme="minorHAnsi"/>
          <w:color w:val="000000"/>
          <w:sz w:val="18"/>
          <w:szCs w:val="18"/>
          <w:lang w:val="es-MX" w:eastAsia="es-ES"/>
        </w:rPr>
        <w:t xml:space="preserve"> meses de la Fecha de Emisión y Liquidación (las “</w:t>
      </w:r>
      <w:r w:rsidRPr="0014404F">
        <w:rPr>
          <w:rFonts w:asciiTheme="minorHAnsi" w:hAnsiTheme="minorHAnsi"/>
          <w:b/>
          <w:color w:val="000000"/>
          <w:sz w:val="18"/>
          <w:szCs w:val="18"/>
          <w:lang w:val="es-MX" w:eastAsia="es-ES"/>
        </w:rPr>
        <w:t>Obligaciones Negociables</w:t>
      </w:r>
      <w:r w:rsidRPr="0014404F">
        <w:rPr>
          <w:rFonts w:asciiTheme="minorHAnsi" w:hAnsiTheme="minorHAnsi"/>
          <w:color w:val="000000"/>
          <w:sz w:val="18"/>
          <w:szCs w:val="18"/>
          <w:lang w:val="es-MX" w:eastAsia="es-ES"/>
        </w:rPr>
        <w:t>”)</w:t>
      </w:r>
      <w:r w:rsidRPr="0014404F">
        <w:rPr>
          <w:rFonts w:asciiTheme="minorHAnsi" w:hAnsiTheme="minorHAnsi"/>
          <w:spacing w:val="-3"/>
          <w:sz w:val="18"/>
          <w:szCs w:val="18"/>
          <w:lang w:val="es-AR" w:eastAsia="es-ES"/>
        </w:rPr>
        <w:t xml:space="preserve">, </w:t>
      </w:r>
      <w:r w:rsidRPr="0014404F">
        <w:rPr>
          <w:rFonts w:asciiTheme="minorHAnsi" w:hAnsiTheme="minorHAnsi"/>
          <w:spacing w:val="-3"/>
          <w:sz w:val="18"/>
          <w:szCs w:val="18"/>
          <w:lang w:val="es-ES" w:eastAsia="es-ES"/>
        </w:rPr>
        <w:t xml:space="preserve">ofertadas públicamente por </w:t>
      </w:r>
      <w:r w:rsidRPr="002B6EA8">
        <w:rPr>
          <w:rFonts w:asciiTheme="minorHAnsi" w:hAnsiTheme="minorHAnsi"/>
          <w:spacing w:val="-3"/>
          <w:sz w:val="18"/>
          <w:szCs w:val="18"/>
          <w:lang w:val="es-AR" w:eastAsia="es-ES"/>
        </w:rPr>
        <w:t>Grupo ST S.A.</w:t>
      </w:r>
      <w:r w:rsidRPr="0014404F">
        <w:rPr>
          <w:rFonts w:asciiTheme="minorHAnsi" w:hAnsiTheme="minorHAnsi"/>
          <w:spacing w:val="-3"/>
          <w:sz w:val="18"/>
          <w:szCs w:val="18"/>
          <w:lang w:val="es-AR" w:eastAsia="es-ES"/>
        </w:rPr>
        <w:t xml:space="preserve"> (“</w:t>
      </w:r>
      <w:r w:rsidRPr="0014404F">
        <w:rPr>
          <w:rFonts w:asciiTheme="minorHAnsi" w:hAnsiTheme="minorHAnsi"/>
          <w:b/>
          <w:spacing w:val="-3"/>
          <w:sz w:val="18"/>
          <w:szCs w:val="18"/>
          <w:lang w:val="es-AR" w:eastAsia="es-ES"/>
        </w:rPr>
        <w:t>GST</w:t>
      </w:r>
      <w:r w:rsidRPr="0014404F">
        <w:rPr>
          <w:rFonts w:asciiTheme="minorHAnsi" w:hAnsiTheme="minorHAnsi"/>
          <w:spacing w:val="-3"/>
          <w:sz w:val="18"/>
          <w:szCs w:val="18"/>
          <w:lang w:val="es-AR" w:eastAsia="es-ES"/>
        </w:rPr>
        <w:t>” o el “</w:t>
      </w:r>
      <w:r w:rsidRPr="0014404F">
        <w:rPr>
          <w:rFonts w:asciiTheme="minorHAnsi" w:hAnsiTheme="minorHAnsi"/>
          <w:b/>
          <w:spacing w:val="-3"/>
          <w:sz w:val="18"/>
          <w:szCs w:val="18"/>
          <w:lang w:val="es-AR" w:eastAsia="es-ES"/>
        </w:rPr>
        <w:t>Emisor</w:t>
      </w:r>
      <w:r w:rsidRPr="0014404F">
        <w:rPr>
          <w:rFonts w:asciiTheme="minorHAnsi" w:hAnsiTheme="minorHAnsi"/>
          <w:spacing w:val="-3"/>
          <w:sz w:val="18"/>
          <w:szCs w:val="18"/>
          <w:lang w:val="es-AR" w:eastAsia="es-ES"/>
        </w:rPr>
        <w:t xml:space="preserve">”) en el marco de su </w:t>
      </w:r>
      <w:r w:rsidR="002B6EA8" w:rsidRPr="0014404F">
        <w:rPr>
          <w:rFonts w:asciiTheme="minorHAnsi" w:hAnsiTheme="minorHAnsi"/>
          <w:sz w:val="18"/>
          <w:szCs w:val="18"/>
          <w:lang w:val="es-ES" w:eastAsia="es-ES"/>
        </w:rPr>
        <w:t xml:space="preserve">programa global </w:t>
      </w:r>
      <w:r w:rsidRPr="0014404F">
        <w:rPr>
          <w:rFonts w:asciiTheme="minorHAnsi" w:hAnsiTheme="minorHAnsi"/>
          <w:sz w:val="18"/>
          <w:szCs w:val="18"/>
          <w:lang w:val="es-ES" w:eastAsia="es-ES"/>
        </w:rPr>
        <w:t xml:space="preserve">de </w:t>
      </w:r>
      <w:r w:rsidR="002B6EA8" w:rsidRPr="0014404F">
        <w:rPr>
          <w:rFonts w:asciiTheme="minorHAnsi" w:hAnsiTheme="minorHAnsi"/>
          <w:sz w:val="18"/>
          <w:szCs w:val="18"/>
          <w:lang w:val="es-ES" w:eastAsia="es-ES"/>
        </w:rPr>
        <w:t xml:space="preserve">emisión </w:t>
      </w:r>
      <w:r w:rsidRPr="0014404F">
        <w:rPr>
          <w:rFonts w:asciiTheme="minorHAnsi" w:hAnsiTheme="minorHAnsi"/>
          <w:sz w:val="18"/>
          <w:szCs w:val="18"/>
          <w:lang w:val="es-ES" w:eastAsia="es-ES"/>
        </w:rPr>
        <w:t>de obligaciones negociables simples (no convertibles en acciones) por un valor nominal máximo en circulación en cualquier momento de $</w:t>
      </w:r>
      <w:r w:rsidR="002B6EA8">
        <w:rPr>
          <w:rFonts w:asciiTheme="minorHAnsi" w:hAnsiTheme="minorHAnsi"/>
          <w:sz w:val="18"/>
          <w:szCs w:val="18"/>
          <w:lang w:val="es-ES" w:eastAsia="es-ES"/>
        </w:rPr>
        <w:t>2.000</w:t>
      </w:r>
      <w:r w:rsidRPr="0014404F">
        <w:rPr>
          <w:rFonts w:asciiTheme="minorHAnsi" w:hAnsiTheme="minorHAnsi"/>
          <w:sz w:val="18"/>
          <w:szCs w:val="18"/>
          <w:lang w:val="es-ES" w:eastAsia="es-ES"/>
        </w:rPr>
        <w:t>.000.000 (o su equivalente en otras monedas)</w:t>
      </w:r>
      <w:r w:rsidRPr="0014404F">
        <w:rPr>
          <w:rFonts w:asciiTheme="minorHAnsi" w:hAnsiTheme="minorHAnsi"/>
          <w:spacing w:val="-3"/>
          <w:sz w:val="18"/>
          <w:szCs w:val="18"/>
          <w:lang w:val="es-AR" w:eastAsia="es-ES"/>
        </w:rPr>
        <w:t xml:space="preserve"> (el “</w:t>
      </w:r>
      <w:r w:rsidRPr="0014404F">
        <w:rPr>
          <w:rFonts w:asciiTheme="minorHAnsi" w:hAnsiTheme="minorHAnsi"/>
          <w:b/>
          <w:spacing w:val="-3"/>
          <w:sz w:val="18"/>
          <w:szCs w:val="18"/>
          <w:lang w:val="es-AR" w:eastAsia="es-ES"/>
        </w:rPr>
        <w:t>Programa</w:t>
      </w:r>
      <w:r w:rsidRPr="0014404F">
        <w:rPr>
          <w:rFonts w:asciiTheme="minorHAnsi" w:hAnsiTheme="minorHAnsi"/>
          <w:spacing w:val="-3"/>
          <w:sz w:val="18"/>
          <w:szCs w:val="18"/>
          <w:lang w:val="es-AR" w:eastAsia="es-ES"/>
        </w:rPr>
        <w:t>”)</w:t>
      </w:r>
      <w:r w:rsidRPr="0014404F">
        <w:rPr>
          <w:rFonts w:asciiTheme="minorHAnsi" w:hAnsiTheme="minorHAnsi"/>
          <w:sz w:val="18"/>
          <w:szCs w:val="18"/>
          <w:lang w:val="es-AR" w:eastAsia="es-ES"/>
        </w:rPr>
        <w:t xml:space="preserve">, cuyos términos y condiciones se detallan en </w:t>
      </w:r>
      <w:r w:rsidRPr="0014404F">
        <w:rPr>
          <w:rFonts w:asciiTheme="minorHAnsi" w:hAnsiTheme="minorHAnsi"/>
          <w:b/>
          <w:sz w:val="18"/>
          <w:szCs w:val="18"/>
          <w:lang w:val="es-AR" w:eastAsia="es-ES"/>
        </w:rPr>
        <w:t>(i)</w:t>
      </w:r>
      <w:r w:rsidRPr="0014404F">
        <w:rPr>
          <w:rFonts w:asciiTheme="minorHAnsi" w:hAnsiTheme="minorHAnsi"/>
          <w:sz w:val="18"/>
          <w:szCs w:val="18"/>
          <w:lang w:val="es-AR" w:eastAsia="es-ES"/>
        </w:rPr>
        <w:t xml:space="preserve"> el </w:t>
      </w:r>
      <w:r w:rsidRPr="0014404F">
        <w:rPr>
          <w:rFonts w:asciiTheme="minorHAnsi" w:hAnsiTheme="minorHAnsi"/>
          <w:spacing w:val="-3"/>
          <w:sz w:val="18"/>
          <w:szCs w:val="18"/>
          <w:lang w:val="es-ES" w:eastAsia="es-ES"/>
        </w:rPr>
        <w:t xml:space="preserve">prospecto del Programa de fecha </w:t>
      </w:r>
      <w:r w:rsidR="002B6EA8" w:rsidRPr="002B6EA8">
        <w:rPr>
          <w:rFonts w:asciiTheme="minorHAnsi" w:hAnsiTheme="minorHAnsi"/>
          <w:spacing w:val="-3"/>
          <w:sz w:val="18"/>
          <w:szCs w:val="18"/>
          <w:lang w:val="es-ES" w:eastAsia="es-ES"/>
        </w:rPr>
        <w:t>21 de octubre de 2019</w:t>
      </w:r>
      <w:r w:rsidRPr="0014404F">
        <w:rPr>
          <w:rFonts w:asciiTheme="minorHAnsi" w:hAnsiTheme="minorHAnsi"/>
          <w:spacing w:val="-3"/>
          <w:sz w:val="18"/>
          <w:szCs w:val="18"/>
          <w:lang w:val="es-ES" w:eastAsia="es-ES"/>
        </w:rPr>
        <w:t>, cuya versión resumida fue publicada en el boletín diario de la Bolsa de Comercio de Buenos Aires (la “</w:t>
      </w:r>
      <w:r w:rsidRPr="0014404F">
        <w:rPr>
          <w:rFonts w:asciiTheme="minorHAnsi" w:hAnsiTheme="minorHAnsi"/>
          <w:b/>
          <w:spacing w:val="-3"/>
          <w:sz w:val="18"/>
          <w:szCs w:val="18"/>
          <w:lang w:val="es-ES" w:eastAsia="es-ES"/>
        </w:rPr>
        <w:t>BCBA</w:t>
      </w:r>
      <w:r w:rsidRPr="0014404F">
        <w:rPr>
          <w:rFonts w:asciiTheme="minorHAnsi" w:hAnsiTheme="minorHAnsi"/>
          <w:spacing w:val="-3"/>
          <w:sz w:val="18"/>
          <w:szCs w:val="18"/>
          <w:lang w:val="es-ES" w:eastAsia="es-ES"/>
        </w:rPr>
        <w:t xml:space="preserve">”) de fecha </w:t>
      </w:r>
      <w:r w:rsidR="002B6EA8" w:rsidRPr="002B6EA8">
        <w:rPr>
          <w:rFonts w:asciiTheme="minorHAnsi" w:hAnsiTheme="minorHAnsi"/>
          <w:spacing w:val="-3"/>
          <w:sz w:val="18"/>
          <w:szCs w:val="18"/>
          <w:lang w:val="es-ES" w:eastAsia="es-ES"/>
        </w:rPr>
        <w:t>21 de octubre de 2019</w:t>
      </w:r>
      <w:r w:rsidRPr="0014404F">
        <w:rPr>
          <w:rFonts w:asciiTheme="minorHAnsi" w:hAnsiTheme="minorHAnsi"/>
          <w:spacing w:val="-3"/>
          <w:sz w:val="18"/>
          <w:szCs w:val="18"/>
          <w:lang w:val="es-ES" w:eastAsia="es-ES"/>
        </w:rPr>
        <w:t xml:space="preserve">, en virtud del ejercicio de la facultad delegada por </w:t>
      </w:r>
      <w:r w:rsidR="002B6EA8">
        <w:rPr>
          <w:rFonts w:asciiTheme="minorHAnsi" w:hAnsiTheme="minorHAnsi"/>
          <w:spacing w:val="-3"/>
          <w:sz w:val="18"/>
          <w:szCs w:val="18"/>
          <w:lang w:val="es-ES" w:eastAsia="es-ES"/>
        </w:rPr>
        <w:t>Bolsas y Mercados Argentinos S.A.</w:t>
      </w:r>
      <w:r w:rsidRPr="0014404F">
        <w:rPr>
          <w:rFonts w:asciiTheme="minorHAnsi" w:hAnsiTheme="minorHAnsi"/>
          <w:spacing w:val="-3"/>
          <w:sz w:val="18"/>
          <w:szCs w:val="18"/>
          <w:lang w:val="es-ES" w:eastAsia="es-ES"/>
        </w:rPr>
        <w:t xml:space="preserve"> (“</w:t>
      </w:r>
      <w:r w:rsidR="002B6EA8">
        <w:rPr>
          <w:rFonts w:asciiTheme="minorHAnsi" w:hAnsiTheme="minorHAnsi"/>
          <w:b/>
          <w:spacing w:val="-3"/>
          <w:sz w:val="18"/>
          <w:szCs w:val="18"/>
          <w:lang w:val="es-ES" w:eastAsia="es-ES"/>
        </w:rPr>
        <w:t>BYMA</w:t>
      </w:r>
      <w:r w:rsidRPr="0014404F">
        <w:rPr>
          <w:rFonts w:asciiTheme="minorHAnsi" w:hAnsiTheme="minorHAnsi"/>
          <w:spacing w:val="-3"/>
          <w:sz w:val="18"/>
          <w:szCs w:val="18"/>
          <w:lang w:val="es-ES" w:eastAsia="es-ES"/>
        </w:rPr>
        <w:t xml:space="preserve">”) a la BCBA, conforme lo </w:t>
      </w:r>
      <w:r w:rsidR="002B6EA8">
        <w:rPr>
          <w:rFonts w:asciiTheme="minorHAnsi" w:hAnsiTheme="minorHAnsi"/>
          <w:spacing w:val="-3"/>
          <w:sz w:val="18"/>
          <w:szCs w:val="18"/>
          <w:lang w:val="es-ES" w:eastAsia="es-ES"/>
        </w:rPr>
        <w:t>dispuesto en la Resolución N° 18</w:t>
      </w:r>
      <w:r w:rsidRPr="0014404F">
        <w:rPr>
          <w:rFonts w:asciiTheme="minorHAnsi" w:hAnsiTheme="minorHAnsi"/>
          <w:spacing w:val="-3"/>
          <w:sz w:val="18"/>
          <w:szCs w:val="18"/>
          <w:lang w:val="es-ES" w:eastAsia="es-ES"/>
        </w:rPr>
        <w:t>.</w:t>
      </w:r>
      <w:r w:rsidR="002B6EA8">
        <w:rPr>
          <w:rFonts w:asciiTheme="minorHAnsi" w:hAnsiTheme="minorHAnsi"/>
          <w:spacing w:val="-3"/>
          <w:sz w:val="18"/>
          <w:szCs w:val="18"/>
          <w:lang w:val="es-ES" w:eastAsia="es-ES"/>
        </w:rPr>
        <w:t>629</w:t>
      </w:r>
      <w:r w:rsidRPr="0014404F">
        <w:rPr>
          <w:rFonts w:asciiTheme="minorHAnsi" w:hAnsiTheme="minorHAnsi"/>
          <w:spacing w:val="-3"/>
          <w:sz w:val="18"/>
          <w:szCs w:val="18"/>
          <w:lang w:val="es-ES" w:eastAsia="es-ES"/>
        </w:rPr>
        <w:t xml:space="preserve"> de la Comisión Nacional de Valores (la “</w:t>
      </w:r>
      <w:r w:rsidRPr="0014404F">
        <w:rPr>
          <w:rFonts w:asciiTheme="minorHAnsi" w:hAnsiTheme="minorHAnsi"/>
          <w:b/>
          <w:spacing w:val="-3"/>
          <w:sz w:val="18"/>
          <w:szCs w:val="18"/>
          <w:lang w:val="es-ES" w:eastAsia="es-ES"/>
        </w:rPr>
        <w:t>CNV</w:t>
      </w:r>
      <w:r w:rsidRPr="0014404F">
        <w:rPr>
          <w:rFonts w:asciiTheme="minorHAnsi" w:hAnsiTheme="minorHAnsi"/>
          <w:spacing w:val="-3"/>
          <w:sz w:val="18"/>
          <w:szCs w:val="18"/>
          <w:lang w:val="es-ES" w:eastAsia="es-ES"/>
        </w:rPr>
        <w:t>”) (el “</w:t>
      </w:r>
      <w:r w:rsidRPr="0014404F">
        <w:rPr>
          <w:rFonts w:asciiTheme="minorHAnsi" w:hAnsiTheme="minorHAnsi"/>
          <w:b/>
          <w:spacing w:val="-3"/>
          <w:sz w:val="18"/>
          <w:szCs w:val="18"/>
          <w:lang w:val="es-ES" w:eastAsia="es-ES"/>
        </w:rPr>
        <w:t>Boletín Diario de la BCBA</w:t>
      </w:r>
      <w:r w:rsidRPr="0014404F">
        <w:rPr>
          <w:rFonts w:asciiTheme="minorHAnsi" w:hAnsiTheme="minorHAnsi"/>
          <w:spacing w:val="-3"/>
          <w:sz w:val="18"/>
          <w:szCs w:val="18"/>
          <w:lang w:val="es-ES" w:eastAsia="es-ES"/>
        </w:rPr>
        <w:t>”), en la página web de la CNV (</w:t>
      </w:r>
      <w:hyperlink r:id="rId5" w:history="1">
        <w:r w:rsidRPr="0014404F">
          <w:rPr>
            <w:rFonts w:asciiTheme="minorHAnsi" w:hAnsiTheme="minorHAnsi"/>
            <w:color w:val="0000FF"/>
            <w:spacing w:val="-3"/>
            <w:sz w:val="18"/>
            <w:szCs w:val="18"/>
            <w:u w:val="single"/>
            <w:lang w:val="es-ES" w:eastAsia="es-ES"/>
          </w:rPr>
          <w:t>www.cnv.gob.ar</w:t>
        </w:r>
      </w:hyperlink>
      <w:r w:rsidRPr="0014404F">
        <w:rPr>
          <w:rFonts w:asciiTheme="minorHAnsi" w:hAnsiTheme="minorHAnsi"/>
          <w:spacing w:val="-3"/>
          <w:sz w:val="18"/>
          <w:szCs w:val="18"/>
          <w:lang w:val="es-ES" w:eastAsia="es-ES"/>
        </w:rPr>
        <w:t>) a través de la Autopista de Información Financiera (la “</w:t>
      </w:r>
      <w:r w:rsidRPr="0014404F">
        <w:rPr>
          <w:rFonts w:asciiTheme="minorHAnsi" w:hAnsiTheme="minorHAnsi"/>
          <w:b/>
          <w:spacing w:val="-3"/>
          <w:sz w:val="18"/>
          <w:szCs w:val="18"/>
          <w:lang w:val="es-ES" w:eastAsia="es-ES"/>
        </w:rPr>
        <w:t>Página Web de la CNV</w:t>
      </w:r>
      <w:r w:rsidRPr="0014404F">
        <w:rPr>
          <w:rFonts w:asciiTheme="minorHAnsi" w:hAnsiTheme="minorHAnsi"/>
          <w:spacing w:val="-3"/>
          <w:sz w:val="18"/>
          <w:szCs w:val="18"/>
          <w:lang w:val="es-ES" w:eastAsia="es-ES"/>
        </w:rPr>
        <w:t>”) y en la página web del Emisor (</w:t>
      </w:r>
      <w:hyperlink r:id="rId6" w:history="1">
        <w:r w:rsidRPr="0014404F">
          <w:rPr>
            <w:rFonts w:asciiTheme="minorHAnsi" w:hAnsiTheme="minorHAnsi"/>
            <w:color w:val="0000FF"/>
            <w:spacing w:val="-3"/>
            <w:sz w:val="18"/>
            <w:szCs w:val="18"/>
            <w:u w:val="single"/>
            <w:lang w:val="es-ES" w:eastAsia="es-ES"/>
          </w:rPr>
          <w:t>www.grupost.com.ar</w:t>
        </w:r>
      </w:hyperlink>
      <w:r w:rsidRPr="0014404F">
        <w:rPr>
          <w:rFonts w:asciiTheme="minorHAnsi" w:hAnsiTheme="minorHAnsi"/>
          <w:spacing w:val="-3"/>
          <w:sz w:val="18"/>
          <w:szCs w:val="18"/>
          <w:lang w:val="es-ES" w:eastAsia="es-ES"/>
        </w:rPr>
        <w:t>) (la “</w:t>
      </w:r>
      <w:r w:rsidRPr="0014404F">
        <w:rPr>
          <w:rFonts w:asciiTheme="minorHAnsi" w:hAnsiTheme="minorHAnsi"/>
          <w:b/>
          <w:spacing w:val="-3"/>
          <w:sz w:val="18"/>
          <w:szCs w:val="18"/>
          <w:lang w:val="es-ES" w:eastAsia="es-ES"/>
        </w:rPr>
        <w:t>Página Web del Emisor</w:t>
      </w:r>
      <w:r w:rsidRPr="0014404F">
        <w:rPr>
          <w:rFonts w:asciiTheme="minorHAnsi" w:hAnsiTheme="minorHAnsi"/>
          <w:spacing w:val="-3"/>
          <w:sz w:val="18"/>
          <w:szCs w:val="18"/>
          <w:lang w:val="es-ES" w:eastAsia="es-ES"/>
        </w:rPr>
        <w:t>”) (el “</w:t>
      </w:r>
      <w:r w:rsidRPr="0014404F">
        <w:rPr>
          <w:rFonts w:asciiTheme="minorHAnsi" w:hAnsiTheme="minorHAnsi"/>
          <w:b/>
          <w:spacing w:val="-3"/>
          <w:sz w:val="18"/>
          <w:szCs w:val="18"/>
          <w:lang w:val="es-ES" w:eastAsia="es-ES"/>
        </w:rPr>
        <w:t>Prospecto</w:t>
      </w:r>
      <w:r w:rsidR="006E5ADE">
        <w:rPr>
          <w:rFonts w:asciiTheme="minorHAnsi" w:hAnsiTheme="minorHAnsi"/>
          <w:spacing w:val="-3"/>
          <w:sz w:val="18"/>
          <w:szCs w:val="18"/>
          <w:lang w:val="es-ES" w:eastAsia="es-ES"/>
        </w:rPr>
        <w:t>”);</w:t>
      </w:r>
      <w:r w:rsidRPr="0014404F">
        <w:rPr>
          <w:rFonts w:asciiTheme="minorHAnsi" w:hAnsiTheme="minorHAnsi"/>
          <w:spacing w:val="-3"/>
          <w:sz w:val="18"/>
          <w:szCs w:val="18"/>
          <w:lang w:val="es-ES" w:eastAsia="es-ES"/>
        </w:rPr>
        <w:t xml:space="preserve"> </w:t>
      </w:r>
      <w:r w:rsidRPr="0014404F">
        <w:rPr>
          <w:rFonts w:asciiTheme="minorHAnsi" w:hAnsiTheme="minorHAnsi"/>
          <w:b/>
          <w:spacing w:val="-3"/>
          <w:sz w:val="18"/>
          <w:szCs w:val="18"/>
          <w:lang w:val="es-ES" w:eastAsia="es-ES"/>
        </w:rPr>
        <w:t xml:space="preserve">(ii) </w:t>
      </w:r>
      <w:r w:rsidRPr="0014404F">
        <w:rPr>
          <w:rFonts w:asciiTheme="minorHAnsi" w:hAnsiTheme="minorHAnsi"/>
          <w:spacing w:val="-3"/>
          <w:sz w:val="18"/>
          <w:szCs w:val="18"/>
          <w:lang w:val="es-ES" w:eastAsia="es-ES"/>
        </w:rPr>
        <w:t xml:space="preserve">el suplemento de precio de fecha </w:t>
      </w:r>
      <w:r w:rsidR="002B6EA8">
        <w:rPr>
          <w:rFonts w:asciiTheme="minorHAnsi" w:hAnsiTheme="minorHAnsi"/>
          <w:spacing w:val="-3"/>
          <w:sz w:val="18"/>
          <w:szCs w:val="18"/>
          <w:lang w:val="es-ES" w:eastAsia="es-ES"/>
        </w:rPr>
        <w:t>3</w:t>
      </w:r>
      <w:r w:rsidRPr="0014404F">
        <w:rPr>
          <w:rFonts w:asciiTheme="minorHAnsi" w:hAnsiTheme="minorHAnsi"/>
          <w:sz w:val="18"/>
          <w:szCs w:val="18"/>
          <w:lang w:val="es-ES" w:eastAsia="es-ES"/>
        </w:rPr>
        <w:t xml:space="preserve"> </w:t>
      </w:r>
      <w:r w:rsidRPr="0014404F">
        <w:rPr>
          <w:rFonts w:asciiTheme="minorHAnsi" w:hAnsiTheme="minorHAnsi"/>
          <w:spacing w:val="-3"/>
          <w:sz w:val="18"/>
          <w:szCs w:val="18"/>
          <w:lang w:val="es-ES" w:eastAsia="es-ES"/>
        </w:rPr>
        <w:t xml:space="preserve">de </w:t>
      </w:r>
      <w:r w:rsidR="002B6EA8">
        <w:rPr>
          <w:rFonts w:asciiTheme="minorHAnsi" w:hAnsiTheme="minorHAnsi"/>
          <w:spacing w:val="-3"/>
          <w:sz w:val="18"/>
          <w:szCs w:val="18"/>
          <w:lang w:val="es-ES" w:eastAsia="es-ES"/>
        </w:rPr>
        <w:t>diciembre de 2019</w:t>
      </w:r>
      <w:r w:rsidRPr="0014404F">
        <w:rPr>
          <w:rFonts w:asciiTheme="minorHAnsi" w:hAnsiTheme="minorHAnsi"/>
          <w:spacing w:val="-3"/>
          <w:sz w:val="18"/>
          <w:szCs w:val="18"/>
          <w:lang w:val="es-ES" w:eastAsia="es-ES"/>
        </w:rPr>
        <w:t xml:space="preserve">, publicado en el Boletín Diario de la BCBA de fecha </w:t>
      </w:r>
      <w:r w:rsidR="002B6EA8">
        <w:rPr>
          <w:rFonts w:asciiTheme="minorHAnsi" w:hAnsiTheme="minorHAnsi"/>
          <w:spacing w:val="-3"/>
          <w:sz w:val="18"/>
          <w:szCs w:val="18"/>
          <w:lang w:val="es-ES" w:eastAsia="es-ES"/>
        </w:rPr>
        <w:t>3</w:t>
      </w:r>
      <w:r w:rsidR="002B6EA8" w:rsidRPr="0014404F">
        <w:rPr>
          <w:rFonts w:asciiTheme="minorHAnsi" w:hAnsiTheme="minorHAnsi"/>
          <w:sz w:val="18"/>
          <w:szCs w:val="18"/>
          <w:lang w:val="es-ES" w:eastAsia="es-ES"/>
        </w:rPr>
        <w:t xml:space="preserve"> </w:t>
      </w:r>
      <w:r w:rsidR="002B6EA8" w:rsidRPr="0014404F">
        <w:rPr>
          <w:rFonts w:asciiTheme="minorHAnsi" w:hAnsiTheme="minorHAnsi"/>
          <w:spacing w:val="-3"/>
          <w:sz w:val="18"/>
          <w:szCs w:val="18"/>
          <w:lang w:val="es-ES" w:eastAsia="es-ES"/>
        </w:rPr>
        <w:t xml:space="preserve">de </w:t>
      </w:r>
      <w:r w:rsidR="002B6EA8">
        <w:rPr>
          <w:rFonts w:asciiTheme="minorHAnsi" w:hAnsiTheme="minorHAnsi"/>
          <w:spacing w:val="-3"/>
          <w:sz w:val="18"/>
          <w:szCs w:val="18"/>
          <w:lang w:val="es-ES" w:eastAsia="es-ES"/>
        </w:rPr>
        <w:t>diciembre de 2019</w:t>
      </w:r>
      <w:r w:rsidRPr="0014404F">
        <w:rPr>
          <w:rFonts w:asciiTheme="minorHAnsi" w:hAnsiTheme="minorHAnsi"/>
          <w:spacing w:val="-3"/>
          <w:sz w:val="18"/>
          <w:szCs w:val="18"/>
          <w:lang w:val="es-ES" w:eastAsia="es-ES"/>
        </w:rPr>
        <w:t>, en el boletín diario electrónico del Mercado Abierto Electrónico S.A. (el “</w:t>
      </w:r>
      <w:r w:rsidRPr="0014404F">
        <w:rPr>
          <w:rFonts w:asciiTheme="minorHAnsi" w:hAnsiTheme="minorHAnsi"/>
          <w:b/>
          <w:spacing w:val="-3"/>
          <w:sz w:val="18"/>
          <w:szCs w:val="18"/>
          <w:lang w:val="es-ES" w:eastAsia="es-ES"/>
        </w:rPr>
        <w:t>MAE</w:t>
      </w:r>
      <w:r w:rsidRPr="0014404F">
        <w:rPr>
          <w:rFonts w:asciiTheme="minorHAnsi" w:hAnsiTheme="minorHAnsi"/>
          <w:spacing w:val="-3"/>
          <w:sz w:val="18"/>
          <w:szCs w:val="18"/>
          <w:lang w:val="es-ES" w:eastAsia="es-ES"/>
        </w:rPr>
        <w:t>”) (el “</w:t>
      </w:r>
      <w:r w:rsidRPr="0014404F">
        <w:rPr>
          <w:rFonts w:asciiTheme="minorHAnsi" w:hAnsiTheme="minorHAnsi"/>
          <w:b/>
          <w:spacing w:val="-3"/>
          <w:sz w:val="18"/>
          <w:szCs w:val="18"/>
          <w:lang w:val="es-ES" w:eastAsia="es-ES"/>
        </w:rPr>
        <w:t>Boletín Diario Electrónico del MAE</w:t>
      </w:r>
      <w:r w:rsidRPr="0014404F">
        <w:rPr>
          <w:rFonts w:asciiTheme="minorHAnsi" w:hAnsiTheme="minorHAnsi"/>
          <w:spacing w:val="-3"/>
          <w:sz w:val="18"/>
          <w:szCs w:val="18"/>
          <w:lang w:val="es-ES" w:eastAsia="es-ES"/>
        </w:rPr>
        <w:t>”), en el micro sitio de la WEB de colocaciones primarias del MAE (MPMAE)</w:t>
      </w:r>
      <w:r w:rsidRPr="0014404F">
        <w:rPr>
          <w:rFonts w:asciiTheme="minorHAnsi" w:hAnsiTheme="minorHAnsi"/>
          <w:sz w:val="18"/>
          <w:szCs w:val="18"/>
          <w:lang w:val="es-AR"/>
        </w:rPr>
        <w:t xml:space="preserve"> (</w:t>
      </w:r>
      <w:hyperlink r:id="rId7" w:history="1">
        <w:r w:rsidRPr="0014404F">
          <w:rPr>
            <w:rFonts w:asciiTheme="minorHAnsi" w:hAnsiTheme="minorHAnsi"/>
            <w:color w:val="0000FF"/>
            <w:sz w:val="18"/>
            <w:szCs w:val="18"/>
            <w:u w:val="single"/>
            <w:lang w:val="es-ES" w:eastAsia="es-ES"/>
          </w:rPr>
          <w:t>www.mae.com.ar/mpmae</w:t>
        </w:r>
      </w:hyperlink>
      <w:r w:rsidRPr="0014404F">
        <w:rPr>
          <w:rFonts w:asciiTheme="minorHAnsi" w:hAnsiTheme="minorHAnsi"/>
          <w:sz w:val="18"/>
          <w:szCs w:val="18"/>
          <w:lang w:val="es-ES" w:eastAsia="es-ES"/>
        </w:rPr>
        <w:t>)</w:t>
      </w:r>
      <w:r w:rsidRPr="0014404F">
        <w:rPr>
          <w:rFonts w:asciiTheme="minorHAnsi" w:hAnsiTheme="minorHAnsi"/>
          <w:spacing w:val="-3"/>
          <w:sz w:val="18"/>
          <w:szCs w:val="18"/>
          <w:lang w:val="es-ES" w:eastAsia="es-ES"/>
        </w:rPr>
        <w:t xml:space="preserve">, en la Página Web de la CNV, y en la Página Web del Emisor </w:t>
      </w:r>
      <w:r w:rsidRPr="0014404F">
        <w:rPr>
          <w:rFonts w:asciiTheme="minorHAnsi" w:hAnsiTheme="minorHAnsi"/>
          <w:spacing w:val="-3"/>
          <w:sz w:val="18"/>
          <w:szCs w:val="18"/>
          <w:lang w:val="es-AR" w:eastAsia="es-ES"/>
        </w:rPr>
        <w:t>(el “</w:t>
      </w:r>
      <w:r w:rsidRPr="0014404F">
        <w:rPr>
          <w:rFonts w:asciiTheme="minorHAnsi" w:hAnsiTheme="minorHAnsi"/>
          <w:b/>
          <w:spacing w:val="-3"/>
          <w:sz w:val="18"/>
          <w:szCs w:val="18"/>
          <w:lang w:val="es-AR" w:eastAsia="es-ES"/>
        </w:rPr>
        <w:t>Suplemento de Precio</w:t>
      </w:r>
      <w:r w:rsidRPr="0014404F">
        <w:rPr>
          <w:rFonts w:asciiTheme="minorHAnsi" w:hAnsiTheme="minorHAnsi"/>
          <w:spacing w:val="-3"/>
          <w:sz w:val="18"/>
          <w:szCs w:val="18"/>
          <w:lang w:val="es-AR" w:eastAsia="es-ES"/>
        </w:rPr>
        <w:t>”)</w:t>
      </w:r>
      <w:r w:rsidRPr="0014404F">
        <w:rPr>
          <w:rFonts w:asciiTheme="minorHAnsi" w:hAnsiTheme="minorHAnsi"/>
          <w:sz w:val="18"/>
          <w:szCs w:val="18"/>
          <w:lang w:val="es-AR" w:eastAsia="es-ES"/>
        </w:rPr>
        <w:t xml:space="preserve">; y </w:t>
      </w:r>
      <w:r w:rsidRPr="0014404F">
        <w:rPr>
          <w:rFonts w:asciiTheme="minorHAnsi" w:hAnsiTheme="minorHAnsi"/>
          <w:b/>
          <w:sz w:val="18"/>
          <w:szCs w:val="18"/>
          <w:lang w:val="es-AR" w:eastAsia="es-ES"/>
        </w:rPr>
        <w:t>(iii)</w:t>
      </w:r>
      <w:r w:rsidRPr="0014404F">
        <w:rPr>
          <w:rFonts w:asciiTheme="minorHAnsi" w:hAnsiTheme="minorHAnsi"/>
          <w:sz w:val="18"/>
          <w:szCs w:val="18"/>
          <w:lang w:val="es-AR" w:eastAsia="es-ES"/>
        </w:rPr>
        <w:t xml:space="preserve"> el aviso de suscripción publicado en el Boletín Diario de la BCBA de fecha </w:t>
      </w:r>
      <w:r w:rsidR="002B6EA8">
        <w:rPr>
          <w:rFonts w:asciiTheme="minorHAnsi" w:hAnsiTheme="minorHAnsi"/>
          <w:spacing w:val="-3"/>
          <w:sz w:val="18"/>
          <w:szCs w:val="18"/>
          <w:lang w:val="es-ES" w:eastAsia="es-ES"/>
        </w:rPr>
        <w:t>3</w:t>
      </w:r>
      <w:r w:rsidR="002B6EA8" w:rsidRPr="0014404F">
        <w:rPr>
          <w:rFonts w:asciiTheme="minorHAnsi" w:hAnsiTheme="minorHAnsi"/>
          <w:sz w:val="18"/>
          <w:szCs w:val="18"/>
          <w:lang w:val="es-ES" w:eastAsia="es-ES"/>
        </w:rPr>
        <w:t xml:space="preserve"> </w:t>
      </w:r>
      <w:r w:rsidR="002B6EA8" w:rsidRPr="0014404F">
        <w:rPr>
          <w:rFonts w:asciiTheme="minorHAnsi" w:hAnsiTheme="minorHAnsi"/>
          <w:spacing w:val="-3"/>
          <w:sz w:val="18"/>
          <w:szCs w:val="18"/>
          <w:lang w:val="es-ES" w:eastAsia="es-ES"/>
        </w:rPr>
        <w:t xml:space="preserve">de </w:t>
      </w:r>
      <w:r w:rsidR="002B6EA8">
        <w:rPr>
          <w:rFonts w:asciiTheme="minorHAnsi" w:hAnsiTheme="minorHAnsi"/>
          <w:spacing w:val="-3"/>
          <w:sz w:val="18"/>
          <w:szCs w:val="18"/>
          <w:lang w:val="es-ES" w:eastAsia="es-ES"/>
        </w:rPr>
        <w:t>diciembre de 2019</w:t>
      </w:r>
      <w:r w:rsidRPr="0014404F">
        <w:rPr>
          <w:rFonts w:asciiTheme="minorHAnsi" w:hAnsiTheme="minorHAnsi"/>
          <w:sz w:val="18"/>
          <w:szCs w:val="18"/>
          <w:lang w:val="es-AR" w:eastAsia="es-ES"/>
        </w:rPr>
        <w:t xml:space="preserve">, </w:t>
      </w:r>
      <w:r w:rsidRPr="0014404F">
        <w:rPr>
          <w:rFonts w:asciiTheme="minorHAnsi" w:hAnsiTheme="minorHAnsi" w:cs="Calibri"/>
          <w:spacing w:val="-3"/>
          <w:sz w:val="18"/>
          <w:szCs w:val="18"/>
          <w:lang w:val="es-AR" w:eastAsia="es-ES"/>
        </w:rPr>
        <w:t xml:space="preserve">en el Boletín Diario Electrónico del MAE </w:t>
      </w:r>
      <w:r w:rsidRPr="0014404F">
        <w:rPr>
          <w:rFonts w:asciiTheme="minorHAnsi" w:hAnsiTheme="minorHAnsi"/>
          <w:spacing w:val="-3"/>
          <w:sz w:val="18"/>
          <w:szCs w:val="18"/>
          <w:lang w:val="es-ES" w:eastAsia="es-ES"/>
        </w:rPr>
        <w:t xml:space="preserve">y en el micro sitio de la WEB de colocaciones primarias del MAE (MPMAE) </w:t>
      </w:r>
      <w:r w:rsidRPr="0014404F">
        <w:rPr>
          <w:rFonts w:asciiTheme="minorHAnsi" w:hAnsiTheme="minorHAnsi" w:cs="Calibri"/>
          <w:spacing w:val="-3"/>
          <w:sz w:val="18"/>
          <w:szCs w:val="18"/>
          <w:lang w:val="es-AR" w:eastAsia="es-ES"/>
        </w:rPr>
        <w:t xml:space="preserve">el </w:t>
      </w:r>
      <w:r w:rsidR="002B6EA8">
        <w:rPr>
          <w:rFonts w:asciiTheme="minorHAnsi" w:hAnsiTheme="minorHAnsi"/>
          <w:spacing w:val="-3"/>
          <w:sz w:val="18"/>
          <w:szCs w:val="18"/>
          <w:lang w:val="es-ES" w:eastAsia="es-ES"/>
        </w:rPr>
        <w:t>3</w:t>
      </w:r>
      <w:r w:rsidR="002B6EA8" w:rsidRPr="0014404F">
        <w:rPr>
          <w:rFonts w:asciiTheme="minorHAnsi" w:hAnsiTheme="minorHAnsi"/>
          <w:sz w:val="18"/>
          <w:szCs w:val="18"/>
          <w:lang w:val="es-ES" w:eastAsia="es-ES"/>
        </w:rPr>
        <w:t xml:space="preserve"> </w:t>
      </w:r>
      <w:r w:rsidR="002B6EA8" w:rsidRPr="0014404F">
        <w:rPr>
          <w:rFonts w:asciiTheme="minorHAnsi" w:hAnsiTheme="minorHAnsi"/>
          <w:spacing w:val="-3"/>
          <w:sz w:val="18"/>
          <w:szCs w:val="18"/>
          <w:lang w:val="es-ES" w:eastAsia="es-ES"/>
        </w:rPr>
        <w:t xml:space="preserve">de </w:t>
      </w:r>
      <w:r w:rsidR="002B6EA8">
        <w:rPr>
          <w:rFonts w:asciiTheme="minorHAnsi" w:hAnsiTheme="minorHAnsi"/>
          <w:spacing w:val="-3"/>
          <w:sz w:val="18"/>
          <w:szCs w:val="18"/>
          <w:lang w:val="es-ES" w:eastAsia="es-ES"/>
        </w:rPr>
        <w:t>diciembre de 2019</w:t>
      </w:r>
      <w:r w:rsidRPr="0014404F">
        <w:rPr>
          <w:rFonts w:asciiTheme="minorHAnsi" w:hAnsiTheme="minorHAnsi" w:cs="Calibri"/>
          <w:spacing w:val="-3"/>
          <w:sz w:val="18"/>
          <w:szCs w:val="18"/>
          <w:lang w:val="es-AR" w:eastAsia="es-ES"/>
        </w:rPr>
        <w:t xml:space="preserve">, en la Página Web de la CNV </w:t>
      </w:r>
      <w:r w:rsidRPr="0014404F">
        <w:rPr>
          <w:rFonts w:asciiTheme="minorHAnsi" w:hAnsiTheme="minorHAnsi"/>
          <w:spacing w:val="-3"/>
          <w:sz w:val="18"/>
          <w:szCs w:val="18"/>
          <w:lang w:val="es-ES" w:eastAsia="es-ES"/>
        </w:rPr>
        <w:t xml:space="preserve">y en la Página Web del Emisor </w:t>
      </w:r>
      <w:r w:rsidRPr="0014404F">
        <w:rPr>
          <w:rFonts w:asciiTheme="minorHAnsi" w:hAnsiTheme="minorHAnsi"/>
          <w:spacing w:val="-3"/>
          <w:sz w:val="18"/>
          <w:szCs w:val="18"/>
          <w:lang w:val="es-AR" w:eastAsia="es-ES"/>
        </w:rPr>
        <w:t>(el “</w:t>
      </w:r>
      <w:r w:rsidRPr="0014404F">
        <w:rPr>
          <w:rFonts w:asciiTheme="minorHAnsi" w:hAnsiTheme="minorHAnsi"/>
          <w:b/>
          <w:spacing w:val="-3"/>
          <w:sz w:val="18"/>
          <w:szCs w:val="18"/>
          <w:lang w:val="es-AR" w:eastAsia="es-ES"/>
        </w:rPr>
        <w:t>Aviso de Suscripción</w:t>
      </w:r>
      <w:r w:rsidRPr="0014404F">
        <w:rPr>
          <w:rFonts w:asciiTheme="minorHAnsi" w:hAnsiTheme="minorHAnsi"/>
          <w:spacing w:val="-3"/>
          <w:sz w:val="18"/>
          <w:szCs w:val="18"/>
          <w:lang w:val="es-AR" w:eastAsia="es-ES"/>
        </w:rPr>
        <w:t>” y junto con el Prospecto y el Suplemento de Precio, los “</w:t>
      </w:r>
      <w:r w:rsidRPr="0014404F">
        <w:rPr>
          <w:rFonts w:asciiTheme="minorHAnsi" w:hAnsiTheme="minorHAnsi"/>
          <w:b/>
          <w:spacing w:val="-3"/>
          <w:sz w:val="18"/>
          <w:szCs w:val="18"/>
          <w:lang w:val="es-AR" w:eastAsia="es-ES"/>
        </w:rPr>
        <w:t>Documentos de la Oferta</w:t>
      </w:r>
      <w:r w:rsidRPr="0014404F">
        <w:rPr>
          <w:rFonts w:asciiTheme="minorHAnsi" w:hAnsiTheme="minorHAnsi"/>
          <w:spacing w:val="-3"/>
          <w:sz w:val="18"/>
          <w:szCs w:val="18"/>
          <w:lang w:val="es-AR" w:eastAsia="es-ES"/>
        </w:rPr>
        <w:t xml:space="preserve">”), </w:t>
      </w:r>
      <w:r w:rsidRPr="0014404F">
        <w:rPr>
          <w:rFonts w:asciiTheme="minorHAnsi" w:hAnsiTheme="minorHAnsi" w:cs="Calibri"/>
          <w:spacing w:val="-3"/>
          <w:sz w:val="18"/>
          <w:szCs w:val="18"/>
          <w:lang w:val="es-AR" w:eastAsia="es-ES"/>
        </w:rPr>
        <w:t>se informa lo siguiente de acuerdo con lo previsto en los Documentos de la Oferta:</w:t>
      </w:r>
    </w:p>
    <w:p w14:paraId="1112AC72" w14:textId="77777777" w:rsidR="00163E8E" w:rsidRPr="0014404F" w:rsidRDefault="00163E8E" w:rsidP="00E252C7">
      <w:pPr>
        <w:spacing w:line="276" w:lineRule="auto"/>
        <w:rPr>
          <w:rFonts w:asciiTheme="minorHAnsi" w:hAnsiTheme="minorHAnsi"/>
          <w:b/>
          <w:bCs/>
          <w:sz w:val="18"/>
          <w:szCs w:val="18"/>
          <w:u w:val="single"/>
          <w:lang w:val="es-US"/>
        </w:rPr>
      </w:pPr>
    </w:p>
    <w:p w14:paraId="146E3ADA" w14:textId="05FDC2E2"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Monto total de ofertas recibidas:</w:t>
      </w:r>
      <w:r w:rsidRPr="0014404F">
        <w:rPr>
          <w:rFonts w:asciiTheme="minorHAnsi" w:eastAsia="Calibri" w:hAnsiTheme="minorHAnsi" w:cs="Arial"/>
          <w:color w:val="000000"/>
          <w:sz w:val="18"/>
          <w:szCs w:val="18"/>
          <w:lang w:val="es-ES"/>
        </w:rPr>
        <w:t xml:space="preserve"> $ </w:t>
      </w:r>
      <w:r w:rsidR="001C6064">
        <w:rPr>
          <w:rFonts w:asciiTheme="minorHAnsi" w:eastAsia="Calibri" w:hAnsiTheme="minorHAnsi" w:cs="Arial"/>
          <w:color w:val="000000"/>
          <w:sz w:val="18"/>
          <w:szCs w:val="18"/>
          <w:lang w:val="es-ES"/>
        </w:rPr>
        <w:t>183.000.000</w:t>
      </w:r>
    </w:p>
    <w:p w14:paraId="63D481D4" w14:textId="2BF36246"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Cantidad de ofertas recibidas:</w:t>
      </w:r>
      <w:r w:rsidRPr="0014404F">
        <w:rPr>
          <w:rFonts w:asciiTheme="minorHAnsi" w:eastAsia="Calibri" w:hAnsiTheme="minorHAnsi" w:cs="Arial"/>
          <w:color w:val="000000"/>
          <w:sz w:val="18"/>
          <w:szCs w:val="18"/>
          <w:lang w:val="es-ES"/>
        </w:rPr>
        <w:t xml:space="preserve"> </w:t>
      </w:r>
      <w:r w:rsidR="001C6064">
        <w:rPr>
          <w:rFonts w:asciiTheme="minorHAnsi" w:eastAsia="Calibri" w:hAnsiTheme="minorHAnsi" w:cs="Arial"/>
          <w:color w:val="000000"/>
          <w:sz w:val="18"/>
          <w:szCs w:val="18"/>
          <w:lang w:val="es-ES"/>
        </w:rPr>
        <w:t>9</w:t>
      </w:r>
    </w:p>
    <w:p w14:paraId="6A858A8A" w14:textId="2886A875"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 xml:space="preserve">Margen </w:t>
      </w:r>
      <w:r w:rsidR="005B2E34">
        <w:rPr>
          <w:rFonts w:asciiTheme="minorHAnsi" w:eastAsia="Calibri" w:hAnsiTheme="minorHAnsi" w:cs="Arial"/>
          <w:b/>
          <w:color w:val="000000"/>
          <w:sz w:val="18"/>
          <w:szCs w:val="18"/>
          <w:lang w:val="es-ES"/>
        </w:rPr>
        <w:t>Aplicable</w:t>
      </w:r>
      <w:r w:rsidRPr="0014404F">
        <w:rPr>
          <w:rFonts w:asciiTheme="minorHAnsi" w:eastAsia="Calibri" w:hAnsiTheme="minorHAnsi" w:cs="Arial"/>
          <w:b/>
          <w:color w:val="000000"/>
          <w:sz w:val="18"/>
          <w:szCs w:val="18"/>
          <w:lang w:val="es-ES"/>
        </w:rPr>
        <w:t>:</w:t>
      </w:r>
      <w:r w:rsidRPr="0014404F">
        <w:rPr>
          <w:rFonts w:asciiTheme="minorHAnsi" w:eastAsia="Calibri" w:hAnsiTheme="minorHAnsi" w:cs="Arial"/>
          <w:color w:val="000000"/>
          <w:sz w:val="18"/>
          <w:szCs w:val="18"/>
          <w:lang w:val="es-ES"/>
        </w:rPr>
        <w:t xml:space="preserve"> </w:t>
      </w:r>
      <w:r w:rsidR="001C6064">
        <w:rPr>
          <w:rFonts w:asciiTheme="minorHAnsi" w:eastAsia="Calibri" w:hAnsiTheme="minorHAnsi" w:cs="Arial"/>
          <w:color w:val="000000"/>
          <w:sz w:val="18"/>
          <w:szCs w:val="18"/>
          <w:lang w:val="es-ES"/>
        </w:rPr>
        <w:t>7,00</w:t>
      </w:r>
      <w:r w:rsidR="001C6064" w:rsidRPr="0014404F">
        <w:rPr>
          <w:rFonts w:asciiTheme="minorHAnsi" w:eastAsia="Calibri" w:hAnsiTheme="minorHAnsi" w:cs="Arial"/>
          <w:color w:val="000000"/>
          <w:sz w:val="18"/>
          <w:szCs w:val="18"/>
          <w:lang w:val="es-ES"/>
        </w:rPr>
        <w:t xml:space="preserve"> </w:t>
      </w:r>
      <w:r w:rsidRPr="0014404F">
        <w:rPr>
          <w:rFonts w:asciiTheme="minorHAnsi" w:eastAsia="Calibri" w:hAnsiTheme="minorHAnsi" w:cs="Arial"/>
          <w:color w:val="000000"/>
          <w:sz w:val="18"/>
          <w:szCs w:val="18"/>
          <w:lang w:val="es-ES"/>
        </w:rPr>
        <w:t>%.</w:t>
      </w:r>
    </w:p>
    <w:p w14:paraId="2020B8E3" w14:textId="558E651B"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Monto del Valor Nominal suscripto y a emitirse:</w:t>
      </w:r>
      <w:r w:rsidRPr="0014404F">
        <w:rPr>
          <w:rFonts w:asciiTheme="minorHAnsi" w:eastAsia="Calibri" w:hAnsiTheme="minorHAnsi" w:cs="Arial"/>
          <w:color w:val="000000"/>
          <w:sz w:val="18"/>
          <w:szCs w:val="18"/>
          <w:lang w:val="es-ES"/>
        </w:rPr>
        <w:t xml:space="preserve"> $ </w:t>
      </w:r>
      <w:r w:rsidR="001C6064">
        <w:rPr>
          <w:rFonts w:asciiTheme="minorHAnsi" w:eastAsia="Calibri" w:hAnsiTheme="minorHAnsi" w:cs="Arial"/>
          <w:color w:val="000000"/>
          <w:sz w:val="18"/>
          <w:szCs w:val="18"/>
          <w:lang w:val="es-ES"/>
        </w:rPr>
        <w:t>175.000.000</w:t>
      </w:r>
      <w:bookmarkStart w:id="0" w:name="_GoBack"/>
      <w:bookmarkEnd w:id="0"/>
      <w:r w:rsidR="001C6064" w:rsidRPr="0014404F">
        <w:rPr>
          <w:rFonts w:asciiTheme="minorHAnsi" w:eastAsia="Calibri" w:hAnsiTheme="minorHAnsi" w:cs="Arial"/>
          <w:color w:val="000000"/>
          <w:sz w:val="18"/>
          <w:szCs w:val="18"/>
          <w:lang w:val="es-ES"/>
        </w:rPr>
        <w:t>.</w:t>
      </w:r>
    </w:p>
    <w:p w14:paraId="22618D65" w14:textId="77777777"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Fecha de Emisión y Liquidación:</w:t>
      </w:r>
      <w:r w:rsidRPr="0014404F">
        <w:rPr>
          <w:rFonts w:asciiTheme="minorHAnsi" w:eastAsia="Calibri" w:hAnsiTheme="minorHAnsi" w:cs="Arial"/>
          <w:color w:val="000000"/>
          <w:sz w:val="18"/>
          <w:szCs w:val="18"/>
          <w:lang w:val="es-ES"/>
        </w:rPr>
        <w:t xml:space="preserve"> </w:t>
      </w:r>
      <w:r w:rsidR="00E72E5E" w:rsidRPr="0014404F">
        <w:rPr>
          <w:rFonts w:asciiTheme="minorHAnsi" w:eastAsia="Calibri" w:hAnsiTheme="minorHAnsi" w:cs="Arial"/>
          <w:color w:val="000000"/>
          <w:sz w:val="18"/>
          <w:szCs w:val="18"/>
          <w:lang w:val="es-ES"/>
        </w:rPr>
        <w:t>10</w:t>
      </w:r>
      <w:r w:rsidRPr="0014404F">
        <w:rPr>
          <w:rFonts w:asciiTheme="minorHAnsi" w:eastAsia="Calibri" w:hAnsiTheme="minorHAnsi" w:cs="Arial"/>
          <w:color w:val="000000"/>
          <w:sz w:val="18"/>
          <w:szCs w:val="18"/>
          <w:lang w:val="es-ES"/>
        </w:rPr>
        <w:t xml:space="preserve"> de </w:t>
      </w:r>
      <w:r w:rsidR="00E72E5E" w:rsidRPr="0014404F">
        <w:rPr>
          <w:rFonts w:asciiTheme="minorHAnsi" w:eastAsia="Calibri" w:hAnsiTheme="minorHAnsi" w:cs="Arial"/>
          <w:color w:val="000000"/>
          <w:sz w:val="18"/>
          <w:szCs w:val="18"/>
          <w:lang w:val="es-ES"/>
        </w:rPr>
        <w:t>diciembre</w:t>
      </w:r>
      <w:r w:rsidRPr="0014404F">
        <w:rPr>
          <w:rFonts w:asciiTheme="minorHAnsi" w:eastAsia="Calibri" w:hAnsiTheme="minorHAnsi" w:cs="Arial"/>
          <w:color w:val="000000"/>
          <w:sz w:val="18"/>
          <w:szCs w:val="18"/>
          <w:lang w:val="es-ES"/>
        </w:rPr>
        <w:t xml:space="preserve"> de 2019.</w:t>
      </w:r>
    </w:p>
    <w:p w14:paraId="137A269F" w14:textId="77777777"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Fecha de Vencimiento:</w:t>
      </w:r>
      <w:r w:rsidRPr="0014404F">
        <w:rPr>
          <w:rFonts w:asciiTheme="minorHAnsi" w:eastAsia="Calibri" w:hAnsiTheme="minorHAnsi" w:cs="Arial"/>
          <w:color w:val="000000"/>
          <w:sz w:val="18"/>
          <w:szCs w:val="18"/>
          <w:lang w:val="es-ES"/>
        </w:rPr>
        <w:t xml:space="preserve"> </w:t>
      </w:r>
      <w:r w:rsidR="0056005C">
        <w:rPr>
          <w:rFonts w:asciiTheme="minorHAnsi" w:eastAsia="Calibri" w:hAnsiTheme="minorHAnsi" w:cs="Arial"/>
          <w:color w:val="000000"/>
          <w:sz w:val="18"/>
          <w:szCs w:val="18"/>
          <w:lang w:val="es-ES"/>
        </w:rPr>
        <w:t>7</w:t>
      </w:r>
      <w:r w:rsidRPr="0014404F">
        <w:rPr>
          <w:rFonts w:asciiTheme="minorHAnsi" w:eastAsia="Calibri" w:hAnsiTheme="minorHAnsi" w:cs="Arial"/>
          <w:color w:val="000000"/>
          <w:sz w:val="18"/>
          <w:szCs w:val="18"/>
          <w:lang w:val="es-ES"/>
        </w:rPr>
        <w:t xml:space="preserve"> de </w:t>
      </w:r>
      <w:r w:rsidR="00E72E5E" w:rsidRPr="0014404F">
        <w:rPr>
          <w:rFonts w:asciiTheme="minorHAnsi" w:eastAsia="Calibri" w:hAnsiTheme="minorHAnsi" w:cs="Arial"/>
          <w:color w:val="000000"/>
          <w:sz w:val="18"/>
          <w:szCs w:val="18"/>
          <w:lang w:val="es-ES"/>
        </w:rPr>
        <w:t>junio</w:t>
      </w:r>
      <w:r w:rsidRPr="0014404F">
        <w:rPr>
          <w:rFonts w:asciiTheme="minorHAnsi" w:eastAsia="Calibri" w:hAnsiTheme="minorHAnsi" w:cs="Arial"/>
          <w:color w:val="000000"/>
          <w:sz w:val="18"/>
          <w:szCs w:val="18"/>
          <w:lang w:val="es-ES"/>
        </w:rPr>
        <w:t xml:space="preserve"> de 2020.</w:t>
      </w:r>
    </w:p>
    <w:p w14:paraId="50286DD0" w14:textId="77777777" w:rsidR="00427624"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Fechas de Pago de Intereses:</w:t>
      </w:r>
      <w:r w:rsidRPr="0014404F">
        <w:rPr>
          <w:rFonts w:asciiTheme="minorHAnsi" w:eastAsia="Calibri" w:hAnsiTheme="minorHAnsi" w:cs="Arial"/>
          <w:color w:val="000000"/>
          <w:sz w:val="18"/>
          <w:szCs w:val="18"/>
          <w:lang w:val="es-ES"/>
        </w:rPr>
        <w:t xml:space="preserve"> Los Intereses serán pagados </w:t>
      </w:r>
      <w:r w:rsidR="005B2E34">
        <w:rPr>
          <w:rFonts w:asciiTheme="minorHAnsi" w:eastAsia="Calibri" w:hAnsiTheme="minorHAnsi" w:cs="Arial"/>
          <w:color w:val="000000"/>
          <w:sz w:val="18"/>
          <w:szCs w:val="18"/>
          <w:lang w:val="es-ES"/>
        </w:rPr>
        <w:t xml:space="preserve">el </w:t>
      </w:r>
      <w:r w:rsidR="0056005C">
        <w:rPr>
          <w:rFonts w:asciiTheme="minorHAnsi" w:eastAsia="Calibri" w:hAnsiTheme="minorHAnsi" w:cs="Arial"/>
          <w:color w:val="000000"/>
          <w:sz w:val="18"/>
          <w:szCs w:val="18"/>
          <w:lang w:val="es-ES"/>
        </w:rPr>
        <w:t>7</w:t>
      </w:r>
      <w:r w:rsidR="005B2E34">
        <w:rPr>
          <w:rFonts w:asciiTheme="minorHAnsi" w:eastAsia="Calibri" w:hAnsiTheme="minorHAnsi" w:cs="Arial"/>
          <w:color w:val="000000"/>
          <w:sz w:val="18"/>
          <w:szCs w:val="18"/>
          <w:lang w:val="es-ES"/>
        </w:rPr>
        <w:t xml:space="preserve"> de junio de 2020</w:t>
      </w:r>
      <w:r w:rsidRPr="0014404F">
        <w:rPr>
          <w:rFonts w:asciiTheme="minorHAnsi" w:eastAsia="Calibri" w:hAnsiTheme="minorHAnsi" w:cs="Arial"/>
          <w:color w:val="000000"/>
          <w:sz w:val="18"/>
          <w:szCs w:val="18"/>
          <w:lang w:val="es-ES"/>
        </w:rPr>
        <w:t>.</w:t>
      </w:r>
    </w:p>
    <w:p w14:paraId="3A09AC6A" w14:textId="77777777" w:rsidR="00E252C7" w:rsidRPr="0014404F" w:rsidRDefault="00427624" w:rsidP="00E252C7">
      <w:pPr>
        <w:pStyle w:val="HPCarta"/>
        <w:tabs>
          <w:tab w:val="clear" w:pos="-720"/>
          <w:tab w:val="center" w:pos="4986"/>
        </w:tabs>
        <w:spacing w:after="120" w:line="276" w:lineRule="auto"/>
        <w:jc w:val="both"/>
        <w:rPr>
          <w:rFonts w:asciiTheme="minorHAnsi" w:eastAsia="Calibri" w:hAnsiTheme="minorHAnsi" w:cs="Arial"/>
          <w:color w:val="000000"/>
          <w:sz w:val="18"/>
          <w:szCs w:val="18"/>
          <w:lang w:val="es-ES"/>
        </w:rPr>
      </w:pPr>
      <w:r w:rsidRPr="0014404F">
        <w:rPr>
          <w:rFonts w:asciiTheme="minorHAnsi" w:eastAsia="Calibri" w:hAnsiTheme="minorHAnsi" w:cs="Arial"/>
          <w:b/>
          <w:color w:val="000000"/>
          <w:sz w:val="18"/>
          <w:szCs w:val="18"/>
          <w:lang w:val="es-ES"/>
        </w:rPr>
        <w:t>Fecha de amortización:</w:t>
      </w:r>
      <w:r w:rsidRPr="0014404F">
        <w:rPr>
          <w:rFonts w:asciiTheme="minorHAnsi" w:eastAsia="Calibri" w:hAnsiTheme="minorHAnsi" w:cs="Arial"/>
          <w:color w:val="000000"/>
          <w:sz w:val="18"/>
          <w:szCs w:val="18"/>
          <w:lang w:val="es-ES"/>
        </w:rPr>
        <w:t xml:space="preserve"> El pago de capital será realizado el </w:t>
      </w:r>
      <w:r w:rsidR="0056005C">
        <w:rPr>
          <w:rFonts w:asciiTheme="minorHAnsi" w:eastAsia="Calibri" w:hAnsiTheme="minorHAnsi" w:cs="Arial"/>
          <w:color w:val="000000"/>
          <w:sz w:val="18"/>
          <w:szCs w:val="18"/>
          <w:lang w:val="es-ES"/>
        </w:rPr>
        <w:t>7</w:t>
      </w:r>
      <w:r w:rsidRPr="0014404F">
        <w:rPr>
          <w:rFonts w:asciiTheme="minorHAnsi" w:eastAsia="Calibri" w:hAnsiTheme="minorHAnsi" w:cs="Arial"/>
          <w:color w:val="000000"/>
          <w:sz w:val="18"/>
          <w:szCs w:val="18"/>
          <w:lang w:val="es-ES"/>
        </w:rPr>
        <w:t xml:space="preserve"> de </w:t>
      </w:r>
      <w:r w:rsidR="00E72E5E" w:rsidRPr="0014404F">
        <w:rPr>
          <w:rFonts w:asciiTheme="minorHAnsi" w:eastAsia="Calibri" w:hAnsiTheme="minorHAnsi" w:cs="Arial"/>
          <w:color w:val="000000"/>
          <w:sz w:val="18"/>
          <w:szCs w:val="18"/>
          <w:lang w:val="es-ES"/>
        </w:rPr>
        <w:t>junio</w:t>
      </w:r>
      <w:r w:rsidRPr="0014404F">
        <w:rPr>
          <w:rFonts w:asciiTheme="minorHAnsi" w:eastAsia="Calibri" w:hAnsiTheme="minorHAnsi" w:cs="Arial"/>
          <w:color w:val="000000"/>
          <w:sz w:val="18"/>
          <w:szCs w:val="18"/>
          <w:lang w:val="es-ES"/>
        </w:rPr>
        <w:t xml:space="preserve"> de 2020.</w:t>
      </w:r>
    </w:p>
    <w:p w14:paraId="20282EE8" w14:textId="77777777" w:rsidR="00E252C7" w:rsidRPr="0014404F" w:rsidRDefault="00E252C7" w:rsidP="00E252C7">
      <w:pPr>
        <w:spacing w:line="276" w:lineRule="auto"/>
        <w:jc w:val="center"/>
        <w:rPr>
          <w:rFonts w:asciiTheme="minorHAnsi" w:eastAsia="Calibri" w:hAnsiTheme="minorHAnsi" w:cs="Arial"/>
          <w:b/>
          <w:noProof w:val="0"/>
          <w:color w:val="000000"/>
          <w:sz w:val="18"/>
          <w:szCs w:val="18"/>
          <w:lang w:val="es-ES"/>
        </w:rPr>
      </w:pPr>
    </w:p>
    <w:p w14:paraId="409C504D" w14:textId="77777777" w:rsidR="0014404F" w:rsidRPr="0014404F" w:rsidRDefault="0014404F" w:rsidP="0014404F">
      <w:pPr>
        <w:spacing w:after="120"/>
        <w:jc w:val="both"/>
        <w:rPr>
          <w:rFonts w:asciiTheme="minorHAnsi" w:hAnsiTheme="minorHAnsi"/>
          <w:spacing w:val="-3"/>
          <w:sz w:val="18"/>
          <w:szCs w:val="18"/>
          <w:lang w:val="es-AR" w:eastAsia="es-ES"/>
        </w:rPr>
      </w:pPr>
      <w:r w:rsidRPr="0014404F">
        <w:rPr>
          <w:rFonts w:asciiTheme="minorHAnsi" w:hAnsiTheme="minorHAnsi"/>
          <w:spacing w:val="-3"/>
          <w:sz w:val="18"/>
          <w:szCs w:val="18"/>
          <w:lang w:val="es-AR" w:eastAsia="es-ES"/>
        </w:rPr>
        <w:t xml:space="preserve">El presente aviso debe ser leído conjuntamente con, y está totalmente calificado por referencia a los Documentos de la Oferta. Copias de los Documentos de la Oferta se encuentran a disposición de los interesados en las oficinas del Emisor (ubicadas en Av. </w:t>
      </w:r>
      <w:r w:rsidRPr="0014404F">
        <w:rPr>
          <w:rFonts w:asciiTheme="minorHAnsi" w:hAnsiTheme="minorHAnsi"/>
          <w:spacing w:val="-3"/>
          <w:sz w:val="18"/>
          <w:szCs w:val="18"/>
          <w:lang w:val="es-MX" w:eastAsia="es-ES"/>
        </w:rPr>
        <w:t>Corrientes 1174, Piso 9°, (C1043AAY), Ciudad Autónoma de Buenos Aires</w:t>
      </w:r>
      <w:r w:rsidRPr="0014404F">
        <w:rPr>
          <w:rFonts w:asciiTheme="minorHAnsi" w:hAnsiTheme="minorHAnsi"/>
          <w:spacing w:val="-3"/>
          <w:sz w:val="18"/>
          <w:szCs w:val="18"/>
          <w:lang w:val="es-AR" w:eastAsia="es-ES"/>
        </w:rPr>
        <w:t xml:space="preserve">) y del Agente Colocador (que se detalla en el Suplemento de Precio y en el Aviso de Suscripción). </w:t>
      </w:r>
      <w:r w:rsidR="001A6D78">
        <w:rPr>
          <w:rFonts w:asciiTheme="minorHAnsi" w:hAnsiTheme="minorHAnsi"/>
          <w:spacing w:val="-3"/>
          <w:sz w:val="18"/>
          <w:szCs w:val="18"/>
          <w:lang w:val="es-AR" w:eastAsia="es-ES"/>
        </w:rPr>
        <w:t>Se deberá</w:t>
      </w:r>
      <w:r w:rsidRPr="0014404F">
        <w:rPr>
          <w:rFonts w:asciiTheme="minorHAnsi" w:hAnsiTheme="minorHAnsi"/>
          <w:spacing w:val="-3"/>
          <w:sz w:val="18"/>
          <w:szCs w:val="18"/>
          <w:lang w:val="es-AR" w:eastAsia="es-ES"/>
        </w:rPr>
        <w:t xml:space="preserve"> considerar la totalidad de la información contenida en los Documentos de la Oferta. Todos los términos que comiencen en mayúscula que no se encuentren expresamente definidos en el presente aviso, tienen el significado que se les asigna en el Prospecto y/o en el Suplemento de Precio.</w:t>
      </w:r>
    </w:p>
    <w:p w14:paraId="47C16187" w14:textId="77777777" w:rsidR="0014404F" w:rsidRPr="0014404F" w:rsidRDefault="0014404F" w:rsidP="0014404F">
      <w:pPr>
        <w:spacing w:line="276" w:lineRule="auto"/>
        <w:rPr>
          <w:rFonts w:asciiTheme="minorHAnsi" w:eastAsia="Calibri" w:hAnsiTheme="minorHAnsi" w:cs="Arial"/>
          <w:b/>
          <w:noProof w:val="0"/>
          <w:color w:val="000000"/>
          <w:sz w:val="18"/>
          <w:szCs w:val="18"/>
          <w:lang w:val="es-AR"/>
        </w:rPr>
      </w:pPr>
    </w:p>
    <w:p w14:paraId="60C763CA" w14:textId="77777777" w:rsidR="00E252C7" w:rsidRPr="0014404F" w:rsidRDefault="00E252C7" w:rsidP="00E252C7">
      <w:pPr>
        <w:spacing w:line="276" w:lineRule="auto"/>
        <w:jc w:val="center"/>
        <w:rPr>
          <w:rFonts w:asciiTheme="minorHAnsi" w:eastAsia="Calibri" w:hAnsiTheme="minorHAnsi" w:cs="Arial"/>
          <w:b/>
          <w:noProof w:val="0"/>
          <w:color w:val="000000"/>
          <w:sz w:val="18"/>
          <w:szCs w:val="18"/>
          <w:lang w:val="es-ES"/>
        </w:rPr>
      </w:pPr>
    </w:p>
    <w:p w14:paraId="5C4C1DDD" w14:textId="77777777" w:rsidR="00427624" w:rsidRPr="0014404F" w:rsidRDefault="00BB1E0A" w:rsidP="00E252C7">
      <w:pPr>
        <w:spacing w:line="276" w:lineRule="auto"/>
        <w:jc w:val="center"/>
        <w:rPr>
          <w:rFonts w:asciiTheme="minorHAnsi" w:eastAsia="Calibri" w:hAnsiTheme="minorHAnsi" w:cs="Arial"/>
          <w:b/>
          <w:noProof w:val="0"/>
          <w:color w:val="000000"/>
          <w:sz w:val="18"/>
          <w:szCs w:val="18"/>
          <w:lang w:val="es-ES"/>
        </w:rPr>
      </w:pPr>
      <w:r>
        <w:rPr>
          <w:rFonts w:asciiTheme="minorHAnsi" w:eastAsia="Calibri" w:hAnsiTheme="minorHAnsi" w:cs="Arial"/>
          <w:b/>
          <w:noProof w:val="0"/>
          <w:color w:val="000000"/>
          <w:sz w:val="18"/>
          <w:szCs w:val="18"/>
          <w:lang w:val="es-ES"/>
        </w:rPr>
        <w:t xml:space="preserve">Organizador y </w:t>
      </w:r>
      <w:r w:rsidR="00163E8E" w:rsidRPr="0014404F">
        <w:rPr>
          <w:rFonts w:asciiTheme="minorHAnsi" w:eastAsia="Calibri" w:hAnsiTheme="minorHAnsi" w:cs="Arial"/>
          <w:b/>
          <w:noProof w:val="0"/>
          <w:color w:val="000000"/>
          <w:sz w:val="18"/>
          <w:szCs w:val="18"/>
          <w:lang w:val="es-ES"/>
        </w:rPr>
        <w:t>Agente Colocador</w:t>
      </w:r>
    </w:p>
    <w:p w14:paraId="6F228D2F" w14:textId="77777777" w:rsidR="00E72E5E" w:rsidRPr="0014404F" w:rsidRDefault="00E72E5E" w:rsidP="00E252C7">
      <w:pPr>
        <w:spacing w:after="120" w:line="276" w:lineRule="auto"/>
        <w:ind w:left="2832" w:right="-374" w:firstLine="708"/>
        <w:rPr>
          <w:rFonts w:asciiTheme="minorHAnsi" w:hAnsiTheme="minorHAnsi"/>
          <w:b/>
          <w:sz w:val="18"/>
          <w:szCs w:val="18"/>
          <w:lang w:val="es-AR"/>
        </w:rPr>
      </w:pPr>
      <w:r w:rsidRPr="0014404F">
        <w:rPr>
          <w:rFonts w:asciiTheme="minorHAnsi" w:hAnsiTheme="minorHAnsi"/>
          <w:sz w:val="18"/>
          <w:szCs w:val="18"/>
          <w:lang w:val="es-US" w:eastAsia="es-US"/>
        </w:rPr>
        <w:drawing>
          <wp:inline distT="0" distB="0" distL="0" distR="0" wp14:anchorId="01801D2A" wp14:editId="2AEB730E">
            <wp:extent cx="1228725" cy="857250"/>
            <wp:effectExtent l="0" t="0" r="9525" b="0"/>
            <wp:docPr id="11" name="Imagen 11" descr="C:\Users\facundo.lombardi\AppData\Local\Microsoft\Windows\Temporary Internet Files\Content.Outlook\US5N1GIH\BST_logo alta defini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facundo.lombardi\AppData\Local\Microsoft\Windows\Temporary Internet Files\Content.Outlook\US5N1GIH\BST_logo alta definició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857250"/>
                    </a:xfrm>
                    <a:prstGeom prst="rect">
                      <a:avLst/>
                    </a:prstGeom>
                    <a:noFill/>
                    <a:ln>
                      <a:noFill/>
                    </a:ln>
                  </pic:spPr>
                </pic:pic>
              </a:graphicData>
            </a:graphic>
          </wp:inline>
        </w:drawing>
      </w:r>
    </w:p>
    <w:p w14:paraId="1B8F457A" w14:textId="77777777" w:rsidR="00427624" w:rsidRPr="0014404F" w:rsidRDefault="00BB1E0A" w:rsidP="00BB1E0A">
      <w:pPr>
        <w:spacing w:after="120" w:line="276" w:lineRule="auto"/>
        <w:ind w:left="2832" w:right="-374"/>
        <w:rPr>
          <w:rFonts w:asciiTheme="minorHAnsi" w:hAnsiTheme="minorHAnsi"/>
          <w:b/>
          <w:sz w:val="18"/>
          <w:szCs w:val="18"/>
          <w:lang w:val="es-US"/>
        </w:rPr>
      </w:pPr>
      <w:r>
        <w:rPr>
          <w:rFonts w:asciiTheme="minorHAnsi" w:hAnsiTheme="minorHAnsi"/>
          <w:b/>
          <w:sz w:val="18"/>
          <w:szCs w:val="18"/>
          <w:lang w:val="es-AR"/>
        </w:rPr>
        <w:t xml:space="preserve">     </w:t>
      </w:r>
      <w:r w:rsidR="00E72E5E" w:rsidRPr="0014404F">
        <w:rPr>
          <w:rFonts w:asciiTheme="minorHAnsi" w:hAnsiTheme="minorHAnsi"/>
          <w:b/>
          <w:sz w:val="18"/>
          <w:szCs w:val="18"/>
          <w:lang w:val="es-AR"/>
        </w:rPr>
        <w:t>Banco de Servicios y Transacciones S.A.</w:t>
      </w:r>
    </w:p>
    <w:p w14:paraId="62692778" w14:textId="77777777" w:rsidR="00427624" w:rsidRPr="0014404F" w:rsidRDefault="00BB1E0A" w:rsidP="0014404F">
      <w:pPr>
        <w:pStyle w:val="Default"/>
        <w:spacing w:line="276" w:lineRule="auto"/>
        <w:ind w:left="2124" w:firstLine="708"/>
        <w:rPr>
          <w:rFonts w:asciiTheme="minorHAnsi" w:hAnsiTheme="minorHAnsi"/>
          <w:bCs/>
          <w:iCs/>
          <w:sz w:val="18"/>
          <w:szCs w:val="18"/>
          <w:lang w:val="es-ES"/>
        </w:rPr>
      </w:pPr>
      <w:r>
        <w:rPr>
          <w:rFonts w:asciiTheme="minorHAnsi" w:hAnsiTheme="minorHAnsi"/>
          <w:b/>
          <w:sz w:val="18"/>
          <w:szCs w:val="18"/>
          <w:lang w:val="es-US"/>
        </w:rPr>
        <w:t xml:space="preserve">      </w:t>
      </w:r>
      <w:proofErr w:type="spellStart"/>
      <w:r w:rsidR="00E72E5E" w:rsidRPr="0014404F">
        <w:rPr>
          <w:rFonts w:asciiTheme="minorHAnsi" w:hAnsiTheme="minorHAnsi"/>
          <w:b/>
          <w:sz w:val="18"/>
          <w:szCs w:val="18"/>
          <w:lang w:val="es-AR"/>
        </w:rPr>
        <w:t>ALyC</w:t>
      </w:r>
      <w:proofErr w:type="spellEnd"/>
      <w:r w:rsidR="00E72E5E" w:rsidRPr="0014404F">
        <w:rPr>
          <w:rFonts w:asciiTheme="minorHAnsi" w:hAnsiTheme="minorHAnsi"/>
          <w:b/>
          <w:sz w:val="18"/>
          <w:szCs w:val="18"/>
          <w:lang w:val="es-AR"/>
        </w:rPr>
        <w:t xml:space="preserve"> y AN Integral- </w:t>
      </w:r>
      <w:proofErr w:type="spellStart"/>
      <w:r w:rsidR="00E72E5E" w:rsidRPr="0014404F">
        <w:rPr>
          <w:rFonts w:asciiTheme="minorHAnsi" w:hAnsiTheme="minorHAnsi"/>
          <w:b/>
          <w:sz w:val="18"/>
          <w:szCs w:val="18"/>
          <w:lang w:val="es-AR"/>
        </w:rPr>
        <w:t>N°</w:t>
      </w:r>
      <w:proofErr w:type="spellEnd"/>
      <w:r w:rsidR="00E72E5E" w:rsidRPr="0014404F">
        <w:rPr>
          <w:rFonts w:asciiTheme="minorHAnsi" w:hAnsiTheme="minorHAnsi"/>
          <w:b/>
          <w:sz w:val="18"/>
          <w:szCs w:val="18"/>
          <w:lang w:val="es-AR"/>
        </w:rPr>
        <w:t xml:space="preserve"> 64 de la CNV</w:t>
      </w:r>
    </w:p>
    <w:p w14:paraId="771C11BD" w14:textId="77777777" w:rsidR="00427624" w:rsidRPr="0014404F" w:rsidRDefault="00427624" w:rsidP="00E252C7">
      <w:pPr>
        <w:autoSpaceDE w:val="0"/>
        <w:autoSpaceDN w:val="0"/>
        <w:spacing w:line="276" w:lineRule="auto"/>
        <w:rPr>
          <w:rFonts w:asciiTheme="minorHAnsi" w:hAnsiTheme="minorHAnsi" w:cs="Arial"/>
          <w:bCs/>
          <w:iCs/>
          <w:noProof w:val="0"/>
          <w:color w:val="000000"/>
          <w:sz w:val="18"/>
          <w:szCs w:val="18"/>
          <w:lang w:val="es-ES"/>
        </w:rPr>
      </w:pPr>
    </w:p>
    <w:p w14:paraId="0AE17620" w14:textId="77777777" w:rsidR="00BB1E0A" w:rsidRPr="0014404F" w:rsidRDefault="00BB1E0A" w:rsidP="00E252C7">
      <w:pPr>
        <w:autoSpaceDE w:val="0"/>
        <w:autoSpaceDN w:val="0"/>
        <w:spacing w:line="276" w:lineRule="auto"/>
        <w:jc w:val="right"/>
        <w:rPr>
          <w:rFonts w:asciiTheme="minorHAnsi" w:hAnsiTheme="minorHAnsi"/>
          <w:sz w:val="18"/>
          <w:szCs w:val="18"/>
          <w:lang w:val="es-AR"/>
        </w:rPr>
      </w:pPr>
    </w:p>
    <w:p w14:paraId="067D63D9" w14:textId="77777777" w:rsidR="00427624" w:rsidRPr="0014404F" w:rsidRDefault="00427624" w:rsidP="00E252C7">
      <w:pPr>
        <w:autoSpaceDE w:val="0"/>
        <w:autoSpaceDN w:val="0"/>
        <w:spacing w:line="276" w:lineRule="auto"/>
        <w:jc w:val="right"/>
        <w:rPr>
          <w:rFonts w:asciiTheme="minorHAnsi" w:hAnsiTheme="minorHAnsi"/>
          <w:sz w:val="18"/>
          <w:szCs w:val="18"/>
          <w:lang w:val="es-AR"/>
        </w:rPr>
      </w:pPr>
      <w:r w:rsidRPr="0014404F">
        <w:rPr>
          <w:rFonts w:asciiTheme="minorHAnsi" w:hAnsiTheme="minorHAnsi"/>
          <w:sz w:val="18"/>
          <w:szCs w:val="18"/>
          <w:lang w:val="es-AR"/>
        </w:rPr>
        <w:t xml:space="preserve">Ciudad Autónoma de Buenos Aires, </w:t>
      </w:r>
      <w:r w:rsidR="00E72E5E" w:rsidRPr="0014404F">
        <w:rPr>
          <w:rFonts w:asciiTheme="minorHAnsi" w:eastAsia="Calibri" w:hAnsiTheme="minorHAnsi" w:cs="Arial"/>
          <w:color w:val="000000"/>
          <w:sz w:val="18"/>
          <w:szCs w:val="18"/>
          <w:lang w:val="es-ES"/>
        </w:rPr>
        <w:t>9 de diciembre</w:t>
      </w:r>
      <w:r w:rsidRPr="0014404F">
        <w:rPr>
          <w:rFonts w:asciiTheme="minorHAnsi" w:eastAsia="Calibri" w:hAnsiTheme="minorHAnsi" w:cs="Arial"/>
          <w:color w:val="000000"/>
          <w:sz w:val="18"/>
          <w:szCs w:val="18"/>
          <w:lang w:val="es-ES"/>
        </w:rPr>
        <w:t xml:space="preserve"> de 2019</w:t>
      </w:r>
      <w:r w:rsidRPr="0014404F">
        <w:rPr>
          <w:rFonts w:asciiTheme="minorHAnsi" w:hAnsiTheme="minorHAnsi"/>
          <w:sz w:val="18"/>
          <w:szCs w:val="18"/>
          <w:lang w:val="es-AR"/>
        </w:rPr>
        <w:t>.</w:t>
      </w:r>
    </w:p>
    <w:p w14:paraId="136C347B" w14:textId="77777777" w:rsidR="00427624" w:rsidRPr="0014404F" w:rsidRDefault="00427624" w:rsidP="00E252C7">
      <w:pPr>
        <w:autoSpaceDE w:val="0"/>
        <w:autoSpaceDN w:val="0"/>
        <w:spacing w:line="276" w:lineRule="auto"/>
        <w:rPr>
          <w:rFonts w:asciiTheme="minorHAnsi" w:hAnsiTheme="minorHAnsi"/>
          <w:sz w:val="18"/>
          <w:szCs w:val="18"/>
          <w:lang w:val="es-AR"/>
        </w:rPr>
      </w:pPr>
    </w:p>
    <w:p w14:paraId="39261273" w14:textId="77777777" w:rsidR="00427624" w:rsidRPr="0014404F" w:rsidRDefault="00427624" w:rsidP="00E252C7">
      <w:pPr>
        <w:autoSpaceDE w:val="0"/>
        <w:autoSpaceDN w:val="0"/>
        <w:spacing w:line="276" w:lineRule="auto"/>
        <w:rPr>
          <w:rFonts w:asciiTheme="minorHAnsi" w:hAnsiTheme="minorHAnsi"/>
          <w:sz w:val="18"/>
          <w:szCs w:val="18"/>
          <w:lang w:val="es-AR"/>
        </w:rPr>
      </w:pPr>
    </w:p>
    <w:p w14:paraId="049E8F5C" w14:textId="77777777" w:rsidR="00427624" w:rsidRPr="0014404F" w:rsidRDefault="00427624" w:rsidP="00E252C7">
      <w:pPr>
        <w:autoSpaceDE w:val="0"/>
        <w:autoSpaceDN w:val="0"/>
        <w:spacing w:line="276" w:lineRule="auto"/>
        <w:rPr>
          <w:rFonts w:asciiTheme="minorHAnsi" w:hAnsiTheme="minorHAnsi"/>
          <w:sz w:val="18"/>
          <w:szCs w:val="18"/>
          <w:lang w:val="es-AR"/>
        </w:rPr>
      </w:pPr>
    </w:p>
    <w:p w14:paraId="51EE7E22" w14:textId="77777777" w:rsidR="00427624" w:rsidRPr="0014404F" w:rsidRDefault="00427624" w:rsidP="00E252C7">
      <w:pPr>
        <w:autoSpaceDE w:val="0"/>
        <w:autoSpaceDN w:val="0"/>
        <w:spacing w:line="276" w:lineRule="auto"/>
        <w:ind w:left="3969"/>
        <w:jc w:val="center"/>
        <w:rPr>
          <w:rFonts w:asciiTheme="minorHAnsi" w:hAnsiTheme="minorHAnsi"/>
          <w:sz w:val="18"/>
          <w:szCs w:val="18"/>
          <w:lang w:val="es-AR"/>
        </w:rPr>
      </w:pPr>
      <w:r w:rsidRPr="0014404F">
        <w:rPr>
          <w:rFonts w:asciiTheme="minorHAnsi" w:hAnsiTheme="minorHAnsi"/>
          <w:sz w:val="18"/>
          <w:szCs w:val="18"/>
          <w:lang w:val="es-AR"/>
        </w:rPr>
        <w:t>_____________________</w:t>
      </w:r>
    </w:p>
    <w:p w14:paraId="4569C3A8" w14:textId="77777777" w:rsidR="00427624" w:rsidRPr="0014404F" w:rsidRDefault="00541286" w:rsidP="00E252C7">
      <w:pPr>
        <w:autoSpaceDE w:val="0"/>
        <w:autoSpaceDN w:val="0"/>
        <w:spacing w:line="276" w:lineRule="auto"/>
        <w:ind w:left="3969"/>
        <w:jc w:val="center"/>
        <w:rPr>
          <w:rFonts w:asciiTheme="minorHAnsi" w:eastAsia="Calibri" w:hAnsiTheme="minorHAnsi" w:cs="Arial"/>
          <w:color w:val="000000"/>
          <w:sz w:val="18"/>
          <w:szCs w:val="18"/>
          <w:lang w:val="es-ES"/>
        </w:rPr>
      </w:pPr>
      <w:r w:rsidRPr="0014404F">
        <w:rPr>
          <w:rFonts w:asciiTheme="minorHAnsi" w:eastAsia="Calibri" w:hAnsiTheme="minorHAnsi" w:cs="Arial"/>
          <w:color w:val="000000"/>
          <w:sz w:val="18"/>
          <w:szCs w:val="18"/>
          <w:lang w:val="es-ES"/>
        </w:rPr>
        <w:t>Fiamma Toto Ruá</w:t>
      </w:r>
    </w:p>
    <w:p w14:paraId="0583CDB1" w14:textId="77777777" w:rsidR="0054022B" w:rsidRPr="0014404F" w:rsidRDefault="00541286" w:rsidP="00E252C7">
      <w:pPr>
        <w:autoSpaceDE w:val="0"/>
        <w:autoSpaceDN w:val="0"/>
        <w:spacing w:line="276" w:lineRule="auto"/>
        <w:ind w:left="3969"/>
        <w:jc w:val="center"/>
        <w:rPr>
          <w:rFonts w:asciiTheme="minorHAnsi" w:hAnsiTheme="minorHAnsi"/>
          <w:sz w:val="18"/>
          <w:szCs w:val="18"/>
          <w:lang w:val="es-AR"/>
        </w:rPr>
      </w:pPr>
      <w:r w:rsidRPr="0014404F">
        <w:rPr>
          <w:rFonts w:asciiTheme="minorHAnsi" w:hAnsiTheme="minorHAnsi"/>
          <w:sz w:val="18"/>
          <w:szCs w:val="18"/>
          <w:lang w:val="es-AR"/>
        </w:rPr>
        <w:t>Autorizada</w:t>
      </w:r>
    </w:p>
    <w:sectPr w:rsidR="0054022B" w:rsidRPr="0014404F" w:rsidSect="002C5BC5">
      <w:pgSz w:w="11909" w:h="16834" w:code="9"/>
      <w:pgMar w:top="1701" w:right="1418" w:bottom="170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24"/>
    <w:rsid w:val="00023DED"/>
    <w:rsid w:val="00106DAB"/>
    <w:rsid w:val="0014404F"/>
    <w:rsid w:val="00163E8E"/>
    <w:rsid w:val="001A6D78"/>
    <w:rsid w:val="001C6064"/>
    <w:rsid w:val="002B19DA"/>
    <w:rsid w:val="002B6EA8"/>
    <w:rsid w:val="002C5D87"/>
    <w:rsid w:val="00427624"/>
    <w:rsid w:val="004622A1"/>
    <w:rsid w:val="00541286"/>
    <w:rsid w:val="0056005C"/>
    <w:rsid w:val="005B2E34"/>
    <w:rsid w:val="00661DBF"/>
    <w:rsid w:val="006E5ADE"/>
    <w:rsid w:val="00B77ACF"/>
    <w:rsid w:val="00BB1E0A"/>
    <w:rsid w:val="00D67AD4"/>
    <w:rsid w:val="00E252C7"/>
    <w:rsid w:val="00E61964"/>
    <w:rsid w:val="00E72E5E"/>
    <w:rsid w:val="00F956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1CD29"/>
  <w15:chartTrackingRefBased/>
  <w15:docId w15:val="{C0A866E5-F8FB-4F0E-9C3E-06CC4298E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24"/>
    <w:pPr>
      <w:spacing w:after="0" w:line="240" w:lineRule="auto"/>
    </w:pPr>
    <w:rPr>
      <w:rFonts w:ascii="Times New Roman" w:eastAsia="Times New Roman" w:hAnsi="Times New Roman" w:cs="Times New Roman"/>
      <w:noProof/>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2762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HPCarta">
    <w:name w:val="HP Carta"/>
    <w:rsid w:val="00427624"/>
    <w:pPr>
      <w:widowControl w:val="0"/>
      <w:tabs>
        <w:tab w:val="left" w:pos="-720"/>
      </w:tabs>
      <w:suppressAutoHyphens/>
      <w:spacing w:after="0" w:line="360" w:lineRule="auto"/>
    </w:pPr>
    <w:rPr>
      <w:rFonts w:ascii="Courier" w:eastAsia="Times New Roman" w:hAnsi="Courier" w:cs="Times New Roman"/>
      <w:sz w:val="24"/>
      <w:szCs w:val="20"/>
      <w:lang w:val="en-US"/>
    </w:rPr>
  </w:style>
  <w:style w:type="paragraph" w:customStyle="1" w:styleId="DPWfdtblhead8">
    <w:name w:val="DPWfd tbl head8"/>
    <w:aliases w:val="h8"/>
    <w:basedOn w:val="Normal"/>
    <w:rsid w:val="00427624"/>
    <w:pPr>
      <w:overflowPunct w:val="0"/>
      <w:autoSpaceDE w:val="0"/>
      <w:autoSpaceDN w:val="0"/>
      <w:adjustRightInd w:val="0"/>
      <w:spacing w:before="20" w:after="40" w:line="180" w:lineRule="exact"/>
      <w:jc w:val="center"/>
      <w:textAlignment w:val="baseline"/>
    </w:pPr>
    <w:rPr>
      <w:b/>
      <w:noProof w:val="0"/>
      <w:sz w:val="16"/>
      <w:szCs w:val="20"/>
      <w:lang w:eastAsia="es-ES"/>
    </w:rPr>
  </w:style>
  <w:style w:type="paragraph" w:customStyle="1" w:styleId="Title20">
    <w:name w:val="Title20"/>
    <w:basedOn w:val="Normal"/>
    <w:rsid w:val="00427624"/>
    <w:pPr>
      <w:spacing w:after="80"/>
      <w:jc w:val="center"/>
    </w:pPr>
    <w:rPr>
      <w:b/>
      <w:noProof w:val="0"/>
      <w:sz w:val="4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mae.com.ar/mpm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upost.com.ar" TargetMode="External"/><Relationship Id="rId5" Type="http://schemas.openxmlformats.org/officeDocument/2006/relationships/hyperlink" Target="http://www.cnv.gob.ar"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632</Words>
  <Characters>3480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Musa</dc:creator>
  <cp:keywords/>
  <dc:description/>
  <cp:lastModifiedBy>Gahr Gisela</cp:lastModifiedBy>
  <cp:revision>2</cp:revision>
  <dcterms:created xsi:type="dcterms:W3CDTF">2019-12-09T20:07:00Z</dcterms:created>
  <dcterms:modified xsi:type="dcterms:W3CDTF">2019-12-09T20:07:00Z</dcterms:modified>
</cp:coreProperties>
</file>