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224333" w14:textId="4211FFC8" w:rsidR="00131F0A" w:rsidRPr="00092E33" w:rsidRDefault="00131F0A" w:rsidP="009E49BA">
      <w:pPr>
        <w:pStyle w:val="Textoindependiente"/>
        <w:ind w:left="708" w:hanging="708"/>
        <w:jc w:val="center"/>
        <w:rPr>
          <w:b/>
          <w:color w:val="auto"/>
          <w:sz w:val="22"/>
          <w:szCs w:val="22"/>
          <w:u w:val="single"/>
        </w:rPr>
      </w:pPr>
      <w:r w:rsidRPr="00092E33">
        <w:rPr>
          <w:b/>
          <w:color w:val="auto"/>
          <w:sz w:val="22"/>
          <w:szCs w:val="22"/>
          <w:u w:val="single"/>
        </w:rPr>
        <w:t xml:space="preserve">ACTA DE DIRECTORIO </w:t>
      </w:r>
      <w:proofErr w:type="spellStart"/>
      <w:r w:rsidRPr="00092E33">
        <w:rPr>
          <w:b/>
          <w:color w:val="auto"/>
          <w:sz w:val="22"/>
          <w:szCs w:val="22"/>
          <w:u w:val="single"/>
        </w:rPr>
        <w:t>Nº</w:t>
      </w:r>
      <w:proofErr w:type="spellEnd"/>
      <w:r w:rsidRPr="00092E33">
        <w:rPr>
          <w:b/>
          <w:color w:val="auto"/>
          <w:sz w:val="22"/>
          <w:szCs w:val="22"/>
          <w:u w:val="single"/>
        </w:rPr>
        <w:t xml:space="preserve"> </w:t>
      </w:r>
      <w:r w:rsidR="00092E33" w:rsidRPr="00092E33">
        <w:rPr>
          <w:b/>
          <w:color w:val="auto"/>
          <w:sz w:val="22"/>
          <w:szCs w:val="22"/>
          <w:u w:val="single"/>
        </w:rPr>
        <w:t>259</w:t>
      </w:r>
    </w:p>
    <w:p w14:paraId="47D0002C" w14:textId="35F6F054" w:rsidR="00131F0A" w:rsidRPr="00092E33" w:rsidRDefault="00131F0A" w:rsidP="00F64523">
      <w:pPr>
        <w:pStyle w:val="Textoindependiente"/>
        <w:jc w:val="both"/>
        <w:rPr>
          <w:color w:val="auto"/>
          <w:sz w:val="22"/>
          <w:szCs w:val="22"/>
        </w:rPr>
      </w:pPr>
      <w:r w:rsidRPr="00092E33">
        <w:rPr>
          <w:color w:val="auto"/>
          <w:sz w:val="22"/>
          <w:szCs w:val="22"/>
        </w:rPr>
        <w:t xml:space="preserve">En la Ciudad Autónoma de Buenos Aires, a los 9 días del mes de marzo de 2020, se reúnen, en la sede social sita en Av. Corrientes 1174, piso 3°, de esta Ciudad, los Sres. Directores de Grupo ST S.A. (en adelante la “Sociedad”) que firman al pie de la presente, </w:t>
      </w:r>
      <w:r w:rsidRPr="00092E33">
        <w:rPr>
          <w:sz w:val="22"/>
          <w:szCs w:val="22"/>
        </w:rPr>
        <w:t xml:space="preserve">bajo la presidencia del Sr. Pablo B. Peralta y contando con la asistencia del Sr. Francisco G. J. González Fischer en representación de la Comisión Fiscalizadora, cuya firma figura también al pie de la presente. Siendo las 18:30 horas, luego de constatar la existencia de quórum suficiente para sesionar, el Sr. </w:t>
      </w:r>
      <w:proofErr w:type="gramStart"/>
      <w:r w:rsidRPr="00092E33">
        <w:rPr>
          <w:sz w:val="22"/>
          <w:szCs w:val="22"/>
        </w:rPr>
        <w:t>Presidente</w:t>
      </w:r>
      <w:proofErr w:type="gramEnd"/>
      <w:r w:rsidRPr="00092E33">
        <w:rPr>
          <w:sz w:val="22"/>
          <w:szCs w:val="22"/>
        </w:rPr>
        <w:t xml:space="preserve"> declara abierto el acto y somete a consideración de los presentes el primer punto del Orden del Día:</w:t>
      </w:r>
      <w:r w:rsidRPr="00092E33">
        <w:rPr>
          <w:color w:val="auto"/>
          <w:sz w:val="22"/>
          <w:szCs w:val="22"/>
        </w:rPr>
        <w:t xml:space="preserve"> </w:t>
      </w:r>
      <w:r w:rsidRPr="00092E33">
        <w:rPr>
          <w:b/>
          <w:color w:val="auto"/>
          <w:sz w:val="22"/>
          <w:szCs w:val="22"/>
        </w:rPr>
        <w:t>1°) “</w:t>
      </w:r>
      <w:r w:rsidRPr="00092E33">
        <w:rPr>
          <w:b/>
          <w:color w:val="auto"/>
          <w:sz w:val="22"/>
          <w:szCs w:val="22"/>
          <w:u w:val="single"/>
        </w:rPr>
        <w:t>Consideración de la documentación contable correspondiente al ejercicio social finalizado el 31 de diciembre de 2019</w:t>
      </w:r>
      <w:r w:rsidRPr="00092E33">
        <w:rPr>
          <w:b/>
          <w:color w:val="auto"/>
          <w:sz w:val="22"/>
          <w:szCs w:val="22"/>
        </w:rPr>
        <w:t>.”</w:t>
      </w:r>
      <w:r w:rsidRPr="00092E33">
        <w:rPr>
          <w:color w:val="auto"/>
          <w:sz w:val="22"/>
          <w:szCs w:val="22"/>
        </w:rPr>
        <w:t xml:space="preserve"> Toma la palabra el Sr. Presidente, quien manifiesta que se encuentra en poder de los Sres. Directores por habérseles distribuido con anterioridad a la celebración de la presente reunión, la documentación contable correspondiente al ejercicio social finalizado el 31 de diciembre de 2019, compuesta por </w:t>
      </w:r>
      <w:r w:rsidRPr="00092E33">
        <w:rPr>
          <w:sz w:val="22"/>
          <w:szCs w:val="22"/>
        </w:rPr>
        <w:t>Estado de situación financiera consolidado, Estado de resultados consolidado, Estado de cambios en el patrimonio consolidado, Estado de flujo de efectivo consolidado, Estados Financieros separados, Informe de la comisión fiscalizadora sobre Estados Financieros Consolidados, Informe de la comisión fiscalizadora sobre Estados Financieros, Notas</w:t>
      </w:r>
      <w:r w:rsidR="003827B1">
        <w:rPr>
          <w:sz w:val="22"/>
          <w:szCs w:val="22"/>
        </w:rPr>
        <w:t>,</w:t>
      </w:r>
      <w:r w:rsidRPr="00092E33">
        <w:rPr>
          <w:sz w:val="22"/>
          <w:szCs w:val="22"/>
        </w:rPr>
        <w:t xml:space="preserve"> Anexos y Reseña informativa</w:t>
      </w:r>
      <w:r w:rsidRPr="00092E33">
        <w:rPr>
          <w:color w:val="auto"/>
          <w:sz w:val="22"/>
          <w:szCs w:val="22"/>
        </w:rPr>
        <w:t>. Así como también</w:t>
      </w:r>
      <w:r w:rsidR="003827B1">
        <w:rPr>
          <w:color w:val="auto"/>
          <w:sz w:val="22"/>
          <w:szCs w:val="22"/>
        </w:rPr>
        <w:t>,</w:t>
      </w:r>
      <w:r w:rsidRPr="00092E33">
        <w:rPr>
          <w:color w:val="auto"/>
          <w:sz w:val="22"/>
          <w:szCs w:val="22"/>
        </w:rPr>
        <w:t xml:space="preserve"> </w:t>
      </w:r>
      <w:r w:rsidRPr="00092E33">
        <w:rPr>
          <w:sz w:val="22"/>
          <w:szCs w:val="22"/>
        </w:rPr>
        <w:t>el estado de situación patrimonial consolidado, el correspondiente estado de resultados consolidado con sus notas y el anexo por el ejercicio finalizado en esa fecha, los que se presentan como información complementaria.</w:t>
      </w:r>
      <w:r w:rsidRPr="00092E33">
        <w:rPr>
          <w:color w:val="auto"/>
          <w:sz w:val="22"/>
          <w:szCs w:val="22"/>
        </w:rPr>
        <w:t xml:space="preserve"> Tras un breve intercambio de opiniones, los Sres. </w:t>
      </w:r>
      <w:proofErr w:type="gramStart"/>
      <w:r w:rsidRPr="00092E33">
        <w:rPr>
          <w:color w:val="auto"/>
          <w:sz w:val="22"/>
          <w:szCs w:val="22"/>
        </w:rPr>
        <w:t>Directores</w:t>
      </w:r>
      <w:proofErr w:type="gramEnd"/>
      <w:r w:rsidRPr="00092E33">
        <w:rPr>
          <w:color w:val="auto"/>
          <w:sz w:val="22"/>
          <w:szCs w:val="22"/>
        </w:rPr>
        <w:t xml:space="preserve"> resuelven por unanimidad de los presentes: (i) omitir la lectura y aprobar la documentación contable detallada precedentemente, la cual se encuentra transcripta en el Libro de Inventario y Balances de la Sociedad; y (</w:t>
      </w:r>
      <w:proofErr w:type="spellStart"/>
      <w:r w:rsidRPr="00092E33">
        <w:rPr>
          <w:color w:val="auto"/>
          <w:sz w:val="22"/>
          <w:szCs w:val="22"/>
        </w:rPr>
        <w:t>ii</w:t>
      </w:r>
      <w:proofErr w:type="spellEnd"/>
      <w:r w:rsidRPr="00092E33">
        <w:rPr>
          <w:color w:val="auto"/>
          <w:sz w:val="22"/>
          <w:szCs w:val="22"/>
        </w:rPr>
        <w:t>) aprobar el texto de la Memoria que a continuación se transcribe:</w:t>
      </w:r>
    </w:p>
    <w:p w14:paraId="5F5539F8" w14:textId="77777777" w:rsidR="00F64523" w:rsidRPr="00092E33" w:rsidRDefault="00F64523" w:rsidP="00F64523">
      <w:pPr>
        <w:tabs>
          <w:tab w:val="left" w:pos="760"/>
        </w:tabs>
        <w:spacing w:after="0"/>
        <w:jc w:val="center"/>
        <w:outlineLvl w:val="0"/>
        <w:rPr>
          <w:rFonts w:ascii="Times New Roman" w:hAnsi="Times New Roman" w:cs="Times New Roman"/>
        </w:rPr>
      </w:pPr>
      <w:r w:rsidRPr="00092E33">
        <w:rPr>
          <w:rFonts w:ascii="Times New Roman" w:hAnsi="Times New Roman" w:cs="Times New Roman"/>
          <w:b/>
        </w:rPr>
        <w:t>MEMORIA</w:t>
      </w:r>
    </w:p>
    <w:p w14:paraId="639DC465" w14:textId="77777777" w:rsidR="00F64523" w:rsidRPr="00092E33" w:rsidRDefault="00F64523" w:rsidP="00F64523">
      <w:pPr>
        <w:tabs>
          <w:tab w:val="left" w:pos="760"/>
        </w:tabs>
        <w:spacing w:after="0" w:line="220" w:lineRule="exact"/>
        <w:jc w:val="center"/>
        <w:rPr>
          <w:rFonts w:ascii="Times New Roman" w:hAnsi="Times New Roman" w:cs="Times New Roman"/>
        </w:rPr>
      </w:pPr>
      <w:r w:rsidRPr="00092E33">
        <w:rPr>
          <w:rFonts w:ascii="Times New Roman" w:hAnsi="Times New Roman" w:cs="Times New Roman"/>
        </w:rPr>
        <w:t>correspondiente al ejercicio económico finalizado el 31 de diciembre de 2019</w:t>
      </w:r>
    </w:p>
    <w:p w14:paraId="3684522D" w14:textId="77777777" w:rsidR="00F64523" w:rsidRPr="00092E33" w:rsidRDefault="00F64523" w:rsidP="00F64523">
      <w:pPr>
        <w:spacing w:after="0"/>
        <w:jc w:val="center"/>
        <w:rPr>
          <w:rFonts w:ascii="Times New Roman" w:hAnsi="Times New Roman" w:cs="Times New Roman"/>
        </w:rPr>
      </w:pPr>
      <w:r w:rsidRPr="00092E33">
        <w:rPr>
          <w:rFonts w:ascii="Times New Roman" w:hAnsi="Times New Roman" w:cs="Times New Roman"/>
        </w:rPr>
        <w:t>(información no cubierta por el informe del auditor)</w:t>
      </w:r>
    </w:p>
    <w:p w14:paraId="0D514904" w14:textId="77777777" w:rsidR="00F64523" w:rsidRPr="00092E33" w:rsidRDefault="00F64523" w:rsidP="00F64523">
      <w:pPr>
        <w:widowControl w:val="0"/>
        <w:spacing w:after="0"/>
        <w:jc w:val="center"/>
        <w:rPr>
          <w:rFonts w:ascii="Times New Roman" w:hAnsi="Times New Roman" w:cs="Times New Roman"/>
          <w:u w:val="single"/>
        </w:rPr>
      </w:pPr>
      <w:bookmarkStart w:id="0" w:name="_Hlk3212114"/>
      <w:r w:rsidRPr="00092E33">
        <w:rPr>
          <w:rFonts w:ascii="Times New Roman" w:hAnsi="Times New Roman" w:cs="Times New Roman"/>
          <w:color w:val="000000"/>
          <w:u w:val="single"/>
          <w:lang w:eastAsia="es-AR"/>
        </w:rPr>
        <w:t>(cifras expresadas en miles de pesos)</w:t>
      </w:r>
    </w:p>
    <w:bookmarkEnd w:id="0"/>
    <w:p w14:paraId="06E0626A" w14:textId="77777777" w:rsidR="00F64523" w:rsidRPr="00092E33" w:rsidRDefault="00F64523" w:rsidP="00F64523">
      <w:pPr>
        <w:spacing w:after="0" w:line="200" w:lineRule="exact"/>
        <w:jc w:val="both"/>
        <w:rPr>
          <w:rFonts w:ascii="Times New Roman" w:hAnsi="Times New Roman" w:cs="Times New Roman"/>
        </w:rPr>
      </w:pPr>
      <w:r w:rsidRPr="00092E33">
        <w:rPr>
          <w:rFonts w:ascii="Times New Roman" w:hAnsi="Times New Roman" w:cs="Times New Roman"/>
        </w:rPr>
        <w:t xml:space="preserve">Señores </w:t>
      </w:r>
    </w:p>
    <w:p w14:paraId="692C32E7" w14:textId="77777777" w:rsidR="00F64523" w:rsidRPr="00092E33" w:rsidRDefault="00F64523" w:rsidP="00F64523">
      <w:pPr>
        <w:spacing w:after="0" w:line="200" w:lineRule="exact"/>
        <w:jc w:val="both"/>
        <w:rPr>
          <w:rFonts w:ascii="Times New Roman" w:hAnsi="Times New Roman" w:cs="Times New Roman"/>
        </w:rPr>
      </w:pPr>
      <w:r w:rsidRPr="00092E33">
        <w:rPr>
          <w:rFonts w:ascii="Times New Roman" w:hAnsi="Times New Roman" w:cs="Times New Roman"/>
        </w:rPr>
        <w:t>Accionistas</w:t>
      </w:r>
    </w:p>
    <w:p w14:paraId="5FA9C32C" w14:textId="77777777" w:rsidR="00F64523" w:rsidRPr="00092E33" w:rsidRDefault="00F64523" w:rsidP="00F64523">
      <w:pPr>
        <w:spacing w:after="0" w:line="200" w:lineRule="exact"/>
        <w:jc w:val="both"/>
        <w:rPr>
          <w:rFonts w:ascii="Times New Roman" w:hAnsi="Times New Roman" w:cs="Times New Roman"/>
        </w:rPr>
      </w:pPr>
    </w:p>
    <w:p w14:paraId="0EB16779" w14:textId="77777777" w:rsidR="00F64523" w:rsidRPr="00092E33" w:rsidRDefault="00F64523" w:rsidP="00F64523">
      <w:pPr>
        <w:spacing w:after="0" w:line="200" w:lineRule="exact"/>
        <w:jc w:val="both"/>
        <w:rPr>
          <w:rFonts w:ascii="Times New Roman" w:hAnsi="Times New Roman" w:cs="Times New Roman"/>
        </w:rPr>
      </w:pPr>
      <w:r w:rsidRPr="00092E33">
        <w:rPr>
          <w:rFonts w:ascii="Times New Roman" w:hAnsi="Times New Roman" w:cs="Times New Roman"/>
        </w:rPr>
        <w:t>De nuestra consideración:</w:t>
      </w:r>
    </w:p>
    <w:p w14:paraId="46DB436E" w14:textId="77777777" w:rsidR="00F64523" w:rsidRPr="00092E33" w:rsidRDefault="00F64523" w:rsidP="00F64523">
      <w:pPr>
        <w:spacing w:after="0"/>
        <w:jc w:val="both"/>
        <w:rPr>
          <w:rFonts w:ascii="Times New Roman" w:hAnsi="Times New Roman" w:cs="Times New Roman"/>
          <w:b/>
          <w:bCs/>
        </w:rPr>
      </w:pPr>
    </w:p>
    <w:p w14:paraId="64B6AED2" w14:textId="77777777" w:rsidR="00F64523" w:rsidRPr="00092E33" w:rsidRDefault="00F64523" w:rsidP="00F64523">
      <w:pPr>
        <w:tabs>
          <w:tab w:val="left" w:pos="2340"/>
        </w:tabs>
        <w:spacing w:after="0" w:line="200" w:lineRule="exact"/>
        <w:jc w:val="both"/>
        <w:rPr>
          <w:rFonts w:ascii="Times New Roman" w:hAnsi="Times New Roman" w:cs="Times New Roman"/>
        </w:rPr>
      </w:pPr>
      <w:r w:rsidRPr="00092E33">
        <w:rPr>
          <w:rFonts w:ascii="Times New Roman" w:hAnsi="Times New Roman" w:cs="Times New Roman"/>
        </w:rPr>
        <w:t>Nos es grato hacerles llegar a Uds. la documentación contable correspondiente al ejercicio cerrado el 31 de diciembre de 2019.</w:t>
      </w:r>
    </w:p>
    <w:p w14:paraId="4F5DA2A7" w14:textId="77777777" w:rsidR="00F64523" w:rsidRPr="00092E33" w:rsidRDefault="00F64523" w:rsidP="00F64523">
      <w:pPr>
        <w:tabs>
          <w:tab w:val="left" w:pos="2340"/>
        </w:tabs>
        <w:spacing w:after="0" w:line="200" w:lineRule="exact"/>
        <w:jc w:val="both"/>
        <w:rPr>
          <w:rFonts w:ascii="Times New Roman" w:hAnsi="Times New Roman" w:cs="Times New Roman"/>
        </w:rPr>
      </w:pPr>
    </w:p>
    <w:p w14:paraId="5635BDE1" w14:textId="77777777" w:rsidR="00F64523" w:rsidRPr="00092E33" w:rsidRDefault="00F64523" w:rsidP="00F64523">
      <w:pPr>
        <w:tabs>
          <w:tab w:val="left" w:pos="2340"/>
        </w:tabs>
        <w:spacing w:after="0" w:line="200" w:lineRule="exact"/>
        <w:jc w:val="both"/>
        <w:rPr>
          <w:rFonts w:ascii="Times New Roman" w:hAnsi="Times New Roman" w:cs="Times New Roman"/>
        </w:rPr>
      </w:pPr>
      <w:r w:rsidRPr="00092E33">
        <w:rPr>
          <w:rFonts w:ascii="Times New Roman" w:hAnsi="Times New Roman" w:cs="Times New Roman"/>
        </w:rPr>
        <w:t>Asimismo, y tal como lo dispone la Ley General de Sociedades y la R.G. 6/2006, modificada por la R.G. 4/2009, ambas de la Inspección General de Justicia, reseñamos lo siguiente:</w:t>
      </w:r>
    </w:p>
    <w:p w14:paraId="66C23914" w14:textId="77777777" w:rsidR="00F64523" w:rsidRPr="00092E33" w:rsidRDefault="00F64523" w:rsidP="00F64523">
      <w:pPr>
        <w:tabs>
          <w:tab w:val="left" w:pos="2340"/>
        </w:tabs>
        <w:spacing w:after="0" w:line="200" w:lineRule="exact"/>
        <w:jc w:val="both"/>
        <w:rPr>
          <w:rFonts w:ascii="Times New Roman" w:hAnsi="Times New Roman" w:cs="Times New Roman"/>
        </w:rPr>
      </w:pPr>
    </w:p>
    <w:p w14:paraId="44149406" w14:textId="77777777" w:rsidR="00F64523" w:rsidRPr="00092E33" w:rsidRDefault="00F64523" w:rsidP="00F64523">
      <w:pPr>
        <w:tabs>
          <w:tab w:val="left" w:pos="2340"/>
        </w:tabs>
        <w:spacing w:after="0" w:line="200" w:lineRule="exact"/>
        <w:jc w:val="both"/>
        <w:rPr>
          <w:rFonts w:ascii="Times New Roman" w:hAnsi="Times New Roman" w:cs="Times New Roman"/>
          <w:b/>
        </w:rPr>
      </w:pPr>
    </w:p>
    <w:p w14:paraId="647F8943" w14:textId="77777777" w:rsidR="00F64523" w:rsidRPr="00092E33" w:rsidRDefault="00F64523" w:rsidP="00F64523">
      <w:pPr>
        <w:tabs>
          <w:tab w:val="left" w:pos="2340"/>
        </w:tabs>
        <w:spacing w:after="0" w:line="200" w:lineRule="exact"/>
        <w:jc w:val="both"/>
        <w:rPr>
          <w:rFonts w:ascii="Times New Roman" w:hAnsi="Times New Roman" w:cs="Times New Roman"/>
          <w:b/>
        </w:rPr>
      </w:pPr>
      <w:r w:rsidRPr="00092E33">
        <w:rPr>
          <w:rFonts w:ascii="Times New Roman" w:hAnsi="Times New Roman" w:cs="Times New Roman"/>
          <w:b/>
        </w:rPr>
        <w:t>1 – HISTORIA Y BREVE DESCRIPCIÓN DEL NEGOCIO</w:t>
      </w:r>
    </w:p>
    <w:p w14:paraId="0BC1BC70" w14:textId="77777777" w:rsidR="00F64523" w:rsidRPr="00092E33" w:rsidRDefault="00F64523" w:rsidP="00F64523">
      <w:pPr>
        <w:tabs>
          <w:tab w:val="left" w:pos="2340"/>
        </w:tabs>
        <w:spacing w:after="0" w:line="200" w:lineRule="exact"/>
        <w:jc w:val="both"/>
        <w:rPr>
          <w:rFonts w:ascii="Times New Roman" w:hAnsi="Times New Roman" w:cs="Times New Roman"/>
          <w:b/>
        </w:rPr>
      </w:pPr>
    </w:p>
    <w:p w14:paraId="2266DA26" w14:textId="77777777" w:rsidR="00F64523" w:rsidRPr="00092E33" w:rsidRDefault="00F64523" w:rsidP="00F64523">
      <w:pPr>
        <w:autoSpaceDE w:val="0"/>
        <w:autoSpaceDN w:val="0"/>
        <w:adjustRightInd w:val="0"/>
        <w:spacing w:after="0" w:line="200" w:lineRule="exact"/>
        <w:jc w:val="both"/>
        <w:rPr>
          <w:rFonts w:ascii="Times New Roman" w:hAnsi="Times New Roman" w:cs="Times New Roman"/>
          <w:lang w:eastAsia="es-AR"/>
        </w:rPr>
      </w:pPr>
      <w:r w:rsidRPr="00092E33">
        <w:rPr>
          <w:rFonts w:ascii="Times New Roman" w:hAnsi="Times New Roman" w:cs="Times New Roman"/>
          <w:lang w:eastAsia="es-AR"/>
        </w:rPr>
        <w:t xml:space="preserve">Grupo ST S.A. (“GST” </w:t>
      </w:r>
      <w:proofErr w:type="spellStart"/>
      <w:r w:rsidRPr="00092E33">
        <w:rPr>
          <w:rFonts w:ascii="Times New Roman" w:hAnsi="Times New Roman" w:cs="Times New Roman"/>
          <w:lang w:eastAsia="es-AR"/>
        </w:rPr>
        <w:t>ó</w:t>
      </w:r>
      <w:proofErr w:type="spellEnd"/>
      <w:r w:rsidRPr="00092E33">
        <w:rPr>
          <w:rFonts w:ascii="Times New Roman" w:hAnsi="Times New Roman" w:cs="Times New Roman"/>
          <w:lang w:eastAsia="es-AR"/>
        </w:rPr>
        <w:t xml:space="preserve"> la “Sociedad” indistintamente) es una sociedad anónima constituida de acuerdo con las leyes de la República Argentina el 19 de noviembre de 2003 e inscripta en la Inspección General de Justicia el 12 de diciembre de 2003 con el objeto de realizar por cuenta propia, de terceros o asociada a terceros, actividades como entidad inversora.</w:t>
      </w:r>
    </w:p>
    <w:p w14:paraId="5ECBA5E4" w14:textId="77777777" w:rsidR="00F64523" w:rsidRPr="00092E33" w:rsidRDefault="00F64523" w:rsidP="00F64523">
      <w:pPr>
        <w:autoSpaceDE w:val="0"/>
        <w:autoSpaceDN w:val="0"/>
        <w:adjustRightInd w:val="0"/>
        <w:spacing w:after="0" w:line="200" w:lineRule="exact"/>
        <w:jc w:val="both"/>
        <w:rPr>
          <w:rFonts w:ascii="Times New Roman" w:hAnsi="Times New Roman" w:cs="Times New Roman"/>
          <w:lang w:eastAsia="es-AR"/>
        </w:rPr>
      </w:pPr>
    </w:p>
    <w:p w14:paraId="45A7FD9C"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AR"/>
        </w:rPr>
      </w:pPr>
      <w:r w:rsidRPr="00092E33">
        <w:rPr>
          <w:rFonts w:ascii="Times New Roman" w:hAnsi="Times New Roman" w:cs="Times New Roman"/>
          <w:lang w:eastAsia="es-AR"/>
        </w:rPr>
        <w:t>GST fue constituida por Roberto Domínguez y Pablo Peralta entre sus socios fundadores, como una compañía holding de servicios financieros con el objetivo inicial de participar en Banco de Servicios y Transacciones S.A. (“</w:t>
      </w:r>
      <w:proofErr w:type="spellStart"/>
      <w:r w:rsidRPr="00092E33">
        <w:rPr>
          <w:rFonts w:ascii="Times New Roman" w:hAnsi="Times New Roman" w:cs="Times New Roman"/>
          <w:lang w:eastAsia="es-AR"/>
        </w:rPr>
        <w:t>bST</w:t>
      </w:r>
      <w:proofErr w:type="spellEnd"/>
      <w:r w:rsidRPr="00092E33">
        <w:rPr>
          <w:rFonts w:ascii="Times New Roman" w:hAnsi="Times New Roman" w:cs="Times New Roman"/>
          <w:lang w:eastAsia="es-AR"/>
        </w:rPr>
        <w:t>”).</w:t>
      </w:r>
    </w:p>
    <w:p w14:paraId="58B92515"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51D0878C"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En 2006 se produce la expansión de GST con la adquisición de </w:t>
      </w:r>
      <w:proofErr w:type="spellStart"/>
      <w:r w:rsidRPr="00092E33">
        <w:rPr>
          <w:rFonts w:ascii="Times New Roman" w:hAnsi="Times New Roman" w:cs="Times New Roman"/>
          <w:lang w:eastAsia="es-ES"/>
        </w:rPr>
        <w:t>Credilogros</w:t>
      </w:r>
      <w:proofErr w:type="spellEnd"/>
      <w:r w:rsidRPr="00092E33">
        <w:rPr>
          <w:rFonts w:ascii="Times New Roman" w:hAnsi="Times New Roman" w:cs="Times New Roman"/>
          <w:lang w:eastAsia="es-ES"/>
        </w:rPr>
        <w:t xml:space="preserve"> Compañía Financiera S.A., una compañía financiera con fuerte participación en el mercado de consumo. Esto le permitió al GST comenzar a trabajar en un segmento del negocio de intermediación financiera con alto potencial de crecimiento, como es la banca de consumo, con fuerte presencia en los créditos personales y las tarjetas de crédito.</w:t>
      </w:r>
    </w:p>
    <w:p w14:paraId="47ECD56F"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63C4D96A"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De esta forma GST pasó a controlar una entidad financiera dedicada específicamente al negocio mayorista y otra dedicada al negocio de consumo.</w:t>
      </w:r>
    </w:p>
    <w:p w14:paraId="11D5AC66"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4D438651"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En 2010 se concretó la oportunidad de crear una entidad fusionada que nos permitiera desarrollar ambos negocios en una única unidad, con mayor economía de escala y eficiencia, comenzando a explorar a su vez el camino de cambio de un banco mayorista de producto a un banco de relación con los segmentos de empresas y personas.</w:t>
      </w:r>
    </w:p>
    <w:p w14:paraId="3284B349"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27DEB38A"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Si bien su principal subsidiaría es y ha sido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la Sociedad ha realizado inversiones en otras compañías relacionadas con el sector financiero. </w:t>
      </w:r>
    </w:p>
    <w:p w14:paraId="259A7B91"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328339A0"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En estos últimos años GST ha tenido como principal objetivo consolidar su participación en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no perdiendo de vista la posibilidad de invertir en otras compañías que se presenten como reales oportunidades de negocio.</w:t>
      </w:r>
    </w:p>
    <w:p w14:paraId="6F4681B2"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01EF527E" w14:textId="77777777" w:rsidR="00F64523" w:rsidRPr="00092E33" w:rsidRDefault="00F64523" w:rsidP="00F64523">
      <w:pPr>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El grupo económico del cual forma parte la Sociedad ha iniciado durante el ejercicio 2017 un proceso de consolidación de la operación de las sociedades vinculadas y relacionadas que lo integran. </w:t>
      </w:r>
      <w:r w:rsidRPr="00092E33">
        <w:rPr>
          <w:rFonts w:ascii="Times New Roman" w:hAnsi="Times New Roman" w:cs="Times New Roman"/>
          <w:lang w:eastAsia="es-ES"/>
        </w:rPr>
        <w:br/>
      </w:r>
      <w:r w:rsidRPr="00092E33">
        <w:rPr>
          <w:rFonts w:ascii="Times New Roman" w:hAnsi="Times New Roman" w:cs="Times New Roman"/>
          <w:lang w:eastAsia="es-ES"/>
        </w:rPr>
        <w:br/>
        <w:t xml:space="preserve">El proceso en el cual se está avanzando es </w:t>
      </w:r>
      <w:bookmarkStart w:id="1" w:name="_Hlk34390775"/>
      <w:r w:rsidRPr="00092E33">
        <w:rPr>
          <w:rFonts w:ascii="Times New Roman" w:hAnsi="Times New Roman" w:cs="Times New Roman"/>
          <w:lang w:eastAsia="es-ES"/>
        </w:rPr>
        <w:t>liderado por GST, y tiene como finalidad el reordenamiento societario y la profundización de los planes de negocios de las compañías que forman parte del grupo económico y que desarrollan actividades financieras y de seguros</w:t>
      </w:r>
      <w:bookmarkEnd w:id="1"/>
      <w:r w:rsidRPr="00092E33">
        <w:rPr>
          <w:rFonts w:ascii="Times New Roman" w:hAnsi="Times New Roman" w:cs="Times New Roman"/>
          <w:lang w:eastAsia="es-ES"/>
        </w:rPr>
        <w:t xml:space="preserve">. </w:t>
      </w:r>
    </w:p>
    <w:p w14:paraId="553C5CB3" w14:textId="77777777" w:rsidR="00F64523" w:rsidRPr="00092E33" w:rsidRDefault="00F64523" w:rsidP="00F64523">
      <w:pPr>
        <w:spacing w:after="0" w:line="200" w:lineRule="exact"/>
        <w:jc w:val="both"/>
        <w:rPr>
          <w:rFonts w:ascii="Times New Roman" w:hAnsi="Times New Roman" w:cs="Times New Roman"/>
          <w:lang w:eastAsia="es-ES"/>
        </w:rPr>
      </w:pPr>
    </w:p>
    <w:p w14:paraId="07BD3053" w14:textId="77777777" w:rsidR="00F64523" w:rsidRPr="00092E33" w:rsidRDefault="00F64523" w:rsidP="00F64523">
      <w:pPr>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lastRenderedPageBreak/>
        <w:t xml:space="preserve">En el marco de lo expuesto, con fecha 29 de junio de 2017 el Directorio de la Sociedad ha designado a la Sra. Isela Angélica Costantini en el cargo de Gerente General de la Sociedad a fin de liderar el mencionado proyecto. </w:t>
      </w:r>
    </w:p>
    <w:p w14:paraId="3FD4E941" w14:textId="77777777" w:rsidR="00F64523" w:rsidRPr="00092E33" w:rsidRDefault="00F64523" w:rsidP="00F64523">
      <w:pPr>
        <w:tabs>
          <w:tab w:val="left" w:pos="2340"/>
        </w:tabs>
        <w:spacing w:after="0" w:line="200" w:lineRule="exact"/>
        <w:jc w:val="both"/>
        <w:rPr>
          <w:rFonts w:ascii="Times New Roman" w:hAnsi="Times New Roman" w:cs="Times New Roman"/>
          <w:b/>
        </w:rPr>
      </w:pPr>
    </w:p>
    <w:p w14:paraId="660533E9" w14:textId="77777777" w:rsidR="00F64523" w:rsidRPr="00092E33" w:rsidRDefault="00F64523" w:rsidP="00F64523">
      <w:pPr>
        <w:tabs>
          <w:tab w:val="left" w:pos="2340"/>
        </w:tabs>
        <w:spacing w:after="0" w:line="200" w:lineRule="exact"/>
        <w:jc w:val="both"/>
        <w:rPr>
          <w:rFonts w:ascii="Times New Roman" w:hAnsi="Times New Roman" w:cs="Times New Roman"/>
          <w:b/>
        </w:rPr>
      </w:pPr>
      <w:r w:rsidRPr="00092E33">
        <w:rPr>
          <w:rFonts w:ascii="Times New Roman" w:hAnsi="Times New Roman" w:cs="Times New Roman"/>
          <w:b/>
        </w:rPr>
        <w:t>2 – POLITICA EMPRESARIAL</w:t>
      </w:r>
    </w:p>
    <w:p w14:paraId="70A54E8E" w14:textId="77777777" w:rsidR="00F64523" w:rsidRPr="00092E33" w:rsidRDefault="00F64523" w:rsidP="00F64523">
      <w:pPr>
        <w:autoSpaceDE w:val="0"/>
        <w:autoSpaceDN w:val="0"/>
        <w:adjustRightInd w:val="0"/>
        <w:spacing w:after="0" w:line="200" w:lineRule="exact"/>
        <w:jc w:val="both"/>
        <w:rPr>
          <w:rFonts w:ascii="Times New Roman" w:hAnsi="Times New Roman" w:cs="Times New Roman"/>
          <w:lang w:eastAsia="es-AR"/>
        </w:rPr>
      </w:pPr>
    </w:p>
    <w:p w14:paraId="10C3806B"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La política empresarial se orientó a consolidar la actividad de la Sociedad como inversora, centrando principalmente su inversión en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w:t>
      </w:r>
    </w:p>
    <w:p w14:paraId="372252D4"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3AD04D35"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Tiene como actividad principal la tenencia de acciones de sociedades anónimas, en particular las que tienen como objeto actividades y servicios financieros.</w:t>
      </w:r>
    </w:p>
    <w:p w14:paraId="642EBAF3" w14:textId="77777777" w:rsidR="00F64523" w:rsidRPr="00092E33" w:rsidRDefault="00F64523" w:rsidP="00F64523">
      <w:pPr>
        <w:spacing w:after="0" w:line="200" w:lineRule="exact"/>
        <w:jc w:val="both"/>
        <w:rPr>
          <w:rFonts w:ascii="Times New Roman" w:hAnsi="Times New Roman" w:cs="Times New Roman"/>
          <w:lang w:val="es-ES"/>
        </w:rPr>
      </w:pPr>
    </w:p>
    <w:p w14:paraId="6FC6EE2A"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b/>
        </w:rPr>
      </w:pPr>
      <w:r w:rsidRPr="00092E33">
        <w:rPr>
          <w:rFonts w:ascii="Times New Roman" w:hAnsi="Times New Roman" w:cs="Times New Roman"/>
          <w:b/>
        </w:rPr>
        <w:t xml:space="preserve">3 – OBJETIVOS PERSEGUIDOS </w:t>
      </w:r>
    </w:p>
    <w:p w14:paraId="3DABC50F"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b/>
        </w:rPr>
      </w:pPr>
    </w:p>
    <w:p w14:paraId="01B39769"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En línea con lo mencionada en el acápite anterior, el objetivo de la Sociedad fue mantener y consolidar la posición en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w:t>
      </w:r>
    </w:p>
    <w:p w14:paraId="61C44B25" w14:textId="77777777" w:rsidR="00F64523" w:rsidRPr="00092E33" w:rsidRDefault="00F64523" w:rsidP="00F64523">
      <w:pPr>
        <w:spacing w:after="0" w:line="200" w:lineRule="exact"/>
        <w:jc w:val="both"/>
        <w:rPr>
          <w:rFonts w:ascii="Times New Roman" w:hAnsi="Times New Roman" w:cs="Times New Roman"/>
          <w:lang w:eastAsia="es-ES"/>
        </w:rPr>
      </w:pPr>
    </w:p>
    <w:p w14:paraId="4283A688" w14:textId="77777777" w:rsidR="00F64523" w:rsidRPr="00092E33" w:rsidRDefault="00F64523" w:rsidP="00F64523">
      <w:pPr>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Continuando, a su vez, con la profundización del proceso de reordenamiento societario iniciado durante el ejercicio 2017 en las compañías que forman parte del grupo económico y que desarrollan actividades financieras.</w:t>
      </w:r>
    </w:p>
    <w:p w14:paraId="4F9882F3"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28E4926C"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Respecto a Tecevall S.A. (antes denominada Tecevall Agente de Valores S.A.), se ha resuelto el cese de sus actividades como agente de valores.</w:t>
      </w:r>
    </w:p>
    <w:p w14:paraId="63D21385"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7DAE0922" w14:textId="6DB6FAB6" w:rsidR="00F64523" w:rsidRPr="00092E33" w:rsidRDefault="00F64523" w:rsidP="009E49BA">
      <w:pPr>
        <w:tabs>
          <w:tab w:val="left" w:pos="1240"/>
          <w:tab w:val="right" w:pos="7880"/>
          <w:tab w:val="right" w:pos="9680"/>
        </w:tabs>
        <w:spacing w:after="0" w:line="200" w:lineRule="exact"/>
        <w:jc w:val="both"/>
        <w:rPr>
          <w:rFonts w:ascii="Times New Roman" w:hAnsi="Times New Roman" w:cs="Times New Roman"/>
          <w:b/>
          <w:lang w:val="es-ES"/>
        </w:rPr>
      </w:pPr>
      <w:r w:rsidRPr="00092E33">
        <w:rPr>
          <w:rFonts w:ascii="Times New Roman" w:hAnsi="Times New Roman" w:cs="Times New Roman"/>
        </w:rPr>
        <w:t xml:space="preserve"> </w:t>
      </w:r>
      <w:r w:rsidRPr="00092E33">
        <w:rPr>
          <w:rFonts w:ascii="Times New Roman" w:hAnsi="Times New Roman" w:cs="Times New Roman"/>
          <w:b/>
          <w:lang w:val="es-ES"/>
        </w:rPr>
        <w:t>4 – OBJETIVOS ALCANZADOS</w:t>
      </w:r>
    </w:p>
    <w:p w14:paraId="18A15431"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rPr>
      </w:pPr>
    </w:p>
    <w:p w14:paraId="00279294"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b/>
          <w:i/>
        </w:rPr>
      </w:pPr>
      <w:bookmarkStart w:id="2" w:name="_Hlk2873556"/>
      <w:r w:rsidRPr="00092E33">
        <w:rPr>
          <w:rFonts w:ascii="Times New Roman" w:hAnsi="Times New Roman" w:cs="Times New Roman"/>
          <w:b/>
          <w:i/>
        </w:rPr>
        <w:t>4.1. – Participación en Sociedades</w:t>
      </w:r>
    </w:p>
    <w:bookmarkEnd w:id="2"/>
    <w:p w14:paraId="092EE2C7"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rPr>
      </w:pPr>
    </w:p>
    <w:p w14:paraId="66BEA9CF"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b/>
          <w:i/>
        </w:rPr>
      </w:pPr>
      <w:r w:rsidRPr="00092E33">
        <w:rPr>
          <w:rFonts w:ascii="Times New Roman" w:hAnsi="Times New Roman" w:cs="Times New Roman"/>
          <w:b/>
          <w:i/>
        </w:rPr>
        <w:t xml:space="preserve">4.1.1. – Participación en </w:t>
      </w:r>
      <w:proofErr w:type="spellStart"/>
      <w:r w:rsidRPr="00092E33">
        <w:rPr>
          <w:rFonts w:ascii="Times New Roman" w:hAnsi="Times New Roman" w:cs="Times New Roman"/>
          <w:b/>
          <w:i/>
        </w:rPr>
        <w:t>bST</w:t>
      </w:r>
      <w:proofErr w:type="spellEnd"/>
    </w:p>
    <w:p w14:paraId="3B855749"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rPr>
      </w:pPr>
    </w:p>
    <w:p w14:paraId="0572680F"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En el marco del compromiso de inversión asumido por los accionistas de BST para el fortalecimiento de su estructura de capital, </w:t>
      </w:r>
      <w:proofErr w:type="spellStart"/>
      <w:r w:rsidRPr="00092E33">
        <w:rPr>
          <w:rFonts w:ascii="Times New Roman" w:hAnsi="Times New Roman" w:cs="Times New Roman"/>
          <w:lang w:eastAsia="es-ES"/>
        </w:rPr>
        <w:t>gST</w:t>
      </w:r>
      <w:proofErr w:type="spellEnd"/>
      <w:r w:rsidRPr="00092E33">
        <w:rPr>
          <w:rFonts w:ascii="Times New Roman" w:hAnsi="Times New Roman" w:cs="Times New Roman"/>
          <w:lang w:eastAsia="es-ES"/>
        </w:rPr>
        <w:t xml:space="preserve"> realizó, con fecha 31 de agosto de 2015, un aporte irrevocable por $ 25.000 </w:t>
      </w:r>
      <w:r w:rsidRPr="00092E33">
        <w:rPr>
          <w:rFonts w:ascii="Times New Roman" w:hAnsi="Times New Roman" w:cs="Times New Roman"/>
        </w:rPr>
        <w:t xml:space="preserve">manifestando a </w:t>
      </w:r>
      <w:proofErr w:type="spellStart"/>
      <w:r w:rsidRPr="00092E33">
        <w:rPr>
          <w:rFonts w:ascii="Times New Roman" w:hAnsi="Times New Roman" w:cs="Times New Roman"/>
        </w:rPr>
        <w:t>bST</w:t>
      </w:r>
      <w:proofErr w:type="spellEnd"/>
      <w:r w:rsidRPr="00092E33">
        <w:rPr>
          <w:rFonts w:ascii="Times New Roman" w:hAnsi="Times New Roman" w:cs="Times New Roman"/>
        </w:rPr>
        <w:t xml:space="preserve"> la intención de la Sociedad de que dicho aporte de capital sea capitalizado por </w:t>
      </w:r>
      <w:proofErr w:type="spellStart"/>
      <w:r w:rsidRPr="00092E33">
        <w:rPr>
          <w:rFonts w:ascii="Times New Roman" w:hAnsi="Times New Roman" w:cs="Times New Roman"/>
        </w:rPr>
        <w:t>bST</w:t>
      </w:r>
      <w:proofErr w:type="spellEnd"/>
      <w:r w:rsidRPr="00092E33">
        <w:rPr>
          <w:rFonts w:ascii="Times New Roman" w:hAnsi="Times New Roman" w:cs="Times New Roman"/>
        </w:rPr>
        <w:t xml:space="preserve"> una vez aprobado por la correspondiente Asamblea de Accionistas.</w:t>
      </w:r>
    </w:p>
    <w:p w14:paraId="110EC771"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7F05F22B"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En la Asamblea General Extraordinaria de Accionistas de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de fecha 15 de septiembre de 2015 se aceptó el aporte irrevocable de capital realizado por GST por la suma de $ 25.000 y se resolvió aumentar el capital social de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en la suma de $ 100.000 pasando de $ 169.873 a $ 269.873, quedando así constituido el capital social de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por 269.873 acciones ordinarias, escriturales, de $ 1 valor nominal cada una y con derecho a 1 voto por acción.</w:t>
      </w:r>
    </w:p>
    <w:p w14:paraId="22285DB3"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019F5C18"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En la mencionada asamblea GST suscribió la totalidad de las acciones que se emitieron en virtud del aumento de capital resuelto de las cuales, el 25%, o sea, la suma de $ 25.000 se integraron mediante la capitalización del aporte irrevocable aprobado en dicha Asamblea y el saldo, mediante transferencia bancaria, el 13 de enero de 2016.</w:t>
      </w:r>
      <w:r w:rsidRPr="00092E33" w:rsidDel="00DB0EF0">
        <w:rPr>
          <w:rFonts w:ascii="Times New Roman" w:hAnsi="Times New Roman" w:cs="Times New Roman"/>
          <w:lang w:eastAsia="es-ES"/>
        </w:rPr>
        <w:t xml:space="preserve"> </w:t>
      </w:r>
    </w:p>
    <w:p w14:paraId="599CC3CF"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6E10B3CA"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Con fecha 28 de diciembre de 2016, en sintonía con los objetivos perseguidos, la Sociedad ha realizado un aporte de capital a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por la suma de $30.000 manifestando la intención de la Sociedad de que dicho aporte de capital sea capitalizado por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una vez aprobado por la correspondiente Asamblea de Accionistas, suscribiendo GST el 100% de las acciones resultantes de esa capitalización. Ese mismo día el directorio de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aceptó la Oferta del Aporte Irrevocable de capital realizados por GST.</w:t>
      </w:r>
    </w:p>
    <w:p w14:paraId="11CE3EA7"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3046404B"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rPr>
        <w:t xml:space="preserve"> Con fecha 27 de abril de 2017, la Asamblea General </w:t>
      </w:r>
      <w:r w:rsidRPr="00092E33">
        <w:rPr>
          <w:rFonts w:ascii="Times New Roman" w:hAnsi="Times New Roman" w:cs="Times New Roman"/>
          <w:lang w:eastAsia="es-ES"/>
        </w:rPr>
        <w:t xml:space="preserve">Extraordinaria de Accionistas de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resolvió capitalizar el aporte irrevocable de capital realizado por GST por la suma de $ 30.000 y se resolvió aumentar el capital social de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en la suma de $ 30.000 pasando de $269.873 a $299.873, quedando así constituido el capital social de la Sociedad por 299.873.000 acciones ordinarias escriturales, de $1 valor nominal cada una y con derecho a 1 voto por acción.</w:t>
      </w:r>
    </w:p>
    <w:p w14:paraId="121D5CDC"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0B800EB6"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En línea con los objetivos de la Sociedad y en el marco del compromiso de inversión en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con fecha 21 de marzo de 2018 GST ha efectuado un aporte irrevocable de capital en efectivo por la suma de miles de $ 80.000, el cual fue aceptado por Acta de Directorio </w:t>
      </w:r>
      <w:proofErr w:type="spellStart"/>
      <w:r w:rsidRPr="00092E33">
        <w:rPr>
          <w:rFonts w:ascii="Times New Roman" w:hAnsi="Times New Roman" w:cs="Times New Roman"/>
          <w:lang w:eastAsia="es-ES"/>
        </w:rPr>
        <w:t>N°</w:t>
      </w:r>
      <w:proofErr w:type="spellEnd"/>
      <w:r w:rsidRPr="00092E33">
        <w:rPr>
          <w:rFonts w:ascii="Times New Roman" w:hAnsi="Times New Roman" w:cs="Times New Roman"/>
          <w:lang w:eastAsia="es-ES"/>
        </w:rPr>
        <w:t xml:space="preserve"> 1.021 de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de misma fecha, ad-referéndum de la aprobación de la Asamblea de Accionistas de la mencionada entidad.</w:t>
      </w:r>
    </w:p>
    <w:p w14:paraId="4AC104BA"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69DF3EA4"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El 26 de abril de 2018, la Asamblea de Accionistas de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resolvió aumentar su capital social en $ 80.000, pasando de $ 299.873 a $ 379.873, mediante la capitalización del aporte irrevocable mencionado en el párrafo anterior.</w:t>
      </w:r>
    </w:p>
    <w:p w14:paraId="34730913"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 </w:t>
      </w:r>
    </w:p>
    <w:p w14:paraId="3C2FDC2B"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A su vez, con fecha 30 de mayo de 2018 </w:t>
      </w:r>
      <w:proofErr w:type="spellStart"/>
      <w:r w:rsidRPr="00092E33">
        <w:rPr>
          <w:rFonts w:ascii="Times New Roman" w:hAnsi="Times New Roman" w:cs="Times New Roman"/>
          <w:lang w:eastAsia="es-ES"/>
        </w:rPr>
        <w:t>gST</w:t>
      </w:r>
      <w:proofErr w:type="spellEnd"/>
      <w:r w:rsidRPr="00092E33">
        <w:rPr>
          <w:rFonts w:ascii="Times New Roman" w:hAnsi="Times New Roman" w:cs="Times New Roman"/>
          <w:lang w:eastAsia="es-ES"/>
        </w:rPr>
        <w:t xml:space="preserve"> efectuó un nuevo aporte irrevocable de capital por la suma de $ 20.000 en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el cual fue aceptado por Acta de Directorio de misma fecha, ad-referéndum de la aprobación de la Asamblea de Accionistas de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w:t>
      </w:r>
    </w:p>
    <w:p w14:paraId="131E354A"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08EF1F4B"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Con fecha 27 de julio de 2018,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informó al mercado la decisión de reposicionar estratégicamente su negocio, concentrándose en el sector corporativo, en </w:t>
      </w:r>
      <w:proofErr w:type="spellStart"/>
      <w:r w:rsidRPr="00092E33">
        <w:rPr>
          <w:rFonts w:ascii="Times New Roman" w:hAnsi="Times New Roman" w:cs="Times New Roman"/>
          <w:lang w:eastAsia="es-ES"/>
        </w:rPr>
        <w:t>pos</w:t>
      </w:r>
      <w:proofErr w:type="spellEnd"/>
      <w:r w:rsidRPr="00092E33">
        <w:rPr>
          <w:rFonts w:ascii="Times New Roman" w:hAnsi="Times New Roman" w:cs="Times New Roman"/>
          <w:lang w:eastAsia="es-ES"/>
        </w:rPr>
        <w:t xml:space="preserve"> de un crecimiento sólido y sustentable. Este reposicionamiento estratégico implicó para el Banco dejar de operar en el mercado minorista, y proceder al cierre de sus sucursales luego de la finalización de las operaciones del 3 de agosto de 2018, manteniendo únicamente activa la Sucursal Obelisco como su Casa Central. </w:t>
      </w:r>
    </w:p>
    <w:p w14:paraId="589037B1"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2FB56B07"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Con fecha 28 de agosto de 2018 GST realizó otro aporte irrevocable de capital por la suma de $ 31.352, el cual fue aceptado por Acta de Directorio de misma fecha, ad-referéndum de la aprobación de la Asamblea de Accionistas de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w:t>
      </w:r>
    </w:p>
    <w:p w14:paraId="5DD7AA55"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35AE60F6" w14:textId="5D6E927E"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bookmarkStart w:id="3" w:name="_Hlk2941348"/>
      <w:r w:rsidRPr="00092E33">
        <w:rPr>
          <w:rFonts w:ascii="Times New Roman" w:hAnsi="Times New Roman" w:cs="Times New Roman"/>
          <w:lang w:eastAsia="es-ES"/>
        </w:rPr>
        <w:t xml:space="preserve">Con fecha 21 de diciembre de 2018, la Asamblea General Extraordinaria de Accionistas de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resolvió aumentar su capital social en $ 51.352, mediante la capitalización de los aportes irrevocables efectuados con fecha 30 de mayo de 2018 y 28 de agosto de 2018, detallados en los párrafos precedentes. A su vez, se resolvió aumentar el capital social de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en otros $ 80.000, suscribiendo </w:t>
      </w:r>
      <w:r w:rsidRPr="00092E33">
        <w:rPr>
          <w:rFonts w:ascii="Times New Roman" w:hAnsi="Times New Roman" w:cs="Times New Roman"/>
          <w:lang w:eastAsia="es-ES"/>
        </w:rPr>
        <w:lastRenderedPageBreak/>
        <w:t xml:space="preserve">la totalidad de las acciones </w:t>
      </w:r>
      <w:proofErr w:type="spellStart"/>
      <w:r w:rsidRPr="00092E33">
        <w:rPr>
          <w:rFonts w:ascii="Times New Roman" w:hAnsi="Times New Roman" w:cs="Times New Roman"/>
          <w:lang w:eastAsia="es-ES"/>
        </w:rPr>
        <w:t>gST</w:t>
      </w:r>
      <w:proofErr w:type="spellEnd"/>
      <w:r w:rsidRPr="00092E33">
        <w:rPr>
          <w:rFonts w:ascii="Times New Roman" w:hAnsi="Times New Roman" w:cs="Times New Roman"/>
          <w:lang w:eastAsia="es-ES"/>
        </w:rPr>
        <w:t>, integrando el 50 %, y el saldo restante dentro del plazo de 2 años autorizado por la Ley General de Sociedades, pasando el capital social, de esta manera, de $ 379.873 a $ 511.225.</w:t>
      </w:r>
    </w:p>
    <w:p w14:paraId="7DCA8E49"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5EC18D50"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Con fecha 27 de marzo de 2019 GST integró el saldo pendiente del aporte de capital y adicionalmente efectuó un aporte irrevocable de capital por la suma de $ 24.350 el cual fue aceptado por </w:t>
      </w:r>
      <w:proofErr w:type="gramStart"/>
      <w:r w:rsidRPr="00092E33">
        <w:rPr>
          <w:rFonts w:ascii="Times New Roman" w:hAnsi="Times New Roman" w:cs="Times New Roman"/>
          <w:lang w:eastAsia="es-ES"/>
        </w:rPr>
        <w:t>el  Directorio</w:t>
      </w:r>
      <w:proofErr w:type="gramEnd"/>
      <w:r w:rsidRPr="00092E33">
        <w:rPr>
          <w:rFonts w:ascii="Times New Roman" w:hAnsi="Times New Roman" w:cs="Times New Roman"/>
          <w:lang w:eastAsia="es-ES"/>
        </w:rPr>
        <w:t xml:space="preserve"> de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en la misma fecha, ad referéndum de la aprobación de la Asamblea de Accionistas de dicha entidad.</w:t>
      </w:r>
    </w:p>
    <w:p w14:paraId="42572D93"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257C2F61"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Asimismo, con fecha 29 de abril de 2019, la Asamblea General Extraordinaria de Accionistas de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resolvió aumentar su capital social en la suma de $ 24.350, pasando de $ 511.225 a $ 535.575, mediante la capitalización del aporte irrevocable mencionado en el párrafo anterior.</w:t>
      </w:r>
    </w:p>
    <w:p w14:paraId="283260F3"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2FBE1369" w14:textId="31A2B829"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bookmarkStart w:id="4" w:name="_Hlk34409112"/>
      <w:r w:rsidRPr="00092E33">
        <w:rPr>
          <w:rFonts w:ascii="Times New Roman" w:hAnsi="Times New Roman" w:cs="Times New Roman"/>
          <w:lang w:eastAsia="es-ES"/>
        </w:rPr>
        <w:t xml:space="preserve">Con fecha 16 de diciembre de 2019, el Directorio de GST aceptó, </w:t>
      </w:r>
      <w:proofErr w:type="gramStart"/>
      <w:r w:rsidRPr="00092E33">
        <w:rPr>
          <w:rFonts w:ascii="Times New Roman" w:hAnsi="Times New Roman" w:cs="Times New Roman"/>
          <w:i/>
          <w:iCs/>
          <w:lang w:eastAsia="es-ES"/>
        </w:rPr>
        <w:t>ad referéndum</w:t>
      </w:r>
      <w:proofErr w:type="gramEnd"/>
      <w:r w:rsidRPr="00092E33">
        <w:rPr>
          <w:rFonts w:ascii="Times New Roman" w:hAnsi="Times New Roman" w:cs="Times New Roman"/>
          <w:lang w:eastAsia="es-ES"/>
        </w:rPr>
        <w:t xml:space="preserve"> de la asamblea de accionistas, un aporte en especie consistente en Obligaciones Negociables Clase 11 especie BVBO y Clase 12 BVCDO (las “ON”) adquiridas por ST Inversiones S.A. por un valor de mercado de $112.775 manifestando su intención de capitalizar dicho aporte aumentando el capital social de GST y suscribiendo las acciones resultantes del mismo. </w:t>
      </w:r>
    </w:p>
    <w:p w14:paraId="29FB6169"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1E5B82F9"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Con fecha 27 de diciembre de 2019, la Asamblea de Accionistas de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resolvió aceptar el aporte en especie realizado por GST consistente en las ON por un valor de mercado de $112.775, mediante la capitalización del pasivo que registra la Sociedad en virtud de las Obligaciones Negociables Clase 11 especie BVBO y Clase 12 BVCDO por lo que el aumento del capital social pasaría de $535.574 a $648.350, quedando así constituido por 648.350.098 acciones ordinarias, escriturales, de $1 valor nominal cada una y con derecho a 1 voto por acción.  Esta capitalización ha quedado </w:t>
      </w:r>
      <w:proofErr w:type="gramStart"/>
      <w:r w:rsidRPr="00092E33">
        <w:rPr>
          <w:rFonts w:ascii="Times New Roman" w:hAnsi="Times New Roman" w:cs="Times New Roman"/>
          <w:i/>
          <w:iCs/>
          <w:lang w:eastAsia="es-ES"/>
        </w:rPr>
        <w:t>ad referéndum</w:t>
      </w:r>
      <w:proofErr w:type="gramEnd"/>
      <w:r w:rsidRPr="00092E33">
        <w:rPr>
          <w:rFonts w:ascii="Times New Roman" w:hAnsi="Times New Roman" w:cs="Times New Roman"/>
          <w:lang w:eastAsia="es-ES"/>
        </w:rPr>
        <w:t xml:space="preserve"> de su aprobación por parte del BCRA.</w:t>
      </w:r>
    </w:p>
    <w:p w14:paraId="37BC41E8"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4C3924A4"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A la fecha de la redacción de la presente Memoria el BCRA no se había expedido aún respecto de la capitalización mencionada en el párrafo anterior.</w:t>
      </w:r>
    </w:p>
    <w:p w14:paraId="473F8CBB"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6C06C403"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En virtud de lo expuesto, el porcentaje de participación de la Sociedad en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asciende al 31 de diciembre de 2019 al 99,47% del paquete accionario.</w:t>
      </w:r>
    </w:p>
    <w:bookmarkEnd w:id="3"/>
    <w:bookmarkEnd w:id="4"/>
    <w:p w14:paraId="5A9A9E60"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78BAA94E"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b/>
          <w:i/>
        </w:rPr>
      </w:pPr>
      <w:r w:rsidRPr="00092E33">
        <w:rPr>
          <w:rFonts w:ascii="Times New Roman" w:hAnsi="Times New Roman" w:cs="Times New Roman"/>
          <w:b/>
          <w:i/>
        </w:rPr>
        <w:t>4.1.2. – Participación en otras Sociedades (en miles de dólares estadounidenses)</w:t>
      </w:r>
    </w:p>
    <w:p w14:paraId="2BFE0CC6"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4C3CD016"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Con fecha 27 de octubre de 2015 el Directorio de la Sociedad aprobó, por unanimidad, la realización de un aporte de capital a Tecevall S.A. (antes denominada Tecevall Agente de Valores S.A.) por el equivalente en pesos uruguayos de </w:t>
      </w:r>
      <w:proofErr w:type="spellStart"/>
      <w:r w:rsidRPr="00092E33">
        <w:rPr>
          <w:rFonts w:ascii="Times New Roman" w:hAnsi="Times New Roman" w:cs="Times New Roman"/>
          <w:lang w:eastAsia="es-ES"/>
        </w:rPr>
        <w:t>u$s</w:t>
      </w:r>
      <w:proofErr w:type="spellEnd"/>
      <w:r w:rsidRPr="00092E33">
        <w:rPr>
          <w:rFonts w:ascii="Times New Roman" w:hAnsi="Times New Roman" w:cs="Times New Roman"/>
          <w:lang w:eastAsia="es-ES"/>
        </w:rPr>
        <w:t xml:space="preserve"> 100 manteniendo el 100% de la tenencia accionaria de la misma.</w:t>
      </w:r>
    </w:p>
    <w:p w14:paraId="5407B2C2"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4661A35A"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Con fecha 8 de enero de 2016, 3 de mayo de 2016, 5 de julio de 2016 y 3 de noviembre de 2016, el Directorio de la Sociedad aprobó por unanimidad, en el marco del fortalecimiento de la estructura de capital de Tecevall S.A. (antes denominada Tecevall Agente de Valores S.A.), la realización de un aporte de capital por el equivalente de pesos uruguayos de U$S 100, U$S 45, U$S 95 y U$S 100, respectivamente, para su capitalización, una vez aprobados los mismos por la Asamblea de Accionistas.</w:t>
      </w:r>
    </w:p>
    <w:p w14:paraId="2AC49C99"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53B85872"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Asimismo, con fecha 30 de marzo de 2017, 31 de agosto de 2017 y 24 de noviembre de 2017, la Sociedad realizó nuevos aportes de capital en Tecevall Agente de Valores S.A. por el equivalente de pesos uruguayos de miles de U$S 118-, U$S 135- y U$S 137- respectivamente para su capitalización, una vez aprobados los mismos por la Asamblea de Accionistas.</w:t>
      </w:r>
    </w:p>
    <w:p w14:paraId="6225F676"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656D0008"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bookmarkStart w:id="5" w:name="_Hlk2941649"/>
      <w:r w:rsidRPr="00092E33">
        <w:rPr>
          <w:rFonts w:ascii="Times New Roman" w:hAnsi="Times New Roman" w:cs="Times New Roman"/>
          <w:lang w:eastAsia="es-ES"/>
        </w:rPr>
        <w:t>A su vez, con fecha 2 de abril de 2018, la Asamblea General Extraordinaria de Accionistas de Tecevall S.A. (antes denominada Tecevall Agente de Valores S.A.) resolvió discontinuar su actividad de agente de bolsa y, consecuentemente, modificar su denominación social, reformando su estatuto, modificando su razón social de Tecevall Agente de Valores S.A. a Tecevall S.A</w:t>
      </w:r>
    </w:p>
    <w:bookmarkEnd w:id="5"/>
    <w:p w14:paraId="21A713B7"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21AC2109"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Por último, con fecha 2 de abril de 2018 y 27 de septiembre de 2018, la Sociedad realizó un nuevo aporte de capital en Tecevall S.A. (antes denominada Tecevall Agente de Valores S.A.) por el equivalente de pesos uruguayos de miles de U$S 132 y U$S 174 respectivamente, para su capitalización, el cual fue aprobado por las respectivas Asambleas de Accionistas.</w:t>
      </w:r>
    </w:p>
    <w:p w14:paraId="637C09AB"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288BD631"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Cabe destacar que, en relación con la actividad operativa de dicha sociedad, con fecha 1 de febrero de 2018 la Asamblea General Extraordinaria de Accionistas de Tecevall S.A. (antes denominada Tecevall Agente de Valores S.A.), resolvió el cese de sus actividades como agente de valores al 28 de febrero de 2018, y con fecha 5 de febrero de 2018 fue comunicado al Banco Central de Uruguay. Con fecha 14 de junio de 2019 el Banco Central del Uruguay resolvió retirar la autorización para funcionar como Intermediario de Valores y dar de baja su inscripción en el Registro del Mercado de Valores como agente de Valores a Tecevall.</w:t>
      </w:r>
    </w:p>
    <w:p w14:paraId="17A4CCF3"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 </w:t>
      </w:r>
    </w:p>
    <w:p w14:paraId="28575421"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El porcentaje de participación de la Sociedad en Tecevall S.A. (antes denominada Tecevall Agente de Valores S.A.) asciende al 31 de diciembre de 2019 al 100% del paquete accionario.</w:t>
      </w:r>
    </w:p>
    <w:p w14:paraId="39434543" w14:textId="77777777" w:rsidR="00F64523" w:rsidRPr="00092E33" w:rsidRDefault="00F64523" w:rsidP="00F64523">
      <w:pPr>
        <w:spacing w:after="0" w:line="200" w:lineRule="exact"/>
        <w:jc w:val="both"/>
        <w:rPr>
          <w:rFonts w:ascii="Times New Roman" w:hAnsi="Times New Roman" w:cs="Times New Roman"/>
        </w:rPr>
      </w:pPr>
    </w:p>
    <w:p w14:paraId="64C4FBEC"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b/>
          <w:i/>
        </w:rPr>
      </w:pPr>
      <w:r w:rsidRPr="00092E33">
        <w:rPr>
          <w:rFonts w:ascii="Times New Roman" w:hAnsi="Times New Roman" w:cs="Times New Roman"/>
          <w:b/>
          <w:i/>
        </w:rPr>
        <w:t>4.2. – Ingreso al régimen especial de Oferta Pública</w:t>
      </w:r>
    </w:p>
    <w:p w14:paraId="74016BBE"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758F3E26"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bookmarkStart w:id="6" w:name="_Hlk3211855"/>
      <w:r w:rsidRPr="00092E33">
        <w:rPr>
          <w:rFonts w:ascii="Times New Roman" w:hAnsi="Times New Roman" w:cs="Times New Roman"/>
          <w:lang w:eastAsia="es-ES"/>
        </w:rPr>
        <w:t xml:space="preserve">A los efectos de posibilitar a la Sociedad el acceso a mejores condiciones de financiación a través de los mercados de capitales nacionales y/o internacionales y dada la conveniencia de ampliar las posibilidades de financiamiento de </w:t>
      </w:r>
      <w:proofErr w:type="gramStart"/>
      <w:r w:rsidRPr="00092E33">
        <w:rPr>
          <w:rFonts w:ascii="Times New Roman" w:hAnsi="Times New Roman" w:cs="Times New Roman"/>
          <w:lang w:eastAsia="es-ES"/>
        </w:rPr>
        <w:t>la misma</w:t>
      </w:r>
      <w:proofErr w:type="gramEnd"/>
      <w:r w:rsidRPr="00092E33">
        <w:rPr>
          <w:rFonts w:ascii="Times New Roman" w:hAnsi="Times New Roman" w:cs="Times New Roman"/>
          <w:lang w:eastAsia="es-ES"/>
        </w:rPr>
        <w:t xml:space="preserve"> a través de su ingreso al régimen de oferta pública, el Directorio de la Sociedad puso a consideración de los Sres. Accionistas la creación de un programa global para la emisión de obligaciones negociables.</w:t>
      </w:r>
    </w:p>
    <w:p w14:paraId="135027D3"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05149269"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bookmarkStart w:id="7" w:name="_DV_M26"/>
      <w:bookmarkEnd w:id="7"/>
      <w:r w:rsidRPr="00092E33">
        <w:rPr>
          <w:rFonts w:ascii="Times New Roman" w:hAnsi="Times New Roman" w:cs="Times New Roman"/>
          <w:lang w:eastAsia="es-ES"/>
        </w:rPr>
        <w:t xml:space="preserve">Los Sres. Accionistas resolvieron en Asamblea General Extraordinaria del 9 de noviembre de 2015, por unanimidad, solicitar ante la Comisión Nacional de Valores (“CNV”) el ingreso de la Sociedad al régimen de oferta pública </w:t>
      </w:r>
      <w:bookmarkStart w:id="8" w:name="_DV_C94"/>
      <w:r w:rsidRPr="00092E33">
        <w:rPr>
          <w:rFonts w:ascii="Times New Roman" w:hAnsi="Times New Roman" w:cs="Times New Roman"/>
          <w:lang w:eastAsia="es-ES"/>
        </w:rPr>
        <w:t xml:space="preserve">a los fines de ofertar públicamente obligaciones negociables, </w:t>
      </w:r>
      <w:bookmarkStart w:id="9" w:name="_DV_M67"/>
      <w:bookmarkEnd w:id="8"/>
      <w:bookmarkEnd w:id="9"/>
      <w:r w:rsidRPr="00092E33">
        <w:rPr>
          <w:rFonts w:ascii="Times New Roman" w:hAnsi="Times New Roman" w:cs="Times New Roman"/>
          <w:lang w:eastAsia="es-ES"/>
        </w:rPr>
        <w:t>de conformidad con las normas aplicables</w:t>
      </w:r>
      <w:bookmarkStart w:id="10" w:name="_DV_M68"/>
      <w:bookmarkEnd w:id="10"/>
      <w:r w:rsidRPr="00092E33">
        <w:rPr>
          <w:rFonts w:ascii="Times New Roman" w:hAnsi="Times New Roman" w:cs="Times New Roman"/>
          <w:lang w:eastAsia="es-ES"/>
        </w:rPr>
        <w:t>, delegando en el Directorio</w:t>
      </w:r>
      <w:bookmarkStart w:id="11" w:name="_DV_C112"/>
      <w:r w:rsidRPr="00092E33">
        <w:rPr>
          <w:rFonts w:ascii="Times New Roman" w:hAnsi="Times New Roman" w:cs="Times New Roman"/>
          <w:lang w:eastAsia="es-ES"/>
        </w:rPr>
        <w:t xml:space="preserve"> </w:t>
      </w:r>
      <w:bookmarkEnd w:id="11"/>
      <w:r w:rsidRPr="00092E33">
        <w:rPr>
          <w:rFonts w:ascii="Times New Roman" w:hAnsi="Times New Roman" w:cs="Times New Roman"/>
          <w:lang w:eastAsia="es-ES"/>
        </w:rPr>
        <w:t xml:space="preserve">amplias facultades para: (i) determinar y establecer todos los términos del Programa, de cada una de las clases y/o series de </w:t>
      </w:r>
      <w:r w:rsidRPr="00092E33">
        <w:rPr>
          <w:rFonts w:ascii="Times New Roman" w:hAnsi="Times New Roman" w:cs="Times New Roman"/>
          <w:lang w:eastAsia="es-ES"/>
        </w:rPr>
        <w:lastRenderedPageBreak/>
        <w:t>obligaciones negociables a emitirse oportunamente en el marco del mismo y de los contratos relativos a la emisión y colocación de las obligaciones negociables que se emitan conforme al Programa; y (</w:t>
      </w:r>
      <w:proofErr w:type="spellStart"/>
      <w:r w:rsidRPr="00092E33">
        <w:rPr>
          <w:rFonts w:ascii="Times New Roman" w:hAnsi="Times New Roman" w:cs="Times New Roman"/>
          <w:lang w:eastAsia="es-ES"/>
        </w:rPr>
        <w:t>ii</w:t>
      </w:r>
      <w:proofErr w:type="spellEnd"/>
      <w:r w:rsidRPr="00092E33">
        <w:rPr>
          <w:rFonts w:ascii="Times New Roman" w:hAnsi="Times New Roman" w:cs="Times New Roman"/>
          <w:lang w:eastAsia="es-ES"/>
        </w:rPr>
        <w:t>) la realización ante CNV, el MVBA, la BCBA, el MAE y/o cualquier  otro mercado autorizado del país y/o del exterior y ante cualquier autoridad de contralor u organismo pertinente (incluyendo sin limitación, la Caja de Valores S.A., entre otros) de todas las gestiones necesarias para obtener la autorización para el ingreso de la Sociedad al régimen de oferta pública, la creación del Programa, la oferta pública de las obligaciones negociables a ser emitidas bajo éste y el eventual listado y/o negociación de dichas obligaciones negociables.</w:t>
      </w:r>
    </w:p>
    <w:p w14:paraId="014187F0"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4A08A1BB"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La mencionada Asamblea aprobó la creación del Programa de Emisión de Obligaciones Negociables por un valor nominal en miles de hasta $ 500.000 (o su equivalente en otras monedas).</w:t>
      </w:r>
    </w:p>
    <w:p w14:paraId="48316ED5"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2B75B5E6"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Mediante Resolución General </w:t>
      </w:r>
      <w:proofErr w:type="spellStart"/>
      <w:r w:rsidRPr="00092E33">
        <w:rPr>
          <w:rFonts w:ascii="Times New Roman" w:hAnsi="Times New Roman" w:cs="Times New Roman"/>
          <w:lang w:eastAsia="es-ES"/>
        </w:rPr>
        <w:t>N°</w:t>
      </w:r>
      <w:proofErr w:type="spellEnd"/>
      <w:r w:rsidRPr="00092E33">
        <w:rPr>
          <w:rFonts w:ascii="Times New Roman" w:hAnsi="Times New Roman" w:cs="Times New Roman"/>
          <w:lang w:eastAsia="es-ES"/>
        </w:rPr>
        <w:t xml:space="preserve"> 17.947 de la CNV de fecha 28 de diciembre de 2015 dicho organismo de contralor autorizó a la Sociedad para emitir obligaciones negociables simples. Con fecha 13 de enero de 2016 la Sociedad emitió Obligaciones Negociables Clase 1 por $ 75.000, con un vencimiento de 60 (sesenta) meses contados desde la fecha de emisión. </w:t>
      </w:r>
    </w:p>
    <w:p w14:paraId="5DD00E32"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11BD859C"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El día 13 de enero de 2017, de acuerdo con los términos y condiciones de su emisión del prospecto del Programa de fecha 29 de diciembre de 2015 y del Suplemento de Precio de fecha 4 de enero de 2016, se procedió a abonar el primer servicio de intereses correspondiente al período comprendido entre el 13 de enero de 2016 y el 12 de enero de 2017 que ascendió a la suma de $ 22.405. La tasa correspondiente al período abonado fue del 29,7921%.</w:t>
      </w:r>
    </w:p>
    <w:p w14:paraId="2EBB654D"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6629F437"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Con fecha 15 de enero de 2018 se procedió a abonar el segundo servicio de intereses que ascendió a la suma de $ 18.499. La tasa correspondiente al período abonado fue del 24,6656%.</w:t>
      </w:r>
    </w:p>
    <w:p w14:paraId="728AD97D"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53C685BF" w14:textId="335AFF1F"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Por último, el 14 de enero de 2019 se procedió a abonar el tercer servicio de intereses que ascendió </w:t>
      </w:r>
      <w:r w:rsidR="009E49BA" w:rsidRPr="00092E33">
        <w:rPr>
          <w:rFonts w:ascii="Times New Roman" w:hAnsi="Times New Roman" w:cs="Times New Roman"/>
          <w:lang w:eastAsia="es-ES"/>
        </w:rPr>
        <w:t>a la</w:t>
      </w:r>
      <w:r w:rsidRPr="00092E33">
        <w:rPr>
          <w:rFonts w:ascii="Times New Roman" w:hAnsi="Times New Roman" w:cs="Times New Roman"/>
          <w:lang w:eastAsia="es-ES"/>
        </w:rPr>
        <w:t xml:space="preserve"> suma de $ 28.857. La tasa correspondiente al período abonado fue del 38,4772%.</w:t>
      </w:r>
    </w:p>
    <w:p w14:paraId="0205DB9D"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35C6C6BD"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Los accionistas de la Sociedad aprobaron en la asamblea general ordinaria del 17 de septiembre de 2019 una ampliación del monto del Programa Global de Emisión Obligaciones Negociables que fuera aprobado por el Directorio de la CNV a través de la Resolución </w:t>
      </w:r>
      <w:proofErr w:type="spellStart"/>
      <w:r w:rsidRPr="00092E33">
        <w:rPr>
          <w:rFonts w:ascii="Times New Roman" w:hAnsi="Times New Roman" w:cs="Times New Roman"/>
          <w:lang w:eastAsia="es-ES"/>
        </w:rPr>
        <w:t>N°</w:t>
      </w:r>
      <w:proofErr w:type="spellEnd"/>
      <w:r w:rsidRPr="00092E33">
        <w:rPr>
          <w:rFonts w:ascii="Times New Roman" w:hAnsi="Times New Roman" w:cs="Times New Roman"/>
          <w:lang w:eastAsia="es-ES"/>
        </w:rPr>
        <w:t xml:space="preserve"> 17.947, por la suma de $1.500.000 pasando de su monto actual de $500.000 (o su equivalente en otras monedas) a un monto de  hasta la suma de $2.000.000 (o su equivalente en otras monedas), delegando en el Directorio, entre otras facultades, la de determinar los términos y condiciones del Programa, de conformidad con el Aumento de Monto, y los demás términos y condiciones de las obligaciones negociables las “</w:t>
      </w:r>
      <w:proofErr w:type="spellStart"/>
      <w:r w:rsidRPr="00092E33">
        <w:rPr>
          <w:rFonts w:ascii="Times New Roman" w:hAnsi="Times New Roman" w:cs="Times New Roman"/>
          <w:lang w:eastAsia="es-ES"/>
        </w:rPr>
        <w:t>ONs</w:t>
      </w:r>
      <w:proofErr w:type="spellEnd"/>
      <w:r w:rsidRPr="00092E33">
        <w:rPr>
          <w:rFonts w:ascii="Times New Roman" w:hAnsi="Times New Roman" w:cs="Times New Roman"/>
          <w:lang w:eastAsia="es-ES"/>
        </w:rPr>
        <w:t>”</w:t>
      </w:r>
    </w:p>
    <w:p w14:paraId="25C31D0D"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493E44C7"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bookmarkStart w:id="12" w:name="_Hlk34409249"/>
      <w:r w:rsidRPr="00092E33">
        <w:rPr>
          <w:rFonts w:ascii="Times New Roman" w:hAnsi="Times New Roman" w:cs="Times New Roman"/>
          <w:lang w:eastAsia="es-ES"/>
        </w:rPr>
        <w:t xml:space="preserve">El Directorio de la Sociedad aprobó con fecha 11 de noviembre de 2019 la emisión de una clase de Obligaciones Negociables por hasta un valor nominal en miles de $ 175.000 (o su equivalente en otras monedas) en el marco del Programa Global de Emisión de Obligaciones Negociables mencionadas en el párrafo anterior. </w:t>
      </w:r>
    </w:p>
    <w:p w14:paraId="74E163F3"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05C4636F"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A su vez, con fecha 10 de diciembre de 2019 </w:t>
      </w:r>
      <w:proofErr w:type="spellStart"/>
      <w:r w:rsidRPr="00092E33">
        <w:rPr>
          <w:rFonts w:ascii="Times New Roman" w:hAnsi="Times New Roman" w:cs="Times New Roman"/>
          <w:lang w:eastAsia="es-ES"/>
        </w:rPr>
        <w:t>gST</w:t>
      </w:r>
      <w:proofErr w:type="spellEnd"/>
      <w:r w:rsidRPr="00092E33">
        <w:rPr>
          <w:rFonts w:ascii="Times New Roman" w:hAnsi="Times New Roman" w:cs="Times New Roman"/>
          <w:lang w:eastAsia="es-ES"/>
        </w:rPr>
        <w:t xml:space="preserve"> adquirió la totalidad de sus Obligaciones Negociables Clase 1 por recompra. En virtud de esto, la Sociedad solicitó a la Caja de Valores SA se proceda a la cancelación de Obligaciones Negociables Clase 1 por V/N de $ 75.000- por encontrarse en poder de la Sociedad. </w:t>
      </w:r>
    </w:p>
    <w:p w14:paraId="5A273A11"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2DEB867A"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Por lo expuesto, al cierre del ejercicio sólo se encontraba vigente la Obligación </w:t>
      </w:r>
      <w:proofErr w:type="gramStart"/>
      <w:r w:rsidRPr="00092E33">
        <w:rPr>
          <w:rFonts w:ascii="Times New Roman" w:hAnsi="Times New Roman" w:cs="Times New Roman"/>
          <w:lang w:eastAsia="es-ES"/>
        </w:rPr>
        <w:t>Negociable  Clase</w:t>
      </w:r>
      <w:proofErr w:type="gramEnd"/>
      <w:r w:rsidRPr="00092E33">
        <w:rPr>
          <w:rFonts w:ascii="Times New Roman" w:hAnsi="Times New Roman" w:cs="Times New Roman"/>
          <w:lang w:eastAsia="es-ES"/>
        </w:rPr>
        <w:t xml:space="preserve"> 2 por V/N 175.000- colocada el 10 de diciembre de 2019.</w:t>
      </w:r>
    </w:p>
    <w:bookmarkEnd w:id="6"/>
    <w:bookmarkEnd w:id="12"/>
    <w:p w14:paraId="7D6290E9"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rPr>
      </w:pPr>
    </w:p>
    <w:p w14:paraId="495E2AD0" w14:textId="77777777" w:rsidR="00F64523" w:rsidRPr="00092E33" w:rsidRDefault="00F64523" w:rsidP="00F64523">
      <w:pPr>
        <w:tabs>
          <w:tab w:val="left" w:pos="1080"/>
          <w:tab w:val="left" w:pos="2340"/>
        </w:tabs>
        <w:spacing w:after="0" w:line="200" w:lineRule="exact"/>
        <w:ind w:left="426" w:hanging="426"/>
        <w:jc w:val="both"/>
        <w:rPr>
          <w:rFonts w:ascii="Times New Roman" w:hAnsi="Times New Roman" w:cs="Times New Roman"/>
          <w:b/>
        </w:rPr>
      </w:pPr>
      <w:r w:rsidRPr="00092E33">
        <w:rPr>
          <w:rFonts w:ascii="Times New Roman" w:hAnsi="Times New Roman" w:cs="Times New Roman"/>
          <w:b/>
        </w:rPr>
        <w:t>5 –</w:t>
      </w:r>
      <w:r w:rsidRPr="00092E33">
        <w:rPr>
          <w:rFonts w:ascii="Times New Roman" w:hAnsi="Times New Roman" w:cs="Times New Roman"/>
          <w:b/>
        </w:rPr>
        <w:tab/>
        <w:t>ESTRUCTURAS PATRIMONIALES, FINANCIERAS Y DE RESULTADOS, COMPARATIVAS (</w:t>
      </w:r>
      <w:r w:rsidRPr="00092E33">
        <w:rPr>
          <w:rFonts w:ascii="Times New Roman" w:hAnsi="Times New Roman" w:cs="Times New Roman"/>
          <w:b/>
          <w:u w:val="single"/>
        </w:rPr>
        <w:t>en miles de pesos</w:t>
      </w:r>
      <w:r w:rsidRPr="00092E33">
        <w:rPr>
          <w:rFonts w:ascii="Times New Roman" w:hAnsi="Times New Roman" w:cs="Times New Roman"/>
          <w:b/>
        </w:rPr>
        <w:t>).</w:t>
      </w:r>
    </w:p>
    <w:p w14:paraId="3C9D4441"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78505185"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La Sociedad, en virtud, de estar encuadrada dentro del Art. 2 – Sección I – Capítulo I del Título IV: Régimen Informativo Periódico de las Normas de la CNV, y debido a que debe consolidar sus estados financieros con el Banco de Servicios y Transacciones S.A.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y/o la “Sociedad”) que es, además, su principal activo, presenta sus estados financieros de acuerdo con las normas de valuación y exposición del BCRA que establecen que las entidades bajo su supervisión presenten estados financieros preparados de acuerdo las NIIF, excepto por la excepción transitoria de la aplicación del modelo de deterioro de la sección 5.5 “Deterioro de valor” de la NIIF 9 “Instrumentos financieros”</w:t>
      </w:r>
      <w:r w:rsidRPr="00092E33">
        <w:rPr>
          <w:rFonts w:ascii="Times New Roman" w:hAnsi="Times New Roman" w:cs="Times New Roman"/>
        </w:rPr>
        <w:t xml:space="preserve"> y de la Norma Internacional de Contabilidad </w:t>
      </w:r>
      <w:proofErr w:type="spellStart"/>
      <w:r w:rsidRPr="00092E33">
        <w:rPr>
          <w:rFonts w:ascii="Times New Roman" w:hAnsi="Times New Roman" w:cs="Times New Roman"/>
        </w:rPr>
        <w:t>N°</w:t>
      </w:r>
      <w:proofErr w:type="spellEnd"/>
      <w:r w:rsidRPr="00092E33">
        <w:rPr>
          <w:rFonts w:ascii="Times New Roman" w:hAnsi="Times New Roman" w:cs="Times New Roman"/>
        </w:rPr>
        <w:t xml:space="preserve"> 29 (NIC 29) “Información financiera en economías hiperinflacionarias” que serán aplicables para los ejercicios económicos que se inicien a partir de 1° de enero de 2020.</w:t>
      </w:r>
    </w:p>
    <w:p w14:paraId="3C544856"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b/>
        </w:rPr>
      </w:pPr>
    </w:p>
    <w:p w14:paraId="0867F02D" w14:textId="77777777" w:rsidR="00F64523" w:rsidRPr="00092E33" w:rsidRDefault="00F64523" w:rsidP="00F64523">
      <w:pPr>
        <w:pStyle w:val="Prrafodelista"/>
        <w:numPr>
          <w:ilvl w:val="0"/>
          <w:numId w:val="1"/>
        </w:numPr>
        <w:tabs>
          <w:tab w:val="left" w:pos="1080"/>
          <w:tab w:val="left" w:pos="2340"/>
        </w:tabs>
        <w:spacing w:line="200" w:lineRule="exact"/>
        <w:rPr>
          <w:rFonts w:ascii="Times New Roman" w:hAnsi="Times New Roman" w:cs="Times New Roman"/>
          <w:b/>
          <w:sz w:val="22"/>
          <w:szCs w:val="22"/>
        </w:rPr>
      </w:pPr>
      <w:r w:rsidRPr="00092E33">
        <w:rPr>
          <w:rFonts w:ascii="Times New Roman" w:hAnsi="Times New Roman" w:cs="Times New Roman"/>
          <w:b/>
          <w:sz w:val="22"/>
          <w:szCs w:val="22"/>
        </w:rPr>
        <w:t>Estados Financieros Separados</w:t>
      </w:r>
    </w:p>
    <w:p w14:paraId="1675952A" w14:textId="77777777" w:rsidR="00F64523" w:rsidRPr="00092E33" w:rsidRDefault="00F64523" w:rsidP="00F64523">
      <w:pPr>
        <w:pStyle w:val="Prrafodelista"/>
        <w:tabs>
          <w:tab w:val="left" w:pos="1080"/>
          <w:tab w:val="left" w:pos="2340"/>
        </w:tabs>
        <w:spacing w:line="200" w:lineRule="exact"/>
        <w:rPr>
          <w:rFonts w:ascii="Times New Roman" w:hAnsi="Times New Roman" w:cs="Times New Roman"/>
          <w:b/>
          <w:sz w:val="22"/>
          <w:szCs w:val="22"/>
        </w:rPr>
      </w:pPr>
    </w:p>
    <w:p w14:paraId="37E8232E"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lang w:eastAsia="es-ES"/>
        </w:rPr>
      </w:pPr>
      <w:r w:rsidRPr="00092E33">
        <w:rPr>
          <w:rFonts w:ascii="Times New Roman" w:hAnsi="Times New Roman" w:cs="Times New Roman"/>
        </w:rPr>
        <w:t>El Activo total de la Compañía al 31/12/2019 asciende a $ 828.146 lo que representa un aumento de $ 375.021 respecto del cierre del ejercicio anterior.</w:t>
      </w:r>
      <w:r w:rsidRPr="00092E33">
        <w:rPr>
          <w:rFonts w:ascii="Times New Roman" w:hAnsi="Times New Roman" w:cs="Times New Roman"/>
          <w:lang w:eastAsia="es-ES"/>
        </w:rPr>
        <w:t xml:space="preserve"> Esta variación fue originada principalmente por un incremento de las inversiones de la Compañía.</w:t>
      </w:r>
    </w:p>
    <w:p w14:paraId="5F9A7B05"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446E4A74" w14:textId="4A7FB910"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Este aumento en el activo fue acompañado por un aumento del pasivo que implicó un aumento de $ 6.784 respecto del ejercicio anterior pasando de $ 317.752 al cierre del ejercicio anterior a $ 324.536 al cierre del presente ejercicio debido principalmente a la emisión de las Obligaciones Negociables.</w:t>
      </w:r>
      <w:r w:rsidRPr="00092E33" w:rsidDel="00EE69FF">
        <w:rPr>
          <w:rFonts w:ascii="Times New Roman" w:hAnsi="Times New Roman" w:cs="Times New Roman"/>
          <w:lang w:eastAsia="es-ES"/>
        </w:rPr>
        <w:t xml:space="preserve"> </w:t>
      </w:r>
    </w:p>
    <w:p w14:paraId="20EB6F2F" w14:textId="031525C9"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562B2399" w14:textId="77777777" w:rsidR="00F64523" w:rsidRPr="00092E33" w:rsidRDefault="00F64523" w:rsidP="00F64523">
      <w:pPr>
        <w:spacing w:after="0" w:line="200" w:lineRule="exact"/>
        <w:jc w:val="both"/>
        <w:rPr>
          <w:rFonts w:ascii="Times New Roman" w:hAnsi="Times New Roman" w:cs="Times New Roman"/>
        </w:rPr>
      </w:pPr>
    </w:p>
    <w:tbl>
      <w:tblPr>
        <w:tblW w:w="9641" w:type="dxa"/>
        <w:jc w:val="center"/>
        <w:tblCellMar>
          <w:left w:w="70" w:type="dxa"/>
          <w:right w:w="70" w:type="dxa"/>
        </w:tblCellMar>
        <w:tblLook w:val="04A0" w:firstRow="1" w:lastRow="0" w:firstColumn="1" w:lastColumn="0" w:noHBand="0" w:noVBand="1"/>
      </w:tblPr>
      <w:tblGrid>
        <w:gridCol w:w="3416"/>
        <w:gridCol w:w="2074"/>
        <w:gridCol w:w="2074"/>
        <w:gridCol w:w="2077"/>
      </w:tblGrid>
      <w:tr w:rsidR="00F64523" w:rsidRPr="00092E33" w14:paraId="66B76BBF" w14:textId="77777777" w:rsidTr="004024A0">
        <w:trPr>
          <w:trHeight w:val="310"/>
          <w:jc w:val="center"/>
        </w:trPr>
        <w:tc>
          <w:tcPr>
            <w:tcW w:w="9641" w:type="dxa"/>
            <w:gridSpan w:val="4"/>
            <w:tcBorders>
              <w:top w:val="nil"/>
              <w:left w:val="nil"/>
              <w:bottom w:val="nil"/>
              <w:right w:val="nil"/>
            </w:tcBorders>
            <w:shd w:val="clear" w:color="000000" w:fill="FFFFFF"/>
            <w:noWrap/>
            <w:vAlign w:val="center"/>
            <w:hideMark/>
          </w:tcPr>
          <w:p w14:paraId="50018E28"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ESTADOS DE SITUACION FINANCIERA SEPARADOS</w:t>
            </w:r>
          </w:p>
        </w:tc>
      </w:tr>
      <w:tr w:rsidR="00F64523" w:rsidRPr="00092E33" w14:paraId="0896DE4B" w14:textId="77777777" w:rsidTr="004024A0">
        <w:trPr>
          <w:trHeight w:val="310"/>
          <w:jc w:val="center"/>
        </w:trPr>
        <w:tc>
          <w:tcPr>
            <w:tcW w:w="9641" w:type="dxa"/>
            <w:gridSpan w:val="4"/>
            <w:tcBorders>
              <w:top w:val="nil"/>
              <w:left w:val="nil"/>
              <w:bottom w:val="nil"/>
              <w:right w:val="nil"/>
            </w:tcBorders>
            <w:shd w:val="clear" w:color="000000" w:fill="FFFFFF"/>
            <w:noWrap/>
            <w:vAlign w:val="center"/>
            <w:hideMark/>
          </w:tcPr>
          <w:p w14:paraId="25AD68B6"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Cifras expresadas en miles de pesos</w:t>
            </w:r>
          </w:p>
        </w:tc>
      </w:tr>
      <w:tr w:rsidR="00F64523" w:rsidRPr="00092E33" w14:paraId="0566E7E5" w14:textId="77777777" w:rsidTr="004024A0">
        <w:trPr>
          <w:trHeight w:val="310"/>
          <w:jc w:val="center"/>
        </w:trPr>
        <w:tc>
          <w:tcPr>
            <w:tcW w:w="3416" w:type="dxa"/>
            <w:tcBorders>
              <w:top w:val="nil"/>
              <w:left w:val="nil"/>
              <w:bottom w:val="nil"/>
              <w:right w:val="nil"/>
            </w:tcBorders>
            <w:shd w:val="clear" w:color="000000" w:fill="FFFFFF"/>
            <w:noWrap/>
            <w:vAlign w:val="center"/>
            <w:hideMark/>
          </w:tcPr>
          <w:p w14:paraId="1EDAA45C"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 </w:t>
            </w:r>
          </w:p>
        </w:tc>
        <w:tc>
          <w:tcPr>
            <w:tcW w:w="2074" w:type="dxa"/>
            <w:tcBorders>
              <w:top w:val="nil"/>
              <w:left w:val="nil"/>
              <w:bottom w:val="nil"/>
              <w:right w:val="nil"/>
            </w:tcBorders>
            <w:shd w:val="clear" w:color="000000" w:fill="FFFFFF"/>
            <w:noWrap/>
            <w:vAlign w:val="center"/>
            <w:hideMark/>
          </w:tcPr>
          <w:p w14:paraId="44E03157"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 </w:t>
            </w:r>
          </w:p>
        </w:tc>
        <w:tc>
          <w:tcPr>
            <w:tcW w:w="2074" w:type="dxa"/>
            <w:tcBorders>
              <w:top w:val="nil"/>
              <w:left w:val="nil"/>
              <w:bottom w:val="nil"/>
              <w:right w:val="nil"/>
            </w:tcBorders>
            <w:shd w:val="clear" w:color="000000" w:fill="FFFFFF"/>
            <w:noWrap/>
            <w:vAlign w:val="center"/>
            <w:hideMark/>
          </w:tcPr>
          <w:p w14:paraId="67D1C13A"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 </w:t>
            </w:r>
          </w:p>
        </w:tc>
        <w:tc>
          <w:tcPr>
            <w:tcW w:w="2074" w:type="dxa"/>
            <w:tcBorders>
              <w:top w:val="nil"/>
              <w:left w:val="nil"/>
              <w:bottom w:val="nil"/>
              <w:right w:val="nil"/>
            </w:tcBorders>
            <w:shd w:val="clear" w:color="000000" w:fill="FFFFFF"/>
            <w:noWrap/>
            <w:vAlign w:val="center"/>
            <w:hideMark/>
          </w:tcPr>
          <w:p w14:paraId="74EEBA1D"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 </w:t>
            </w:r>
          </w:p>
        </w:tc>
      </w:tr>
      <w:tr w:rsidR="00F64523" w:rsidRPr="00092E33" w14:paraId="42EEFAE7" w14:textId="77777777" w:rsidTr="004024A0">
        <w:trPr>
          <w:trHeight w:val="310"/>
          <w:jc w:val="center"/>
        </w:trPr>
        <w:tc>
          <w:tcPr>
            <w:tcW w:w="3416" w:type="dxa"/>
            <w:tcBorders>
              <w:top w:val="nil"/>
              <w:left w:val="nil"/>
              <w:bottom w:val="nil"/>
              <w:right w:val="nil"/>
            </w:tcBorders>
            <w:shd w:val="clear" w:color="000000" w:fill="FFFFFF"/>
            <w:noWrap/>
            <w:vAlign w:val="center"/>
            <w:hideMark/>
          </w:tcPr>
          <w:p w14:paraId="57DAEB52"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 </w:t>
            </w:r>
          </w:p>
        </w:tc>
        <w:tc>
          <w:tcPr>
            <w:tcW w:w="2074" w:type="dxa"/>
            <w:tcBorders>
              <w:top w:val="nil"/>
              <w:left w:val="nil"/>
              <w:bottom w:val="nil"/>
              <w:right w:val="nil"/>
            </w:tcBorders>
            <w:shd w:val="clear" w:color="000000" w:fill="FFFFFF"/>
            <w:noWrap/>
            <w:vAlign w:val="center"/>
            <w:hideMark/>
          </w:tcPr>
          <w:p w14:paraId="04828C4C" w14:textId="77777777" w:rsidR="00F64523" w:rsidRPr="00092E33" w:rsidRDefault="00F64523" w:rsidP="00F64523">
            <w:pPr>
              <w:spacing w:after="0"/>
              <w:jc w:val="both"/>
              <w:rPr>
                <w:rFonts w:ascii="Times New Roman" w:hAnsi="Times New Roman" w:cs="Times New Roman"/>
                <w:b/>
                <w:bCs/>
                <w:u w:val="single"/>
                <w:lang w:eastAsia="es-AR"/>
              </w:rPr>
            </w:pPr>
            <w:r w:rsidRPr="00092E33">
              <w:rPr>
                <w:rFonts w:ascii="Times New Roman" w:hAnsi="Times New Roman" w:cs="Times New Roman"/>
                <w:b/>
                <w:bCs/>
                <w:u w:val="single"/>
                <w:lang w:eastAsia="es-AR"/>
              </w:rPr>
              <w:t>31/12/2019</w:t>
            </w:r>
          </w:p>
        </w:tc>
        <w:tc>
          <w:tcPr>
            <w:tcW w:w="2074" w:type="dxa"/>
            <w:tcBorders>
              <w:top w:val="nil"/>
              <w:left w:val="nil"/>
              <w:bottom w:val="nil"/>
              <w:right w:val="nil"/>
            </w:tcBorders>
            <w:shd w:val="clear" w:color="000000" w:fill="FFFFFF"/>
            <w:noWrap/>
            <w:vAlign w:val="center"/>
            <w:hideMark/>
          </w:tcPr>
          <w:p w14:paraId="1F4CFB7B" w14:textId="77777777" w:rsidR="00F64523" w:rsidRPr="00092E33" w:rsidRDefault="00F64523" w:rsidP="00F64523">
            <w:pPr>
              <w:spacing w:after="0"/>
              <w:jc w:val="both"/>
              <w:rPr>
                <w:rFonts w:ascii="Times New Roman" w:hAnsi="Times New Roman" w:cs="Times New Roman"/>
                <w:b/>
                <w:bCs/>
                <w:u w:val="single"/>
                <w:lang w:eastAsia="es-AR"/>
              </w:rPr>
            </w:pPr>
            <w:r w:rsidRPr="00092E33">
              <w:rPr>
                <w:rFonts w:ascii="Times New Roman" w:hAnsi="Times New Roman" w:cs="Times New Roman"/>
                <w:b/>
                <w:bCs/>
                <w:u w:val="single"/>
                <w:lang w:eastAsia="es-AR"/>
              </w:rPr>
              <w:t>31/12/2018</w:t>
            </w:r>
          </w:p>
        </w:tc>
        <w:tc>
          <w:tcPr>
            <w:tcW w:w="2074" w:type="dxa"/>
            <w:tcBorders>
              <w:top w:val="nil"/>
              <w:left w:val="nil"/>
              <w:bottom w:val="nil"/>
              <w:right w:val="nil"/>
            </w:tcBorders>
            <w:shd w:val="clear" w:color="000000" w:fill="FFFFFF"/>
            <w:noWrap/>
            <w:vAlign w:val="center"/>
            <w:hideMark/>
          </w:tcPr>
          <w:p w14:paraId="6758562D" w14:textId="77777777" w:rsidR="00F64523" w:rsidRPr="00092E33" w:rsidRDefault="00F64523" w:rsidP="00F64523">
            <w:pPr>
              <w:spacing w:after="0"/>
              <w:jc w:val="both"/>
              <w:rPr>
                <w:rFonts w:ascii="Times New Roman" w:hAnsi="Times New Roman" w:cs="Times New Roman"/>
                <w:b/>
                <w:bCs/>
                <w:u w:val="single"/>
                <w:lang w:eastAsia="es-AR"/>
              </w:rPr>
            </w:pPr>
            <w:r w:rsidRPr="00092E33">
              <w:rPr>
                <w:rFonts w:ascii="Times New Roman" w:hAnsi="Times New Roman" w:cs="Times New Roman"/>
                <w:b/>
                <w:bCs/>
                <w:u w:val="single"/>
                <w:lang w:eastAsia="es-AR"/>
              </w:rPr>
              <w:t>31/12/2017</w:t>
            </w:r>
          </w:p>
        </w:tc>
      </w:tr>
      <w:tr w:rsidR="00F64523" w:rsidRPr="00092E33" w14:paraId="121F8F9A" w14:textId="77777777" w:rsidTr="004024A0">
        <w:trPr>
          <w:trHeight w:val="310"/>
          <w:jc w:val="center"/>
        </w:trPr>
        <w:tc>
          <w:tcPr>
            <w:tcW w:w="3416" w:type="dxa"/>
            <w:tcBorders>
              <w:top w:val="nil"/>
              <w:left w:val="nil"/>
              <w:bottom w:val="nil"/>
              <w:right w:val="nil"/>
            </w:tcBorders>
            <w:shd w:val="clear" w:color="000000" w:fill="FFFFFF"/>
            <w:noWrap/>
            <w:vAlign w:val="center"/>
            <w:hideMark/>
          </w:tcPr>
          <w:p w14:paraId="651C41BD"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 </w:t>
            </w:r>
          </w:p>
        </w:tc>
        <w:tc>
          <w:tcPr>
            <w:tcW w:w="2074" w:type="dxa"/>
            <w:tcBorders>
              <w:top w:val="nil"/>
              <w:left w:val="nil"/>
              <w:bottom w:val="nil"/>
              <w:right w:val="nil"/>
            </w:tcBorders>
            <w:shd w:val="clear" w:color="000000" w:fill="FFFFFF"/>
            <w:noWrap/>
            <w:vAlign w:val="center"/>
            <w:hideMark/>
          </w:tcPr>
          <w:p w14:paraId="0812D6FD"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 </w:t>
            </w:r>
          </w:p>
        </w:tc>
        <w:tc>
          <w:tcPr>
            <w:tcW w:w="2074" w:type="dxa"/>
            <w:tcBorders>
              <w:top w:val="nil"/>
              <w:left w:val="nil"/>
              <w:bottom w:val="nil"/>
              <w:right w:val="nil"/>
            </w:tcBorders>
            <w:shd w:val="clear" w:color="000000" w:fill="FFFFFF"/>
            <w:noWrap/>
            <w:vAlign w:val="center"/>
            <w:hideMark/>
          </w:tcPr>
          <w:p w14:paraId="55CE6DE4"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 </w:t>
            </w:r>
          </w:p>
        </w:tc>
        <w:tc>
          <w:tcPr>
            <w:tcW w:w="2074" w:type="dxa"/>
            <w:tcBorders>
              <w:top w:val="nil"/>
              <w:left w:val="nil"/>
              <w:bottom w:val="nil"/>
              <w:right w:val="nil"/>
            </w:tcBorders>
            <w:shd w:val="clear" w:color="000000" w:fill="FFFFFF"/>
            <w:noWrap/>
            <w:vAlign w:val="center"/>
            <w:hideMark/>
          </w:tcPr>
          <w:p w14:paraId="6B5AB6B1"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 </w:t>
            </w:r>
          </w:p>
        </w:tc>
      </w:tr>
      <w:tr w:rsidR="00F64523" w:rsidRPr="00092E33" w14:paraId="0AB3F17C" w14:textId="77777777" w:rsidTr="004024A0">
        <w:trPr>
          <w:trHeight w:val="310"/>
          <w:jc w:val="center"/>
        </w:trPr>
        <w:tc>
          <w:tcPr>
            <w:tcW w:w="3416" w:type="dxa"/>
            <w:tcBorders>
              <w:top w:val="nil"/>
              <w:left w:val="nil"/>
              <w:bottom w:val="nil"/>
              <w:right w:val="nil"/>
            </w:tcBorders>
            <w:shd w:val="clear" w:color="000000" w:fill="FFFFFF"/>
            <w:noWrap/>
            <w:vAlign w:val="center"/>
            <w:hideMark/>
          </w:tcPr>
          <w:p w14:paraId="5FD4BE9E"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Activo Corriente</w:t>
            </w:r>
          </w:p>
        </w:tc>
        <w:tc>
          <w:tcPr>
            <w:tcW w:w="2074" w:type="dxa"/>
            <w:tcBorders>
              <w:top w:val="nil"/>
              <w:left w:val="nil"/>
              <w:bottom w:val="nil"/>
              <w:right w:val="nil"/>
            </w:tcBorders>
            <w:shd w:val="clear" w:color="000000" w:fill="FFFFFF"/>
            <w:noWrap/>
            <w:vAlign w:val="center"/>
            <w:hideMark/>
          </w:tcPr>
          <w:p w14:paraId="7FA18BA9"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305.085</w:t>
            </w:r>
          </w:p>
        </w:tc>
        <w:tc>
          <w:tcPr>
            <w:tcW w:w="2074" w:type="dxa"/>
            <w:tcBorders>
              <w:top w:val="nil"/>
              <w:left w:val="nil"/>
              <w:bottom w:val="nil"/>
              <w:right w:val="nil"/>
            </w:tcBorders>
            <w:shd w:val="clear" w:color="000000" w:fill="FFFFFF"/>
            <w:noWrap/>
            <w:vAlign w:val="center"/>
            <w:hideMark/>
          </w:tcPr>
          <w:p w14:paraId="7377D18C"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59.983</w:t>
            </w:r>
          </w:p>
        </w:tc>
        <w:tc>
          <w:tcPr>
            <w:tcW w:w="2074" w:type="dxa"/>
            <w:tcBorders>
              <w:top w:val="nil"/>
              <w:left w:val="nil"/>
              <w:bottom w:val="nil"/>
              <w:right w:val="nil"/>
            </w:tcBorders>
            <w:shd w:val="clear" w:color="000000" w:fill="FFFFFF"/>
            <w:noWrap/>
            <w:vAlign w:val="center"/>
            <w:hideMark/>
          </w:tcPr>
          <w:p w14:paraId="56AECB23"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5.041</w:t>
            </w:r>
          </w:p>
        </w:tc>
      </w:tr>
      <w:tr w:rsidR="00F64523" w:rsidRPr="00092E33" w14:paraId="42E13918" w14:textId="77777777" w:rsidTr="004024A0">
        <w:trPr>
          <w:trHeight w:val="372"/>
          <w:jc w:val="center"/>
        </w:trPr>
        <w:tc>
          <w:tcPr>
            <w:tcW w:w="3416" w:type="dxa"/>
            <w:tcBorders>
              <w:top w:val="nil"/>
              <w:left w:val="nil"/>
              <w:bottom w:val="nil"/>
              <w:right w:val="nil"/>
            </w:tcBorders>
            <w:shd w:val="clear" w:color="000000" w:fill="FFFFFF"/>
            <w:noWrap/>
            <w:vAlign w:val="center"/>
            <w:hideMark/>
          </w:tcPr>
          <w:p w14:paraId="3443C783"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Activo No Corriente</w:t>
            </w:r>
          </w:p>
        </w:tc>
        <w:tc>
          <w:tcPr>
            <w:tcW w:w="2074" w:type="dxa"/>
            <w:tcBorders>
              <w:top w:val="nil"/>
              <w:left w:val="nil"/>
              <w:bottom w:val="nil"/>
              <w:right w:val="nil"/>
            </w:tcBorders>
            <w:shd w:val="clear" w:color="000000" w:fill="FFFFFF"/>
            <w:noWrap/>
            <w:vAlign w:val="center"/>
            <w:hideMark/>
          </w:tcPr>
          <w:p w14:paraId="2749BF8A" w14:textId="77777777" w:rsidR="00F64523" w:rsidRPr="00092E33" w:rsidRDefault="00F64523" w:rsidP="00F64523">
            <w:pPr>
              <w:spacing w:after="0"/>
              <w:jc w:val="both"/>
              <w:rPr>
                <w:rFonts w:ascii="Times New Roman" w:hAnsi="Times New Roman" w:cs="Times New Roman"/>
                <w:u w:val="single"/>
                <w:lang w:eastAsia="es-AR"/>
              </w:rPr>
            </w:pPr>
            <w:r w:rsidRPr="00092E33">
              <w:rPr>
                <w:rFonts w:ascii="Times New Roman" w:hAnsi="Times New Roman" w:cs="Times New Roman"/>
                <w:u w:val="single"/>
                <w:lang w:eastAsia="es-AR"/>
              </w:rPr>
              <w:t>523.061</w:t>
            </w:r>
          </w:p>
        </w:tc>
        <w:tc>
          <w:tcPr>
            <w:tcW w:w="2074" w:type="dxa"/>
            <w:tcBorders>
              <w:top w:val="nil"/>
              <w:left w:val="nil"/>
              <w:bottom w:val="nil"/>
              <w:right w:val="nil"/>
            </w:tcBorders>
            <w:shd w:val="clear" w:color="000000" w:fill="FFFFFF"/>
            <w:noWrap/>
            <w:vAlign w:val="center"/>
            <w:hideMark/>
          </w:tcPr>
          <w:p w14:paraId="5345C788" w14:textId="77777777" w:rsidR="00F64523" w:rsidRPr="00092E33" w:rsidRDefault="00F64523" w:rsidP="00F64523">
            <w:pPr>
              <w:spacing w:after="0"/>
              <w:jc w:val="both"/>
              <w:rPr>
                <w:rFonts w:ascii="Times New Roman" w:hAnsi="Times New Roman" w:cs="Times New Roman"/>
                <w:u w:val="single"/>
                <w:lang w:eastAsia="es-AR"/>
              </w:rPr>
            </w:pPr>
            <w:r w:rsidRPr="00092E33">
              <w:rPr>
                <w:rFonts w:ascii="Times New Roman" w:hAnsi="Times New Roman" w:cs="Times New Roman"/>
                <w:u w:val="single"/>
                <w:lang w:eastAsia="es-AR"/>
              </w:rPr>
              <w:t>393.142</w:t>
            </w:r>
          </w:p>
        </w:tc>
        <w:tc>
          <w:tcPr>
            <w:tcW w:w="2074" w:type="dxa"/>
            <w:tcBorders>
              <w:top w:val="nil"/>
              <w:left w:val="nil"/>
              <w:bottom w:val="nil"/>
              <w:right w:val="nil"/>
            </w:tcBorders>
            <w:shd w:val="clear" w:color="000000" w:fill="FFFFFF"/>
            <w:noWrap/>
            <w:vAlign w:val="center"/>
            <w:hideMark/>
          </w:tcPr>
          <w:p w14:paraId="3704814D" w14:textId="77777777" w:rsidR="00F64523" w:rsidRPr="00092E33" w:rsidRDefault="00F64523" w:rsidP="00F64523">
            <w:pPr>
              <w:spacing w:after="0"/>
              <w:jc w:val="both"/>
              <w:rPr>
                <w:rFonts w:ascii="Times New Roman" w:hAnsi="Times New Roman" w:cs="Times New Roman"/>
                <w:u w:val="single"/>
                <w:lang w:eastAsia="es-AR"/>
              </w:rPr>
            </w:pPr>
            <w:r w:rsidRPr="00092E33">
              <w:rPr>
                <w:rFonts w:ascii="Times New Roman" w:hAnsi="Times New Roman" w:cs="Times New Roman"/>
                <w:u w:val="single"/>
                <w:lang w:eastAsia="es-AR"/>
              </w:rPr>
              <w:t>314.777</w:t>
            </w:r>
          </w:p>
        </w:tc>
      </w:tr>
      <w:tr w:rsidR="00F64523" w:rsidRPr="00092E33" w14:paraId="6FB8CA33" w14:textId="77777777" w:rsidTr="004024A0">
        <w:trPr>
          <w:trHeight w:val="326"/>
          <w:jc w:val="center"/>
        </w:trPr>
        <w:tc>
          <w:tcPr>
            <w:tcW w:w="3416" w:type="dxa"/>
            <w:tcBorders>
              <w:top w:val="nil"/>
              <w:left w:val="nil"/>
              <w:bottom w:val="nil"/>
              <w:right w:val="nil"/>
            </w:tcBorders>
            <w:shd w:val="clear" w:color="000000" w:fill="FFFFFF"/>
            <w:noWrap/>
            <w:vAlign w:val="center"/>
            <w:hideMark/>
          </w:tcPr>
          <w:p w14:paraId="55582A8E" w14:textId="77777777" w:rsidR="00F64523" w:rsidRPr="00092E33" w:rsidRDefault="00F64523" w:rsidP="00F64523">
            <w:pPr>
              <w:spacing w:after="0"/>
              <w:jc w:val="both"/>
              <w:rPr>
                <w:rFonts w:ascii="Times New Roman" w:hAnsi="Times New Roman" w:cs="Times New Roman"/>
                <w:b/>
                <w:bCs/>
                <w:lang w:eastAsia="es-AR"/>
              </w:rPr>
            </w:pPr>
            <w:proofErr w:type="gramStart"/>
            <w:r w:rsidRPr="00092E33">
              <w:rPr>
                <w:rFonts w:ascii="Times New Roman" w:hAnsi="Times New Roman" w:cs="Times New Roman"/>
                <w:b/>
                <w:bCs/>
                <w:lang w:eastAsia="es-AR"/>
              </w:rPr>
              <w:lastRenderedPageBreak/>
              <w:t>Total</w:t>
            </w:r>
            <w:proofErr w:type="gramEnd"/>
            <w:r w:rsidRPr="00092E33">
              <w:rPr>
                <w:rFonts w:ascii="Times New Roman" w:hAnsi="Times New Roman" w:cs="Times New Roman"/>
                <w:b/>
                <w:bCs/>
                <w:lang w:eastAsia="es-AR"/>
              </w:rPr>
              <w:t xml:space="preserve"> Activo</w:t>
            </w:r>
          </w:p>
        </w:tc>
        <w:tc>
          <w:tcPr>
            <w:tcW w:w="2074" w:type="dxa"/>
            <w:tcBorders>
              <w:top w:val="nil"/>
              <w:left w:val="nil"/>
              <w:bottom w:val="nil"/>
              <w:right w:val="nil"/>
            </w:tcBorders>
            <w:shd w:val="clear" w:color="000000" w:fill="FFFFFF"/>
            <w:noWrap/>
            <w:vAlign w:val="center"/>
            <w:hideMark/>
          </w:tcPr>
          <w:p w14:paraId="32656573"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828.146</w:t>
            </w:r>
          </w:p>
        </w:tc>
        <w:tc>
          <w:tcPr>
            <w:tcW w:w="2074" w:type="dxa"/>
            <w:tcBorders>
              <w:top w:val="nil"/>
              <w:left w:val="nil"/>
              <w:bottom w:val="nil"/>
              <w:right w:val="nil"/>
            </w:tcBorders>
            <w:shd w:val="clear" w:color="000000" w:fill="FFFFFF"/>
            <w:noWrap/>
            <w:vAlign w:val="center"/>
            <w:hideMark/>
          </w:tcPr>
          <w:p w14:paraId="76F1BAC6"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453.125</w:t>
            </w:r>
          </w:p>
        </w:tc>
        <w:tc>
          <w:tcPr>
            <w:tcW w:w="2074" w:type="dxa"/>
            <w:tcBorders>
              <w:top w:val="nil"/>
              <w:left w:val="nil"/>
              <w:bottom w:val="nil"/>
              <w:right w:val="nil"/>
            </w:tcBorders>
            <w:shd w:val="clear" w:color="000000" w:fill="FFFFFF"/>
            <w:noWrap/>
            <w:vAlign w:val="center"/>
            <w:hideMark/>
          </w:tcPr>
          <w:p w14:paraId="32974181"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319.818</w:t>
            </w:r>
          </w:p>
        </w:tc>
      </w:tr>
      <w:tr w:rsidR="00F64523" w:rsidRPr="00092E33" w14:paraId="07FC2100" w14:textId="77777777" w:rsidTr="004024A0">
        <w:trPr>
          <w:trHeight w:val="310"/>
          <w:jc w:val="center"/>
        </w:trPr>
        <w:tc>
          <w:tcPr>
            <w:tcW w:w="3416" w:type="dxa"/>
            <w:tcBorders>
              <w:top w:val="nil"/>
              <w:left w:val="nil"/>
              <w:bottom w:val="nil"/>
              <w:right w:val="nil"/>
            </w:tcBorders>
            <w:shd w:val="clear" w:color="000000" w:fill="FFFFFF"/>
            <w:noWrap/>
            <w:vAlign w:val="center"/>
            <w:hideMark/>
          </w:tcPr>
          <w:p w14:paraId="1F320CA7"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 </w:t>
            </w:r>
          </w:p>
        </w:tc>
        <w:tc>
          <w:tcPr>
            <w:tcW w:w="2074" w:type="dxa"/>
            <w:tcBorders>
              <w:top w:val="nil"/>
              <w:left w:val="nil"/>
              <w:bottom w:val="nil"/>
              <w:right w:val="nil"/>
            </w:tcBorders>
            <w:shd w:val="clear" w:color="000000" w:fill="FFFFFF"/>
            <w:noWrap/>
            <w:vAlign w:val="center"/>
            <w:hideMark/>
          </w:tcPr>
          <w:p w14:paraId="5E1C1B89" w14:textId="77777777" w:rsidR="00F64523" w:rsidRPr="00092E33" w:rsidRDefault="00F64523" w:rsidP="00F64523">
            <w:pPr>
              <w:spacing w:after="0"/>
              <w:jc w:val="both"/>
              <w:rPr>
                <w:rFonts w:ascii="Times New Roman" w:hAnsi="Times New Roman" w:cs="Times New Roman"/>
                <w:lang w:eastAsia="es-AR"/>
              </w:rPr>
            </w:pPr>
          </w:p>
        </w:tc>
        <w:tc>
          <w:tcPr>
            <w:tcW w:w="2074" w:type="dxa"/>
            <w:tcBorders>
              <w:top w:val="nil"/>
              <w:left w:val="nil"/>
              <w:bottom w:val="nil"/>
              <w:right w:val="nil"/>
            </w:tcBorders>
            <w:shd w:val="clear" w:color="000000" w:fill="FFFFFF"/>
            <w:noWrap/>
            <w:vAlign w:val="center"/>
            <w:hideMark/>
          </w:tcPr>
          <w:p w14:paraId="775951CC" w14:textId="77777777" w:rsidR="00F64523" w:rsidRPr="00092E33" w:rsidRDefault="00F64523" w:rsidP="00F64523">
            <w:pPr>
              <w:spacing w:after="0"/>
              <w:jc w:val="both"/>
              <w:rPr>
                <w:rFonts w:ascii="Times New Roman" w:hAnsi="Times New Roman" w:cs="Times New Roman"/>
                <w:lang w:eastAsia="es-AR"/>
              </w:rPr>
            </w:pPr>
          </w:p>
        </w:tc>
        <w:tc>
          <w:tcPr>
            <w:tcW w:w="2074" w:type="dxa"/>
            <w:tcBorders>
              <w:top w:val="nil"/>
              <w:left w:val="nil"/>
              <w:bottom w:val="nil"/>
              <w:right w:val="nil"/>
            </w:tcBorders>
            <w:shd w:val="clear" w:color="000000" w:fill="FFFFFF"/>
            <w:noWrap/>
            <w:vAlign w:val="center"/>
            <w:hideMark/>
          </w:tcPr>
          <w:p w14:paraId="38A4090E" w14:textId="77777777" w:rsidR="00F64523" w:rsidRPr="00092E33" w:rsidRDefault="00F64523" w:rsidP="00F64523">
            <w:pPr>
              <w:spacing w:after="0"/>
              <w:jc w:val="both"/>
              <w:rPr>
                <w:rFonts w:ascii="Times New Roman" w:hAnsi="Times New Roman" w:cs="Times New Roman"/>
                <w:lang w:eastAsia="es-AR"/>
              </w:rPr>
            </w:pPr>
          </w:p>
        </w:tc>
      </w:tr>
      <w:tr w:rsidR="00F64523" w:rsidRPr="00092E33" w14:paraId="0F0E37F0" w14:textId="77777777" w:rsidTr="004024A0">
        <w:trPr>
          <w:trHeight w:val="310"/>
          <w:jc w:val="center"/>
        </w:trPr>
        <w:tc>
          <w:tcPr>
            <w:tcW w:w="3416" w:type="dxa"/>
            <w:tcBorders>
              <w:top w:val="nil"/>
              <w:left w:val="nil"/>
              <w:bottom w:val="nil"/>
              <w:right w:val="nil"/>
            </w:tcBorders>
            <w:shd w:val="clear" w:color="000000" w:fill="FFFFFF"/>
            <w:noWrap/>
            <w:vAlign w:val="center"/>
            <w:hideMark/>
          </w:tcPr>
          <w:p w14:paraId="6E8AB857"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Pasivo Corriente</w:t>
            </w:r>
          </w:p>
        </w:tc>
        <w:tc>
          <w:tcPr>
            <w:tcW w:w="2074" w:type="dxa"/>
            <w:tcBorders>
              <w:top w:val="nil"/>
              <w:left w:val="nil"/>
              <w:bottom w:val="nil"/>
              <w:right w:val="nil"/>
            </w:tcBorders>
            <w:shd w:val="clear" w:color="000000" w:fill="FFFFFF"/>
            <w:noWrap/>
            <w:vAlign w:val="center"/>
            <w:hideMark/>
          </w:tcPr>
          <w:p w14:paraId="5ACEDC69"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149.536</w:t>
            </w:r>
          </w:p>
        </w:tc>
        <w:tc>
          <w:tcPr>
            <w:tcW w:w="2074" w:type="dxa"/>
            <w:tcBorders>
              <w:top w:val="nil"/>
              <w:left w:val="nil"/>
              <w:bottom w:val="nil"/>
              <w:right w:val="nil"/>
            </w:tcBorders>
            <w:shd w:val="clear" w:color="000000" w:fill="FFFFFF"/>
            <w:noWrap/>
            <w:vAlign w:val="center"/>
            <w:hideMark/>
          </w:tcPr>
          <w:p w14:paraId="4CEA9D42"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242.752</w:t>
            </w:r>
          </w:p>
        </w:tc>
        <w:tc>
          <w:tcPr>
            <w:tcW w:w="2074" w:type="dxa"/>
            <w:tcBorders>
              <w:top w:val="nil"/>
              <w:left w:val="nil"/>
              <w:bottom w:val="nil"/>
              <w:right w:val="nil"/>
            </w:tcBorders>
            <w:shd w:val="clear" w:color="000000" w:fill="FFFFFF"/>
            <w:noWrap/>
            <w:vAlign w:val="center"/>
            <w:hideMark/>
          </w:tcPr>
          <w:p w14:paraId="5F9FC324"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69.428</w:t>
            </w:r>
          </w:p>
        </w:tc>
      </w:tr>
      <w:tr w:rsidR="00F64523" w:rsidRPr="00092E33" w14:paraId="1B937B17" w14:textId="77777777" w:rsidTr="004024A0">
        <w:trPr>
          <w:trHeight w:val="372"/>
          <w:jc w:val="center"/>
        </w:trPr>
        <w:tc>
          <w:tcPr>
            <w:tcW w:w="3416" w:type="dxa"/>
            <w:tcBorders>
              <w:top w:val="nil"/>
              <w:left w:val="nil"/>
              <w:bottom w:val="nil"/>
              <w:right w:val="nil"/>
            </w:tcBorders>
            <w:shd w:val="clear" w:color="000000" w:fill="FFFFFF"/>
            <w:noWrap/>
            <w:vAlign w:val="center"/>
            <w:hideMark/>
          </w:tcPr>
          <w:p w14:paraId="2F84AF55"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Pasivo No Corriente</w:t>
            </w:r>
          </w:p>
        </w:tc>
        <w:tc>
          <w:tcPr>
            <w:tcW w:w="2074" w:type="dxa"/>
            <w:tcBorders>
              <w:top w:val="nil"/>
              <w:left w:val="nil"/>
              <w:bottom w:val="nil"/>
              <w:right w:val="nil"/>
            </w:tcBorders>
            <w:shd w:val="clear" w:color="000000" w:fill="FFFFFF"/>
            <w:noWrap/>
            <w:vAlign w:val="center"/>
            <w:hideMark/>
          </w:tcPr>
          <w:p w14:paraId="10470BC0" w14:textId="77777777" w:rsidR="00F64523" w:rsidRPr="00092E33" w:rsidRDefault="00F64523" w:rsidP="00F64523">
            <w:pPr>
              <w:spacing w:after="0"/>
              <w:jc w:val="both"/>
              <w:rPr>
                <w:rFonts w:ascii="Times New Roman" w:hAnsi="Times New Roman" w:cs="Times New Roman"/>
                <w:u w:val="single"/>
                <w:lang w:eastAsia="es-AR"/>
              </w:rPr>
            </w:pPr>
            <w:r w:rsidRPr="00092E33">
              <w:rPr>
                <w:rFonts w:ascii="Times New Roman" w:hAnsi="Times New Roman" w:cs="Times New Roman"/>
                <w:u w:val="single"/>
                <w:lang w:eastAsia="es-AR"/>
              </w:rPr>
              <w:t>175.000</w:t>
            </w:r>
          </w:p>
        </w:tc>
        <w:tc>
          <w:tcPr>
            <w:tcW w:w="2074" w:type="dxa"/>
            <w:tcBorders>
              <w:top w:val="nil"/>
              <w:left w:val="nil"/>
              <w:bottom w:val="nil"/>
              <w:right w:val="nil"/>
            </w:tcBorders>
            <w:shd w:val="clear" w:color="000000" w:fill="FFFFFF"/>
            <w:noWrap/>
            <w:vAlign w:val="center"/>
            <w:hideMark/>
          </w:tcPr>
          <w:p w14:paraId="109A7D40" w14:textId="77777777" w:rsidR="00F64523" w:rsidRPr="00092E33" w:rsidRDefault="00F64523" w:rsidP="00F64523">
            <w:pPr>
              <w:spacing w:after="0"/>
              <w:jc w:val="both"/>
              <w:rPr>
                <w:rFonts w:ascii="Times New Roman" w:hAnsi="Times New Roman" w:cs="Times New Roman"/>
                <w:u w:val="single"/>
                <w:lang w:eastAsia="es-AR"/>
              </w:rPr>
            </w:pPr>
            <w:r w:rsidRPr="00092E33">
              <w:rPr>
                <w:rFonts w:ascii="Times New Roman" w:hAnsi="Times New Roman" w:cs="Times New Roman"/>
                <w:u w:val="single"/>
                <w:lang w:eastAsia="es-AR"/>
              </w:rPr>
              <w:t>75.000</w:t>
            </w:r>
          </w:p>
        </w:tc>
        <w:tc>
          <w:tcPr>
            <w:tcW w:w="2074" w:type="dxa"/>
            <w:tcBorders>
              <w:top w:val="nil"/>
              <w:left w:val="nil"/>
              <w:bottom w:val="nil"/>
              <w:right w:val="nil"/>
            </w:tcBorders>
            <w:shd w:val="clear" w:color="000000" w:fill="FFFFFF"/>
            <w:noWrap/>
            <w:vAlign w:val="center"/>
            <w:hideMark/>
          </w:tcPr>
          <w:p w14:paraId="11C3B215" w14:textId="77777777" w:rsidR="00F64523" w:rsidRPr="00092E33" w:rsidRDefault="00F64523" w:rsidP="00F64523">
            <w:pPr>
              <w:spacing w:after="0"/>
              <w:jc w:val="both"/>
              <w:rPr>
                <w:rFonts w:ascii="Times New Roman" w:hAnsi="Times New Roman" w:cs="Times New Roman"/>
                <w:u w:val="single"/>
                <w:lang w:eastAsia="es-AR"/>
              </w:rPr>
            </w:pPr>
            <w:r w:rsidRPr="00092E33">
              <w:rPr>
                <w:rFonts w:ascii="Times New Roman" w:hAnsi="Times New Roman" w:cs="Times New Roman"/>
                <w:u w:val="single"/>
                <w:lang w:eastAsia="es-AR"/>
              </w:rPr>
              <w:t>75.000</w:t>
            </w:r>
          </w:p>
        </w:tc>
      </w:tr>
      <w:tr w:rsidR="00F64523" w:rsidRPr="00092E33" w14:paraId="6DD03202" w14:textId="77777777" w:rsidTr="004024A0">
        <w:trPr>
          <w:trHeight w:val="326"/>
          <w:jc w:val="center"/>
        </w:trPr>
        <w:tc>
          <w:tcPr>
            <w:tcW w:w="3416" w:type="dxa"/>
            <w:tcBorders>
              <w:top w:val="nil"/>
              <w:left w:val="nil"/>
              <w:bottom w:val="nil"/>
              <w:right w:val="nil"/>
            </w:tcBorders>
            <w:shd w:val="clear" w:color="000000" w:fill="FFFFFF"/>
            <w:noWrap/>
            <w:vAlign w:val="center"/>
            <w:hideMark/>
          </w:tcPr>
          <w:p w14:paraId="03E5E253" w14:textId="77777777" w:rsidR="00F64523" w:rsidRPr="00092E33" w:rsidRDefault="00F64523" w:rsidP="00F64523">
            <w:pPr>
              <w:spacing w:after="0"/>
              <w:jc w:val="both"/>
              <w:rPr>
                <w:rFonts w:ascii="Times New Roman" w:hAnsi="Times New Roman" w:cs="Times New Roman"/>
                <w:b/>
                <w:bCs/>
                <w:lang w:eastAsia="es-AR"/>
              </w:rPr>
            </w:pPr>
            <w:proofErr w:type="gramStart"/>
            <w:r w:rsidRPr="00092E33">
              <w:rPr>
                <w:rFonts w:ascii="Times New Roman" w:hAnsi="Times New Roman" w:cs="Times New Roman"/>
                <w:b/>
                <w:bCs/>
                <w:lang w:eastAsia="es-AR"/>
              </w:rPr>
              <w:t>Total</w:t>
            </w:r>
            <w:proofErr w:type="gramEnd"/>
            <w:r w:rsidRPr="00092E33">
              <w:rPr>
                <w:rFonts w:ascii="Times New Roman" w:hAnsi="Times New Roman" w:cs="Times New Roman"/>
                <w:b/>
                <w:bCs/>
                <w:lang w:eastAsia="es-AR"/>
              </w:rPr>
              <w:t xml:space="preserve"> Pasivo</w:t>
            </w:r>
          </w:p>
        </w:tc>
        <w:tc>
          <w:tcPr>
            <w:tcW w:w="2074" w:type="dxa"/>
            <w:tcBorders>
              <w:top w:val="nil"/>
              <w:left w:val="nil"/>
              <w:bottom w:val="nil"/>
              <w:right w:val="nil"/>
            </w:tcBorders>
            <w:shd w:val="clear" w:color="000000" w:fill="FFFFFF"/>
            <w:noWrap/>
            <w:vAlign w:val="center"/>
            <w:hideMark/>
          </w:tcPr>
          <w:p w14:paraId="252829C6"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324.536</w:t>
            </w:r>
          </w:p>
        </w:tc>
        <w:tc>
          <w:tcPr>
            <w:tcW w:w="2074" w:type="dxa"/>
            <w:tcBorders>
              <w:top w:val="nil"/>
              <w:left w:val="nil"/>
              <w:bottom w:val="nil"/>
              <w:right w:val="nil"/>
            </w:tcBorders>
            <w:shd w:val="clear" w:color="000000" w:fill="FFFFFF"/>
            <w:noWrap/>
            <w:vAlign w:val="center"/>
            <w:hideMark/>
          </w:tcPr>
          <w:p w14:paraId="10D75D6F"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317.752</w:t>
            </w:r>
          </w:p>
        </w:tc>
        <w:tc>
          <w:tcPr>
            <w:tcW w:w="2074" w:type="dxa"/>
            <w:tcBorders>
              <w:top w:val="nil"/>
              <w:left w:val="nil"/>
              <w:bottom w:val="nil"/>
              <w:right w:val="nil"/>
            </w:tcBorders>
            <w:shd w:val="clear" w:color="000000" w:fill="FFFFFF"/>
            <w:noWrap/>
            <w:vAlign w:val="center"/>
            <w:hideMark/>
          </w:tcPr>
          <w:p w14:paraId="31283042"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144.428</w:t>
            </w:r>
          </w:p>
        </w:tc>
      </w:tr>
      <w:tr w:rsidR="00F64523" w:rsidRPr="00092E33" w14:paraId="7AC11EA8" w14:textId="77777777" w:rsidTr="004024A0">
        <w:trPr>
          <w:trHeight w:val="310"/>
          <w:jc w:val="center"/>
        </w:trPr>
        <w:tc>
          <w:tcPr>
            <w:tcW w:w="3416" w:type="dxa"/>
            <w:tcBorders>
              <w:top w:val="nil"/>
              <w:left w:val="nil"/>
              <w:bottom w:val="nil"/>
              <w:right w:val="nil"/>
            </w:tcBorders>
            <w:shd w:val="clear" w:color="000000" w:fill="FFFFFF"/>
            <w:noWrap/>
            <w:vAlign w:val="center"/>
            <w:hideMark/>
          </w:tcPr>
          <w:p w14:paraId="671B755A"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 </w:t>
            </w:r>
          </w:p>
        </w:tc>
        <w:tc>
          <w:tcPr>
            <w:tcW w:w="2074" w:type="dxa"/>
            <w:tcBorders>
              <w:top w:val="nil"/>
              <w:left w:val="nil"/>
              <w:bottom w:val="nil"/>
              <w:right w:val="nil"/>
            </w:tcBorders>
            <w:shd w:val="clear" w:color="000000" w:fill="FFFFFF"/>
            <w:noWrap/>
            <w:vAlign w:val="center"/>
            <w:hideMark/>
          </w:tcPr>
          <w:p w14:paraId="2371FD00" w14:textId="77777777" w:rsidR="00F64523" w:rsidRPr="00092E33" w:rsidRDefault="00F64523" w:rsidP="00F64523">
            <w:pPr>
              <w:spacing w:after="0"/>
              <w:jc w:val="both"/>
              <w:rPr>
                <w:rFonts w:ascii="Times New Roman" w:hAnsi="Times New Roman" w:cs="Times New Roman"/>
                <w:lang w:eastAsia="es-AR"/>
              </w:rPr>
            </w:pPr>
          </w:p>
        </w:tc>
        <w:tc>
          <w:tcPr>
            <w:tcW w:w="2074" w:type="dxa"/>
            <w:tcBorders>
              <w:top w:val="nil"/>
              <w:left w:val="nil"/>
              <w:bottom w:val="nil"/>
              <w:right w:val="nil"/>
            </w:tcBorders>
            <w:shd w:val="clear" w:color="000000" w:fill="FFFFFF"/>
            <w:noWrap/>
            <w:vAlign w:val="center"/>
            <w:hideMark/>
          </w:tcPr>
          <w:p w14:paraId="6703B3C7" w14:textId="77777777" w:rsidR="00F64523" w:rsidRPr="00092E33" w:rsidRDefault="00F64523" w:rsidP="00F64523">
            <w:pPr>
              <w:spacing w:after="0"/>
              <w:jc w:val="both"/>
              <w:rPr>
                <w:rFonts w:ascii="Times New Roman" w:hAnsi="Times New Roman" w:cs="Times New Roman"/>
                <w:lang w:eastAsia="es-AR"/>
              </w:rPr>
            </w:pPr>
          </w:p>
        </w:tc>
        <w:tc>
          <w:tcPr>
            <w:tcW w:w="2074" w:type="dxa"/>
            <w:tcBorders>
              <w:top w:val="nil"/>
              <w:left w:val="nil"/>
              <w:bottom w:val="nil"/>
              <w:right w:val="nil"/>
            </w:tcBorders>
            <w:shd w:val="clear" w:color="000000" w:fill="FFFFFF"/>
            <w:noWrap/>
            <w:vAlign w:val="center"/>
            <w:hideMark/>
          </w:tcPr>
          <w:p w14:paraId="1414BDC6" w14:textId="77777777" w:rsidR="00F64523" w:rsidRPr="00092E33" w:rsidRDefault="00F64523" w:rsidP="00F64523">
            <w:pPr>
              <w:spacing w:after="0"/>
              <w:jc w:val="both"/>
              <w:rPr>
                <w:rFonts w:ascii="Times New Roman" w:hAnsi="Times New Roman" w:cs="Times New Roman"/>
                <w:lang w:eastAsia="es-AR"/>
              </w:rPr>
            </w:pPr>
          </w:p>
        </w:tc>
      </w:tr>
      <w:tr w:rsidR="00F64523" w:rsidRPr="00092E33" w14:paraId="64E2CC71" w14:textId="77777777" w:rsidTr="004024A0">
        <w:trPr>
          <w:trHeight w:val="326"/>
          <w:jc w:val="center"/>
        </w:trPr>
        <w:tc>
          <w:tcPr>
            <w:tcW w:w="3416" w:type="dxa"/>
            <w:tcBorders>
              <w:top w:val="nil"/>
              <w:left w:val="nil"/>
              <w:bottom w:val="nil"/>
              <w:right w:val="nil"/>
            </w:tcBorders>
            <w:shd w:val="clear" w:color="000000" w:fill="FFFFFF"/>
            <w:noWrap/>
            <w:vAlign w:val="center"/>
            <w:hideMark/>
          </w:tcPr>
          <w:p w14:paraId="5DC2090B"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PN Inicia del Ejercicio</w:t>
            </w:r>
          </w:p>
        </w:tc>
        <w:tc>
          <w:tcPr>
            <w:tcW w:w="2074" w:type="dxa"/>
            <w:tcBorders>
              <w:top w:val="nil"/>
              <w:left w:val="nil"/>
              <w:bottom w:val="nil"/>
              <w:right w:val="nil"/>
            </w:tcBorders>
            <w:shd w:val="clear" w:color="000000" w:fill="FFFFFF"/>
            <w:noWrap/>
            <w:vAlign w:val="center"/>
            <w:hideMark/>
          </w:tcPr>
          <w:p w14:paraId="77E1C821"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135.373</w:t>
            </w:r>
          </w:p>
        </w:tc>
        <w:tc>
          <w:tcPr>
            <w:tcW w:w="2074" w:type="dxa"/>
            <w:tcBorders>
              <w:top w:val="nil"/>
              <w:left w:val="nil"/>
              <w:bottom w:val="nil"/>
              <w:right w:val="nil"/>
            </w:tcBorders>
            <w:shd w:val="clear" w:color="000000" w:fill="FFFFFF"/>
            <w:noWrap/>
            <w:vAlign w:val="center"/>
            <w:hideMark/>
          </w:tcPr>
          <w:p w14:paraId="2BC791BA"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175.390</w:t>
            </w:r>
          </w:p>
        </w:tc>
        <w:tc>
          <w:tcPr>
            <w:tcW w:w="2074" w:type="dxa"/>
            <w:tcBorders>
              <w:top w:val="nil"/>
              <w:left w:val="nil"/>
              <w:bottom w:val="nil"/>
              <w:right w:val="nil"/>
            </w:tcBorders>
            <w:shd w:val="clear" w:color="000000" w:fill="FFFFFF"/>
            <w:noWrap/>
            <w:vAlign w:val="center"/>
            <w:hideMark/>
          </w:tcPr>
          <w:p w14:paraId="222E4A3D"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198.210</w:t>
            </w:r>
          </w:p>
        </w:tc>
      </w:tr>
      <w:tr w:rsidR="00F64523" w:rsidRPr="00092E33" w14:paraId="4FA31E6C" w14:textId="77777777" w:rsidTr="004024A0">
        <w:trPr>
          <w:trHeight w:val="326"/>
          <w:jc w:val="center"/>
        </w:trPr>
        <w:tc>
          <w:tcPr>
            <w:tcW w:w="3416" w:type="dxa"/>
            <w:tcBorders>
              <w:top w:val="nil"/>
              <w:left w:val="nil"/>
              <w:bottom w:val="nil"/>
              <w:right w:val="nil"/>
            </w:tcBorders>
            <w:shd w:val="clear" w:color="000000" w:fill="FFFFFF"/>
            <w:noWrap/>
            <w:vAlign w:val="center"/>
            <w:hideMark/>
          </w:tcPr>
          <w:p w14:paraId="6BC9F36C"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PN Cierre del Ejercicio</w:t>
            </w:r>
          </w:p>
        </w:tc>
        <w:tc>
          <w:tcPr>
            <w:tcW w:w="2074" w:type="dxa"/>
            <w:tcBorders>
              <w:top w:val="nil"/>
              <w:left w:val="nil"/>
              <w:bottom w:val="nil"/>
              <w:right w:val="nil"/>
            </w:tcBorders>
            <w:shd w:val="clear" w:color="000000" w:fill="FFFFFF"/>
            <w:noWrap/>
            <w:vAlign w:val="center"/>
            <w:hideMark/>
          </w:tcPr>
          <w:p w14:paraId="3D8C7769"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503.610</w:t>
            </w:r>
          </w:p>
        </w:tc>
        <w:tc>
          <w:tcPr>
            <w:tcW w:w="2074" w:type="dxa"/>
            <w:tcBorders>
              <w:top w:val="nil"/>
              <w:left w:val="nil"/>
              <w:bottom w:val="nil"/>
              <w:right w:val="nil"/>
            </w:tcBorders>
            <w:shd w:val="clear" w:color="000000" w:fill="FFFFFF"/>
            <w:noWrap/>
            <w:vAlign w:val="center"/>
            <w:hideMark/>
          </w:tcPr>
          <w:p w14:paraId="50CDD6AD"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135.373</w:t>
            </w:r>
          </w:p>
        </w:tc>
        <w:tc>
          <w:tcPr>
            <w:tcW w:w="2074" w:type="dxa"/>
            <w:tcBorders>
              <w:top w:val="nil"/>
              <w:left w:val="nil"/>
              <w:bottom w:val="nil"/>
              <w:right w:val="nil"/>
            </w:tcBorders>
            <w:shd w:val="clear" w:color="000000" w:fill="FFFFFF"/>
            <w:noWrap/>
            <w:vAlign w:val="center"/>
            <w:hideMark/>
          </w:tcPr>
          <w:p w14:paraId="03B19B65"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175.390</w:t>
            </w:r>
          </w:p>
        </w:tc>
      </w:tr>
    </w:tbl>
    <w:p w14:paraId="3FD2FFEF" w14:textId="77777777" w:rsidR="00F64523" w:rsidRPr="00092E33" w:rsidRDefault="00F64523" w:rsidP="00F64523">
      <w:pPr>
        <w:spacing w:after="0" w:line="200" w:lineRule="exact"/>
        <w:jc w:val="both"/>
        <w:rPr>
          <w:rFonts w:ascii="Times New Roman" w:hAnsi="Times New Roman" w:cs="Times New Roman"/>
        </w:rPr>
      </w:pPr>
    </w:p>
    <w:p w14:paraId="1CB1407A" w14:textId="77777777" w:rsidR="00F64523" w:rsidRPr="00092E33" w:rsidRDefault="00F64523" w:rsidP="00F64523">
      <w:pPr>
        <w:spacing w:after="0" w:line="200" w:lineRule="exact"/>
        <w:jc w:val="both"/>
        <w:rPr>
          <w:rFonts w:ascii="Times New Roman" w:hAnsi="Times New Roman" w:cs="Times New Roman"/>
        </w:rPr>
      </w:pPr>
    </w:p>
    <w:p w14:paraId="57035B31" w14:textId="77777777" w:rsidR="00F64523" w:rsidRPr="00092E33" w:rsidRDefault="00F64523" w:rsidP="00F64523">
      <w:pPr>
        <w:spacing w:after="0" w:line="200" w:lineRule="exact"/>
        <w:jc w:val="both"/>
        <w:rPr>
          <w:rFonts w:ascii="Times New Roman" w:hAnsi="Times New Roman" w:cs="Times New Roman"/>
        </w:rPr>
      </w:pPr>
    </w:p>
    <w:p w14:paraId="36CE3C98" w14:textId="77777777" w:rsidR="00F64523" w:rsidRPr="00092E33" w:rsidRDefault="00F64523" w:rsidP="00F64523">
      <w:pPr>
        <w:spacing w:after="0" w:line="220" w:lineRule="exact"/>
        <w:jc w:val="both"/>
        <w:rPr>
          <w:rFonts w:ascii="Times New Roman" w:hAnsi="Times New Roman" w:cs="Times New Roman"/>
        </w:rPr>
      </w:pPr>
      <w:r w:rsidRPr="00092E33">
        <w:rPr>
          <w:rFonts w:ascii="Times New Roman" w:hAnsi="Times New Roman" w:cs="Times New Roman"/>
        </w:rPr>
        <w:t>Estructura de resultados comparativa con el ejercicio anterior (en miles de pesos):</w:t>
      </w:r>
    </w:p>
    <w:p w14:paraId="20F76C3C" w14:textId="77777777" w:rsidR="00F64523" w:rsidRPr="00092E33" w:rsidRDefault="00F64523" w:rsidP="00F64523">
      <w:pPr>
        <w:spacing w:after="0" w:line="200" w:lineRule="exact"/>
        <w:jc w:val="both"/>
        <w:rPr>
          <w:rFonts w:ascii="Times New Roman" w:hAnsi="Times New Roman" w:cs="Times New Roman"/>
        </w:rPr>
      </w:pPr>
    </w:p>
    <w:tbl>
      <w:tblPr>
        <w:tblW w:w="8754" w:type="dxa"/>
        <w:jc w:val="center"/>
        <w:tblCellMar>
          <w:left w:w="70" w:type="dxa"/>
          <w:right w:w="70" w:type="dxa"/>
        </w:tblCellMar>
        <w:tblLook w:val="04A0" w:firstRow="1" w:lastRow="0" w:firstColumn="1" w:lastColumn="0" w:noHBand="0" w:noVBand="1"/>
      </w:tblPr>
      <w:tblGrid>
        <w:gridCol w:w="3633"/>
        <w:gridCol w:w="1713"/>
        <w:gridCol w:w="1694"/>
        <w:gridCol w:w="1714"/>
      </w:tblGrid>
      <w:tr w:rsidR="00F64523" w:rsidRPr="00092E33" w14:paraId="4FC7B3DA" w14:textId="77777777" w:rsidTr="004024A0">
        <w:trPr>
          <w:trHeight w:val="287"/>
          <w:jc w:val="center"/>
        </w:trPr>
        <w:tc>
          <w:tcPr>
            <w:tcW w:w="8754" w:type="dxa"/>
            <w:gridSpan w:val="4"/>
            <w:tcBorders>
              <w:top w:val="nil"/>
              <w:left w:val="nil"/>
              <w:bottom w:val="nil"/>
              <w:right w:val="nil"/>
            </w:tcBorders>
            <w:shd w:val="clear" w:color="000000" w:fill="FFFFFF"/>
            <w:noWrap/>
            <w:vAlign w:val="center"/>
            <w:hideMark/>
          </w:tcPr>
          <w:p w14:paraId="4F000B8B"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ESTADOS DE RESULTADOS SEPARADOS</w:t>
            </w:r>
          </w:p>
        </w:tc>
      </w:tr>
      <w:tr w:rsidR="00F64523" w:rsidRPr="00092E33" w14:paraId="5FAC1FE2" w14:textId="77777777" w:rsidTr="004024A0">
        <w:trPr>
          <w:trHeight w:val="287"/>
          <w:jc w:val="center"/>
        </w:trPr>
        <w:tc>
          <w:tcPr>
            <w:tcW w:w="8754" w:type="dxa"/>
            <w:gridSpan w:val="4"/>
            <w:tcBorders>
              <w:top w:val="nil"/>
              <w:left w:val="nil"/>
              <w:bottom w:val="nil"/>
              <w:right w:val="nil"/>
            </w:tcBorders>
            <w:shd w:val="clear" w:color="000000" w:fill="FFFFFF"/>
            <w:noWrap/>
            <w:vAlign w:val="center"/>
            <w:hideMark/>
          </w:tcPr>
          <w:p w14:paraId="3B4BA2AA" w14:textId="77777777" w:rsidR="00F64523" w:rsidRPr="00092E33" w:rsidRDefault="00F64523" w:rsidP="00F64523">
            <w:pPr>
              <w:spacing w:after="0"/>
              <w:jc w:val="both"/>
              <w:rPr>
                <w:rFonts w:ascii="Times New Roman" w:hAnsi="Times New Roman" w:cs="Times New Roman"/>
                <w:lang w:eastAsia="es-AR"/>
              </w:rPr>
            </w:pPr>
            <w:r w:rsidRPr="00092E33">
              <w:rPr>
                <w:rFonts w:ascii="Times New Roman" w:hAnsi="Times New Roman" w:cs="Times New Roman"/>
                <w:lang w:eastAsia="es-AR"/>
              </w:rPr>
              <w:t>Cifras expresadas en miles de pesos</w:t>
            </w:r>
          </w:p>
        </w:tc>
      </w:tr>
      <w:tr w:rsidR="00F64523" w:rsidRPr="00092E33" w14:paraId="7722B3C4" w14:textId="77777777" w:rsidTr="004024A0">
        <w:trPr>
          <w:trHeight w:val="287"/>
          <w:jc w:val="center"/>
        </w:trPr>
        <w:tc>
          <w:tcPr>
            <w:tcW w:w="3633" w:type="dxa"/>
            <w:tcBorders>
              <w:top w:val="nil"/>
              <w:left w:val="nil"/>
              <w:bottom w:val="nil"/>
              <w:right w:val="nil"/>
            </w:tcBorders>
            <w:shd w:val="clear" w:color="000000" w:fill="FFFFFF"/>
            <w:noWrap/>
            <w:vAlign w:val="center"/>
            <w:hideMark/>
          </w:tcPr>
          <w:p w14:paraId="69500FE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3" w:type="dxa"/>
            <w:tcBorders>
              <w:top w:val="nil"/>
              <w:left w:val="nil"/>
              <w:bottom w:val="nil"/>
              <w:right w:val="nil"/>
            </w:tcBorders>
            <w:shd w:val="clear" w:color="000000" w:fill="FFFFFF"/>
            <w:noWrap/>
            <w:vAlign w:val="center"/>
            <w:hideMark/>
          </w:tcPr>
          <w:p w14:paraId="3F7F9D0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94" w:type="dxa"/>
            <w:tcBorders>
              <w:top w:val="nil"/>
              <w:left w:val="nil"/>
              <w:bottom w:val="nil"/>
              <w:right w:val="nil"/>
            </w:tcBorders>
            <w:shd w:val="clear" w:color="000000" w:fill="FFFFFF"/>
            <w:noWrap/>
            <w:vAlign w:val="center"/>
            <w:hideMark/>
          </w:tcPr>
          <w:p w14:paraId="1DB7527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3" w:type="dxa"/>
            <w:tcBorders>
              <w:top w:val="nil"/>
              <w:left w:val="nil"/>
              <w:bottom w:val="nil"/>
              <w:right w:val="nil"/>
            </w:tcBorders>
            <w:shd w:val="clear" w:color="000000" w:fill="FFFFFF"/>
            <w:noWrap/>
            <w:vAlign w:val="center"/>
            <w:hideMark/>
          </w:tcPr>
          <w:p w14:paraId="1CE4231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7C4BF99C" w14:textId="77777777" w:rsidTr="004024A0">
        <w:trPr>
          <w:trHeight w:val="287"/>
          <w:jc w:val="center"/>
        </w:trPr>
        <w:tc>
          <w:tcPr>
            <w:tcW w:w="3633" w:type="dxa"/>
            <w:tcBorders>
              <w:top w:val="nil"/>
              <w:left w:val="nil"/>
              <w:bottom w:val="nil"/>
              <w:right w:val="nil"/>
            </w:tcBorders>
            <w:shd w:val="clear" w:color="000000" w:fill="FFFFFF"/>
            <w:noWrap/>
            <w:vAlign w:val="center"/>
            <w:hideMark/>
          </w:tcPr>
          <w:p w14:paraId="09576FE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3" w:type="dxa"/>
            <w:tcBorders>
              <w:top w:val="nil"/>
              <w:left w:val="nil"/>
              <w:bottom w:val="nil"/>
              <w:right w:val="nil"/>
            </w:tcBorders>
            <w:shd w:val="clear" w:color="000000" w:fill="FFFFFF"/>
            <w:noWrap/>
            <w:vAlign w:val="center"/>
            <w:hideMark/>
          </w:tcPr>
          <w:p w14:paraId="7A6D852D" w14:textId="77777777" w:rsidR="00F64523" w:rsidRPr="00092E33" w:rsidRDefault="00F64523" w:rsidP="00F64523">
            <w:pPr>
              <w:spacing w:after="0"/>
              <w:jc w:val="both"/>
              <w:rPr>
                <w:rFonts w:ascii="Times New Roman" w:hAnsi="Times New Roman" w:cs="Times New Roman"/>
                <w:b/>
                <w:bCs/>
                <w:u w:val="single"/>
                <w:lang w:eastAsia="es-AR"/>
              </w:rPr>
            </w:pPr>
            <w:r w:rsidRPr="00092E33">
              <w:rPr>
                <w:rFonts w:ascii="Times New Roman" w:hAnsi="Times New Roman" w:cs="Times New Roman"/>
                <w:b/>
                <w:bCs/>
                <w:u w:val="single"/>
                <w:lang w:eastAsia="es-AR"/>
              </w:rPr>
              <w:t>31/12/2019</w:t>
            </w:r>
          </w:p>
        </w:tc>
        <w:tc>
          <w:tcPr>
            <w:tcW w:w="1694" w:type="dxa"/>
            <w:tcBorders>
              <w:top w:val="nil"/>
              <w:left w:val="nil"/>
              <w:bottom w:val="nil"/>
              <w:right w:val="nil"/>
            </w:tcBorders>
            <w:shd w:val="clear" w:color="000000" w:fill="FFFFFF"/>
            <w:noWrap/>
            <w:vAlign w:val="center"/>
            <w:hideMark/>
          </w:tcPr>
          <w:p w14:paraId="569B0462" w14:textId="77777777" w:rsidR="00F64523" w:rsidRPr="00092E33" w:rsidRDefault="00F64523" w:rsidP="00F64523">
            <w:pPr>
              <w:spacing w:after="0"/>
              <w:jc w:val="both"/>
              <w:rPr>
                <w:rFonts w:ascii="Times New Roman" w:hAnsi="Times New Roman" w:cs="Times New Roman"/>
                <w:b/>
                <w:bCs/>
                <w:u w:val="single"/>
                <w:lang w:eastAsia="es-AR"/>
              </w:rPr>
            </w:pPr>
            <w:r w:rsidRPr="00092E33">
              <w:rPr>
                <w:rFonts w:ascii="Times New Roman" w:hAnsi="Times New Roman" w:cs="Times New Roman"/>
                <w:b/>
                <w:bCs/>
                <w:u w:val="single"/>
                <w:lang w:eastAsia="es-AR"/>
              </w:rPr>
              <w:t>31/12/2018</w:t>
            </w:r>
          </w:p>
        </w:tc>
        <w:tc>
          <w:tcPr>
            <w:tcW w:w="1713" w:type="dxa"/>
            <w:tcBorders>
              <w:top w:val="nil"/>
              <w:left w:val="nil"/>
              <w:bottom w:val="nil"/>
              <w:right w:val="nil"/>
            </w:tcBorders>
            <w:shd w:val="clear" w:color="000000" w:fill="FFFFFF"/>
            <w:noWrap/>
            <w:vAlign w:val="center"/>
            <w:hideMark/>
          </w:tcPr>
          <w:p w14:paraId="14041951" w14:textId="77777777" w:rsidR="00F64523" w:rsidRPr="00092E33" w:rsidRDefault="00F64523" w:rsidP="00F64523">
            <w:pPr>
              <w:spacing w:after="0"/>
              <w:jc w:val="both"/>
              <w:rPr>
                <w:rFonts w:ascii="Times New Roman" w:hAnsi="Times New Roman" w:cs="Times New Roman"/>
                <w:b/>
                <w:bCs/>
                <w:u w:val="single"/>
                <w:lang w:eastAsia="es-AR"/>
              </w:rPr>
            </w:pPr>
            <w:r w:rsidRPr="00092E33">
              <w:rPr>
                <w:rFonts w:ascii="Times New Roman" w:hAnsi="Times New Roman" w:cs="Times New Roman"/>
                <w:b/>
                <w:bCs/>
                <w:u w:val="single"/>
                <w:lang w:eastAsia="es-AR"/>
              </w:rPr>
              <w:t>31/12/2017</w:t>
            </w:r>
          </w:p>
        </w:tc>
      </w:tr>
      <w:tr w:rsidR="00F64523" w:rsidRPr="00092E33" w14:paraId="734B21F0" w14:textId="77777777" w:rsidTr="004024A0">
        <w:trPr>
          <w:trHeight w:val="287"/>
          <w:jc w:val="center"/>
        </w:trPr>
        <w:tc>
          <w:tcPr>
            <w:tcW w:w="3633" w:type="dxa"/>
            <w:tcBorders>
              <w:top w:val="nil"/>
              <w:left w:val="nil"/>
              <w:bottom w:val="nil"/>
              <w:right w:val="nil"/>
            </w:tcBorders>
            <w:shd w:val="clear" w:color="000000" w:fill="FFFFFF"/>
            <w:noWrap/>
            <w:vAlign w:val="center"/>
            <w:hideMark/>
          </w:tcPr>
          <w:p w14:paraId="09B3D6E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3" w:type="dxa"/>
            <w:tcBorders>
              <w:top w:val="nil"/>
              <w:left w:val="nil"/>
              <w:bottom w:val="nil"/>
              <w:right w:val="nil"/>
            </w:tcBorders>
            <w:shd w:val="clear" w:color="000000" w:fill="FFFFFF"/>
            <w:noWrap/>
            <w:vAlign w:val="center"/>
            <w:hideMark/>
          </w:tcPr>
          <w:p w14:paraId="5349024F" w14:textId="77777777" w:rsidR="00F64523" w:rsidRPr="00092E33" w:rsidRDefault="00F64523" w:rsidP="00F64523">
            <w:pPr>
              <w:spacing w:after="0"/>
              <w:jc w:val="both"/>
              <w:rPr>
                <w:rFonts w:ascii="Times New Roman" w:hAnsi="Times New Roman" w:cs="Times New Roman"/>
                <w:b/>
                <w:bCs/>
                <w:u w:val="single"/>
                <w:lang w:eastAsia="es-AR"/>
              </w:rPr>
            </w:pPr>
          </w:p>
        </w:tc>
        <w:tc>
          <w:tcPr>
            <w:tcW w:w="1694" w:type="dxa"/>
            <w:tcBorders>
              <w:top w:val="nil"/>
              <w:left w:val="nil"/>
              <w:bottom w:val="nil"/>
              <w:right w:val="nil"/>
            </w:tcBorders>
            <w:shd w:val="clear" w:color="000000" w:fill="FFFFFF"/>
            <w:noWrap/>
            <w:vAlign w:val="center"/>
            <w:hideMark/>
          </w:tcPr>
          <w:p w14:paraId="32EA8417" w14:textId="77777777" w:rsidR="00F64523" w:rsidRPr="00092E33" w:rsidRDefault="00F64523" w:rsidP="00F64523">
            <w:pPr>
              <w:spacing w:after="0"/>
              <w:jc w:val="both"/>
              <w:rPr>
                <w:rFonts w:ascii="Times New Roman" w:hAnsi="Times New Roman" w:cs="Times New Roman"/>
                <w:b/>
                <w:bCs/>
                <w:u w:val="single"/>
                <w:lang w:eastAsia="es-AR"/>
              </w:rPr>
            </w:pPr>
          </w:p>
        </w:tc>
        <w:tc>
          <w:tcPr>
            <w:tcW w:w="1713" w:type="dxa"/>
            <w:tcBorders>
              <w:top w:val="nil"/>
              <w:left w:val="nil"/>
              <w:bottom w:val="nil"/>
              <w:right w:val="nil"/>
            </w:tcBorders>
            <w:shd w:val="clear" w:color="000000" w:fill="FFFFFF"/>
            <w:noWrap/>
            <w:vAlign w:val="center"/>
            <w:hideMark/>
          </w:tcPr>
          <w:p w14:paraId="69DA35B4" w14:textId="77777777" w:rsidR="00F64523" w:rsidRPr="00092E33" w:rsidRDefault="00F64523" w:rsidP="00F64523">
            <w:pPr>
              <w:spacing w:after="0"/>
              <w:jc w:val="both"/>
              <w:rPr>
                <w:rFonts w:ascii="Times New Roman" w:hAnsi="Times New Roman" w:cs="Times New Roman"/>
                <w:b/>
                <w:bCs/>
                <w:u w:val="single"/>
                <w:lang w:eastAsia="es-AR"/>
              </w:rPr>
            </w:pPr>
          </w:p>
        </w:tc>
      </w:tr>
      <w:tr w:rsidR="00F64523" w:rsidRPr="00092E33" w14:paraId="3C3927B5" w14:textId="77777777" w:rsidTr="004024A0">
        <w:trPr>
          <w:trHeight w:val="287"/>
          <w:jc w:val="center"/>
        </w:trPr>
        <w:tc>
          <w:tcPr>
            <w:tcW w:w="3633" w:type="dxa"/>
            <w:tcBorders>
              <w:top w:val="nil"/>
              <w:left w:val="nil"/>
              <w:bottom w:val="nil"/>
              <w:right w:val="nil"/>
            </w:tcBorders>
            <w:shd w:val="clear" w:color="000000" w:fill="FFFFFF"/>
            <w:vAlign w:val="center"/>
            <w:hideMark/>
          </w:tcPr>
          <w:p w14:paraId="2461F57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Resultado neto por intereses</w:t>
            </w:r>
          </w:p>
        </w:tc>
        <w:tc>
          <w:tcPr>
            <w:tcW w:w="1713" w:type="dxa"/>
            <w:tcBorders>
              <w:top w:val="nil"/>
              <w:left w:val="nil"/>
              <w:bottom w:val="nil"/>
              <w:right w:val="nil"/>
            </w:tcBorders>
            <w:shd w:val="clear" w:color="000000" w:fill="FFFFFF"/>
            <w:noWrap/>
            <w:vAlign w:val="center"/>
            <w:hideMark/>
          </w:tcPr>
          <w:p w14:paraId="5D11B043"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(87.406)</w:t>
            </w:r>
          </w:p>
        </w:tc>
        <w:tc>
          <w:tcPr>
            <w:tcW w:w="1694" w:type="dxa"/>
            <w:tcBorders>
              <w:top w:val="nil"/>
              <w:left w:val="nil"/>
              <w:bottom w:val="nil"/>
              <w:right w:val="nil"/>
            </w:tcBorders>
            <w:shd w:val="clear" w:color="000000" w:fill="FFFFFF"/>
            <w:noWrap/>
            <w:vAlign w:val="center"/>
            <w:hideMark/>
          </w:tcPr>
          <w:p w14:paraId="0AA3EDBC"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(67.526)</w:t>
            </w:r>
          </w:p>
        </w:tc>
        <w:tc>
          <w:tcPr>
            <w:tcW w:w="1713" w:type="dxa"/>
            <w:tcBorders>
              <w:top w:val="nil"/>
              <w:left w:val="nil"/>
              <w:bottom w:val="nil"/>
              <w:right w:val="nil"/>
            </w:tcBorders>
            <w:shd w:val="clear" w:color="000000" w:fill="FFFFFF"/>
            <w:noWrap/>
            <w:vAlign w:val="center"/>
            <w:hideMark/>
          </w:tcPr>
          <w:p w14:paraId="4DE3EE48"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(31.517)</w:t>
            </w:r>
          </w:p>
        </w:tc>
      </w:tr>
      <w:tr w:rsidR="00F64523" w:rsidRPr="00092E33" w14:paraId="38BEFDD4" w14:textId="77777777" w:rsidTr="004024A0">
        <w:trPr>
          <w:trHeight w:val="287"/>
          <w:jc w:val="center"/>
        </w:trPr>
        <w:tc>
          <w:tcPr>
            <w:tcW w:w="3633" w:type="dxa"/>
            <w:tcBorders>
              <w:top w:val="nil"/>
              <w:left w:val="nil"/>
              <w:bottom w:val="nil"/>
              <w:right w:val="nil"/>
            </w:tcBorders>
            <w:shd w:val="clear" w:color="000000" w:fill="FFFFFF"/>
            <w:vAlign w:val="center"/>
            <w:hideMark/>
          </w:tcPr>
          <w:p w14:paraId="77B525A4"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Ingreso operativo neto</w:t>
            </w:r>
          </w:p>
        </w:tc>
        <w:tc>
          <w:tcPr>
            <w:tcW w:w="1713" w:type="dxa"/>
            <w:tcBorders>
              <w:top w:val="nil"/>
              <w:left w:val="nil"/>
              <w:bottom w:val="nil"/>
              <w:right w:val="nil"/>
            </w:tcBorders>
            <w:shd w:val="clear" w:color="000000" w:fill="FFFFFF"/>
            <w:noWrap/>
            <w:vAlign w:val="center"/>
            <w:hideMark/>
          </w:tcPr>
          <w:p w14:paraId="7B71EB14"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53.956</w:t>
            </w:r>
          </w:p>
        </w:tc>
        <w:tc>
          <w:tcPr>
            <w:tcW w:w="1694" w:type="dxa"/>
            <w:tcBorders>
              <w:top w:val="nil"/>
              <w:left w:val="nil"/>
              <w:bottom w:val="nil"/>
              <w:right w:val="nil"/>
            </w:tcBorders>
            <w:shd w:val="clear" w:color="000000" w:fill="FFFFFF"/>
            <w:noWrap/>
            <w:vAlign w:val="center"/>
            <w:hideMark/>
          </w:tcPr>
          <w:p w14:paraId="5C544AAF"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(85.485)</w:t>
            </w:r>
          </w:p>
        </w:tc>
        <w:tc>
          <w:tcPr>
            <w:tcW w:w="1713" w:type="dxa"/>
            <w:tcBorders>
              <w:top w:val="nil"/>
              <w:left w:val="nil"/>
              <w:bottom w:val="nil"/>
              <w:right w:val="nil"/>
            </w:tcBorders>
            <w:shd w:val="clear" w:color="000000" w:fill="FFFFFF"/>
            <w:noWrap/>
            <w:vAlign w:val="center"/>
            <w:hideMark/>
          </w:tcPr>
          <w:p w14:paraId="28C2157C"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191</w:t>
            </w:r>
          </w:p>
        </w:tc>
      </w:tr>
      <w:tr w:rsidR="00F64523" w:rsidRPr="00092E33" w14:paraId="7CF04192" w14:textId="77777777" w:rsidTr="004024A0">
        <w:trPr>
          <w:trHeight w:val="287"/>
          <w:jc w:val="center"/>
        </w:trPr>
        <w:tc>
          <w:tcPr>
            <w:tcW w:w="3633" w:type="dxa"/>
            <w:tcBorders>
              <w:top w:val="nil"/>
              <w:left w:val="nil"/>
              <w:bottom w:val="nil"/>
              <w:right w:val="nil"/>
            </w:tcBorders>
            <w:shd w:val="clear" w:color="000000" w:fill="FFFFFF"/>
            <w:vAlign w:val="center"/>
            <w:hideMark/>
          </w:tcPr>
          <w:p w14:paraId="121C884F"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Resultado operativo</w:t>
            </w:r>
          </w:p>
        </w:tc>
        <w:tc>
          <w:tcPr>
            <w:tcW w:w="1713" w:type="dxa"/>
            <w:tcBorders>
              <w:top w:val="nil"/>
              <w:left w:val="nil"/>
              <w:bottom w:val="nil"/>
              <w:right w:val="nil"/>
            </w:tcBorders>
            <w:shd w:val="clear" w:color="000000" w:fill="FFFFFF"/>
            <w:noWrap/>
            <w:vAlign w:val="center"/>
            <w:hideMark/>
          </w:tcPr>
          <w:p w14:paraId="6BA5ED74"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1.802</w:t>
            </w:r>
          </w:p>
        </w:tc>
        <w:tc>
          <w:tcPr>
            <w:tcW w:w="1694" w:type="dxa"/>
            <w:tcBorders>
              <w:top w:val="nil"/>
              <w:left w:val="nil"/>
              <w:bottom w:val="nil"/>
              <w:right w:val="nil"/>
            </w:tcBorders>
            <w:shd w:val="clear" w:color="000000" w:fill="FFFFFF"/>
            <w:noWrap/>
            <w:vAlign w:val="center"/>
            <w:hideMark/>
          </w:tcPr>
          <w:p w14:paraId="5793622A"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(118.909)</w:t>
            </w:r>
          </w:p>
        </w:tc>
        <w:tc>
          <w:tcPr>
            <w:tcW w:w="1713" w:type="dxa"/>
            <w:tcBorders>
              <w:top w:val="nil"/>
              <w:left w:val="nil"/>
              <w:bottom w:val="nil"/>
              <w:right w:val="nil"/>
            </w:tcBorders>
            <w:shd w:val="clear" w:color="000000" w:fill="FFFFFF"/>
            <w:noWrap/>
            <w:vAlign w:val="center"/>
            <w:hideMark/>
          </w:tcPr>
          <w:p w14:paraId="4C29DC2B"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(17.529)</w:t>
            </w:r>
          </w:p>
        </w:tc>
      </w:tr>
      <w:tr w:rsidR="00F64523" w:rsidRPr="00092E33" w14:paraId="49E78DE5" w14:textId="77777777" w:rsidTr="004024A0">
        <w:trPr>
          <w:trHeight w:val="287"/>
          <w:jc w:val="center"/>
        </w:trPr>
        <w:tc>
          <w:tcPr>
            <w:tcW w:w="3633" w:type="dxa"/>
            <w:tcBorders>
              <w:top w:val="nil"/>
              <w:left w:val="nil"/>
              <w:bottom w:val="nil"/>
              <w:right w:val="nil"/>
            </w:tcBorders>
            <w:shd w:val="clear" w:color="000000" w:fill="FFFFFF"/>
            <w:vAlign w:val="center"/>
            <w:hideMark/>
          </w:tcPr>
          <w:p w14:paraId="28108A15"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Resultado antes del impuesto a las ganancias que continúan</w:t>
            </w:r>
          </w:p>
        </w:tc>
        <w:tc>
          <w:tcPr>
            <w:tcW w:w="1713" w:type="dxa"/>
            <w:tcBorders>
              <w:top w:val="nil"/>
              <w:left w:val="nil"/>
              <w:bottom w:val="nil"/>
              <w:right w:val="nil"/>
            </w:tcBorders>
            <w:shd w:val="clear" w:color="000000" w:fill="FFFFFF"/>
            <w:noWrap/>
            <w:vAlign w:val="center"/>
            <w:hideMark/>
          </w:tcPr>
          <w:p w14:paraId="1D8E0DD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107.471</w:t>
            </w:r>
          </w:p>
        </w:tc>
        <w:tc>
          <w:tcPr>
            <w:tcW w:w="1694" w:type="dxa"/>
            <w:tcBorders>
              <w:top w:val="nil"/>
              <w:left w:val="nil"/>
              <w:bottom w:val="nil"/>
              <w:right w:val="nil"/>
            </w:tcBorders>
            <w:shd w:val="clear" w:color="000000" w:fill="FFFFFF"/>
            <w:noWrap/>
            <w:vAlign w:val="center"/>
            <w:hideMark/>
          </w:tcPr>
          <w:p w14:paraId="6DB5AC26"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(245.236)</w:t>
            </w:r>
          </w:p>
        </w:tc>
        <w:tc>
          <w:tcPr>
            <w:tcW w:w="1713" w:type="dxa"/>
            <w:tcBorders>
              <w:top w:val="nil"/>
              <w:left w:val="nil"/>
              <w:bottom w:val="nil"/>
              <w:right w:val="nil"/>
            </w:tcBorders>
            <w:shd w:val="clear" w:color="000000" w:fill="FFFFFF"/>
            <w:noWrap/>
            <w:vAlign w:val="center"/>
            <w:hideMark/>
          </w:tcPr>
          <w:p w14:paraId="6D9A0CBD"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(98.448)</w:t>
            </w:r>
          </w:p>
        </w:tc>
      </w:tr>
      <w:tr w:rsidR="00F64523" w:rsidRPr="00092E33" w14:paraId="7B56FC22" w14:textId="77777777" w:rsidTr="004024A0">
        <w:trPr>
          <w:trHeight w:val="287"/>
          <w:jc w:val="center"/>
        </w:trPr>
        <w:tc>
          <w:tcPr>
            <w:tcW w:w="3633" w:type="dxa"/>
            <w:tcBorders>
              <w:top w:val="nil"/>
              <w:left w:val="nil"/>
              <w:bottom w:val="nil"/>
              <w:right w:val="nil"/>
            </w:tcBorders>
            <w:shd w:val="clear" w:color="000000" w:fill="FFFFFF"/>
            <w:vAlign w:val="center"/>
            <w:hideMark/>
          </w:tcPr>
          <w:p w14:paraId="533B5EEF"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Resultado neto de las actividades que continúan</w:t>
            </w:r>
          </w:p>
        </w:tc>
        <w:tc>
          <w:tcPr>
            <w:tcW w:w="1713" w:type="dxa"/>
            <w:tcBorders>
              <w:top w:val="nil"/>
              <w:left w:val="nil"/>
              <w:bottom w:val="nil"/>
              <w:right w:val="nil"/>
            </w:tcBorders>
            <w:shd w:val="clear" w:color="000000" w:fill="FFFFFF"/>
            <w:noWrap/>
            <w:vAlign w:val="center"/>
            <w:hideMark/>
          </w:tcPr>
          <w:p w14:paraId="27B5E160"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101.489</w:t>
            </w:r>
          </w:p>
        </w:tc>
        <w:tc>
          <w:tcPr>
            <w:tcW w:w="1694" w:type="dxa"/>
            <w:tcBorders>
              <w:top w:val="nil"/>
              <w:left w:val="nil"/>
              <w:bottom w:val="nil"/>
              <w:right w:val="nil"/>
            </w:tcBorders>
            <w:shd w:val="clear" w:color="000000" w:fill="FFFFFF"/>
            <w:noWrap/>
            <w:vAlign w:val="center"/>
            <w:hideMark/>
          </w:tcPr>
          <w:p w14:paraId="0793DE98"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(235.620)</w:t>
            </w:r>
          </w:p>
        </w:tc>
        <w:tc>
          <w:tcPr>
            <w:tcW w:w="1713" w:type="dxa"/>
            <w:tcBorders>
              <w:top w:val="nil"/>
              <w:left w:val="nil"/>
              <w:bottom w:val="nil"/>
              <w:right w:val="nil"/>
            </w:tcBorders>
            <w:shd w:val="clear" w:color="000000" w:fill="FFFFFF"/>
            <w:noWrap/>
            <w:vAlign w:val="center"/>
            <w:hideMark/>
          </w:tcPr>
          <w:p w14:paraId="4ECF21F8"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(96.698)</w:t>
            </w:r>
          </w:p>
        </w:tc>
      </w:tr>
      <w:tr w:rsidR="00F64523" w:rsidRPr="00092E33" w14:paraId="30113CA9" w14:textId="77777777" w:rsidTr="004024A0">
        <w:trPr>
          <w:trHeight w:val="287"/>
          <w:jc w:val="center"/>
        </w:trPr>
        <w:tc>
          <w:tcPr>
            <w:tcW w:w="3633" w:type="dxa"/>
            <w:tcBorders>
              <w:top w:val="nil"/>
              <w:left w:val="nil"/>
              <w:bottom w:val="nil"/>
              <w:right w:val="nil"/>
            </w:tcBorders>
            <w:shd w:val="clear" w:color="000000" w:fill="FFFFFF"/>
            <w:vAlign w:val="center"/>
            <w:hideMark/>
          </w:tcPr>
          <w:p w14:paraId="5313AAC6"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Resultado neto del ejercicio – (Pérdida)</w:t>
            </w:r>
          </w:p>
        </w:tc>
        <w:tc>
          <w:tcPr>
            <w:tcW w:w="1713" w:type="dxa"/>
            <w:tcBorders>
              <w:top w:val="nil"/>
              <w:left w:val="nil"/>
              <w:bottom w:val="nil"/>
              <w:right w:val="nil"/>
            </w:tcBorders>
            <w:shd w:val="clear" w:color="000000" w:fill="FFFFFF"/>
            <w:noWrap/>
            <w:vAlign w:val="center"/>
            <w:hideMark/>
          </w:tcPr>
          <w:p w14:paraId="348B42AD"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101.489</w:t>
            </w:r>
          </w:p>
        </w:tc>
        <w:tc>
          <w:tcPr>
            <w:tcW w:w="1694" w:type="dxa"/>
            <w:tcBorders>
              <w:top w:val="nil"/>
              <w:left w:val="nil"/>
              <w:bottom w:val="nil"/>
              <w:right w:val="nil"/>
            </w:tcBorders>
            <w:shd w:val="clear" w:color="000000" w:fill="FFFFFF"/>
            <w:noWrap/>
            <w:vAlign w:val="center"/>
            <w:hideMark/>
          </w:tcPr>
          <w:p w14:paraId="5D89AB08"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(235.620)</w:t>
            </w:r>
          </w:p>
        </w:tc>
        <w:tc>
          <w:tcPr>
            <w:tcW w:w="1713" w:type="dxa"/>
            <w:tcBorders>
              <w:top w:val="nil"/>
              <w:left w:val="nil"/>
              <w:bottom w:val="nil"/>
              <w:right w:val="nil"/>
            </w:tcBorders>
            <w:shd w:val="clear" w:color="000000" w:fill="FFFFFF"/>
            <w:noWrap/>
            <w:vAlign w:val="center"/>
            <w:hideMark/>
          </w:tcPr>
          <w:p w14:paraId="057336FD"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(96.698)</w:t>
            </w:r>
          </w:p>
        </w:tc>
      </w:tr>
      <w:tr w:rsidR="00F64523" w:rsidRPr="00092E33" w14:paraId="54011511" w14:textId="77777777" w:rsidTr="004024A0">
        <w:trPr>
          <w:trHeight w:val="489"/>
          <w:jc w:val="center"/>
        </w:trPr>
        <w:tc>
          <w:tcPr>
            <w:tcW w:w="3633" w:type="dxa"/>
            <w:tcBorders>
              <w:top w:val="nil"/>
              <w:left w:val="nil"/>
              <w:bottom w:val="nil"/>
              <w:right w:val="nil"/>
            </w:tcBorders>
            <w:shd w:val="clear" w:color="000000" w:fill="FFFFFF"/>
            <w:vAlign w:val="center"/>
            <w:hideMark/>
          </w:tcPr>
          <w:p w14:paraId="2050F47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Componentes de Otro Resultado Integral que se reclasificarán al resultado del ejercicio</w:t>
            </w:r>
          </w:p>
        </w:tc>
        <w:tc>
          <w:tcPr>
            <w:tcW w:w="1713" w:type="dxa"/>
            <w:tcBorders>
              <w:top w:val="nil"/>
              <w:left w:val="nil"/>
              <w:bottom w:val="nil"/>
              <w:right w:val="nil"/>
            </w:tcBorders>
            <w:shd w:val="clear" w:color="000000" w:fill="FFFFFF"/>
            <w:noWrap/>
            <w:vAlign w:val="center"/>
            <w:hideMark/>
          </w:tcPr>
          <w:p w14:paraId="5CBE4CBF" w14:textId="77777777" w:rsidR="00F64523" w:rsidRPr="00092E33" w:rsidRDefault="00F64523" w:rsidP="00F64523">
            <w:pPr>
              <w:spacing w:after="0"/>
              <w:jc w:val="both"/>
              <w:rPr>
                <w:rFonts w:ascii="Times New Roman" w:hAnsi="Times New Roman" w:cs="Times New Roman"/>
                <w:b/>
                <w:bCs/>
                <w:color w:val="000000"/>
                <w:lang w:eastAsia="es-AR"/>
              </w:rPr>
            </w:pPr>
          </w:p>
        </w:tc>
        <w:tc>
          <w:tcPr>
            <w:tcW w:w="1694" w:type="dxa"/>
            <w:tcBorders>
              <w:top w:val="nil"/>
              <w:left w:val="nil"/>
              <w:bottom w:val="nil"/>
              <w:right w:val="nil"/>
            </w:tcBorders>
            <w:shd w:val="clear" w:color="000000" w:fill="FFFFFF"/>
            <w:noWrap/>
            <w:vAlign w:val="center"/>
            <w:hideMark/>
          </w:tcPr>
          <w:p w14:paraId="0B930FFC" w14:textId="77777777" w:rsidR="00F64523" w:rsidRPr="00092E33" w:rsidRDefault="00F64523" w:rsidP="00F64523">
            <w:pPr>
              <w:spacing w:after="0"/>
              <w:jc w:val="both"/>
              <w:rPr>
                <w:rFonts w:ascii="Times New Roman" w:hAnsi="Times New Roman" w:cs="Times New Roman"/>
                <w:b/>
                <w:bCs/>
                <w:color w:val="000000"/>
                <w:lang w:eastAsia="es-AR"/>
              </w:rPr>
            </w:pPr>
          </w:p>
        </w:tc>
        <w:tc>
          <w:tcPr>
            <w:tcW w:w="1713" w:type="dxa"/>
            <w:tcBorders>
              <w:top w:val="nil"/>
              <w:left w:val="nil"/>
              <w:bottom w:val="nil"/>
              <w:right w:val="nil"/>
            </w:tcBorders>
            <w:shd w:val="clear" w:color="000000" w:fill="FFFFFF"/>
            <w:noWrap/>
            <w:vAlign w:val="center"/>
            <w:hideMark/>
          </w:tcPr>
          <w:p w14:paraId="23D8ECCC" w14:textId="77777777" w:rsidR="00F64523" w:rsidRPr="00092E33" w:rsidRDefault="00F64523" w:rsidP="00F64523">
            <w:pPr>
              <w:spacing w:after="0"/>
              <w:jc w:val="both"/>
              <w:rPr>
                <w:rFonts w:ascii="Times New Roman" w:hAnsi="Times New Roman" w:cs="Times New Roman"/>
                <w:b/>
                <w:bCs/>
                <w:color w:val="000000"/>
                <w:lang w:eastAsia="es-AR"/>
              </w:rPr>
            </w:pPr>
          </w:p>
        </w:tc>
      </w:tr>
      <w:tr w:rsidR="00F64523" w:rsidRPr="00092E33" w14:paraId="114488A0" w14:textId="77777777" w:rsidTr="004024A0">
        <w:trPr>
          <w:trHeight w:val="287"/>
          <w:jc w:val="center"/>
        </w:trPr>
        <w:tc>
          <w:tcPr>
            <w:tcW w:w="3633" w:type="dxa"/>
            <w:tcBorders>
              <w:top w:val="nil"/>
              <w:left w:val="nil"/>
              <w:bottom w:val="nil"/>
              <w:right w:val="nil"/>
            </w:tcBorders>
            <w:shd w:val="clear" w:color="000000" w:fill="FFFFFF"/>
            <w:vAlign w:val="center"/>
            <w:hideMark/>
          </w:tcPr>
          <w:p w14:paraId="4892078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3" w:type="dxa"/>
            <w:tcBorders>
              <w:top w:val="nil"/>
              <w:left w:val="nil"/>
              <w:bottom w:val="nil"/>
              <w:right w:val="nil"/>
            </w:tcBorders>
            <w:shd w:val="clear" w:color="000000" w:fill="FFFFFF"/>
            <w:noWrap/>
            <w:vAlign w:val="center"/>
            <w:hideMark/>
          </w:tcPr>
          <w:p w14:paraId="25381539" w14:textId="77777777" w:rsidR="00F64523" w:rsidRPr="00092E33" w:rsidRDefault="00F64523" w:rsidP="00F64523">
            <w:pPr>
              <w:spacing w:after="0"/>
              <w:jc w:val="both"/>
              <w:rPr>
                <w:rFonts w:ascii="Times New Roman" w:hAnsi="Times New Roman" w:cs="Times New Roman"/>
                <w:color w:val="000000"/>
                <w:lang w:eastAsia="es-AR"/>
              </w:rPr>
            </w:pPr>
          </w:p>
        </w:tc>
        <w:tc>
          <w:tcPr>
            <w:tcW w:w="1694" w:type="dxa"/>
            <w:tcBorders>
              <w:top w:val="nil"/>
              <w:left w:val="nil"/>
              <w:bottom w:val="nil"/>
              <w:right w:val="nil"/>
            </w:tcBorders>
            <w:shd w:val="clear" w:color="000000" w:fill="FFFFFF"/>
            <w:noWrap/>
            <w:vAlign w:val="center"/>
            <w:hideMark/>
          </w:tcPr>
          <w:p w14:paraId="7392E83F" w14:textId="77777777" w:rsidR="00F64523" w:rsidRPr="00092E33" w:rsidRDefault="00F64523" w:rsidP="00F64523">
            <w:pPr>
              <w:spacing w:after="0"/>
              <w:jc w:val="both"/>
              <w:rPr>
                <w:rFonts w:ascii="Times New Roman" w:hAnsi="Times New Roman" w:cs="Times New Roman"/>
                <w:color w:val="000000"/>
                <w:lang w:eastAsia="es-AR"/>
              </w:rPr>
            </w:pPr>
          </w:p>
        </w:tc>
        <w:tc>
          <w:tcPr>
            <w:tcW w:w="1713" w:type="dxa"/>
            <w:tcBorders>
              <w:top w:val="nil"/>
              <w:left w:val="nil"/>
              <w:bottom w:val="nil"/>
              <w:right w:val="nil"/>
            </w:tcBorders>
            <w:shd w:val="clear" w:color="000000" w:fill="FFFFFF"/>
            <w:noWrap/>
            <w:vAlign w:val="center"/>
            <w:hideMark/>
          </w:tcPr>
          <w:p w14:paraId="65E4B018" w14:textId="77777777" w:rsidR="00F64523" w:rsidRPr="00092E33" w:rsidRDefault="00F64523" w:rsidP="00F64523">
            <w:pPr>
              <w:spacing w:after="0"/>
              <w:jc w:val="both"/>
              <w:rPr>
                <w:rFonts w:ascii="Times New Roman" w:hAnsi="Times New Roman" w:cs="Times New Roman"/>
                <w:color w:val="000000"/>
                <w:lang w:eastAsia="es-AR"/>
              </w:rPr>
            </w:pPr>
          </w:p>
        </w:tc>
      </w:tr>
      <w:tr w:rsidR="00F64523" w:rsidRPr="00092E33" w14:paraId="092AFBDE" w14:textId="77777777" w:rsidTr="004024A0">
        <w:trPr>
          <w:trHeight w:val="287"/>
          <w:jc w:val="center"/>
        </w:trPr>
        <w:tc>
          <w:tcPr>
            <w:tcW w:w="3633" w:type="dxa"/>
            <w:tcBorders>
              <w:top w:val="nil"/>
              <w:left w:val="nil"/>
              <w:bottom w:val="nil"/>
              <w:right w:val="nil"/>
            </w:tcBorders>
            <w:shd w:val="clear" w:color="000000" w:fill="FFFFFF"/>
            <w:vAlign w:val="center"/>
            <w:hideMark/>
          </w:tcPr>
          <w:p w14:paraId="0D3A17ED" w14:textId="77777777" w:rsidR="00F64523" w:rsidRPr="00092E33" w:rsidRDefault="00F64523" w:rsidP="00F64523">
            <w:pPr>
              <w:spacing w:after="0"/>
              <w:jc w:val="both"/>
              <w:rPr>
                <w:rFonts w:ascii="Times New Roman" w:hAnsi="Times New Roman" w:cs="Times New Roman"/>
                <w:b/>
                <w:bCs/>
                <w:color w:val="000000"/>
                <w:lang w:eastAsia="es-AR"/>
              </w:rPr>
            </w:pPr>
            <w:proofErr w:type="gramStart"/>
            <w:r w:rsidRPr="00092E33">
              <w:rPr>
                <w:rFonts w:ascii="Times New Roman" w:hAnsi="Times New Roman" w:cs="Times New Roman"/>
                <w:b/>
                <w:bCs/>
                <w:color w:val="000000"/>
                <w:lang w:eastAsia="es-AR"/>
              </w:rPr>
              <w:t>Total</w:t>
            </w:r>
            <w:proofErr w:type="gramEnd"/>
            <w:r w:rsidRPr="00092E33">
              <w:rPr>
                <w:rFonts w:ascii="Times New Roman" w:hAnsi="Times New Roman" w:cs="Times New Roman"/>
                <w:b/>
                <w:bCs/>
                <w:color w:val="000000"/>
                <w:lang w:eastAsia="es-AR"/>
              </w:rPr>
              <w:t xml:space="preserve"> ORI que se reclasificará al resultado del ejercicio</w:t>
            </w:r>
          </w:p>
        </w:tc>
        <w:tc>
          <w:tcPr>
            <w:tcW w:w="1713" w:type="dxa"/>
            <w:tcBorders>
              <w:top w:val="nil"/>
              <w:left w:val="nil"/>
              <w:bottom w:val="nil"/>
              <w:right w:val="nil"/>
            </w:tcBorders>
            <w:shd w:val="clear" w:color="000000" w:fill="FFFFFF"/>
            <w:noWrap/>
            <w:vAlign w:val="center"/>
            <w:hideMark/>
          </w:tcPr>
          <w:p w14:paraId="08B4A29D"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w:t>
            </w:r>
          </w:p>
        </w:tc>
        <w:tc>
          <w:tcPr>
            <w:tcW w:w="1694" w:type="dxa"/>
            <w:tcBorders>
              <w:top w:val="nil"/>
              <w:left w:val="nil"/>
              <w:bottom w:val="nil"/>
              <w:right w:val="nil"/>
            </w:tcBorders>
            <w:shd w:val="clear" w:color="000000" w:fill="FFFFFF"/>
            <w:noWrap/>
            <w:vAlign w:val="center"/>
            <w:hideMark/>
          </w:tcPr>
          <w:p w14:paraId="14CF076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(23.926)</w:t>
            </w:r>
          </w:p>
        </w:tc>
        <w:tc>
          <w:tcPr>
            <w:tcW w:w="1713" w:type="dxa"/>
            <w:tcBorders>
              <w:top w:val="nil"/>
              <w:left w:val="nil"/>
              <w:bottom w:val="nil"/>
              <w:right w:val="nil"/>
            </w:tcBorders>
            <w:shd w:val="clear" w:color="000000" w:fill="FFFFFF"/>
            <w:noWrap/>
            <w:vAlign w:val="center"/>
            <w:hideMark/>
          </w:tcPr>
          <w:p w14:paraId="655BADE4"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55.378</w:t>
            </w:r>
          </w:p>
        </w:tc>
      </w:tr>
      <w:tr w:rsidR="00F64523" w:rsidRPr="00092E33" w14:paraId="630A1F12" w14:textId="77777777" w:rsidTr="004024A0">
        <w:trPr>
          <w:trHeight w:val="287"/>
          <w:jc w:val="center"/>
        </w:trPr>
        <w:tc>
          <w:tcPr>
            <w:tcW w:w="3633" w:type="dxa"/>
            <w:tcBorders>
              <w:top w:val="nil"/>
              <w:left w:val="nil"/>
              <w:bottom w:val="nil"/>
              <w:right w:val="nil"/>
            </w:tcBorders>
            <w:shd w:val="clear" w:color="000000" w:fill="FFFFFF"/>
            <w:vAlign w:val="center"/>
            <w:hideMark/>
          </w:tcPr>
          <w:p w14:paraId="510D26A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3" w:type="dxa"/>
            <w:tcBorders>
              <w:top w:val="nil"/>
              <w:left w:val="nil"/>
              <w:bottom w:val="nil"/>
              <w:right w:val="nil"/>
            </w:tcBorders>
            <w:shd w:val="clear" w:color="000000" w:fill="FFFFFF"/>
            <w:noWrap/>
            <w:vAlign w:val="center"/>
            <w:hideMark/>
          </w:tcPr>
          <w:p w14:paraId="00918914" w14:textId="77777777" w:rsidR="00F64523" w:rsidRPr="00092E33" w:rsidRDefault="00F64523" w:rsidP="00F64523">
            <w:pPr>
              <w:spacing w:after="0"/>
              <w:jc w:val="both"/>
              <w:rPr>
                <w:rFonts w:ascii="Times New Roman" w:hAnsi="Times New Roman" w:cs="Times New Roman"/>
                <w:color w:val="000000"/>
                <w:lang w:eastAsia="es-AR"/>
              </w:rPr>
            </w:pPr>
          </w:p>
        </w:tc>
        <w:tc>
          <w:tcPr>
            <w:tcW w:w="1694" w:type="dxa"/>
            <w:tcBorders>
              <w:top w:val="nil"/>
              <w:left w:val="nil"/>
              <w:bottom w:val="nil"/>
              <w:right w:val="nil"/>
            </w:tcBorders>
            <w:shd w:val="clear" w:color="000000" w:fill="FFFFFF"/>
            <w:noWrap/>
            <w:vAlign w:val="center"/>
            <w:hideMark/>
          </w:tcPr>
          <w:p w14:paraId="6A4469A7" w14:textId="77777777" w:rsidR="00F64523" w:rsidRPr="00092E33" w:rsidRDefault="00F64523" w:rsidP="00F64523">
            <w:pPr>
              <w:spacing w:after="0"/>
              <w:jc w:val="both"/>
              <w:rPr>
                <w:rFonts w:ascii="Times New Roman" w:hAnsi="Times New Roman" w:cs="Times New Roman"/>
                <w:color w:val="000000"/>
                <w:lang w:eastAsia="es-AR"/>
              </w:rPr>
            </w:pPr>
          </w:p>
        </w:tc>
        <w:tc>
          <w:tcPr>
            <w:tcW w:w="1713" w:type="dxa"/>
            <w:tcBorders>
              <w:top w:val="nil"/>
              <w:left w:val="nil"/>
              <w:bottom w:val="nil"/>
              <w:right w:val="nil"/>
            </w:tcBorders>
            <w:shd w:val="clear" w:color="000000" w:fill="FFFFFF"/>
            <w:noWrap/>
            <w:vAlign w:val="center"/>
            <w:hideMark/>
          </w:tcPr>
          <w:p w14:paraId="5D961E02" w14:textId="77777777" w:rsidR="00F64523" w:rsidRPr="00092E33" w:rsidRDefault="00F64523" w:rsidP="00F64523">
            <w:pPr>
              <w:spacing w:after="0"/>
              <w:jc w:val="both"/>
              <w:rPr>
                <w:rFonts w:ascii="Times New Roman" w:hAnsi="Times New Roman" w:cs="Times New Roman"/>
                <w:color w:val="000000"/>
                <w:lang w:eastAsia="es-AR"/>
              </w:rPr>
            </w:pPr>
          </w:p>
        </w:tc>
      </w:tr>
      <w:tr w:rsidR="00F64523" w:rsidRPr="00092E33" w14:paraId="251CA149" w14:textId="77777777" w:rsidTr="004024A0">
        <w:trPr>
          <w:trHeight w:val="287"/>
          <w:jc w:val="center"/>
        </w:trPr>
        <w:tc>
          <w:tcPr>
            <w:tcW w:w="3633" w:type="dxa"/>
            <w:tcBorders>
              <w:top w:val="nil"/>
              <w:left w:val="nil"/>
              <w:bottom w:val="nil"/>
              <w:right w:val="nil"/>
            </w:tcBorders>
            <w:shd w:val="clear" w:color="000000" w:fill="FFFFFF"/>
            <w:vAlign w:val="center"/>
            <w:hideMark/>
          </w:tcPr>
          <w:p w14:paraId="1656E868" w14:textId="77777777" w:rsidR="00F64523" w:rsidRPr="00092E33" w:rsidRDefault="00F64523" w:rsidP="00F64523">
            <w:pPr>
              <w:spacing w:after="0"/>
              <w:jc w:val="both"/>
              <w:rPr>
                <w:rFonts w:ascii="Times New Roman" w:hAnsi="Times New Roman" w:cs="Times New Roman"/>
                <w:b/>
                <w:bCs/>
                <w:color w:val="000000"/>
                <w:lang w:eastAsia="es-AR"/>
              </w:rPr>
            </w:pPr>
            <w:proofErr w:type="gramStart"/>
            <w:r w:rsidRPr="00092E33">
              <w:rPr>
                <w:rFonts w:ascii="Times New Roman" w:hAnsi="Times New Roman" w:cs="Times New Roman"/>
                <w:b/>
                <w:bCs/>
                <w:color w:val="000000"/>
                <w:lang w:eastAsia="es-AR"/>
              </w:rPr>
              <w:t>Total</w:t>
            </w:r>
            <w:proofErr w:type="gramEnd"/>
            <w:r w:rsidRPr="00092E33">
              <w:rPr>
                <w:rFonts w:ascii="Times New Roman" w:hAnsi="Times New Roman" w:cs="Times New Roman"/>
                <w:b/>
                <w:bCs/>
                <w:color w:val="000000"/>
                <w:lang w:eastAsia="es-AR"/>
              </w:rPr>
              <w:t xml:space="preserve"> otro resultado integral del ejercicio</w:t>
            </w:r>
          </w:p>
        </w:tc>
        <w:tc>
          <w:tcPr>
            <w:tcW w:w="1713" w:type="dxa"/>
            <w:tcBorders>
              <w:top w:val="nil"/>
              <w:left w:val="nil"/>
              <w:bottom w:val="single" w:sz="4" w:space="0" w:color="auto"/>
              <w:right w:val="nil"/>
            </w:tcBorders>
            <w:shd w:val="clear" w:color="000000" w:fill="FFFFFF"/>
            <w:noWrap/>
            <w:vAlign w:val="center"/>
            <w:hideMark/>
          </w:tcPr>
          <w:p w14:paraId="1F1EA2B8"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w:t>
            </w:r>
          </w:p>
        </w:tc>
        <w:tc>
          <w:tcPr>
            <w:tcW w:w="1694" w:type="dxa"/>
            <w:tcBorders>
              <w:top w:val="nil"/>
              <w:left w:val="nil"/>
              <w:bottom w:val="nil"/>
              <w:right w:val="nil"/>
            </w:tcBorders>
            <w:shd w:val="clear" w:color="000000" w:fill="FFFFFF"/>
            <w:noWrap/>
            <w:vAlign w:val="center"/>
            <w:hideMark/>
          </w:tcPr>
          <w:p w14:paraId="75552483" w14:textId="77777777" w:rsidR="00F64523" w:rsidRPr="00092E33" w:rsidRDefault="00F64523" w:rsidP="00F64523">
            <w:pPr>
              <w:spacing w:after="0"/>
              <w:jc w:val="both"/>
              <w:rPr>
                <w:rFonts w:ascii="Times New Roman" w:hAnsi="Times New Roman" w:cs="Times New Roman"/>
                <w:b/>
                <w:bCs/>
                <w:color w:val="000000"/>
                <w:u w:val="single"/>
                <w:lang w:eastAsia="es-AR"/>
              </w:rPr>
            </w:pPr>
            <w:r w:rsidRPr="00092E33">
              <w:rPr>
                <w:rFonts w:ascii="Times New Roman" w:hAnsi="Times New Roman" w:cs="Times New Roman"/>
                <w:b/>
                <w:bCs/>
                <w:color w:val="000000"/>
                <w:u w:val="single"/>
                <w:lang w:eastAsia="es-AR"/>
              </w:rPr>
              <w:t>(23.926)</w:t>
            </w:r>
          </w:p>
        </w:tc>
        <w:tc>
          <w:tcPr>
            <w:tcW w:w="1713" w:type="dxa"/>
            <w:tcBorders>
              <w:top w:val="nil"/>
              <w:left w:val="nil"/>
              <w:bottom w:val="nil"/>
              <w:right w:val="nil"/>
            </w:tcBorders>
            <w:shd w:val="clear" w:color="000000" w:fill="FFFFFF"/>
            <w:noWrap/>
            <w:vAlign w:val="center"/>
            <w:hideMark/>
          </w:tcPr>
          <w:p w14:paraId="5E66B438" w14:textId="77777777" w:rsidR="00F64523" w:rsidRPr="00092E33" w:rsidRDefault="00F64523" w:rsidP="00F64523">
            <w:pPr>
              <w:spacing w:after="0"/>
              <w:jc w:val="both"/>
              <w:rPr>
                <w:rFonts w:ascii="Times New Roman" w:hAnsi="Times New Roman" w:cs="Times New Roman"/>
                <w:b/>
                <w:bCs/>
                <w:color w:val="000000"/>
                <w:u w:val="single"/>
                <w:lang w:eastAsia="es-AR"/>
              </w:rPr>
            </w:pPr>
            <w:r w:rsidRPr="00092E33">
              <w:rPr>
                <w:rFonts w:ascii="Times New Roman" w:hAnsi="Times New Roman" w:cs="Times New Roman"/>
                <w:b/>
                <w:bCs/>
                <w:color w:val="000000"/>
                <w:u w:val="single"/>
                <w:lang w:eastAsia="es-AR"/>
              </w:rPr>
              <w:t>55.378</w:t>
            </w:r>
          </w:p>
        </w:tc>
      </w:tr>
      <w:tr w:rsidR="00F64523" w:rsidRPr="00092E33" w14:paraId="061F7BA5" w14:textId="77777777" w:rsidTr="004024A0">
        <w:trPr>
          <w:trHeight w:val="287"/>
          <w:jc w:val="center"/>
        </w:trPr>
        <w:tc>
          <w:tcPr>
            <w:tcW w:w="3633" w:type="dxa"/>
            <w:tcBorders>
              <w:top w:val="nil"/>
              <w:left w:val="nil"/>
              <w:bottom w:val="nil"/>
              <w:right w:val="nil"/>
            </w:tcBorders>
            <w:shd w:val="clear" w:color="000000" w:fill="FFFFFF"/>
            <w:vAlign w:val="center"/>
            <w:hideMark/>
          </w:tcPr>
          <w:p w14:paraId="5664384C"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Resultado integral total – (Pérdida)</w:t>
            </w:r>
          </w:p>
        </w:tc>
        <w:tc>
          <w:tcPr>
            <w:tcW w:w="1713" w:type="dxa"/>
            <w:tcBorders>
              <w:top w:val="nil"/>
              <w:left w:val="nil"/>
              <w:bottom w:val="nil"/>
              <w:right w:val="nil"/>
            </w:tcBorders>
            <w:shd w:val="clear" w:color="000000" w:fill="FFFFFF"/>
            <w:noWrap/>
            <w:vAlign w:val="center"/>
            <w:hideMark/>
          </w:tcPr>
          <w:p w14:paraId="5DD0A016"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101.489</w:t>
            </w:r>
          </w:p>
        </w:tc>
        <w:tc>
          <w:tcPr>
            <w:tcW w:w="1694" w:type="dxa"/>
            <w:tcBorders>
              <w:top w:val="nil"/>
              <w:left w:val="nil"/>
              <w:bottom w:val="nil"/>
              <w:right w:val="nil"/>
            </w:tcBorders>
            <w:shd w:val="clear" w:color="000000" w:fill="FFFFFF"/>
            <w:noWrap/>
            <w:vAlign w:val="center"/>
            <w:hideMark/>
          </w:tcPr>
          <w:p w14:paraId="279A5C16"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(259.546)</w:t>
            </w:r>
          </w:p>
        </w:tc>
        <w:tc>
          <w:tcPr>
            <w:tcW w:w="1713" w:type="dxa"/>
            <w:tcBorders>
              <w:top w:val="nil"/>
              <w:left w:val="nil"/>
              <w:bottom w:val="nil"/>
              <w:right w:val="nil"/>
            </w:tcBorders>
            <w:shd w:val="clear" w:color="000000" w:fill="FFFFFF"/>
            <w:noWrap/>
            <w:vAlign w:val="center"/>
            <w:hideMark/>
          </w:tcPr>
          <w:p w14:paraId="67CB87A4"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(41.320)</w:t>
            </w:r>
          </w:p>
        </w:tc>
      </w:tr>
    </w:tbl>
    <w:p w14:paraId="00D70CFC" w14:textId="77777777" w:rsidR="00F64523" w:rsidRPr="00092E33" w:rsidRDefault="00F64523" w:rsidP="00F64523">
      <w:pPr>
        <w:spacing w:after="0" w:line="200" w:lineRule="exact"/>
        <w:jc w:val="both"/>
        <w:rPr>
          <w:rFonts w:ascii="Times New Roman" w:hAnsi="Times New Roman" w:cs="Times New Roman"/>
        </w:rPr>
      </w:pPr>
    </w:p>
    <w:p w14:paraId="5519E12F" w14:textId="77777777" w:rsidR="00F64523" w:rsidRPr="00092E33" w:rsidRDefault="00F64523" w:rsidP="00F64523">
      <w:pPr>
        <w:spacing w:after="0" w:line="220" w:lineRule="exact"/>
        <w:jc w:val="both"/>
        <w:rPr>
          <w:rFonts w:ascii="Times New Roman" w:hAnsi="Times New Roman" w:cs="Times New Roman"/>
        </w:rPr>
      </w:pPr>
    </w:p>
    <w:p w14:paraId="5CE0A669" w14:textId="77777777" w:rsidR="00F64523" w:rsidRPr="00092E33" w:rsidRDefault="00F64523" w:rsidP="00F64523">
      <w:pPr>
        <w:spacing w:after="0" w:line="220" w:lineRule="exact"/>
        <w:jc w:val="both"/>
        <w:rPr>
          <w:rFonts w:ascii="Times New Roman" w:hAnsi="Times New Roman" w:cs="Times New Roman"/>
        </w:rPr>
      </w:pPr>
    </w:p>
    <w:tbl>
      <w:tblPr>
        <w:tblW w:w="8942" w:type="dxa"/>
        <w:jc w:val="center"/>
        <w:tblCellMar>
          <w:left w:w="70" w:type="dxa"/>
          <w:right w:w="70" w:type="dxa"/>
        </w:tblCellMar>
        <w:tblLook w:val="04A0" w:firstRow="1" w:lastRow="0" w:firstColumn="1" w:lastColumn="0" w:noHBand="0" w:noVBand="1"/>
      </w:tblPr>
      <w:tblGrid>
        <w:gridCol w:w="4203"/>
        <w:gridCol w:w="1527"/>
        <w:gridCol w:w="1527"/>
        <w:gridCol w:w="1507"/>
        <w:gridCol w:w="195"/>
      </w:tblGrid>
      <w:tr w:rsidR="00F64523" w:rsidRPr="00092E33" w14:paraId="538C0D41" w14:textId="77777777" w:rsidTr="004024A0">
        <w:trPr>
          <w:trHeight w:val="318"/>
          <w:jc w:val="center"/>
        </w:trPr>
        <w:tc>
          <w:tcPr>
            <w:tcW w:w="8942" w:type="dxa"/>
            <w:gridSpan w:val="5"/>
            <w:tcBorders>
              <w:top w:val="nil"/>
              <w:left w:val="nil"/>
              <w:bottom w:val="nil"/>
              <w:right w:val="nil"/>
            </w:tcBorders>
            <w:shd w:val="clear" w:color="000000" w:fill="FFFFFF"/>
            <w:noWrap/>
            <w:vAlign w:val="center"/>
            <w:hideMark/>
          </w:tcPr>
          <w:p w14:paraId="315CE363"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ESTRUCTURA ESTADO DE FLUJO DE EFECTIVO SEPARADO</w:t>
            </w:r>
          </w:p>
        </w:tc>
      </w:tr>
      <w:tr w:rsidR="00F64523" w:rsidRPr="00092E33" w14:paraId="7D6C0DE5" w14:textId="77777777" w:rsidTr="004024A0">
        <w:trPr>
          <w:trHeight w:val="289"/>
          <w:jc w:val="center"/>
        </w:trPr>
        <w:tc>
          <w:tcPr>
            <w:tcW w:w="8942" w:type="dxa"/>
            <w:gridSpan w:val="5"/>
            <w:tcBorders>
              <w:top w:val="nil"/>
              <w:left w:val="nil"/>
              <w:bottom w:val="nil"/>
              <w:right w:val="nil"/>
            </w:tcBorders>
            <w:shd w:val="clear" w:color="000000" w:fill="FFFFFF"/>
            <w:noWrap/>
            <w:vAlign w:val="center"/>
            <w:hideMark/>
          </w:tcPr>
          <w:p w14:paraId="3EE54A9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Cifras expresadas en miles de pesos</w:t>
            </w:r>
          </w:p>
        </w:tc>
      </w:tr>
      <w:tr w:rsidR="00F64523" w:rsidRPr="00092E33" w14:paraId="18FA8E13" w14:textId="77777777" w:rsidTr="004024A0">
        <w:trPr>
          <w:trHeight w:val="289"/>
          <w:jc w:val="center"/>
        </w:trPr>
        <w:tc>
          <w:tcPr>
            <w:tcW w:w="4203" w:type="dxa"/>
            <w:tcBorders>
              <w:top w:val="nil"/>
              <w:left w:val="nil"/>
              <w:bottom w:val="nil"/>
              <w:right w:val="nil"/>
            </w:tcBorders>
            <w:shd w:val="clear" w:color="000000" w:fill="FFFFFF"/>
            <w:noWrap/>
            <w:vAlign w:val="center"/>
            <w:hideMark/>
          </w:tcPr>
          <w:p w14:paraId="355E187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27" w:type="dxa"/>
            <w:tcBorders>
              <w:top w:val="nil"/>
              <w:left w:val="nil"/>
              <w:right w:val="nil"/>
            </w:tcBorders>
            <w:shd w:val="clear" w:color="000000" w:fill="FFFFFF"/>
            <w:noWrap/>
            <w:vAlign w:val="center"/>
            <w:hideMark/>
          </w:tcPr>
          <w:p w14:paraId="75DDFE1F" w14:textId="77777777" w:rsidR="00F64523" w:rsidRPr="00092E33" w:rsidRDefault="00F64523" w:rsidP="00F64523">
            <w:pPr>
              <w:spacing w:after="0"/>
              <w:jc w:val="both"/>
              <w:rPr>
                <w:rFonts w:ascii="Times New Roman" w:hAnsi="Times New Roman" w:cs="Times New Roman"/>
                <w:color w:val="000000"/>
                <w:lang w:eastAsia="es-AR"/>
              </w:rPr>
            </w:pPr>
          </w:p>
        </w:tc>
        <w:tc>
          <w:tcPr>
            <w:tcW w:w="1527" w:type="dxa"/>
            <w:tcBorders>
              <w:top w:val="nil"/>
              <w:left w:val="nil"/>
              <w:bottom w:val="nil"/>
              <w:right w:val="nil"/>
            </w:tcBorders>
            <w:shd w:val="clear" w:color="000000" w:fill="FFFFFF"/>
            <w:noWrap/>
            <w:vAlign w:val="center"/>
            <w:hideMark/>
          </w:tcPr>
          <w:p w14:paraId="606AEA7D" w14:textId="77777777" w:rsidR="00F64523" w:rsidRPr="00092E33" w:rsidRDefault="00F64523" w:rsidP="00F64523">
            <w:pPr>
              <w:spacing w:after="0"/>
              <w:jc w:val="both"/>
              <w:rPr>
                <w:rFonts w:ascii="Times New Roman" w:hAnsi="Times New Roman" w:cs="Times New Roman"/>
                <w:color w:val="000000"/>
                <w:lang w:eastAsia="es-AR"/>
              </w:rPr>
            </w:pPr>
          </w:p>
        </w:tc>
        <w:tc>
          <w:tcPr>
            <w:tcW w:w="1507" w:type="dxa"/>
            <w:tcBorders>
              <w:top w:val="nil"/>
              <w:left w:val="nil"/>
              <w:bottom w:val="nil"/>
              <w:right w:val="nil"/>
            </w:tcBorders>
            <w:shd w:val="clear" w:color="000000" w:fill="FFFFFF"/>
            <w:noWrap/>
            <w:vAlign w:val="center"/>
            <w:hideMark/>
          </w:tcPr>
          <w:p w14:paraId="00B2A7BD" w14:textId="77777777" w:rsidR="00F64523" w:rsidRPr="00092E33" w:rsidRDefault="00F64523" w:rsidP="00F64523">
            <w:pPr>
              <w:spacing w:after="0"/>
              <w:jc w:val="both"/>
              <w:rPr>
                <w:rFonts w:ascii="Times New Roman" w:hAnsi="Times New Roman" w:cs="Times New Roman"/>
                <w:color w:val="000000"/>
                <w:lang w:eastAsia="es-AR"/>
              </w:rPr>
            </w:pPr>
          </w:p>
        </w:tc>
        <w:tc>
          <w:tcPr>
            <w:tcW w:w="176" w:type="dxa"/>
            <w:tcBorders>
              <w:top w:val="nil"/>
              <w:left w:val="nil"/>
              <w:bottom w:val="nil"/>
              <w:right w:val="nil"/>
            </w:tcBorders>
            <w:shd w:val="clear" w:color="000000" w:fill="FFFFFF"/>
            <w:noWrap/>
            <w:vAlign w:val="center"/>
            <w:hideMark/>
          </w:tcPr>
          <w:p w14:paraId="60D9A77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82D5BE3" w14:textId="77777777" w:rsidTr="004024A0">
        <w:trPr>
          <w:trHeight w:val="289"/>
          <w:jc w:val="center"/>
        </w:trPr>
        <w:tc>
          <w:tcPr>
            <w:tcW w:w="4203" w:type="dxa"/>
            <w:tcBorders>
              <w:top w:val="nil"/>
              <w:left w:val="nil"/>
              <w:bottom w:val="nil"/>
              <w:right w:val="nil"/>
            </w:tcBorders>
            <w:shd w:val="clear" w:color="000000" w:fill="FFFFFF"/>
            <w:noWrap/>
            <w:vAlign w:val="center"/>
            <w:hideMark/>
          </w:tcPr>
          <w:p w14:paraId="5F2927E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27" w:type="dxa"/>
            <w:tcBorders>
              <w:top w:val="nil"/>
              <w:left w:val="nil"/>
              <w:bottom w:val="nil"/>
              <w:right w:val="nil"/>
            </w:tcBorders>
            <w:shd w:val="clear" w:color="000000" w:fill="FFFFFF"/>
            <w:noWrap/>
            <w:vAlign w:val="center"/>
            <w:hideMark/>
          </w:tcPr>
          <w:p w14:paraId="48ED6B57" w14:textId="77777777" w:rsidR="00F64523" w:rsidRPr="00092E33" w:rsidRDefault="00F64523" w:rsidP="00F64523">
            <w:pPr>
              <w:spacing w:after="0"/>
              <w:jc w:val="both"/>
              <w:rPr>
                <w:rFonts w:ascii="Times New Roman" w:hAnsi="Times New Roman" w:cs="Times New Roman"/>
                <w:b/>
                <w:bCs/>
                <w:u w:val="single"/>
                <w:lang w:eastAsia="es-AR"/>
              </w:rPr>
            </w:pPr>
            <w:r w:rsidRPr="00092E33">
              <w:rPr>
                <w:rFonts w:ascii="Times New Roman" w:hAnsi="Times New Roman" w:cs="Times New Roman"/>
                <w:b/>
                <w:bCs/>
                <w:u w:val="single"/>
                <w:lang w:eastAsia="es-AR"/>
              </w:rPr>
              <w:t>31/12/2019</w:t>
            </w:r>
          </w:p>
        </w:tc>
        <w:tc>
          <w:tcPr>
            <w:tcW w:w="1527" w:type="dxa"/>
            <w:tcBorders>
              <w:top w:val="nil"/>
              <w:left w:val="nil"/>
              <w:bottom w:val="nil"/>
              <w:right w:val="nil"/>
            </w:tcBorders>
            <w:shd w:val="clear" w:color="000000" w:fill="FFFFFF"/>
            <w:noWrap/>
            <w:vAlign w:val="center"/>
            <w:hideMark/>
          </w:tcPr>
          <w:p w14:paraId="573BC3F1" w14:textId="77777777" w:rsidR="00F64523" w:rsidRPr="00092E33" w:rsidRDefault="00F64523" w:rsidP="00F64523">
            <w:pPr>
              <w:spacing w:after="0"/>
              <w:jc w:val="both"/>
              <w:rPr>
                <w:rFonts w:ascii="Times New Roman" w:hAnsi="Times New Roman" w:cs="Times New Roman"/>
                <w:b/>
                <w:bCs/>
                <w:u w:val="single"/>
                <w:lang w:eastAsia="es-AR"/>
              </w:rPr>
            </w:pPr>
            <w:r w:rsidRPr="00092E33">
              <w:rPr>
                <w:rFonts w:ascii="Times New Roman" w:hAnsi="Times New Roman" w:cs="Times New Roman"/>
                <w:b/>
                <w:bCs/>
                <w:u w:val="single"/>
                <w:lang w:eastAsia="es-AR"/>
              </w:rPr>
              <w:t>31/12/2018</w:t>
            </w:r>
          </w:p>
        </w:tc>
        <w:tc>
          <w:tcPr>
            <w:tcW w:w="1507" w:type="dxa"/>
            <w:tcBorders>
              <w:top w:val="nil"/>
              <w:left w:val="nil"/>
              <w:bottom w:val="nil"/>
              <w:right w:val="nil"/>
            </w:tcBorders>
            <w:shd w:val="clear" w:color="000000" w:fill="FFFFFF"/>
            <w:noWrap/>
            <w:vAlign w:val="center"/>
            <w:hideMark/>
          </w:tcPr>
          <w:p w14:paraId="2AD8DE80" w14:textId="77777777" w:rsidR="00F64523" w:rsidRPr="00092E33" w:rsidRDefault="00F64523" w:rsidP="00F64523">
            <w:pPr>
              <w:spacing w:after="0"/>
              <w:jc w:val="both"/>
              <w:rPr>
                <w:rFonts w:ascii="Times New Roman" w:hAnsi="Times New Roman" w:cs="Times New Roman"/>
                <w:b/>
                <w:bCs/>
                <w:u w:val="single"/>
                <w:lang w:eastAsia="es-AR"/>
              </w:rPr>
            </w:pPr>
            <w:r w:rsidRPr="00092E33">
              <w:rPr>
                <w:rFonts w:ascii="Times New Roman" w:hAnsi="Times New Roman" w:cs="Times New Roman"/>
                <w:b/>
                <w:bCs/>
                <w:u w:val="single"/>
                <w:lang w:eastAsia="es-AR"/>
              </w:rPr>
              <w:t>31/12/2017</w:t>
            </w:r>
          </w:p>
        </w:tc>
        <w:tc>
          <w:tcPr>
            <w:tcW w:w="176" w:type="dxa"/>
            <w:tcBorders>
              <w:top w:val="nil"/>
              <w:left w:val="nil"/>
              <w:bottom w:val="nil"/>
              <w:right w:val="nil"/>
            </w:tcBorders>
            <w:shd w:val="clear" w:color="000000" w:fill="FFFFFF"/>
            <w:noWrap/>
            <w:vAlign w:val="center"/>
            <w:hideMark/>
          </w:tcPr>
          <w:p w14:paraId="5CDCA83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2151EFDA" w14:textId="77777777" w:rsidTr="004024A0">
        <w:trPr>
          <w:trHeight w:val="289"/>
          <w:jc w:val="center"/>
        </w:trPr>
        <w:tc>
          <w:tcPr>
            <w:tcW w:w="4203" w:type="dxa"/>
            <w:tcBorders>
              <w:top w:val="nil"/>
              <w:left w:val="nil"/>
              <w:bottom w:val="nil"/>
              <w:right w:val="nil"/>
            </w:tcBorders>
            <w:shd w:val="clear" w:color="000000" w:fill="FFFFFF"/>
            <w:noWrap/>
            <w:vAlign w:val="center"/>
            <w:hideMark/>
          </w:tcPr>
          <w:p w14:paraId="1F2ABF2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27" w:type="dxa"/>
            <w:tcBorders>
              <w:top w:val="nil"/>
              <w:left w:val="nil"/>
              <w:bottom w:val="nil"/>
              <w:right w:val="nil"/>
            </w:tcBorders>
            <w:shd w:val="clear" w:color="000000" w:fill="FFFFFF"/>
            <w:noWrap/>
            <w:vAlign w:val="center"/>
            <w:hideMark/>
          </w:tcPr>
          <w:p w14:paraId="45F3EAAC" w14:textId="77777777" w:rsidR="00F64523" w:rsidRPr="00092E33" w:rsidRDefault="00F64523" w:rsidP="00F64523">
            <w:pPr>
              <w:spacing w:after="0"/>
              <w:jc w:val="both"/>
              <w:rPr>
                <w:rFonts w:ascii="Times New Roman" w:hAnsi="Times New Roman" w:cs="Times New Roman"/>
                <w:color w:val="000000"/>
                <w:lang w:eastAsia="es-AR"/>
              </w:rPr>
            </w:pPr>
          </w:p>
        </w:tc>
        <w:tc>
          <w:tcPr>
            <w:tcW w:w="1527" w:type="dxa"/>
            <w:tcBorders>
              <w:top w:val="nil"/>
              <w:left w:val="nil"/>
              <w:bottom w:val="nil"/>
              <w:right w:val="nil"/>
            </w:tcBorders>
            <w:shd w:val="clear" w:color="000000" w:fill="FFFFFF"/>
            <w:noWrap/>
            <w:vAlign w:val="center"/>
            <w:hideMark/>
          </w:tcPr>
          <w:p w14:paraId="397EA878" w14:textId="77777777" w:rsidR="00F64523" w:rsidRPr="00092E33" w:rsidRDefault="00F64523" w:rsidP="00F64523">
            <w:pPr>
              <w:spacing w:after="0"/>
              <w:jc w:val="both"/>
              <w:rPr>
                <w:rFonts w:ascii="Times New Roman" w:hAnsi="Times New Roman" w:cs="Times New Roman"/>
                <w:color w:val="000000"/>
                <w:lang w:eastAsia="es-AR"/>
              </w:rPr>
            </w:pPr>
          </w:p>
        </w:tc>
        <w:tc>
          <w:tcPr>
            <w:tcW w:w="1507" w:type="dxa"/>
            <w:tcBorders>
              <w:top w:val="nil"/>
              <w:left w:val="nil"/>
              <w:bottom w:val="nil"/>
              <w:right w:val="nil"/>
            </w:tcBorders>
            <w:shd w:val="clear" w:color="000000" w:fill="FFFFFF"/>
            <w:noWrap/>
            <w:vAlign w:val="center"/>
            <w:hideMark/>
          </w:tcPr>
          <w:p w14:paraId="4B11D138" w14:textId="77777777" w:rsidR="00F64523" w:rsidRPr="00092E33" w:rsidRDefault="00F64523" w:rsidP="00F64523">
            <w:pPr>
              <w:spacing w:after="0"/>
              <w:jc w:val="both"/>
              <w:rPr>
                <w:rFonts w:ascii="Times New Roman" w:hAnsi="Times New Roman" w:cs="Times New Roman"/>
                <w:color w:val="000000"/>
                <w:lang w:eastAsia="es-AR"/>
              </w:rPr>
            </w:pPr>
          </w:p>
        </w:tc>
        <w:tc>
          <w:tcPr>
            <w:tcW w:w="176" w:type="dxa"/>
            <w:tcBorders>
              <w:top w:val="nil"/>
              <w:left w:val="nil"/>
              <w:bottom w:val="nil"/>
              <w:right w:val="nil"/>
            </w:tcBorders>
            <w:shd w:val="clear" w:color="000000" w:fill="FFFFFF"/>
            <w:noWrap/>
            <w:vAlign w:val="center"/>
            <w:hideMark/>
          </w:tcPr>
          <w:p w14:paraId="0594321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208D5E30" w14:textId="77777777" w:rsidTr="004024A0">
        <w:trPr>
          <w:trHeight w:val="289"/>
          <w:jc w:val="center"/>
        </w:trPr>
        <w:tc>
          <w:tcPr>
            <w:tcW w:w="4203" w:type="dxa"/>
            <w:tcBorders>
              <w:top w:val="nil"/>
              <w:left w:val="nil"/>
              <w:bottom w:val="nil"/>
              <w:right w:val="nil"/>
            </w:tcBorders>
            <w:shd w:val="clear" w:color="000000" w:fill="FFFFFF"/>
            <w:vAlign w:val="center"/>
            <w:hideMark/>
          </w:tcPr>
          <w:p w14:paraId="5F6B35B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Fondos generados(aplicados) por las actividades operativas</w:t>
            </w:r>
          </w:p>
        </w:tc>
        <w:tc>
          <w:tcPr>
            <w:tcW w:w="1527" w:type="dxa"/>
            <w:tcBorders>
              <w:top w:val="nil"/>
              <w:left w:val="nil"/>
              <w:bottom w:val="nil"/>
              <w:right w:val="nil"/>
            </w:tcBorders>
            <w:shd w:val="clear" w:color="000000" w:fill="FFFFFF"/>
            <w:noWrap/>
            <w:vAlign w:val="center"/>
            <w:hideMark/>
          </w:tcPr>
          <w:p w14:paraId="2EF89E2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rPr>
              <w:t>(199.144)</w:t>
            </w:r>
          </w:p>
        </w:tc>
        <w:tc>
          <w:tcPr>
            <w:tcW w:w="1527" w:type="dxa"/>
            <w:tcBorders>
              <w:top w:val="nil"/>
              <w:left w:val="nil"/>
              <w:bottom w:val="nil"/>
              <w:right w:val="nil"/>
            </w:tcBorders>
            <w:shd w:val="clear" w:color="000000" w:fill="FFFFFF"/>
            <w:noWrap/>
            <w:vAlign w:val="center"/>
            <w:hideMark/>
          </w:tcPr>
          <w:p w14:paraId="12D8DF0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(61.513)</w:t>
            </w:r>
          </w:p>
        </w:tc>
        <w:tc>
          <w:tcPr>
            <w:tcW w:w="1507" w:type="dxa"/>
            <w:tcBorders>
              <w:top w:val="nil"/>
              <w:left w:val="nil"/>
              <w:bottom w:val="nil"/>
              <w:right w:val="nil"/>
            </w:tcBorders>
            <w:shd w:val="clear" w:color="000000" w:fill="FFFFFF"/>
            <w:noWrap/>
            <w:vAlign w:val="center"/>
            <w:hideMark/>
          </w:tcPr>
          <w:p w14:paraId="24F07EE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28.097</w:t>
            </w:r>
          </w:p>
        </w:tc>
        <w:tc>
          <w:tcPr>
            <w:tcW w:w="176" w:type="dxa"/>
            <w:tcBorders>
              <w:top w:val="nil"/>
              <w:left w:val="nil"/>
              <w:bottom w:val="nil"/>
              <w:right w:val="nil"/>
            </w:tcBorders>
            <w:shd w:val="clear" w:color="000000" w:fill="FFFFFF"/>
            <w:noWrap/>
            <w:vAlign w:val="center"/>
            <w:hideMark/>
          </w:tcPr>
          <w:p w14:paraId="39417E0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2229163C" w14:textId="77777777" w:rsidTr="004024A0">
        <w:trPr>
          <w:trHeight w:val="289"/>
          <w:jc w:val="center"/>
        </w:trPr>
        <w:tc>
          <w:tcPr>
            <w:tcW w:w="4203" w:type="dxa"/>
            <w:tcBorders>
              <w:top w:val="nil"/>
              <w:left w:val="nil"/>
              <w:bottom w:val="nil"/>
              <w:right w:val="nil"/>
            </w:tcBorders>
            <w:shd w:val="clear" w:color="000000" w:fill="FFFFFF"/>
            <w:vAlign w:val="center"/>
            <w:hideMark/>
          </w:tcPr>
          <w:p w14:paraId="6A632A6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27" w:type="dxa"/>
            <w:tcBorders>
              <w:top w:val="nil"/>
              <w:left w:val="nil"/>
              <w:bottom w:val="nil"/>
              <w:right w:val="nil"/>
            </w:tcBorders>
            <w:shd w:val="clear" w:color="000000" w:fill="FFFFFF"/>
            <w:noWrap/>
            <w:vAlign w:val="center"/>
            <w:hideMark/>
          </w:tcPr>
          <w:p w14:paraId="795DCE5C" w14:textId="77777777" w:rsidR="00F64523" w:rsidRPr="00092E33" w:rsidRDefault="00F64523" w:rsidP="00F64523">
            <w:pPr>
              <w:spacing w:after="0"/>
              <w:jc w:val="both"/>
              <w:rPr>
                <w:rFonts w:ascii="Times New Roman" w:hAnsi="Times New Roman" w:cs="Times New Roman"/>
                <w:color w:val="000000"/>
                <w:lang w:eastAsia="es-AR"/>
              </w:rPr>
            </w:pPr>
          </w:p>
        </w:tc>
        <w:tc>
          <w:tcPr>
            <w:tcW w:w="1527" w:type="dxa"/>
            <w:tcBorders>
              <w:top w:val="nil"/>
              <w:left w:val="nil"/>
              <w:bottom w:val="nil"/>
              <w:right w:val="nil"/>
            </w:tcBorders>
            <w:shd w:val="clear" w:color="000000" w:fill="FFFFFF"/>
            <w:noWrap/>
            <w:vAlign w:val="center"/>
            <w:hideMark/>
          </w:tcPr>
          <w:p w14:paraId="1EC29AAE" w14:textId="77777777" w:rsidR="00F64523" w:rsidRPr="00092E33" w:rsidRDefault="00F64523" w:rsidP="00F64523">
            <w:pPr>
              <w:spacing w:after="0"/>
              <w:jc w:val="both"/>
              <w:rPr>
                <w:rFonts w:ascii="Times New Roman" w:hAnsi="Times New Roman" w:cs="Times New Roman"/>
                <w:color w:val="000000"/>
                <w:lang w:eastAsia="es-AR"/>
              </w:rPr>
            </w:pPr>
          </w:p>
        </w:tc>
        <w:tc>
          <w:tcPr>
            <w:tcW w:w="1507" w:type="dxa"/>
            <w:tcBorders>
              <w:top w:val="nil"/>
              <w:left w:val="nil"/>
              <w:bottom w:val="nil"/>
              <w:right w:val="nil"/>
            </w:tcBorders>
            <w:shd w:val="clear" w:color="000000" w:fill="FFFFFF"/>
            <w:noWrap/>
            <w:vAlign w:val="center"/>
            <w:hideMark/>
          </w:tcPr>
          <w:p w14:paraId="2AB4D769" w14:textId="77777777" w:rsidR="00F64523" w:rsidRPr="00092E33" w:rsidRDefault="00F64523" w:rsidP="00F64523">
            <w:pPr>
              <w:spacing w:after="0"/>
              <w:jc w:val="both"/>
              <w:rPr>
                <w:rFonts w:ascii="Times New Roman" w:hAnsi="Times New Roman" w:cs="Times New Roman"/>
                <w:color w:val="000000"/>
                <w:lang w:eastAsia="es-AR"/>
              </w:rPr>
            </w:pPr>
          </w:p>
        </w:tc>
        <w:tc>
          <w:tcPr>
            <w:tcW w:w="176" w:type="dxa"/>
            <w:tcBorders>
              <w:top w:val="nil"/>
              <w:left w:val="nil"/>
              <w:bottom w:val="nil"/>
              <w:right w:val="nil"/>
            </w:tcBorders>
            <w:shd w:val="clear" w:color="000000" w:fill="FFFFFF"/>
            <w:noWrap/>
            <w:vAlign w:val="center"/>
            <w:hideMark/>
          </w:tcPr>
          <w:p w14:paraId="76B8949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7E5B721" w14:textId="77777777" w:rsidTr="004024A0">
        <w:trPr>
          <w:trHeight w:val="289"/>
          <w:jc w:val="center"/>
        </w:trPr>
        <w:tc>
          <w:tcPr>
            <w:tcW w:w="4203" w:type="dxa"/>
            <w:tcBorders>
              <w:top w:val="nil"/>
              <w:left w:val="nil"/>
              <w:bottom w:val="nil"/>
              <w:right w:val="nil"/>
            </w:tcBorders>
            <w:shd w:val="clear" w:color="000000" w:fill="FFFFFF"/>
            <w:vAlign w:val="center"/>
            <w:hideMark/>
          </w:tcPr>
          <w:p w14:paraId="1D46CA4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Fondos generados(aplicados) en las actividades de inversión</w:t>
            </w:r>
          </w:p>
        </w:tc>
        <w:tc>
          <w:tcPr>
            <w:tcW w:w="1527" w:type="dxa"/>
            <w:tcBorders>
              <w:top w:val="nil"/>
              <w:left w:val="nil"/>
              <w:bottom w:val="nil"/>
              <w:right w:val="nil"/>
            </w:tcBorders>
            <w:shd w:val="clear" w:color="000000" w:fill="FFFFFF"/>
            <w:noWrap/>
            <w:vAlign w:val="center"/>
            <w:hideMark/>
          </w:tcPr>
          <w:p w14:paraId="3FC9B38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rPr>
              <w:t>45.150</w:t>
            </w:r>
          </w:p>
        </w:tc>
        <w:tc>
          <w:tcPr>
            <w:tcW w:w="1527" w:type="dxa"/>
            <w:tcBorders>
              <w:top w:val="nil"/>
              <w:left w:val="nil"/>
              <w:bottom w:val="nil"/>
              <w:right w:val="nil"/>
            </w:tcBorders>
            <w:shd w:val="clear" w:color="000000" w:fill="FFFFFF"/>
            <w:noWrap/>
            <w:vAlign w:val="center"/>
            <w:hideMark/>
          </w:tcPr>
          <w:p w14:paraId="37F9C17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(181.597)</w:t>
            </w:r>
          </w:p>
        </w:tc>
        <w:tc>
          <w:tcPr>
            <w:tcW w:w="1507" w:type="dxa"/>
            <w:tcBorders>
              <w:top w:val="nil"/>
              <w:left w:val="nil"/>
              <w:bottom w:val="nil"/>
              <w:right w:val="nil"/>
            </w:tcBorders>
            <w:shd w:val="clear" w:color="000000" w:fill="FFFFFF"/>
            <w:noWrap/>
            <w:vAlign w:val="center"/>
            <w:hideMark/>
          </w:tcPr>
          <w:p w14:paraId="038020F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(11.803)</w:t>
            </w:r>
          </w:p>
        </w:tc>
        <w:tc>
          <w:tcPr>
            <w:tcW w:w="176" w:type="dxa"/>
            <w:tcBorders>
              <w:top w:val="nil"/>
              <w:left w:val="nil"/>
              <w:bottom w:val="nil"/>
              <w:right w:val="nil"/>
            </w:tcBorders>
            <w:shd w:val="clear" w:color="000000" w:fill="FFFFFF"/>
            <w:noWrap/>
            <w:vAlign w:val="center"/>
            <w:hideMark/>
          </w:tcPr>
          <w:p w14:paraId="657D6DA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5746BEB9" w14:textId="77777777" w:rsidTr="004024A0">
        <w:trPr>
          <w:trHeight w:val="289"/>
          <w:jc w:val="center"/>
        </w:trPr>
        <w:tc>
          <w:tcPr>
            <w:tcW w:w="4203" w:type="dxa"/>
            <w:tcBorders>
              <w:top w:val="nil"/>
              <w:left w:val="nil"/>
              <w:bottom w:val="nil"/>
              <w:right w:val="nil"/>
            </w:tcBorders>
            <w:shd w:val="clear" w:color="000000" w:fill="FFFFFF"/>
            <w:vAlign w:val="center"/>
            <w:hideMark/>
          </w:tcPr>
          <w:p w14:paraId="62AF3DA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27" w:type="dxa"/>
            <w:tcBorders>
              <w:top w:val="nil"/>
              <w:left w:val="nil"/>
              <w:bottom w:val="nil"/>
              <w:right w:val="nil"/>
            </w:tcBorders>
            <w:shd w:val="clear" w:color="000000" w:fill="FFFFFF"/>
            <w:noWrap/>
            <w:vAlign w:val="center"/>
            <w:hideMark/>
          </w:tcPr>
          <w:p w14:paraId="77DE5476" w14:textId="77777777" w:rsidR="00F64523" w:rsidRPr="00092E33" w:rsidRDefault="00F64523" w:rsidP="00F64523">
            <w:pPr>
              <w:spacing w:after="0"/>
              <w:jc w:val="both"/>
              <w:rPr>
                <w:rFonts w:ascii="Times New Roman" w:hAnsi="Times New Roman" w:cs="Times New Roman"/>
                <w:color w:val="000000"/>
                <w:lang w:eastAsia="es-AR"/>
              </w:rPr>
            </w:pPr>
          </w:p>
        </w:tc>
        <w:tc>
          <w:tcPr>
            <w:tcW w:w="1527" w:type="dxa"/>
            <w:tcBorders>
              <w:top w:val="nil"/>
              <w:left w:val="nil"/>
              <w:bottom w:val="nil"/>
              <w:right w:val="nil"/>
            </w:tcBorders>
            <w:shd w:val="clear" w:color="000000" w:fill="FFFFFF"/>
            <w:noWrap/>
            <w:vAlign w:val="center"/>
            <w:hideMark/>
          </w:tcPr>
          <w:p w14:paraId="275B36AB" w14:textId="77777777" w:rsidR="00F64523" w:rsidRPr="00092E33" w:rsidRDefault="00F64523" w:rsidP="00F64523">
            <w:pPr>
              <w:spacing w:after="0"/>
              <w:jc w:val="both"/>
              <w:rPr>
                <w:rFonts w:ascii="Times New Roman" w:hAnsi="Times New Roman" w:cs="Times New Roman"/>
                <w:color w:val="000000"/>
                <w:lang w:eastAsia="es-AR"/>
              </w:rPr>
            </w:pPr>
          </w:p>
        </w:tc>
        <w:tc>
          <w:tcPr>
            <w:tcW w:w="1507" w:type="dxa"/>
            <w:tcBorders>
              <w:top w:val="nil"/>
              <w:left w:val="nil"/>
              <w:bottom w:val="nil"/>
              <w:right w:val="nil"/>
            </w:tcBorders>
            <w:shd w:val="clear" w:color="000000" w:fill="FFFFFF"/>
            <w:noWrap/>
            <w:vAlign w:val="center"/>
            <w:hideMark/>
          </w:tcPr>
          <w:p w14:paraId="714D0513" w14:textId="77777777" w:rsidR="00F64523" w:rsidRPr="00092E33" w:rsidRDefault="00F64523" w:rsidP="00F64523">
            <w:pPr>
              <w:spacing w:after="0"/>
              <w:jc w:val="both"/>
              <w:rPr>
                <w:rFonts w:ascii="Times New Roman" w:hAnsi="Times New Roman" w:cs="Times New Roman"/>
                <w:color w:val="000000"/>
                <w:lang w:eastAsia="es-AR"/>
              </w:rPr>
            </w:pPr>
          </w:p>
        </w:tc>
        <w:tc>
          <w:tcPr>
            <w:tcW w:w="176" w:type="dxa"/>
            <w:tcBorders>
              <w:top w:val="nil"/>
              <w:left w:val="nil"/>
              <w:bottom w:val="nil"/>
              <w:right w:val="nil"/>
            </w:tcBorders>
            <w:shd w:val="clear" w:color="000000" w:fill="FFFFFF"/>
            <w:noWrap/>
            <w:vAlign w:val="center"/>
            <w:hideMark/>
          </w:tcPr>
          <w:p w14:paraId="32C8AAA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54FBB164" w14:textId="77777777" w:rsidTr="004024A0">
        <w:trPr>
          <w:trHeight w:val="578"/>
          <w:jc w:val="center"/>
        </w:trPr>
        <w:tc>
          <w:tcPr>
            <w:tcW w:w="4203" w:type="dxa"/>
            <w:tcBorders>
              <w:top w:val="nil"/>
              <w:left w:val="nil"/>
              <w:bottom w:val="nil"/>
              <w:right w:val="nil"/>
            </w:tcBorders>
            <w:shd w:val="clear" w:color="000000" w:fill="FFFFFF"/>
            <w:vAlign w:val="center"/>
            <w:hideMark/>
          </w:tcPr>
          <w:p w14:paraId="500FB00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Fondos generados(aplicados) por las actividades de financiación</w:t>
            </w:r>
          </w:p>
        </w:tc>
        <w:tc>
          <w:tcPr>
            <w:tcW w:w="1527" w:type="dxa"/>
            <w:tcBorders>
              <w:top w:val="nil"/>
              <w:left w:val="nil"/>
              <w:bottom w:val="nil"/>
              <w:right w:val="nil"/>
            </w:tcBorders>
            <w:shd w:val="clear" w:color="000000" w:fill="FFFFFF"/>
            <w:noWrap/>
            <w:vAlign w:val="center"/>
            <w:hideMark/>
          </w:tcPr>
          <w:p w14:paraId="04E1AB5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rPr>
              <w:t>157.662</w:t>
            </w:r>
          </w:p>
        </w:tc>
        <w:tc>
          <w:tcPr>
            <w:tcW w:w="1527" w:type="dxa"/>
            <w:tcBorders>
              <w:top w:val="nil"/>
              <w:left w:val="nil"/>
              <w:bottom w:val="nil"/>
              <w:right w:val="nil"/>
            </w:tcBorders>
            <w:shd w:val="clear" w:color="000000" w:fill="FFFFFF"/>
            <w:noWrap/>
            <w:vAlign w:val="center"/>
            <w:hideMark/>
          </w:tcPr>
          <w:p w14:paraId="60768FB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204.152</w:t>
            </w:r>
          </w:p>
        </w:tc>
        <w:tc>
          <w:tcPr>
            <w:tcW w:w="1507" w:type="dxa"/>
            <w:tcBorders>
              <w:top w:val="nil"/>
              <w:left w:val="nil"/>
              <w:bottom w:val="nil"/>
              <w:right w:val="nil"/>
            </w:tcBorders>
            <w:shd w:val="clear" w:color="000000" w:fill="FFFFFF"/>
            <w:noWrap/>
            <w:vAlign w:val="center"/>
            <w:hideMark/>
          </w:tcPr>
          <w:p w14:paraId="3F74C71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(35.117)</w:t>
            </w:r>
          </w:p>
        </w:tc>
        <w:tc>
          <w:tcPr>
            <w:tcW w:w="176" w:type="dxa"/>
            <w:tcBorders>
              <w:top w:val="nil"/>
              <w:left w:val="nil"/>
              <w:bottom w:val="nil"/>
              <w:right w:val="nil"/>
            </w:tcBorders>
            <w:shd w:val="clear" w:color="000000" w:fill="FFFFFF"/>
            <w:noWrap/>
            <w:vAlign w:val="center"/>
            <w:hideMark/>
          </w:tcPr>
          <w:p w14:paraId="7E065BC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8FA9D65" w14:textId="77777777" w:rsidTr="004024A0">
        <w:trPr>
          <w:trHeight w:val="289"/>
          <w:jc w:val="center"/>
        </w:trPr>
        <w:tc>
          <w:tcPr>
            <w:tcW w:w="4203" w:type="dxa"/>
            <w:tcBorders>
              <w:top w:val="nil"/>
              <w:left w:val="nil"/>
              <w:bottom w:val="nil"/>
              <w:right w:val="nil"/>
            </w:tcBorders>
            <w:shd w:val="clear" w:color="000000" w:fill="FFFFFF"/>
            <w:vAlign w:val="center"/>
            <w:hideMark/>
          </w:tcPr>
          <w:p w14:paraId="56D129E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27" w:type="dxa"/>
            <w:tcBorders>
              <w:top w:val="nil"/>
              <w:left w:val="nil"/>
              <w:bottom w:val="nil"/>
              <w:right w:val="nil"/>
            </w:tcBorders>
            <w:shd w:val="clear" w:color="000000" w:fill="FFFFFF"/>
            <w:noWrap/>
            <w:vAlign w:val="center"/>
            <w:hideMark/>
          </w:tcPr>
          <w:p w14:paraId="3141AEA8" w14:textId="77777777" w:rsidR="00F64523" w:rsidRPr="00092E33" w:rsidRDefault="00F64523" w:rsidP="00F64523">
            <w:pPr>
              <w:spacing w:after="0"/>
              <w:jc w:val="both"/>
              <w:rPr>
                <w:rFonts w:ascii="Times New Roman" w:hAnsi="Times New Roman" w:cs="Times New Roman"/>
                <w:color w:val="000000"/>
                <w:lang w:eastAsia="es-AR"/>
              </w:rPr>
            </w:pPr>
          </w:p>
        </w:tc>
        <w:tc>
          <w:tcPr>
            <w:tcW w:w="1527" w:type="dxa"/>
            <w:tcBorders>
              <w:top w:val="nil"/>
              <w:left w:val="nil"/>
              <w:bottom w:val="nil"/>
              <w:right w:val="nil"/>
            </w:tcBorders>
            <w:shd w:val="clear" w:color="000000" w:fill="FFFFFF"/>
            <w:noWrap/>
            <w:vAlign w:val="center"/>
            <w:hideMark/>
          </w:tcPr>
          <w:p w14:paraId="3FD622CC" w14:textId="77777777" w:rsidR="00F64523" w:rsidRPr="00092E33" w:rsidRDefault="00F64523" w:rsidP="00F64523">
            <w:pPr>
              <w:spacing w:after="0"/>
              <w:jc w:val="both"/>
              <w:rPr>
                <w:rFonts w:ascii="Times New Roman" w:hAnsi="Times New Roman" w:cs="Times New Roman"/>
                <w:color w:val="000000"/>
                <w:lang w:eastAsia="es-AR"/>
              </w:rPr>
            </w:pPr>
          </w:p>
        </w:tc>
        <w:tc>
          <w:tcPr>
            <w:tcW w:w="1507" w:type="dxa"/>
            <w:tcBorders>
              <w:top w:val="nil"/>
              <w:left w:val="nil"/>
              <w:bottom w:val="nil"/>
              <w:right w:val="nil"/>
            </w:tcBorders>
            <w:shd w:val="clear" w:color="000000" w:fill="FFFFFF"/>
            <w:noWrap/>
            <w:vAlign w:val="center"/>
            <w:hideMark/>
          </w:tcPr>
          <w:p w14:paraId="1501B5B1" w14:textId="77777777" w:rsidR="00F64523" w:rsidRPr="00092E33" w:rsidRDefault="00F64523" w:rsidP="00F64523">
            <w:pPr>
              <w:spacing w:after="0"/>
              <w:jc w:val="both"/>
              <w:rPr>
                <w:rFonts w:ascii="Times New Roman" w:hAnsi="Times New Roman" w:cs="Times New Roman"/>
                <w:color w:val="000000"/>
                <w:lang w:eastAsia="es-AR"/>
              </w:rPr>
            </w:pPr>
          </w:p>
        </w:tc>
        <w:tc>
          <w:tcPr>
            <w:tcW w:w="176" w:type="dxa"/>
            <w:tcBorders>
              <w:top w:val="nil"/>
              <w:left w:val="nil"/>
              <w:bottom w:val="nil"/>
              <w:right w:val="nil"/>
            </w:tcBorders>
            <w:shd w:val="clear" w:color="000000" w:fill="FFFFFF"/>
            <w:noWrap/>
            <w:vAlign w:val="center"/>
            <w:hideMark/>
          </w:tcPr>
          <w:p w14:paraId="7DA4090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3AE9801F" w14:textId="77777777" w:rsidTr="004024A0">
        <w:trPr>
          <w:trHeight w:val="578"/>
          <w:jc w:val="center"/>
        </w:trPr>
        <w:tc>
          <w:tcPr>
            <w:tcW w:w="4203" w:type="dxa"/>
            <w:tcBorders>
              <w:top w:val="nil"/>
              <w:left w:val="nil"/>
              <w:bottom w:val="nil"/>
              <w:right w:val="nil"/>
            </w:tcBorders>
            <w:shd w:val="clear" w:color="000000" w:fill="FFFFFF"/>
            <w:vAlign w:val="center"/>
            <w:hideMark/>
          </w:tcPr>
          <w:p w14:paraId="6174F55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Efecto de las variaciones del tipo de cambio sobre saldos de efectivo y equivalentes de efectivo</w:t>
            </w:r>
          </w:p>
        </w:tc>
        <w:tc>
          <w:tcPr>
            <w:tcW w:w="1527" w:type="dxa"/>
            <w:tcBorders>
              <w:top w:val="nil"/>
              <w:left w:val="nil"/>
              <w:bottom w:val="nil"/>
              <w:right w:val="nil"/>
            </w:tcBorders>
            <w:shd w:val="clear" w:color="000000" w:fill="FFFFFF"/>
            <w:noWrap/>
            <w:vAlign w:val="center"/>
            <w:hideMark/>
          </w:tcPr>
          <w:p w14:paraId="5EF5200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rPr>
              <w:t>(2.143)</w:t>
            </w:r>
          </w:p>
        </w:tc>
        <w:tc>
          <w:tcPr>
            <w:tcW w:w="1527" w:type="dxa"/>
            <w:tcBorders>
              <w:top w:val="nil"/>
              <w:left w:val="nil"/>
              <w:bottom w:val="nil"/>
              <w:right w:val="nil"/>
            </w:tcBorders>
            <w:shd w:val="clear" w:color="000000" w:fill="FFFFFF"/>
            <w:noWrap/>
            <w:vAlign w:val="center"/>
            <w:hideMark/>
          </w:tcPr>
          <w:p w14:paraId="7CD9F44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38.661</w:t>
            </w:r>
          </w:p>
        </w:tc>
        <w:tc>
          <w:tcPr>
            <w:tcW w:w="1507" w:type="dxa"/>
            <w:tcBorders>
              <w:top w:val="nil"/>
              <w:left w:val="nil"/>
              <w:bottom w:val="nil"/>
              <w:right w:val="nil"/>
            </w:tcBorders>
            <w:shd w:val="clear" w:color="000000" w:fill="FFFFFF"/>
            <w:noWrap/>
            <w:vAlign w:val="center"/>
            <w:hideMark/>
          </w:tcPr>
          <w:p w14:paraId="507CEB7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(117)</w:t>
            </w:r>
          </w:p>
        </w:tc>
        <w:tc>
          <w:tcPr>
            <w:tcW w:w="176" w:type="dxa"/>
            <w:tcBorders>
              <w:top w:val="nil"/>
              <w:left w:val="nil"/>
              <w:bottom w:val="nil"/>
              <w:right w:val="nil"/>
            </w:tcBorders>
            <w:shd w:val="clear" w:color="000000" w:fill="FFFFFF"/>
            <w:noWrap/>
            <w:vAlign w:val="center"/>
            <w:hideMark/>
          </w:tcPr>
          <w:p w14:paraId="6361D30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22129B7B" w14:textId="77777777" w:rsidTr="004024A0">
        <w:trPr>
          <w:trHeight w:val="303"/>
          <w:jc w:val="center"/>
        </w:trPr>
        <w:tc>
          <w:tcPr>
            <w:tcW w:w="4203" w:type="dxa"/>
            <w:tcBorders>
              <w:top w:val="nil"/>
              <w:left w:val="nil"/>
              <w:bottom w:val="nil"/>
              <w:right w:val="nil"/>
            </w:tcBorders>
            <w:shd w:val="clear" w:color="000000" w:fill="FFFFFF"/>
            <w:noWrap/>
            <w:vAlign w:val="center"/>
            <w:hideMark/>
          </w:tcPr>
          <w:p w14:paraId="2AE4F12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27" w:type="dxa"/>
            <w:tcBorders>
              <w:top w:val="nil"/>
              <w:left w:val="nil"/>
              <w:bottom w:val="nil"/>
              <w:right w:val="nil"/>
            </w:tcBorders>
            <w:shd w:val="clear" w:color="000000" w:fill="FFFFFF"/>
            <w:noWrap/>
            <w:vAlign w:val="center"/>
            <w:hideMark/>
          </w:tcPr>
          <w:p w14:paraId="2C04B22C" w14:textId="77777777" w:rsidR="00F64523" w:rsidRPr="00092E33" w:rsidRDefault="00F64523" w:rsidP="00F64523">
            <w:pPr>
              <w:spacing w:after="0"/>
              <w:jc w:val="both"/>
              <w:rPr>
                <w:rFonts w:ascii="Times New Roman" w:hAnsi="Times New Roman" w:cs="Times New Roman"/>
                <w:color w:val="000000"/>
                <w:lang w:eastAsia="es-AR"/>
              </w:rPr>
            </w:pPr>
          </w:p>
        </w:tc>
        <w:tc>
          <w:tcPr>
            <w:tcW w:w="1527" w:type="dxa"/>
            <w:tcBorders>
              <w:top w:val="nil"/>
              <w:left w:val="nil"/>
              <w:bottom w:val="nil"/>
              <w:right w:val="nil"/>
            </w:tcBorders>
            <w:shd w:val="clear" w:color="000000" w:fill="FFFFFF"/>
            <w:noWrap/>
            <w:vAlign w:val="center"/>
            <w:hideMark/>
          </w:tcPr>
          <w:p w14:paraId="4B341AA0" w14:textId="77777777" w:rsidR="00F64523" w:rsidRPr="00092E33" w:rsidRDefault="00F64523" w:rsidP="00F64523">
            <w:pPr>
              <w:spacing w:after="0"/>
              <w:jc w:val="both"/>
              <w:rPr>
                <w:rFonts w:ascii="Times New Roman" w:hAnsi="Times New Roman" w:cs="Times New Roman"/>
                <w:color w:val="000000"/>
                <w:lang w:eastAsia="es-AR"/>
              </w:rPr>
            </w:pPr>
          </w:p>
        </w:tc>
        <w:tc>
          <w:tcPr>
            <w:tcW w:w="1507" w:type="dxa"/>
            <w:tcBorders>
              <w:top w:val="nil"/>
              <w:left w:val="nil"/>
              <w:bottom w:val="nil"/>
              <w:right w:val="nil"/>
            </w:tcBorders>
            <w:shd w:val="clear" w:color="000000" w:fill="FFFFFF"/>
            <w:noWrap/>
            <w:vAlign w:val="center"/>
            <w:hideMark/>
          </w:tcPr>
          <w:p w14:paraId="28EE4165" w14:textId="77777777" w:rsidR="00F64523" w:rsidRPr="00092E33" w:rsidRDefault="00F64523" w:rsidP="00F64523">
            <w:pPr>
              <w:spacing w:after="0"/>
              <w:jc w:val="both"/>
              <w:rPr>
                <w:rFonts w:ascii="Times New Roman" w:hAnsi="Times New Roman" w:cs="Times New Roman"/>
                <w:color w:val="000000"/>
                <w:lang w:eastAsia="es-AR"/>
              </w:rPr>
            </w:pPr>
          </w:p>
        </w:tc>
        <w:tc>
          <w:tcPr>
            <w:tcW w:w="176" w:type="dxa"/>
            <w:tcBorders>
              <w:top w:val="nil"/>
              <w:left w:val="nil"/>
              <w:bottom w:val="nil"/>
              <w:right w:val="nil"/>
            </w:tcBorders>
            <w:shd w:val="clear" w:color="000000" w:fill="FFFFFF"/>
            <w:noWrap/>
            <w:vAlign w:val="center"/>
            <w:hideMark/>
          </w:tcPr>
          <w:p w14:paraId="574F8E4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24A96B19" w14:textId="77777777" w:rsidTr="004024A0">
        <w:trPr>
          <w:trHeight w:val="564"/>
          <w:jc w:val="center"/>
        </w:trPr>
        <w:tc>
          <w:tcPr>
            <w:tcW w:w="4203" w:type="dxa"/>
            <w:tcBorders>
              <w:top w:val="nil"/>
              <w:left w:val="nil"/>
              <w:bottom w:val="nil"/>
              <w:right w:val="nil"/>
            </w:tcBorders>
            <w:shd w:val="clear" w:color="000000" w:fill="FFFFFF"/>
            <w:vAlign w:val="center"/>
            <w:hideMark/>
          </w:tcPr>
          <w:p w14:paraId="3EE3750E" w14:textId="77777777" w:rsidR="00F64523" w:rsidRPr="00092E33" w:rsidRDefault="00F64523" w:rsidP="00F64523">
            <w:pPr>
              <w:spacing w:after="0"/>
              <w:jc w:val="both"/>
              <w:rPr>
                <w:rFonts w:ascii="Times New Roman" w:hAnsi="Times New Roman" w:cs="Times New Roman"/>
                <w:b/>
                <w:bCs/>
                <w:color w:val="000000"/>
                <w:lang w:eastAsia="es-AR"/>
              </w:rPr>
            </w:pPr>
            <w:proofErr w:type="gramStart"/>
            <w:r w:rsidRPr="00092E33">
              <w:rPr>
                <w:rFonts w:ascii="Times New Roman" w:hAnsi="Times New Roman" w:cs="Times New Roman"/>
                <w:b/>
                <w:bCs/>
                <w:color w:val="000000"/>
                <w:lang w:eastAsia="es-AR"/>
              </w:rPr>
              <w:t>Total</w:t>
            </w:r>
            <w:proofErr w:type="gramEnd"/>
            <w:r w:rsidRPr="00092E33">
              <w:rPr>
                <w:rFonts w:ascii="Times New Roman" w:hAnsi="Times New Roman" w:cs="Times New Roman"/>
                <w:b/>
                <w:bCs/>
                <w:color w:val="000000"/>
                <w:lang w:eastAsia="es-AR"/>
              </w:rPr>
              <w:t xml:space="preserve"> de fondos generados (aplicados) durante el período</w:t>
            </w:r>
          </w:p>
        </w:tc>
        <w:tc>
          <w:tcPr>
            <w:tcW w:w="1527" w:type="dxa"/>
            <w:tcBorders>
              <w:top w:val="double" w:sz="6" w:space="0" w:color="auto"/>
              <w:left w:val="nil"/>
              <w:bottom w:val="nil"/>
              <w:right w:val="nil"/>
            </w:tcBorders>
            <w:shd w:val="clear" w:color="000000" w:fill="FFFFFF"/>
            <w:noWrap/>
            <w:vAlign w:val="center"/>
            <w:hideMark/>
          </w:tcPr>
          <w:p w14:paraId="370E7CD8"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rPr>
              <w:t>1.525</w:t>
            </w:r>
          </w:p>
        </w:tc>
        <w:tc>
          <w:tcPr>
            <w:tcW w:w="1527" w:type="dxa"/>
            <w:tcBorders>
              <w:top w:val="double" w:sz="6" w:space="0" w:color="auto"/>
              <w:left w:val="nil"/>
              <w:bottom w:val="nil"/>
              <w:right w:val="nil"/>
            </w:tcBorders>
            <w:shd w:val="clear" w:color="000000" w:fill="FFFFFF"/>
            <w:noWrap/>
            <w:vAlign w:val="center"/>
            <w:hideMark/>
          </w:tcPr>
          <w:p w14:paraId="41D82D6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(297)</w:t>
            </w:r>
          </w:p>
        </w:tc>
        <w:tc>
          <w:tcPr>
            <w:tcW w:w="1507" w:type="dxa"/>
            <w:tcBorders>
              <w:top w:val="double" w:sz="6" w:space="0" w:color="auto"/>
              <w:left w:val="nil"/>
              <w:bottom w:val="nil"/>
              <w:right w:val="nil"/>
            </w:tcBorders>
            <w:shd w:val="clear" w:color="000000" w:fill="FFFFFF"/>
            <w:noWrap/>
            <w:vAlign w:val="center"/>
            <w:hideMark/>
          </w:tcPr>
          <w:p w14:paraId="1D51C3F2"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(18.940)</w:t>
            </w:r>
          </w:p>
        </w:tc>
        <w:tc>
          <w:tcPr>
            <w:tcW w:w="176" w:type="dxa"/>
            <w:tcBorders>
              <w:top w:val="nil"/>
              <w:left w:val="nil"/>
              <w:bottom w:val="nil"/>
              <w:right w:val="nil"/>
            </w:tcBorders>
            <w:shd w:val="clear" w:color="000000" w:fill="FFFFFF"/>
            <w:noWrap/>
            <w:vAlign w:val="center"/>
            <w:hideMark/>
          </w:tcPr>
          <w:p w14:paraId="64D6EF5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bl>
    <w:p w14:paraId="127E6D49" w14:textId="77777777" w:rsidR="00F64523" w:rsidRPr="00092E33" w:rsidRDefault="00F64523" w:rsidP="00F64523">
      <w:pPr>
        <w:spacing w:after="0" w:line="220" w:lineRule="exact"/>
        <w:jc w:val="both"/>
        <w:rPr>
          <w:rFonts w:ascii="Times New Roman" w:hAnsi="Times New Roman" w:cs="Times New Roman"/>
        </w:rPr>
      </w:pPr>
    </w:p>
    <w:p w14:paraId="17333CC6" w14:textId="77777777" w:rsidR="00F64523" w:rsidRPr="00092E33" w:rsidRDefault="00F64523" w:rsidP="00F64523">
      <w:pPr>
        <w:spacing w:after="0" w:line="220" w:lineRule="exact"/>
        <w:jc w:val="both"/>
        <w:rPr>
          <w:rFonts w:ascii="Times New Roman" w:hAnsi="Times New Roman" w:cs="Times New Roman"/>
          <w:b/>
          <w:u w:val="single"/>
        </w:rPr>
      </w:pPr>
    </w:p>
    <w:p w14:paraId="23AF34B3" w14:textId="77777777" w:rsidR="00F64523" w:rsidRPr="00092E33" w:rsidRDefault="00F64523" w:rsidP="00F64523">
      <w:pPr>
        <w:spacing w:after="0" w:line="220" w:lineRule="exact"/>
        <w:jc w:val="both"/>
        <w:rPr>
          <w:rFonts w:ascii="Times New Roman" w:hAnsi="Times New Roman" w:cs="Times New Roman"/>
          <w:b/>
          <w:u w:val="single"/>
        </w:rPr>
      </w:pPr>
    </w:p>
    <w:tbl>
      <w:tblPr>
        <w:tblW w:w="9757" w:type="dxa"/>
        <w:jc w:val="center"/>
        <w:tblCellMar>
          <w:left w:w="70" w:type="dxa"/>
          <w:right w:w="70" w:type="dxa"/>
        </w:tblCellMar>
        <w:tblLook w:val="04A0" w:firstRow="1" w:lastRow="0" w:firstColumn="1" w:lastColumn="0" w:noHBand="0" w:noVBand="1"/>
      </w:tblPr>
      <w:tblGrid>
        <w:gridCol w:w="4700"/>
        <w:gridCol w:w="1701"/>
        <w:gridCol w:w="1708"/>
        <w:gridCol w:w="1648"/>
      </w:tblGrid>
      <w:tr w:rsidR="00F64523" w:rsidRPr="00092E33" w14:paraId="021CB3FA" w14:textId="77777777" w:rsidTr="004024A0">
        <w:trPr>
          <w:trHeight w:val="300"/>
          <w:jc w:val="center"/>
        </w:trPr>
        <w:tc>
          <w:tcPr>
            <w:tcW w:w="9757" w:type="dxa"/>
            <w:gridSpan w:val="4"/>
            <w:tcBorders>
              <w:top w:val="nil"/>
              <w:left w:val="nil"/>
              <w:bottom w:val="nil"/>
              <w:right w:val="nil"/>
            </w:tcBorders>
            <w:shd w:val="clear" w:color="000000" w:fill="FFFFFF"/>
            <w:noWrap/>
            <w:vAlign w:val="center"/>
            <w:hideMark/>
          </w:tcPr>
          <w:p w14:paraId="1385766B"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INDICES- ESTADOS DE SITUACION FINANCIERA SEPARADOS</w:t>
            </w:r>
          </w:p>
        </w:tc>
      </w:tr>
      <w:tr w:rsidR="00F64523" w:rsidRPr="00092E33" w14:paraId="53B5E85C" w14:textId="77777777" w:rsidTr="004024A0">
        <w:trPr>
          <w:trHeight w:val="300"/>
          <w:jc w:val="center"/>
        </w:trPr>
        <w:tc>
          <w:tcPr>
            <w:tcW w:w="9757" w:type="dxa"/>
            <w:gridSpan w:val="4"/>
            <w:tcBorders>
              <w:top w:val="nil"/>
              <w:left w:val="nil"/>
              <w:bottom w:val="nil"/>
              <w:right w:val="nil"/>
            </w:tcBorders>
            <w:shd w:val="clear" w:color="000000" w:fill="FFFFFF"/>
            <w:noWrap/>
            <w:vAlign w:val="center"/>
            <w:hideMark/>
          </w:tcPr>
          <w:p w14:paraId="22312DC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Cifras expresadas en miles de pesos</w:t>
            </w:r>
          </w:p>
        </w:tc>
      </w:tr>
      <w:tr w:rsidR="00F64523" w:rsidRPr="00092E33" w14:paraId="013D97B2" w14:textId="77777777" w:rsidTr="004024A0">
        <w:trPr>
          <w:trHeight w:val="315"/>
          <w:jc w:val="center"/>
        </w:trPr>
        <w:tc>
          <w:tcPr>
            <w:tcW w:w="4700" w:type="dxa"/>
            <w:tcBorders>
              <w:top w:val="nil"/>
              <w:left w:val="nil"/>
              <w:bottom w:val="nil"/>
              <w:right w:val="nil"/>
            </w:tcBorders>
            <w:shd w:val="clear" w:color="000000" w:fill="FFFFFF"/>
            <w:noWrap/>
            <w:vAlign w:val="center"/>
            <w:hideMark/>
          </w:tcPr>
          <w:p w14:paraId="04A003B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01" w:type="dxa"/>
            <w:tcBorders>
              <w:top w:val="nil"/>
              <w:left w:val="nil"/>
              <w:bottom w:val="nil"/>
              <w:right w:val="nil"/>
            </w:tcBorders>
            <w:shd w:val="clear" w:color="000000" w:fill="FFFFFF"/>
            <w:noWrap/>
            <w:vAlign w:val="center"/>
            <w:hideMark/>
          </w:tcPr>
          <w:p w14:paraId="09BA50D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08" w:type="dxa"/>
            <w:tcBorders>
              <w:top w:val="nil"/>
              <w:left w:val="nil"/>
              <w:bottom w:val="nil"/>
              <w:right w:val="nil"/>
            </w:tcBorders>
            <w:shd w:val="clear" w:color="000000" w:fill="FFFFFF"/>
            <w:noWrap/>
            <w:vAlign w:val="center"/>
            <w:hideMark/>
          </w:tcPr>
          <w:p w14:paraId="4BBC93D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48" w:type="dxa"/>
            <w:tcBorders>
              <w:top w:val="nil"/>
              <w:left w:val="nil"/>
              <w:bottom w:val="nil"/>
              <w:right w:val="nil"/>
            </w:tcBorders>
            <w:shd w:val="clear" w:color="000000" w:fill="FFFFFF"/>
            <w:noWrap/>
            <w:vAlign w:val="center"/>
            <w:hideMark/>
          </w:tcPr>
          <w:p w14:paraId="1C804E0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26226DA8" w14:textId="77777777" w:rsidTr="004024A0">
        <w:trPr>
          <w:trHeight w:val="315"/>
          <w:jc w:val="center"/>
        </w:trPr>
        <w:tc>
          <w:tcPr>
            <w:tcW w:w="4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2F12988"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PATRIMONIO</w:t>
            </w:r>
          </w:p>
        </w:tc>
        <w:tc>
          <w:tcPr>
            <w:tcW w:w="1701" w:type="dxa"/>
            <w:tcBorders>
              <w:top w:val="single" w:sz="8" w:space="0" w:color="auto"/>
              <w:left w:val="nil"/>
              <w:bottom w:val="single" w:sz="8" w:space="0" w:color="auto"/>
              <w:right w:val="single" w:sz="8" w:space="0" w:color="auto"/>
            </w:tcBorders>
            <w:shd w:val="clear" w:color="000000" w:fill="FFFFFF"/>
            <w:noWrap/>
            <w:vAlign w:val="center"/>
            <w:hideMark/>
          </w:tcPr>
          <w:p w14:paraId="68D32424"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708" w:type="dxa"/>
            <w:tcBorders>
              <w:top w:val="single" w:sz="8" w:space="0" w:color="auto"/>
              <w:left w:val="nil"/>
              <w:bottom w:val="single" w:sz="8" w:space="0" w:color="auto"/>
              <w:right w:val="single" w:sz="8" w:space="0" w:color="auto"/>
            </w:tcBorders>
            <w:shd w:val="clear" w:color="000000" w:fill="FFFFFF"/>
            <w:noWrap/>
            <w:vAlign w:val="center"/>
            <w:hideMark/>
          </w:tcPr>
          <w:p w14:paraId="071E675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648" w:type="dxa"/>
            <w:tcBorders>
              <w:top w:val="single" w:sz="8" w:space="0" w:color="auto"/>
              <w:left w:val="nil"/>
              <w:bottom w:val="single" w:sz="8" w:space="0" w:color="auto"/>
              <w:right w:val="single" w:sz="8" w:space="0" w:color="auto"/>
            </w:tcBorders>
            <w:shd w:val="clear" w:color="000000" w:fill="FFFFFF"/>
            <w:noWrap/>
            <w:vAlign w:val="center"/>
            <w:hideMark/>
          </w:tcPr>
          <w:p w14:paraId="346F1FC4"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r>
      <w:tr w:rsidR="00F64523" w:rsidRPr="00092E33" w14:paraId="4C28B127"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11D59C8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Activos</w:t>
            </w:r>
          </w:p>
        </w:tc>
        <w:tc>
          <w:tcPr>
            <w:tcW w:w="1701" w:type="dxa"/>
            <w:tcBorders>
              <w:top w:val="nil"/>
              <w:left w:val="nil"/>
              <w:bottom w:val="nil"/>
              <w:right w:val="nil"/>
            </w:tcBorders>
            <w:shd w:val="clear" w:color="000000" w:fill="FFFFFF"/>
            <w:noWrap/>
            <w:vAlign w:val="center"/>
            <w:hideMark/>
          </w:tcPr>
          <w:p w14:paraId="4AE1A58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828.146 </w:t>
            </w:r>
          </w:p>
        </w:tc>
        <w:tc>
          <w:tcPr>
            <w:tcW w:w="1708" w:type="dxa"/>
            <w:tcBorders>
              <w:top w:val="nil"/>
              <w:left w:val="nil"/>
              <w:bottom w:val="nil"/>
              <w:right w:val="nil"/>
            </w:tcBorders>
            <w:shd w:val="clear" w:color="000000" w:fill="FFFFFF"/>
            <w:noWrap/>
            <w:vAlign w:val="center"/>
            <w:hideMark/>
          </w:tcPr>
          <w:p w14:paraId="4D9718E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453.125 </w:t>
            </w:r>
          </w:p>
        </w:tc>
        <w:tc>
          <w:tcPr>
            <w:tcW w:w="1648" w:type="dxa"/>
            <w:tcBorders>
              <w:top w:val="nil"/>
              <w:left w:val="nil"/>
              <w:bottom w:val="nil"/>
              <w:right w:val="nil"/>
            </w:tcBorders>
            <w:shd w:val="clear" w:color="000000" w:fill="FFFFFF"/>
            <w:noWrap/>
            <w:vAlign w:val="center"/>
            <w:hideMark/>
          </w:tcPr>
          <w:p w14:paraId="38A279D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319.818 </w:t>
            </w:r>
          </w:p>
        </w:tc>
      </w:tr>
      <w:tr w:rsidR="00F64523" w:rsidRPr="00092E33" w14:paraId="598BDB2B"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5020F7A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Pasivos</w:t>
            </w:r>
          </w:p>
        </w:tc>
        <w:tc>
          <w:tcPr>
            <w:tcW w:w="1701" w:type="dxa"/>
            <w:tcBorders>
              <w:top w:val="nil"/>
              <w:left w:val="nil"/>
              <w:bottom w:val="nil"/>
              <w:right w:val="nil"/>
            </w:tcBorders>
            <w:shd w:val="clear" w:color="000000" w:fill="FFFFFF"/>
            <w:noWrap/>
            <w:vAlign w:val="center"/>
            <w:hideMark/>
          </w:tcPr>
          <w:p w14:paraId="1BCA0E1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324.536 </w:t>
            </w:r>
          </w:p>
        </w:tc>
        <w:tc>
          <w:tcPr>
            <w:tcW w:w="1708" w:type="dxa"/>
            <w:tcBorders>
              <w:top w:val="nil"/>
              <w:left w:val="nil"/>
              <w:bottom w:val="nil"/>
              <w:right w:val="nil"/>
            </w:tcBorders>
            <w:shd w:val="clear" w:color="000000" w:fill="FFFFFF"/>
            <w:noWrap/>
            <w:vAlign w:val="center"/>
            <w:hideMark/>
          </w:tcPr>
          <w:p w14:paraId="318AB62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317.752 </w:t>
            </w:r>
          </w:p>
        </w:tc>
        <w:tc>
          <w:tcPr>
            <w:tcW w:w="1648" w:type="dxa"/>
            <w:tcBorders>
              <w:top w:val="nil"/>
              <w:left w:val="nil"/>
              <w:bottom w:val="nil"/>
              <w:right w:val="nil"/>
            </w:tcBorders>
            <w:shd w:val="clear" w:color="000000" w:fill="FFFFFF"/>
            <w:noWrap/>
            <w:vAlign w:val="center"/>
            <w:hideMark/>
          </w:tcPr>
          <w:p w14:paraId="317B12C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144.428 </w:t>
            </w:r>
          </w:p>
        </w:tc>
      </w:tr>
      <w:tr w:rsidR="00F64523" w:rsidRPr="00092E33" w14:paraId="5415C210"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6563E50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Patrimonio neto</w:t>
            </w:r>
          </w:p>
        </w:tc>
        <w:tc>
          <w:tcPr>
            <w:tcW w:w="1701" w:type="dxa"/>
            <w:tcBorders>
              <w:top w:val="nil"/>
              <w:left w:val="nil"/>
              <w:bottom w:val="nil"/>
              <w:right w:val="nil"/>
            </w:tcBorders>
            <w:shd w:val="clear" w:color="000000" w:fill="FFFFFF"/>
            <w:noWrap/>
            <w:vAlign w:val="center"/>
            <w:hideMark/>
          </w:tcPr>
          <w:p w14:paraId="4456004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503.610 </w:t>
            </w:r>
          </w:p>
        </w:tc>
        <w:tc>
          <w:tcPr>
            <w:tcW w:w="1708" w:type="dxa"/>
            <w:tcBorders>
              <w:top w:val="nil"/>
              <w:left w:val="nil"/>
              <w:bottom w:val="nil"/>
              <w:right w:val="nil"/>
            </w:tcBorders>
            <w:shd w:val="clear" w:color="000000" w:fill="FFFFFF"/>
            <w:noWrap/>
            <w:vAlign w:val="center"/>
            <w:hideMark/>
          </w:tcPr>
          <w:p w14:paraId="3256841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135.373 </w:t>
            </w:r>
          </w:p>
        </w:tc>
        <w:tc>
          <w:tcPr>
            <w:tcW w:w="1648" w:type="dxa"/>
            <w:tcBorders>
              <w:top w:val="nil"/>
              <w:left w:val="nil"/>
              <w:bottom w:val="nil"/>
              <w:right w:val="nil"/>
            </w:tcBorders>
            <w:shd w:val="clear" w:color="000000" w:fill="FFFFFF"/>
            <w:noWrap/>
            <w:vAlign w:val="center"/>
            <w:hideMark/>
          </w:tcPr>
          <w:p w14:paraId="3C16DC7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175.390 </w:t>
            </w:r>
          </w:p>
        </w:tc>
      </w:tr>
      <w:tr w:rsidR="00F64523" w:rsidRPr="00092E33" w14:paraId="3B37AF54"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61C2B60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Resultado del ejercicio (Pérdida)/Ganancia</w:t>
            </w:r>
          </w:p>
        </w:tc>
        <w:tc>
          <w:tcPr>
            <w:tcW w:w="1701" w:type="dxa"/>
            <w:tcBorders>
              <w:top w:val="nil"/>
              <w:left w:val="nil"/>
              <w:bottom w:val="nil"/>
              <w:right w:val="nil"/>
            </w:tcBorders>
            <w:shd w:val="clear" w:color="000000" w:fill="FFFFFF"/>
            <w:noWrap/>
            <w:vAlign w:val="center"/>
            <w:hideMark/>
          </w:tcPr>
          <w:p w14:paraId="05CF138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101.489 </w:t>
            </w:r>
          </w:p>
        </w:tc>
        <w:tc>
          <w:tcPr>
            <w:tcW w:w="1708" w:type="dxa"/>
            <w:tcBorders>
              <w:top w:val="nil"/>
              <w:left w:val="nil"/>
              <w:bottom w:val="nil"/>
              <w:right w:val="nil"/>
            </w:tcBorders>
            <w:shd w:val="clear" w:color="000000" w:fill="FFFFFF"/>
            <w:noWrap/>
            <w:vAlign w:val="center"/>
            <w:hideMark/>
          </w:tcPr>
          <w:p w14:paraId="742DC13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(235.620) </w:t>
            </w:r>
          </w:p>
        </w:tc>
        <w:tc>
          <w:tcPr>
            <w:tcW w:w="1648" w:type="dxa"/>
            <w:tcBorders>
              <w:top w:val="nil"/>
              <w:left w:val="nil"/>
              <w:bottom w:val="nil"/>
              <w:right w:val="nil"/>
            </w:tcBorders>
            <w:shd w:val="clear" w:color="000000" w:fill="FFFFFF"/>
            <w:noWrap/>
            <w:vAlign w:val="center"/>
            <w:hideMark/>
          </w:tcPr>
          <w:p w14:paraId="1A5B4A2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(96.698) </w:t>
            </w:r>
          </w:p>
        </w:tc>
      </w:tr>
      <w:tr w:rsidR="00F64523" w:rsidRPr="00092E33" w14:paraId="35A4CC7A" w14:textId="77777777" w:rsidTr="004024A0">
        <w:trPr>
          <w:trHeight w:val="315"/>
          <w:jc w:val="center"/>
        </w:trPr>
        <w:tc>
          <w:tcPr>
            <w:tcW w:w="4700" w:type="dxa"/>
            <w:tcBorders>
              <w:top w:val="nil"/>
              <w:left w:val="nil"/>
              <w:bottom w:val="nil"/>
              <w:right w:val="nil"/>
            </w:tcBorders>
            <w:shd w:val="clear" w:color="000000" w:fill="FFFFFF"/>
            <w:noWrap/>
            <w:vAlign w:val="center"/>
            <w:hideMark/>
          </w:tcPr>
          <w:p w14:paraId="624DED1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01" w:type="dxa"/>
            <w:tcBorders>
              <w:top w:val="nil"/>
              <w:left w:val="nil"/>
              <w:bottom w:val="nil"/>
              <w:right w:val="nil"/>
            </w:tcBorders>
            <w:shd w:val="clear" w:color="000000" w:fill="FFFFFF"/>
            <w:noWrap/>
            <w:vAlign w:val="center"/>
            <w:hideMark/>
          </w:tcPr>
          <w:p w14:paraId="628DD22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08" w:type="dxa"/>
            <w:tcBorders>
              <w:top w:val="nil"/>
              <w:left w:val="nil"/>
              <w:bottom w:val="nil"/>
              <w:right w:val="nil"/>
            </w:tcBorders>
            <w:shd w:val="clear" w:color="000000" w:fill="FFFFFF"/>
            <w:noWrap/>
            <w:vAlign w:val="center"/>
            <w:hideMark/>
          </w:tcPr>
          <w:p w14:paraId="75C384C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48" w:type="dxa"/>
            <w:tcBorders>
              <w:top w:val="nil"/>
              <w:left w:val="nil"/>
              <w:bottom w:val="nil"/>
              <w:right w:val="nil"/>
            </w:tcBorders>
            <w:shd w:val="clear" w:color="000000" w:fill="FFFFFF"/>
            <w:noWrap/>
            <w:vAlign w:val="center"/>
            <w:hideMark/>
          </w:tcPr>
          <w:p w14:paraId="68CA582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AC309D2" w14:textId="77777777" w:rsidTr="004024A0">
        <w:trPr>
          <w:trHeight w:val="315"/>
          <w:jc w:val="center"/>
        </w:trPr>
        <w:tc>
          <w:tcPr>
            <w:tcW w:w="4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E4524E9"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CAPITAL DE TRABAJO</w:t>
            </w:r>
          </w:p>
        </w:tc>
        <w:tc>
          <w:tcPr>
            <w:tcW w:w="1701" w:type="dxa"/>
            <w:tcBorders>
              <w:top w:val="single" w:sz="8" w:space="0" w:color="auto"/>
              <w:left w:val="nil"/>
              <w:bottom w:val="single" w:sz="8" w:space="0" w:color="auto"/>
              <w:right w:val="single" w:sz="8" w:space="0" w:color="auto"/>
            </w:tcBorders>
            <w:shd w:val="clear" w:color="000000" w:fill="FFFFFF"/>
            <w:noWrap/>
            <w:vAlign w:val="center"/>
            <w:hideMark/>
          </w:tcPr>
          <w:p w14:paraId="0DA5C82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708" w:type="dxa"/>
            <w:tcBorders>
              <w:top w:val="single" w:sz="8" w:space="0" w:color="auto"/>
              <w:left w:val="nil"/>
              <w:bottom w:val="single" w:sz="8" w:space="0" w:color="auto"/>
              <w:right w:val="single" w:sz="8" w:space="0" w:color="auto"/>
            </w:tcBorders>
            <w:shd w:val="clear" w:color="000000" w:fill="FFFFFF"/>
            <w:noWrap/>
            <w:vAlign w:val="center"/>
            <w:hideMark/>
          </w:tcPr>
          <w:p w14:paraId="2BFC3AEA"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648" w:type="dxa"/>
            <w:tcBorders>
              <w:top w:val="single" w:sz="8" w:space="0" w:color="auto"/>
              <w:left w:val="nil"/>
              <w:bottom w:val="single" w:sz="8" w:space="0" w:color="auto"/>
              <w:right w:val="single" w:sz="8" w:space="0" w:color="auto"/>
            </w:tcBorders>
            <w:shd w:val="clear" w:color="000000" w:fill="FFFFFF"/>
            <w:noWrap/>
            <w:vAlign w:val="center"/>
            <w:hideMark/>
          </w:tcPr>
          <w:p w14:paraId="066CE613"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r>
      <w:tr w:rsidR="00F64523" w:rsidRPr="00092E33" w14:paraId="7A00DA7B"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475C897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Activo corriente</w:t>
            </w:r>
          </w:p>
        </w:tc>
        <w:tc>
          <w:tcPr>
            <w:tcW w:w="1701" w:type="dxa"/>
            <w:tcBorders>
              <w:top w:val="nil"/>
              <w:left w:val="nil"/>
              <w:bottom w:val="nil"/>
              <w:right w:val="nil"/>
            </w:tcBorders>
            <w:shd w:val="clear" w:color="000000" w:fill="FFFFFF"/>
            <w:noWrap/>
            <w:vAlign w:val="center"/>
            <w:hideMark/>
          </w:tcPr>
          <w:p w14:paraId="4413763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305.085 </w:t>
            </w:r>
          </w:p>
        </w:tc>
        <w:tc>
          <w:tcPr>
            <w:tcW w:w="1708" w:type="dxa"/>
            <w:tcBorders>
              <w:top w:val="nil"/>
              <w:left w:val="nil"/>
              <w:bottom w:val="nil"/>
              <w:right w:val="nil"/>
            </w:tcBorders>
            <w:shd w:val="clear" w:color="000000" w:fill="FFFFFF"/>
            <w:noWrap/>
            <w:vAlign w:val="center"/>
            <w:hideMark/>
          </w:tcPr>
          <w:p w14:paraId="39AA4AA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59.983 </w:t>
            </w:r>
          </w:p>
        </w:tc>
        <w:tc>
          <w:tcPr>
            <w:tcW w:w="1648" w:type="dxa"/>
            <w:tcBorders>
              <w:top w:val="nil"/>
              <w:left w:val="nil"/>
              <w:bottom w:val="nil"/>
              <w:right w:val="nil"/>
            </w:tcBorders>
            <w:shd w:val="clear" w:color="000000" w:fill="FFFFFF"/>
            <w:noWrap/>
            <w:vAlign w:val="center"/>
            <w:hideMark/>
          </w:tcPr>
          <w:p w14:paraId="54FFF25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5.041 </w:t>
            </w:r>
          </w:p>
        </w:tc>
      </w:tr>
      <w:tr w:rsidR="00F64523" w:rsidRPr="00092E33" w14:paraId="31F75944"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0DCA899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Pasivo corriente</w:t>
            </w:r>
          </w:p>
        </w:tc>
        <w:tc>
          <w:tcPr>
            <w:tcW w:w="1701" w:type="dxa"/>
            <w:tcBorders>
              <w:top w:val="nil"/>
              <w:left w:val="nil"/>
              <w:bottom w:val="nil"/>
              <w:right w:val="nil"/>
            </w:tcBorders>
            <w:shd w:val="clear" w:color="000000" w:fill="FFFFFF"/>
            <w:noWrap/>
            <w:vAlign w:val="center"/>
            <w:hideMark/>
          </w:tcPr>
          <w:p w14:paraId="2E0CFE5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149.536 </w:t>
            </w:r>
          </w:p>
        </w:tc>
        <w:tc>
          <w:tcPr>
            <w:tcW w:w="1708" w:type="dxa"/>
            <w:tcBorders>
              <w:top w:val="nil"/>
              <w:left w:val="nil"/>
              <w:bottom w:val="nil"/>
              <w:right w:val="nil"/>
            </w:tcBorders>
            <w:shd w:val="clear" w:color="000000" w:fill="FFFFFF"/>
            <w:noWrap/>
            <w:vAlign w:val="center"/>
            <w:hideMark/>
          </w:tcPr>
          <w:p w14:paraId="4386D21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242.752 </w:t>
            </w:r>
          </w:p>
        </w:tc>
        <w:tc>
          <w:tcPr>
            <w:tcW w:w="1648" w:type="dxa"/>
            <w:tcBorders>
              <w:top w:val="nil"/>
              <w:left w:val="nil"/>
              <w:bottom w:val="nil"/>
              <w:right w:val="nil"/>
            </w:tcBorders>
            <w:shd w:val="clear" w:color="000000" w:fill="FFFFFF"/>
            <w:noWrap/>
            <w:vAlign w:val="center"/>
            <w:hideMark/>
          </w:tcPr>
          <w:p w14:paraId="263748F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69.428 </w:t>
            </w:r>
          </w:p>
        </w:tc>
      </w:tr>
      <w:tr w:rsidR="00F64523" w:rsidRPr="00092E33" w14:paraId="251E1772"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7928534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Capital de Trabajo = Activo corriente - Pasivo corriente</w:t>
            </w:r>
          </w:p>
        </w:tc>
        <w:tc>
          <w:tcPr>
            <w:tcW w:w="1701" w:type="dxa"/>
            <w:tcBorders>
              <w:top w:val="nil"/>
              <w:left w:val="nil"/>
              <w:bottom w:val="nil"/>
              <w:right w:val="nil"/>
            </w:tcBorders>
            <w:shd w:val="clear" w:color="000000" w:fill="FFFFFF"/>
            <w:noWrap/>
            <w:vAlign w:val="center"/>
            <w:hideMark/>
          </w:tcPr>
          <w:p w14:paraId="1B0EBE6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155.549 </w:t>
            </w:r>
          </w:p>
        </w:tc>
        <w:tc>
          <w:tcPr>
            <w:tcW w:w="1708" w:type="dxa"/>
            <w:tcBorders>
              <w:top w:val="nil"/>
              <w:left w:val="nil"/>
              <w:bottom w:val="nil"/>
              <w:right w:val="nil"/>
            </w:tcBorders>
            <w:shd w:val="clear" w:color="000000" w:fill="FFFFFF"/>
            <w:noWrap/>
            <w:vAlign w:val="center"/>
            <w:hideMark/>
          </w:tcPr>
          <w:p w14:paraId="1FAA5A1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(182.769) </w:t>
            </w:r>
          </w:p>
        </w:tc>
        <w:tc>
          <w:tcPr>
            <w:tcW w:w="1648" w:type="dxa"/>
            <w:tcBorders>
              <w:top w:val="nil"/>
              <w:left w:val="nil"/>
              <w:bottom w:val="nil"/>
              <w:right w:val="nil"/>
            </w:tcBorders>
            <w:shd w:val="clear" w:color="000000" w:fill="FFFFFF"/>
            <w:noWrap/>
            <w:vAlign w:val="center"/>
            <w:hideMark/>
          </w:tcPr>
          <w:p w14:paraId="654F0FC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(64.387) </w:t>
            </w:r>
          </w:p>
        </w:tc>
      </w:tr>
      <w:tr w:rsidR="00F64523" w:rsidRPr="00092E33" w14:paraId="2318DF6E" w14:textId="77777777" w:rsidTr="004024A0">
        <w:trPr>
          <w:trHeight w:val="315"/>
          <w:jc w:val="center"/>
        </w:trPr>
        <w:tc>
          <w:tcPr>
            <w:tcW w:w="4700" w:type="dxa"/>
            <w:tcBorders>
              <w:top w:val="nil"/>
              <w:left w:val="nil"/>
              <w:bottom w:val="nil"/>
              <w:right w:val="nil"/>
            </w:tcBorders>
            <w:shd w:val="clear" w:color="000000" w:fill="FFFFFF"/>
            <w:noWrap/>
            <w:vAlign w:val="center"/>
            <w:hideMark/>
          </w:tcPr>
          <w:p w14:paraId="0E76407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01" w:type="dxa"/>
            <w:tcBorders>
              <w:top w:val="nil"/>
              <w:left w:val="nil"/>
              <w:bottom w:val="nil"/>
              <w:right w:val="nil"/>
            </w:tcBorders>
            <w:shd w:val="clear" w:color="000000" w:fill="FFFFFF"/>
            <w:noWrap/>
            <w:vAlign w:val="center"/>
            <w:hideMark/>
          </w:tcPr>
          <w:p w14:paraId="6992E23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08" w:type="dxa"/>
            <w:tcBorders>
              <w:top w:val="nil"/>
              <w:left w:val="nil"/>
              <w:bottom w:val="nil"/>
              <w:right w:val="nil"/>
            </w:tcBorders>
            <w:shd w:val="clear" w:color="000000" w:fill="FFFFFF"/>
            <w:noWrap/>
            <w:vAlign w:val="center"/>
            <w:hideMark/>
          </w:tcPr>
          <w:p w14:paraId="42FDA73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48" w:type="dxa"/>
            <w:tcBorders>
              <w:top w:val="nil"/>
              <w:left w:val="nil"/>
              <w:bottom w:val="nil"/>
              <w:right w:val="nil"/>
            </w:tcBorders>
            <w:shd w:val="clear" w:color="000000" w:fill="FFFFFF"/>
            <w:noWrap/>
            <w:vAlign w:val="center"/>
            <w:hideMark/>
          </w:tcPr>
          <w:p w14:paraId="18056C4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7B088C22" w14:textId="77777777" w:rsidTr="004024A0">
        <w:trPr>
          <w:trHeight w:val="315"/>
          <w:jc w:val="center"/>
        </w:trPr>
        <w:tc>
          <w:tcPr>
            <w:tcW w:w="4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C40327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LIQUIDEZ</w:t>
            </w:r>
          </w:p>
        </w:tc>
        <w:tc>
          <w:tcPr>
            <w:tcW w:w="1701" w:type="dxa"/>
            <w:tcBorders>
              <w:top w:val="single" w:sz="8" w:space="0" w:color="auto"/>
              <w:left w:val="nil"/>
              <w:bottom w:val="single" w:sz="8" w:space="0" w:color="auto"/>
              <w:right w:val="single" w:sz="8" w:space="0" w:color="auto"/>
            </w:tcBorders>
            <w:shd w:val="clear" w:color="000000" w:fill="FFFFFF"/>
            <w:noWrap/>
            <w:vAlign w:val="center"/>
            <w:hideMark/>
          </w:tcPr>
          <w:p w14:paraId="15DBC45D"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708" w:type="dxa"/>
            <w:tcBorders>
              <w:top w:val="single" w:sz="8" w:space="0" w:color="auto"/>
              <w:left w:val="nil"/>
              <w:bottom w:val="single" w:sz="8" w:space="0" w:color="auto"/>
              <w:right w:val="single" w:sz="8" w:space="0" w:color="auto"/>
            </w:tcBorders>
            <w:shd w:val="clear" w:color="000000" w:fill="FFFFFF"/>
            <w:noWrap/>
            <w:vAlign w:val="center"/>
            <w:hideMark/>
          </w:tcPr>
          <w:p w14:paraId="2B08D6D0"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648" w:type="dxa"/>
            <w:tcBorders>
              <w:top w:val="single" w:sz="8" w:space="0" w:color="auto"/>
              <w:left w:val="nil"/>
              <w:bottom w:val="single" w:sz="8" w:space="0" w:color="auto"/>
              <w:right w:val="single" w:sz="8" w:space="0" w:color="auto"/>
            </w:tcBorders>
            <w:shd w:val="clear" w:color="000000" w:fill="FFFFFF"/>
            <w:noWrap/>
            <w:vAlign w:val="center"/>
            <w:hideMark/>
          </w:tcPr>
          <w:p w14:paraId="0D25B7CB"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r>
      <w:tr w:rsidR="00F64523" w:rsidRPr="00092E33" w14:paraId="3CD7D583"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11F4E6B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Activo corriente</w:t>
            </w:r>
          </w:p>
        </w:tc>
        <w:tc>
          <w:tcPr>
            <w:tcW w:w="1701" w:type="dxa"/>
            <w:tcBorders>
              <w:top w:val="nil"/>
              <w:left w:val="nil"/>
              <w:bottom w:val="nil"/>
              <w:right w:val="nil"/>
            </w:tcBorders>
            <w:shd w:val="clear" w:color="000000" w:fill="FFFFFF"/>
            <w:noWrap/>
            <w:vAlign w:val="center"/>
            <w:hideMark/>
          </w:tcPr>
          <w:p w14:paraId="7B42F55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305.085 </w:t>
            </w:r>
          </w:p>
        </w:tc>
        <w:tc>
          <w:tcPr>
            <w:tcW w:w="1708" w:type="dxa"/>
            <w:tcBorders>
              <w:top w:val="nil"/>
              <w:left w:val="nil"/>
              <w:bottom w:val="nil"/>
              <w:right w:val="nil"/>
            </w:tcBorders>
            <w:shd w:val="clear" w:color="000000" w:fill="FFFFFF"/>
            <w:noWrap/>
            <w:vAlign w:val="center"/>
            <w:hideMark/>
          </w:tcPr>
          <w:p w14:paraId="52CAA05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59.983 </w:t>
            </w:r>
          </w:p>
        </w:tc>
        <w:tc>
          <w:tcPr>
            <w:tcW w:w="1648" w:type="dxa"/>
            <w:tcBorders>
              <w:top w:val="nil"/>
              <w:left w:val="nil"/>
              <w:bottom w:val="nil"/>
              <w:right w:val="nil"/>
            </w:tcBorders>
            <w:shd w:val="clear" w:color="000000" w:fill="FFFFFF"/>
            <w:noWrap/>
            <w:vAlign w:val="center"/>
            <w:hideMark/>
          </w:tcPr>
          <w:p w14:paraId="4275D0C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5.041 </w:t>
            </w:r>
          </w:p>
        </w:tc>
      </w:tr>
      <w:tr w:rsidR="00F64523" w:rsidRPr="00092E33" w14:paraId="2B9495F8"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3F26CD4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Pasivo corriente</w:t>
            </w:r>
          </w:p>
        </w:tc>
        <w:tc>
          <w:tcPr>
            <w:tcW w:w="1701" w:type="dxa"/>
            <w:tcBorders>
              <w:top w:val="nil"/>
              <w:left w:val="nil"/>
              <w:bottom w:val="nil"/>
              <w:right w:val="nil"/>
            </w:tcBorders>
            <w:shd w:val="clear" w:color="000000" w:fill="FFFFFF"/>
            <w:noWrap/>
            <w:vAlign w:val="center"/>
            <w:hideMark/>
          </w:tcPr>
          <w:p w14:paraId="4E9E93C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149.536 </w:t>
            </w:r>
          </w:p>
        </w:tc>
        <w:tc>
          <w:tcPr>
            <w:tcW w:w="1708" w:type="dxa"/>
            <w:tcBorders>
              <w:top w:val="nil"/>
              <w:left w:val="nil"/>
              <w:bottom w:val="nil"/>
              <w:right w:val="nil"/>
            </w:tcBorders>
            <w:shd w:val="clear" w:color="000000" w:fill="FFFFFF"/>
            <w:noWrap/>
            <w:vAlign w:val="center"/>
            <w:hideMark/>
          </w:tcPr>
          <w:p w14:paraId="3497475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242.752 </w:t>
            </w:r>
          </w:p>
        </w:tc>
        <w:tc>
          <w:tcPr>
            <w:tcW w:w="1648" w:type="dxa"/>
            <w:tcBorders>
              <w:top w:val="nil"/>
              <w:left w:val="nil"/>
              <w:bottom w:val="nil"/>
              <w:right w:val="nil"/>
            </w:tcBorders>
            <w:shd w:val="clear" w:color="000000" w:fill="FFFFFF"/>
            <w:noWrap/>
            <w:vAlign w:val="center"/>
            <w:hideMark/>
          </w:tcPr>
          <w:p w14:paraId="2A9830C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69.428 </w:t>
            </w:r>
          </w:p>
        </w:tc>
      </w:tr>
      <w:tr w:rsidR="00F64523" w:rsidRPr="00092E33" w14:paraId="030D381F"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7E4A03B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Liquidez = </w:t>
            </w:r>
            <w:proofErr w:type="gramStart"/>
            <w:r w:rsidRPr="00092E33">
              <w:rPr>
                <w:rFonts w:ascii="Times New Roman" w:hAnsi="Times New Roman" w:cs="Times New Roman"/>
                <w:color w:val="000000"/>
                <w:lang w:eastAsia="es-AR"/>
              </w:rPr>
              <w:t>Activo  corriente</w:t>
            </w:r>
            <w:proofErr w:type="gramEnd"/>
            <w:r w:rsidRPr="00092E33">
              <w:rPr>
                <w:rFonts w:ascii="Times New Roman" w:hAnsi="Times New Roman" w:cs="Times New Roman"/>
                <w:color w:val="000000"/>
                <w:lang w:eastAsia="es-AR"/>
              </w:rPr>
              <w:t>/Pasivo corriente</w:t>
            </w:r>
          </w:p>
        </w:tc>
        <w:tc>
          <w:tcPr>
            <w:tcW w:w="1701" w:type="dxa"/>
            <w:tcBorders>
              <w:top w:val="nil"/>
              <w:left w:val="nil"/>
              <w:bottom w:val="nil"/>
              <w:right w:val="nil"/>
            </w:tcBorders>
            <w:shd w:val="clear" w:color="000000" w:fill="FFFFFF"/>
            <w:noWrap/>
            <w:vAlign w:val="center"/>
            <w:hideMark/>
          </w:tcPr>
          <w:p w14:paraId="787E4FC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2,04 </w:t>
            </w:r>
          </w:p>
        </w:tc>
        <w:tc>
          <w:tcPr>
            <w:tcW w:w="1708" w:type="dxa"/>
            <w:tcBorders>
              <w:top w:val="nil"/>
              <w:left w:val="nil"/>
              <w:bottom w:val="nil"/>
              <w:right w:val="nil"/>
            </w:tcBorders>
            <w:shd w:val="clear" w:color="000000" w:fill="FFFFFF"/>
            <w:noWrap/>
            <w:vAlign w:val="center"/>
            <w:hideMark/>
          </w:tcPr>
          <w:p w14:paraId="20C7C20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0,25 </w:t>
            </w:r>
          </w:p>
        </w:tc>
        <w:tc>
          <w:tcPr>
            <w:tcW w:w="1648" w:type="dxa"/>
            <w:tcBorders>
              <w:top w:val="nil"/>
              <w:left w:val="nil"/>
              <w:bottom w:val="nil"/>
              <w:right w:val="nil"/>
            </w:tcBorders>
            <w:shd w:val="clear" w:color="000000" w:fill="FFFFFF"/>
            <w:noWrap/>
            <w:vAlign w:val="center"/>
            <w:hideMark/>
          </w:tcPr>
          <w:p w14:paraId="2A6BC26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0,07 </w:t>
            </w:r>
          </w:p>
        </w:tc>
      </w:tr>
      <w:tr w:rsidR="00F64523" w:rsidRPr="00092E33" w14:paraId="56059805" w14:textId="77777777" w:rsidTr="004024A0">
        <w:trPr>
          <w:trHeight w:val="315"/>
          <w:jc w:val="center"/>
        </w:trPr>
        <w:tc>
          <w:tcPr>
            <w:tcW w:w="4700" w:type="dxa"/>
            <w:tcBorders>
              <w:top w:val="nil"/>
              <w:left w:val="nil"/>
              <w:bottom w:val="nil"/>
              <w:right w:val="nil"/>
            </w:tcBorders>
            <w:shd w:val="clear" w:color="000000" w:fill="FFFFFF"/>
            <w:noWrap/>
            <w:vAlign w:val="center"/>
            <w:hideMark/>
          </w:tcPr>
          <w:p w14:paraId="2D2E9CC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01" w:type="dxa"/>
            <w:tcBorders>
              <w:top w:val="nil"/>
              <w:left w:val="nil"/>
              <w:bottom w:val="nil"/>
              <w:right w:val="nil"/>
            </w:tcBorders>
            <w:shd w:val="clear" w:color="000000" w:fill="FFFFFF"/>
            <w:noWrap/>
            <w:vAlign w:val="center"/>
            <w:hideMark/>
          </w:tcPr>
          <w:p w14:paraId="704276B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08" w:type="dxa"/>
            <w:tcBorders>
              <w:top w:val="nil"/>
              <w:left w:val="nil"/>
              <w:bottom w:val="nil"/>
              <w:right w:val="nil"/>
            </w:tcBorders>
            <w:shd w:val="clear" w:color="000000" w:fill="FFFFFF"/>
            <w:noWrap/>
            <w:vAlign w:val="center"/>
            <w:hideMark/>
          </w:tcPr>
          <w:p w14:paraId="40D1EA5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48" w:type="dxa"/>
            <w:tcBorders>
              <w:top w:val="nil"/>
              <w:left w:val="nil"/>
              <w:bottom w:val="nil"/>
              <w:right w:val="nil"/>
            </w:tcBorders>
            <w:shd w:val="clear" w:color="000000" w:fill="FFFFFF"/>
            <w:noWrap/>
            <w:vAlign w:val="center"/>
            <w:hideMark/>
          </w:tcPr>
          <w:p w14:paraId="501879C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694D425A" w14:textId="77777777" w:rsidTr="004024A0">
        <w:trPr>
          <w:trHeight w:val="315"/>
          <w:jc w:val="center"/>
        </w:trPr>
        <w:tc>
          <w:tcPr>
            <w:tcW w:w="4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FA5DCE5"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SOLVENCIA</w:t>
            </w:r>
          </w:p>
        </w:tc>
        <w:tc>
          <w:tcPr>
            <w:tcW w:w="1701" w:type="dxa"/>
            <w:tcBorders>
              <w:top w:val="single" w:sz="8" w:space="0" w:color="auto"/>
              <w:left w:val="nil"/>
              <w:bottom w:val="single" w:sz="8" w:space="0" w:color="auto"/>
              <w:right w:val="single" w:sz="8" w:space="0" w:color="auto"/>
            </w:tcBorders>
            <w:shd w:val="clear" w:color="000000" w:fill="FFFFFF"/>
            <w:noWrap/>
            <w:vAlign w:val="center"/>
            <w:hideMark/>
          </w:tcPr>
          <w:p w14:paraId="0918184F"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708" w:type="dxa"/>
            <w:tcBorders>
              <w:top w:val="single" w:sz="8" w:space="0" w:color="auto"/>
              <w:left w:val="nil"/>
              <w:bottom w:val="single" w:sz="8" w:space="0" w:color="auto"/>
              <w:right w:val="single" w:sz="8" w:space="0" w:color="auto"/>
            </w:tcBorders>
            <w:shd w:val="clear" w:color="000000" w:fill="FFFFFF"/>
            <w:noWrap/>
            <w:vAlign w:val="center"/>
            <w:hideMark/>
          </w:tcPr>
          <w:p w14:paraId="7C693D60"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648" w:type="dxa"/>
            <w:tcBorders>
              <w:top w:val="single" w:sz="8" w:space="0" w:color="auto"/>
              <w:left w:val="nil"/>
              <w:bottom w:val="single" w:sz="8" w:space="0" w:color="auto"/>
              <w:right w:val="single" w:sz="8" w:space="0" w:color="auto"/>
            </w:tcBorders>
            <w:shd w:val="clear" w:color="000000" w:fill="FFFFFF"/>
            <w:noWrap/>
            <w:vAlign w:val="center"/>
            <w:hideMark/>
          </w:tcPr>
          <w:p w14:paraId="6C64924B"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r>
      <w:tr w:rsidR="00F64523" w:rsidRPr="00092E33" w14:paraId="2900A034"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53F7615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Patrimonio neto total</w:t>
            </w:r>
          </w:p>
        </w:tc>
        <w:tc>
          <w:tcPr>
            <w:tcW w:w="1701" w:type="dxa"/>
            <w:tcBorders>
              <w:top w:val="nil"/>
              <w:left w:val="nil"/>
              <w:bottom w:val="nil"/>
              <w:right w:val="nil"/>
            </w:tcBorders>
            <w:shd w:val="clear" w:color="000000" w:fill="FFFFFF"/>
            <w:noWrap/>
            <w:vAlign w:val="center"/>
            <w:hideMark/>
          </w:tcPr>
          <w:p w14:paraId="545D4C7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503.610 </w:t>
            </w:r>
          </w:p>
        </w:tc>
        <w:tc>
          <w:tcPr>
            <w:tcW w:w="1708" w:type="dxa"/>
            <w:tcBorders>
              <w:top w:val="nil"/>
              <w:left w:val="nil"/>
              <w:bottom w:val="nil"/>
              <w:right w:val="nil"/>
            </w:tcBorders>
            <w:shd w:val="clear" w:color="000000" w:fill="FFFFFF"/>
            <w:noWrap/>
            <w:vAlign w:val="center"/>
            <w:hideMark/>
          </w:tcPr>
          <w:p w14:paraId="1A4B94F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135.373 </w:t>
            </w:r>
          </w:p>
        </w:tc>
        <w:tc>
          <w:tcPr>
            <w:tcW w:w="1648" w:type="dxa"/>
            <w:tcBorders>
              <w:top w:val="nil"/>
              <w:left w:val="nil"/>
              <w:bottom w:val="nil"/>
              <w:right w:val="nil"/>
            </w:tcBorders>
            <w:shd w:val="clear" w:color="000000" w:fill="FFFFFF"/>
            <w:noWrap/>
            <w:vAlign w:val="center"/>
            <w:hideMark/>
          </w:tcPr>
          <w:p w14:paraId="609E03B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175.390 </w:t>
            </w:r>
          </w:p>
        </w:tc>
      </w:tr>
      <w:tr w:rsidR="00F64523" w:rsidRPr="00092E33" w14:paraId="43A7EA23"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180EAAE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Pasivo total</w:t>
            </w:r>
          </w:p>
        </w:tc>
        <w:tc>
          <w:tcPr>
            <w:tcW w:w="1701" w:type="dxa"/>
            <w:tcBorders>
              <w:top w:val="nil"/>
              <w:left w:val="nil"/>
              <w:bottom w:val="nil"/>
              <w:right w:val="nil"/>
            </w:tcBorders>
            <w:shd w:val="clear" w:color="000000" w:fill="FFFFFF"/>
            <w:noWrap/>
            <w:vAlign w:val="center"/>
            <w:hideMark/>
          </w:tcPr>
          <w:p w14:paraId="05BE583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324.536 </w:t>
            </w:r>
          </w:p>
        </w:tc>
        <w:tc>
          <w:tcPr>
            <w:tcW w:w="1708" w:type="dxa"/>
            <w:tcBorders>
              <w:top w:val="nil"/>
              <w:left w:val="nil"/>
              <w:bottom w:val="nil"/>
              <w:right w:val="nil"/>
            </w:tcBorders>
            <w:shd w:val="clear" w:color="000000" w:fill="FFFFFF"/>
            <w:noWrap/>
            <w:vAlign w:val="center"/>
            <w:hideMark/>
          </w:tcPr>
          <w:p w14:paraId="724B5E6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317.752 </w:t>
            </w:r>
          </w:p>
        </w:tc>
        <w:tc>
          <w:tcPr>
            <w:tcW w:w="1648" w:type="dxa"/>
            <w:tcBorders>
              <w:top w:val="nil"/>
              <w:left w:val="nil"/>
              <w:bottom w:val="nil"/>
              <w:right w:val="nil"/>
            </w:tcBorders>
            <w:shd w:val="clear" w:color="000000" w:fill="FFFFFF"/>
            <w:noWrap/>
            <w:vAlign w:val="center"/>
            <w:hideMark/>
          </w:tcPr>
          <w:p w14:paraId="5072154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144.428 </w:t>
            </w:r>
          </w:p>
        </w:tc>
      </w:tr>
      <w:tr w:rsidR="00F64523" w:rsidRPr="00092E33" w14:paraId="4A9C1EE0"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1BCE1F4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Solvencia = Patrimonio neto total/Pasivo total</w:t>
            </w:r>
          </w:p>
        </w:tc>
        <w:tc>
          <w:tcPr>
            <w:tcW w:w="1701" w:type="dxa"/>
            <w:tcBorders>
              <w:top w:val="nil"/>
              <w:left w:val="nil"/>
              <w:bottom w:val="nil"/>
              <w:right w:val="nil"/>
            </w:tcBorders>
            <w:shd w:val="clear" w:color="000000" w:fill="FFFFFF"/>
            <w:noWrap/>
            <w:vAlign w:val="center"/>
            <w:hideMark/>
          </w:tcPr>
          <w:p w14:paraId="4D92A31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1,55 </w:t>
            </w:r>
          </w:p>
        </w:tc>
        <w:tc>
          <w:tcPr>
            <w:tcW w:w="1708" w:type="dxa"/>
            <w:tcBorders>
              <w:top w:val="nil"/>
              <w:left w:val="nil"/>
              <w:bottom w:val="nil"/>
              <w:right w:val="nil"/>
            </w:tcBorders>
            <w:shd w:val="clear" w:color="000000" w:fill="FFFFFF"/>
            <w:noWrap/>
            <w:vAlign w:val="center"/>
            <w:hideMark/>
          </w:tcPr>
          <w:p w14:paraId="0D884B7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0,43 </w:t>
            </w:r>
          </w:p>
        </w:tc>
        <w:tc>
          <w:tcPr>
            <w:tcW w:w="1648" w:type="dxa"/>
            <w:tcBorders>
              <w:top w:val="nil"/>
              <w:left w:val="nil"/>
              <w:bottom w:val="nil"/>
              <w:right w:val="nil"/>
            </w:tcBorders>
            <w:shd w:val="clear" w:color="000000" w:fill="FFFFFF"/>
            <w:noWrap/>
            <w:vAlign w:val="center"/>
            <w:hideMark/>
          </w:tcPr>
          <w:p w14:paraId="40C46D2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1,21 </w:t>
            </w:r>
          </w:p>
        </w:tc>
      </w:tr>
      <w:tr w:rsidR="00F64523" w:rsidRPr="00092E33" w14:paraId="2136EDF7" w14:textId="77777777" w:rsidTr="004024A0">
        <w:trPr>
          <w:trHeight w:val="315"/>
          <w:jc w:val="center"/>
        </w:trPr>
        <w:tc>
          <w:tcPr>
            <w:tcW w:w="4700" w:type="dxa"/>
            <w:tcBorders>
              <w:top w:val="nil"/>
              <w:left w:val="nil"/>
              <w:bottom w:val="nil"/>
              <w:right w:val="nil"/>
            </w:tcBorders>
            <w:shd w:val="clear" w:color="000000" w:fill="FFFFFF"/>
            <w:noWrap/>
            <w:vAlign w:val="center"/>
            <w:hideMark/>
          </w:tcPr>
          <w:p w14:paraId="6259499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01" w:type="dxa"/>
            <w:tcBorders>
              <w:top w:val="nil"/>
              <w:left w:val="nil"/>
              <w:bottom w:val="nil"/>
              <w:right w:val="nil"/>
            </w:tcBorders>
            <w:shd w:val="clear" w:color="000000" w:fill="FFFFFF"/>
            <w:noWrap/>
            <w:vAlign w:val="center"/>
            <w:hideMark/>
          </w:tcPr>
          <w:p w14:paraId="166849D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08" w:type="dxa"/>
            <w:tcBorders>
              <w:top w:val="nil"/>
              <w:left w:val="nil"/>
              <w:bottom w:val="nil"/>
              <w:right w:val="nil"/>
            </w:tcBorders>
            <w:shd w:val="clear" w:color="000000" w:fill="FFFFFF"/>
            <w:noWrap/>
            <w:vAlign w:val="center"/>
            <w:hideMark/>
          </w:tcPr>
          <w:p w14:paraId="39E5BB3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48" w:type="dxa"/>
            <w:tcBorders>
              <w:top w:val="nil"/>
              <w:left w:val="nil"/>
              <w:bottom w:val="nil"/>
              <w:right w:val="nil"/>
            </w:tcBorders>
            <w:shd w:val="clear" w:color="000000" w:fill="FFFFFF"/>
            <w:noWrap/>
            <w:vAlign w:val="center"/>
            <w:hideMark/>
          </w:tcPr>
          <w:p w14:paraId="3D4BD4F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7FD2C1E" w14:textId="77777777" w:rsidTr="004024A0">
        <w:trPr>
          <w:trHeight w:val="315"/>
          <w:jc w:val="center"/>
        </w:trPr>
        <w:tc>
          <w:tcPr>
            <w:tcW w:w="4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353E07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INMOVILIZACIÓN DE CAPITAL</w:t>
            </w:r>
          </w:p>
        </w:tc>
        <w:tc>
          <w:tcPr>
            <w:tcW w:w="1701" w:type="dxa"/>
            <w:tcBorders>
              <w:top w:val="single" w:sz="8" w:space="0" w:color="auto"/>
              <w:left w:val="nil"/>
              <w:bottom w:val="single" w:sz="8" w:space="0" w:color="auto"/>
              <w:right w:val="single" w:sz="8" w:space="0" w:color="auto"/>
            </w:tcBorders>
            <w:shd w:val="clear" w:color="000000" w:fill="FFFFFF"/>
            <w:noWrap/>
            <w:vAlign w:val="center"/>
            <w:hideMark/>
          </w:tcPr>
          <w:p w14:paraId="53D716DC"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708" w:type="dxa"/>
            <w:tcBorders>
              <w:top w:val="single" w:sz="8" w:space="0" w:color="auto"/>
              <w:left w:val="nil"/>
              <w:bottom w:val="single" w:sz="8" w:space="0" w:color="auto"/>
              <w:right w:val="single" w:sz="8" w:space="0" w:color="auto"/>
            </w:tcBorders>
            <w:shd w:val="clear" w:color="000000" w:fill="FFFFFF"/>
            <w:noWrap/>
            <w:vAlign w:val="center"/>
            <w:hideMark/>
          </w:tcPr>
          <w:p w14:paraId="7D94E9C2"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648" w:type="dxa"/>
            <w:tcBorders>
              <w:top w:val="single" w:sz="8" w:space="0" w:color="auto"/>
              <w:left w:val="nil"/>
              <w:bottom w:val="single" w:sz="8" w:space="0" w:color="auto"/>
              <w:right w:val="single" w:sz="8" w:space="0" w:color="auto"/>
            </w:tcBorders>
            <w:shd w:val="clear" w:color="000000" w:fill="FFFFFF"/>
            <w:noWrap/>
            <w:vAlign w:val="center"/>
            <w:hideMark/>
          </w:tcPr>
          <w:p w14:paraId="54D8B0A2"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r>
      <w:tr w:rsidR="00F64523" w:rsidRPr="00092E33" w14:paraId="36680CA0"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669238A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Activo no corriente</w:t>
            </w:r>
          </w:p>
        </w:tc>
        <w:tc>
          <w:tcPr>
            <w:tcW w:w="1701" w:type="dxa"/>
            <w:tcBorders>
              <w:top w:val="nil"/>
              <w:left w:val="nil"/>
              <w:bottom w:val="nil"/>
              <w:right w:val="nil"/>
            </w:tcBorders>
            <w:shd w:val="clear" w:color="000000" w:fill="FFFFFF"/>
            <w:noWrap/>
            <w:vAlign w:val="center"/>
            <w:hideMark/>
          </w:tcPr>
          <w:p w14:paraId="1293B8D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523.061 </w:t>
            </w:r>
          </w:p>
        </w:tc>
        <w:tc>
          <w:tcPr>
            <w:tcW w:w="1708" w:type="dxa"/>
            <w:tcBorders>
              <w:top w:val="nil"/>
              <w:left w:val="nil"/>
              <w:bottom w:val="nil"/>
              <w:right w:val="nil"/>
            </w:tcBorders>
            <w:shd w:val="clear" w:color="000000" w:fill="FFFFFF"/>
            <w:noWrap/>
            <w:vAlign w:val="center"/>
            <w:hideMark/>
          </w:tcPr>
          <w:p w14:paraId="4826814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393.142 </w:t>
            </w:r>
          </w:p>
        </w:tc>
        <w:tc>
          <w:tcPr>
            <w:tcW w:w="1648" w:type="dxa"/>
            <w:tcBorders>
              <w:top w:val="nil"/>
              <w:left w:val="nil"/>
              <w:bottom w:val="nil"/>
              <w:right w:val="nil"/>
            </w:tcBorders>
            <w:shd w:val="clear" w:color="000000" w:fill="FFFFFF"/>
            <w:noWrap/>
            <w:vAlign w:val="center"/>
            <w:hideMark/>
          </w:tcPr>
          <w:p w14:paraId="083A0F4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314.777 </w:t>
            </w:r>
          </w:p>
        </w:tc>
      </w:tr>
      <w:tr w:rsidR="00F64523" w:rsidRPr="00092E33" w14:paraId="65CB468D"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50B93210" w14:textId="77777777" w:rsidR="00F64523" w:rsidRPr="00092E33" w:rsidRDefault="00F64523" w:rsidP="00F64523">
            <w:pPr>
              <w:spacing w:after="0"/>
              <w:jc w:val="both"/>
              <w:rPr>
                <w:rFonts w:ascii="Times New Roman" w:hAnsi="Times New Roman" w:cs="Times New Roman"/>
                <w:color w:val="000000"/>
                <w:lang w:eastAsia="es-AR"/>
              </w:rPr>
            </w:pPr>
            <w:proofErr w:type="gramStart"/>
            <w:r w:rsidRPr="00092E33">
              <w:rPr>
                <w:rFonts w:ascii="Times New Roman" w:hAnsi="Times New Roman" w:cs="Times New Roman"/>
                <w:color w:val="000000"/>
                <w:lang w:eastAsia="es-AR"/>
              </w:rPr>
              <w:t>Total</w:t>
            </w:r>
            <w:proofErr w:type="gramEnd"/>
            <w:r w:rsidRPr="00092E33">
              <w:rPr>
                <w:rFonts w:ascii="Times New Roman" w:hAnsi="Times New Roman" w:cs="Times New Roman"/>
                <w:color w:val="000000"/>
                <w:lang w:eastAsia="es-AR"/>
              </w:rPr>
              <w:t xml:space="preserve"> del activo</w:t>
            </w:r>
          </w:p>
        </w:tc>
        <w:tc>
          <w:tcPr>
            <w:tcW w:w="1701" w:type="dxa"/>
            <w:tcBorders>
              <w:top w:val="nil"/>
              <w:left w:val="nil"/>
              <w:bottom w:val="nil"/>
              <w:right w:val="nil"/>
            </w:tcBorders>
            <w:shd w:val="clear" w:color="000000" w:fill="FFFFFF"/>
            <w:noWrap/>
            <w:vAlign w:val="center"/>
            <w:hideMark/>
          </w:tcPr>
          <w:p w14:paraId="6BC264C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828.146 </w:t>
            </w:r>
          </w:p>
        </w:tc>
        <w:tc>
          <w:tcPr>
            <w:tcW w:w="1708" w:type="dxa"/>
            <w:tcBorders>
              <w:top w:val="nil"/>
              <w:left w:val="nil"/>
              <w:bottom w:val="nil"/>
              <w:right w:val="nil"/>
            </w:tcBorders>
            <w:shd w:val="clear" w:color="000000" w:fill="FFFFFF"/>
            <w:noWrap/>
            <w:vAlign w:val="center"/>
            <w:hideMark/>
          </w:tcPr>
          <w:p w14:paraId="1BA125C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453.125 </w:t>
            </w:r>
          </w:p>
        </w:tc>
        <w:tc>
          <w:tcPr>
            <w:tcW w:w="1648" w:type="dxa"/>
            <w:tcBorders>
              <w:top w:val="nil"/>
              <w:left w:val="nil"/>
              <w:bottom w:val="nil"/>
              <w:right w:val="nil"/>
            </w:tcBorders>
            <w:shd w:val="clear" w:color="000000" w:fill="FFFFFF"/>
            <w:noWrap/>
            <w:vAlign w:val="center"/>
            <w:hideMark/>
          </w:tcPr>
          <w:p w14:paraId="1031E92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319.818 </w:t>
            </w:r>
          </w:p>
        </w:tc>
      </w:tr>
      <w:tr w:rsidR="00F64523" w:rsidRPr="00092E33" w14:paraId="7C0185BE" w14:textId="77777777" w:rsidTr="004024A0">
        <w:trPr>
          <w:trHeight w:val="510"/>
          <w:jc w:val="center"/>
        </w:trPr>
        <w:tc>
          <w:tcPr>
            <w:tcW w:w="4700" w:type="dxa"/>
            <w:tcBorders>
              <w:top w:val="nil"/>
              <w:left w:val="nil"/>
              <w:bottom w:val="nil"/>
              <w:right w:val="nil"/>
            </w:tcBorders>
            <w:shd w:val="clear" w:color="000000" w:fill="FFFFFF"/>
            <w:noWrap/>
            <w:vAlign w:val="center"/>
            <w:hideMark/>
          </w:tcPr>
          <w:p w14:paraId="425E7BF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Inmovilización de capital = Activo no corriente/Total del activo</w:t>
            </w:r>
          </w:p>
        </w:tc>
        <w:tc>
          <w:tcPr>
            <w:tcW w:w="1701" w:type="dxa"/>
            <w:tcBorders>
              <w:top w:val="nil"/>
              <w:left w:val="nil"/>
              <w:bottom w:val="nil"/>
              <w:right w:val="nil"/>
            </w:tcBorders>
            <w:shd w:val="clear" w:color="000000" w:fill="FFFFFF"/>
            <w:noWrap/>
            <w:vAlign w:val="center"/>
            <w:hideMark/>
          </w:tcPr>
          <w:p w14:paraId="3DC5BBE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0,63 </w:t>
            </w:r>
          </w:p>
        </w:tc>
        <w:tc>
          <w:tcPr>
            <w:tcW w:w="1708" w:type="dxa"/>
            <w:tcBorders>
              <w:top w:val="nil"/>
              <w:left w:val="nil"/>
              <w:bottom w:val="nil"/>
              <w:right w:val="nil"/>
            </w:tcBorders>
            <w:shd w:val="clear" w:color="000000" w:fill="FFFFFF"/>
            <w:noWrap/>
            <w:vAlign w:val="center"/>
            <w:hideMark/>
          </w:tcPr>
          <w:p w14:paraId="65C616E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0,87 </w:t>
            </w:r>
          </w:p>
        </w:tc>
        <w:tc>
          <w:tcPr>
            <w:tcW w:w="1648" w:type="dxa"/>
            <w:tcBorders>
              <w:top w:val="nil"/>
              <w:left w:val="nil"/>
              <w:bottom w:val="nil"/>
              <w:right w:val="nil"/>
            </w:tcBorders>
            <w:shd w:val="clear" w:color="000000" w:fill="FFFFFF"/>
            <w:noWrap/>
            <w:vAlign w:val="center"/>
            <w:hideMark/>
          </w:tcPr>
          <w:p w14:paraId="7B68BC0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0,98 </w:t>
            </w:r>
          </w:p>
        </w:tc>
      </w:tr>
      <w:tr w:rsidR="00F64523" w:rsidRPr="00092E33" w14:paraId="5A9390DD" w14:textId="77777777" w:rsidTr="004024A0">
        <w:trPr>
          <w:trHeight w:val="315"/>
          <w:jc w:val="center"/>
        </w:trPr>
        <w:tc>
          <w:tcPr>
            <w:tcW w:w="4700" w:type="dxa"/>
            <w:tcBorders>
              <w:top w:val="nil"/>
              <w:left w:val="nil"/>
              <w:bottom w:val="nil"/>
              <w:right w:val="nil"/>
            </w:tcBorders>
            <w:shd w:val="clear" w:color="000000" w:fill="FFFFFF"/>
            <w:noWrap/>
            <w:vAlign w:val="center"/>
            <w:hideMark/>
          </w:tcPr>
          <w:p w14:paraId="6174D55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01" w:type="dxa"/>
            <w:tcBorders>
              <w:top w:val="nil"/>
              <w:left w:val="nil"/>
              <w:bottom w:val="nil"/>
              <w:right w:val="nil"/>
            </w:tcBorders>
            <w:shd w:val="clear" w:color="000000" w:fill="FFFFFF"/>
            <w:noWrap/>
            <w:vAlign w:val="center"/>
            <w:hideMark/>
          </w:tcPr>
          <w:p w14:paraId="5A2851A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08" w:type="dxa"/>
            <w:tcBorders>
              <w:top w:val="nil"/>
              <w:left w:val="nil"/>
              <w:bottom w:val="nil"/>
              <w:right w:val="nil"/>
            </w:tcBorders>
            <w:shd w:val="clear" w:color="000000" w:fill="FFFFFF"/>
            <w:noWrap/>
            <w:vAlign w:val="center"/>
            <w:hideMark/>
          </w:tcPr>
          <w:p w14:paraId="57D23E1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48" w:type="dxa"/>
            <w:tcBorders>
              <w:top w:val="nil"/>
              <w:left w:val="nil"/>
              <w:bottom w:val="nil"/>
              <w:right w:val="nil"/>
            </w:tcBorders>
            <w:shd w:val="clear" w:color="000000" w:fill="FFFFFF"/>
            <w:noWrap/>
            <w:vAlign w:val="center"/>
            <w:hideMark/>
          </w:tcPr>
          <w:p w14:paraId="37A546A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35A49F28" w14:textId="77777777" w:rsidTr="004024A0">
        <w:trPr>
          <w:trHeight w:val="315"/>
          <w:jc w:val="center"/>
        </w:trPr>
        <w:tc>
          <w:tcPr>
            <w:tcW w:w="4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6A294A38"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ENDEUDAMIENTO</w:t>
            </w:r>
          </w:p>
        </w:tc>
        <w:tc>
          <w:tcPr>
            <w:tcW w:w="1701" w:type="dxa"/>
            <w:tcBorders>
              <w:top w:val="single" w:sz="8" w:space="0" w:color="auto"/>
              <w:left w:val="nil"/>
              <w:bottom w:val="single" w:sz="8" w:space="0" w:color="auto"/>
              <w:right w:val="single" w:sz="8" w:space="0" w:color="auto"/>
            </w:tcBorders>
            <w:shd w:val="clear" w:color="000000" w:fill="FFFFFF"/>
            <w:noWrap/>
            <w:vAlign w:val="center"/>
            <w:hideMark/>
          </w:tcPr>
          <w:p w14:paraId="4D1141AD"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708" w:type="dxa"/>
            <w:tcBorders>
              <w:top w:val="single" w:sz="8" w:space="0" w:color="auto"/>
              <w:left w:val="nil"/>
              <w:bottom w:val="single" w:sz="8" w:space="0" w:color="auto"/>
              <w:right w:val="single" w:sz="8" w:space="0" w:color="auto"/>
            </w:tcBorders>
            <w:shd w:val="clear" w:color="000000" w:fill="FFFFFF"/>
            <w:noWrap/>
            <w:vAlign w:val="center"/>
            <w:hideMark/>
          </w:tcPr>
          <w:p w14:paraId="2A1162F0"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648" w:type="dxa"/>
            <w:tcBorders>
              <w:top w:val="single" w:sz="8" w:space="0" w:color="auto"/>
              <w:left w:val="nil"/>
              <w:bottom w:val="single" w:sz="8" w:space="0" w:color="auto"/>
              <w:right w:val="single" w:sz="8" w:space="0" w:color="auto"/>
            </w:tcBorders>
            <w:shd w:val="clear" w:color="000000" w:fill="FFFFFF"/>
            <w:noWrap/>
            <w:vAlign w:val="center"/>
            <w:hideMark/>
          </w:tcPr>
          <w:p w14:paraId="780D69E6"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r>
      <w:tr w:rsidR="00F64523" w:rsidRPr="00092E33" w14:paraId="4B24C0FB"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077A8C1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Pasivo total</w:t>
            </w:r>
          </w:p>
        </w:tc>
        <w:tc>
          <w:tcPr>
            <w:tcW w:w="1701" w:type="dxa"/>
            <w:tcBorders>
              <w:top w:val="nil"/>
              <w:left w:val="nil"/>
              <w:bottom w:val="nil"/>
              <w:right w:val="nil"/>
            </w:tcBorders>
            <w:shd w:val="clear" w:color="000000" w:fill="FFFFFF"/>
            <w:noWrap/>
            <w:vAlign w:val="center"/>
            <w:hideMark/>
          </w:tcPr>
          <w:p w14:paraId="035CF79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324.536 </w:t>
            </w:r>
          </w:p>
        </w:tc>
        <w:tc>
          <w:tcPr>
            <w:tcW w:w="1708" w:type="dxa"/>
            <w:tcBorders>
              <w:top w:val="nil"/>
              <w:left w:val="nil"/>
              <w:bottom w:val="nil"/>
              <w:right w:val="nil"/>
            </w:tcBorders>
            <w:shd w:val="clear" w:color="000000" w:fill="FFFFFF"/>
            <w:noWrap/>
            <w:vAlign w:val="center"/>
            <w:hideMark/>
          </w:tcPr>
          <w:p w14:paraId="20924BC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317.752 </w:t>
            </w:r>
          </w:p>
        </w:tc>
        <w:tc>
          <w:tcPr>
            <w:tcW w:w="1648" w:type="dxa"/>
            <w:tcBorders>
              <w:top w:val="nil"/>
              <w:left w:val="nil"/>
              <w:bottom w:val="nil"/>
              <w:right w:val="nil"/>
            </w:tcBorders>
            <w:shd w:val="clear" w:color="000000" w:fill="FFFFFF"/>
            <w:noWrap/>
            <w:vAlign w:val="center"/>
            <w:hideMark/>
          </w:tcPr>
          <w:p w14:paraId="2771931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144.428 </w:t>
            </w:r>
          </w:p>
        </w:tc>
      </w:tr>
      <w:tr w:rsidR="00F64523" w:rsidRPr="00092E33" w14:paraId="696AA914"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5C0C3F0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Patrimonio Neto</w:t>
            </w:r>
          </w:p>
        </w:tc>
        <w:tc>
          <w:tcPr>
            <w:tcW w:w="1701" w:type="dxa"/>
            <w:tcBorders>
              <w:top w:val="nil"/>
              <w:left w:val="nil"/>
              <w:bottom w:val="nil"/>
              <w:right w:val="nil"/>
            </w:tcBorders>
            <w:shd w:val="clear" w:color="000000" w:fill="FFFFFF"/>
            <w:noWrap/>
            <w:vAlign w:val="center"/>
            <w:hideMark/>
          </w:tcPr>
          <w:p w14:paraId="5CDB450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503.610 </w:t>
            </w:r>
          </w:p>
        </w:tc>
        <w:tc>
          <w:tcPr>
            <w:tcW w:w="1708" w:type="dxa"/>
            <w:tcBorders>
              <w:top w:val="nil"/>
              <w:left w:val="nil"/>
              <w:bottom w:val="nil"/>
              <w:right w:val="nil"/>
            </w:tcBorders>
            <w:shd w:val="clear" w:color="000000" w:fill="FFFFFF"/>
            <w:noWrap/>
            <w:vAlign w:val="center"/>
            <w:hideMark/>
          </w:tcPr>
          <w:p w14:paraId="62F370E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135.373 </w:t>
            </w:r>
          </w:p>
        </w:tc>
        <w:tc>
          <w:tcPr>
            <w:tcW w:w="1648" w:type="dxa"/>
            <w:tcBorders>
              <w:top w:val="nil"/>
              <w:left w:val="nil"/>
              <w:bottom w:val="nil"/>
              <w:right w:val="nil"/>
            </w:tcBorders>
            <w:shd w:val="clear" w:color="000000" w:fill="FFFFFF"/>
            <w:noWrap/>
            <w:vAlign w:val="center"/>
            <w:hideMark/>
          </w:tcPr>
          <w:p w14:paraId="303E846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175.390 </w:t>
            </w:r>
          </w:p>
        </w:tc>
      </w:tr>
      <w:tr w:rsidR="00F64523" w:rsidRPr="00092E33" w14:paraId="55613979"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3BE5448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Endeudamiento = Pasivo total / Patrimonio Neto</w:t>
            </w:r>
          </w:p>
        </w:tc>
        <w:tc>
          <w:tcPr>
            <w:tcW w:w="1701" w:type="dxa"/>
            <w:tcBorders>
              <w:top w:val="nil"/>
              <w:left w:val="nil"/>
              <w:bottom w:val="nil"/>
              <w:right w:val="nil"/>
            </w:tcBorders>
            <w:shd w:val="clear" w:color="000000" w:fill="FFFFFF"/>
            <w:noWrap/>
            <w:vAlign w:val="center"/>
            <w:hideMark/>
          </w:tcPr>
          <w:p w14:paraId="6583985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0,64 </w:t>
            </w:r>
          </w:p>
        </w:tc>
        <w:tc>
          <w:tcPr>
            <w:tcW w:w="1708" w:type="dxa"/>
            <w:tcBorders>
              <w:top w:val="nil"/>
              <w:left w:val="nil"/>
              <w:bottom w:val="nil"/>
              <w:right w:val="nil"/>
            </w:tcBorders>
            <w:shd w:val="clear" w:color="000000" w:fill="FFFFFF"/>
            <w:noWrap/>
            <w:vAlign w:val="center"/>
            <w:hideMark/>
          </w:tcPr>
          <w:p w14:paraId="0478D1A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2,35 </w:t>
            </w:r>
          </w:p>
        </w:tc>
        <w:tc>
          <w:tcPr>
            <w:tcW w:w="1648" w:type="dxa"/>
            <w:tcBorders>
              <w:top w:val="nil"/>
              <w:left w:val="nil"/>
              <w:bottom w:val="nil"/>
              <w:right w:val="nil"/>
            </w:tcBorders>
            <w:shd w:val="clear" w:color="000000" w:fill="FFFFFF"/>
            <w:noWrap/>
            <w:vAlign w:val="center"/>
            <w:hideMark/>
          </w:tcPr>
          <w:p w14:paraId="2A107B9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0,82 </w:t>
            </w:r>
          </w:p>
        </w:tc>
      </w:tr>
      <w:tr w:rsidR="00F64523" w:rsidRPr="00092E33" w14:paraId="582D60BE" w14:textId="77777777" w:rsidTr="004024A0">
        <w:trPr>
          <w:trHeight w:val="315"/>
          <w:jc w:val="center"/>
        </w:trPr>
        <w:tc>
          <w:tcPr>
            <w:tcW w:w="4700" w:type="dxa"/>
            <w:tcBorders>
              <w:top w:val="nil"/>
              <w:left w:val="nil"/>
              <w:bottom w:val="nil"/>
              <w:right w:val="nil"/>
            </w:tcBorders>
            <w:shd w:val="clear" w:color="000000" w:fill="FFFFFF"/>
            <w:noWrap/>
            <w:vAlign w:val="center"/>
            <w:hideMark/>
          </w:tcPr>
          <w:p w14:paraId="0DE6C1F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01" w:type="dxa"/>
            <w:tcBorders>
              <w:top w:val="nil"/>
              <w:left w:val="nil"/>
              <w:bottom w:val="nil"/>
              <w:right w:val="nil"/>
            </w:tcBorders>
            <w:shd w:val="clear" w:color="000000" w:fill="FFFFFF"/>
            <w:noWrap/>
            <w:vAlign w:val="center"/>
            <w:hideMark/>
          </w:tcPr>
          <w:p w14:paraId="68AB962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08" w:type="dxa"/>
            <w:tcBorders>
              <w:top w:val="nil"/>
              <w:left w:val="nil"/>
              <w:bottom w:val="nil"/>
              <w:right w:val="nil"/>
            </w:tcBorders>
            <w:shd w:val="clear" w:color="000000" w:fill="FFFFFF"/>
            <w:noWrap/>
            <w:vAlign w:val="center"/>
            <w:hideMark/>
          </w:tcPr>
          <w:p w14:paraId="19ACB20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48" w:type="dxa"/>
            <w:tcBorders>
              <w:top w:val="nil"/>
              <w:left w:val="nil"/>
              <w:bottom w:val="nil"/>
              <w:right w:val="nil"/>
            </w:tcBorders>
            <w:shd w:val="clear" w:color="000000" w:fill="FFFFFF"/>
            <w:noWrap/>
            <w:vAlign w:val="center"/>
            <w:hideMark/>
          </w:tcPr>
          <w:p w14:paraId="1135CE0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22209107" w14:textId="77777777" w:rsidTr="004024A0">
        <w:trPr>
          <w:trHeight w:val="315"/>
          <w:jc w:val="center"/>
        </w:trPr>
        <w:tc>
          <w:tcPr>
            <w:tcW w:w="4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FE54B70"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ENDEUDAMIENTO A CORTO PLAZO</w:t>
            </w:r>
          </w:p>
        </w:tc>
        <w:tc>
          <w:tcPr>
            <w:tcW w:w="1701" w:type="dxa"/>
            <w:tcBorders>
              <w:top w:val="single" w:sz="8" w:space="0" w:color="auto"/>
              <w:left w:val="nil"/>
              <w:bottom w:val="single" w:sz="8" w:space="0" w:color="auto"/>
              <w:right w:val="single" w:sz="8" w:space="0" w:color="auto"/>
            </w:tcBorders>
            <w:shd w:val="clear" w:color="000000" w:fill="FFFFFF"/>
            <w:noWrap/>
            <w:vAlign w:val="center"/>
            <w:hideMark/>
          </w:tcPr>
          <w:p w14:paraId="7A8BEF89"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708" w:type="dxa"/>
            <w:tcBorders>
              <w:top w:val="single" w:sz="8" w:space="0" w:color="auto"/>
              <w:left w:val="nil"/>
              <w:bottom w:val="single" w:sz="8" w:space="0" w:color="auto"/>
              <w:right w:val="single" w:sz="8" w:space="0" w:color="auto"/>
            </w:tcBorders>
            <w:shd w:val="clear" w:color="000000" w:fill="FFFFFF"/>
            <w:noWrap/>
            <w:vAlign w:val="center"/>
            <w:hideMark/>
          </w:tcPr>
          <w:p w14:paraId="6571518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648" w:type="dxa"/>
            <w:tcBorders>
              <w:top w:val="single" w:sz="8" w:space="0" w:color="auto"/>
              <w:left w:val="nil"/>
              <w:bottom w:val="single" w:sz="8" w:space="0" w:color="auto"/>
              <w:right w:val="single" w:sz="8" w:space="0" w:color="auto"/>
            </w:tcBorders>
            <w:shd w:val="clear" w:color="000000" w:fill="FFFFFF"/>
            <w:noWrap/>
            <w:vAlign w:val="center"/>
            <w:hideMark/>
          </w:tcPr>
          <w:p w14:paraId="4751A480"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r>
      <w:tr w:rsidR="00F64523" w:rsidRPr="00092E33" w14:paraId="0E2D2A38"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56687AC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Pasivo corriente</w:t>
            </w:r>
          </w:p>
        </w:tc>
        <w:tc>
          <w:tcPr>
            <w:tcW w:w="1701" w:type="dxa"/>
            <w:tcBorders>
              <w:top w:val="nil"/>
              <w:left w:val="nil"/>
              <w:bottom w:val="nil"/>
              <w:right w:val="nil"/>
            </w:tcBorders>
            <w:shd w:val="clear" w:color="000000" w:fill="FFFFFF"/>
            <w:noWrap/>
            <w:vAlign w:val="center"/>
            <w:hideMark/>
          </w:tcPr>
          <w:p w14:paraId="013C12B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149.536 </w:t>
            </w:r>
          </w:p>
        </w:tc>
        <w:tc>
          <w:tcPr>
            <w:tcW w:w="1708" w:type="dxa"/>
            <w:tcBorders>
              <w:top w:val="nil"/>
              <w:left w:val="nil"/>
              <w:bottom w:val="nil"/>
              <w:right w:val="nil"/>
            </w:tcBorders>
            <w:shd w:val="clear" w:color="000000" w:fill="FFFFFF"/>
            <w:noWrap/>
            <w:vAlign w:val="center"/>
            <w:hideMark/>
          </w:tcPr>
          <w:p w14:paraId="78A5F2A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242.752 </w:t>
            </w:r>
          </w:p>
        </w:tc>
        <w:tc>
          <w:tcPr>
            <w:tcW w:w="1648" w:type="dxa"/>
            <w:tcBorders>
              <w:top w:val="nil"/>
              <w:left w:val="nil"/>
              <w:bottom w:val="nil"/>
              <w:right w:val="nil"/>
            </w:tcBorders>
            <w:shd w:val="clear" w:color="000000" w:fill="FFFFFF"/>
            <w:noWrap/>
            <w:vAlign w:val="center"/>
            <w:hideMark/>
          </w:tcPr>
          <w:p w14:paraId="115BEA0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69.428 </w:t>
            </w:r>
          </w:p>
        </w:tc>
      </w:tr>
      <w:tr w:rsidR="00F64523" w:rsidRPr="00092E33" w14:paraId="31932914"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75B9518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Patrimonio Neto</w:t>
            </w:r>
          </w:p>
        </w:tc>
        <w:tc>
          <w:tcPr>
            <w:tcW w:w="1701" w:type="dxa"/>
            <w:tcBorders>
              <w:top w:val="nil"/>
              <w:left w:val="nil"/>
              <w:bottom w:val="nil"/>
              <w:right w:val="nil"/>
            </w:tcBorders>
            <w:shd w:val="clear" w:color="000000" w:fill="FFFFFF"/>
            <w:noWrap/>
            <w:vAlign w:val="center"/>
            <w:hideMark/>
          </w:tcPr>
          <w:p w14:paraId="61788D5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503.610 </w:t>
            </w:r>
          </w:p>
        </w:tc>
        <w:tc>
          <w:tcPr>
            <w:tcW w:w="1708" w:type="dxa"/>
            <w:tcBorders>
              <w:top w:val="nil"/>
              <w:left w:val="nil"/>
              <w:bottom w:val="nil"/>
              <w:right w:val="nil"/>
            </w:tcBorders>
            <w:shd w:val="clear" w:color="000000" w:fill="FFFFFF"/>
            <w:noWrap/>
            <w:vAlign w:val="center"/>
            <w:hideMark/>
          </w:tcPr>
          <w:p w14:paraId="68D232F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135.373 </w:t>
            </w:r>
          </w:p>
        </w:tc>
        <w:tc>
          <w:tcPr>
            <w:tcW w:w="1648" w:type="dxa"/>
            <w:tcBorders>
              <w:top w:val="nil"/>
              <w:left w:val="nil"/>
              <w:bottom w:val="nil"/>
              <w:right w:val="nil"/>
            </w:tcBorders>
            <w:shd w:val="clear" w:color="000000" w:fill="FFFFFF"/>
            <w:noWrap/>
            <w:vAlign w:val="center"/>
            <w:hideMark/>
          </w:tcPr>
          <w:p w14:paraId="62FA261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175.390 </w:t>
            </w:r>
          </w:p>
        </w:tc>
      </w:tr>
      <w:tr w:rsidR="00F64523" w:rsidRPr="00092E33" w14:paraId="5F852E34" w14:textId="77777777" w:rsidTr="004024A0">
        <w:trPr>
          <w:trHeight w:val="510"/>
          <w:jc w:val="center"/>
        </w:trPr>
        <w:tc>
          <w:tcPr>
            <w:tcW w:w="4700" w:type="dxa"/>
            <w:tcBorders>
              <w:top w:val="nil"/>
              <w:left w:val="nil"/>
              <w:bottom w:val="nil"/>
              <w:right w:val="nil"/>
            </w:tcBorders>
            <w:shd w:val="clear" w:color="000000" w:fill="FFFFFF"/>
            <w:noWrap/>
            <w:vAlign w:val="center"/>
            <w:hideMark/>
          </w:tcPr>
          <w:p w14:paraId="759BA20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Endeudamiento a corto plazo = Pasivo total / Patrimonio Neto</w:t>
            </w:r>
          </w:p>
        </w:tc>
        <w:tc>
          <w:tcPr>
            <w:tcW w:w="1701" w:type="dxa"/>
            <w:tcBorders>
              <w:top w:val="nil"/>
              <w:left w:val="nil"/>
              <w:bottom w:val="nil"/>
              <w:right w:val="nil"/>
            </w:tcBorders>
            <w:shd w:val="clear" w:color="000000" w:fill="FFFFFF"/>
            <w:noWrap/>
            <w:vAlign w:val="center"/>
            <w:hideMark/>
          </w:tcPr>
          <w:p w14:paraId="6EA2F3F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0,30 </w:t>
            </w:r>
          </w:p>
        </w:tc>
        <w:tc>
          <w:tcPr>
            <w:tcW w:w="1708" w:type="dxa"/>
            <w:tcBorders>
              <w:top w:val="nil"/>
              <w:left w:val="nil"/>
              <w:bottom w:val="nil"/>
              <w:right w:val="nil"/>
            </w:tcBorders>
            <w:shd w:val="clear" w:color="000000" w:fill="FFFFFF"/>
            <w:noWrap/>
            <w:vAlign w:val="center"/>
            <w:hideMark/>
          </w:tcPr>
          <w:p w14:paraId="7C76A22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1,79 </w:t>
            </w:r>
          </w:p>
        </w:tc>
        <w:tc>
          <w:tcPr>
            <w:tcW w:w="1648" w:type="dxa"/>
            <w:tcBorders>
              <w:top w:val="nil"/>
              <w:left w:val="nil"/>
              <w:bottom w:val="nil"/>
              <w:right w:val="nil"/>
            </w:tcBorders>
            <w:shd w:val="clear" w:color="000000" w:fill="FFFFFF"/>
            <w:noWrap/>
            <w:vAlign w:val="center"/>
            <w:hideMark/>
          </w:tcPr>
          <w:p w14:paraId="6E376E0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0,40 </w:t>
            </w:r>
          </w:p>
        </w:tc>
      </w:tr>
      <w:tr w:rsidR="00F64523" w:rsidRPr="00092E33" w14:paraId="64A630EE" w14:textId="77777777" w:rsidTr="004024A0">
        <w:trPr>
          <w:trHeight w:val="315"/>
          <w:jc w:val="center"/>
        </w:trPr>
        <w:tc>
          <w:tcPr>
            <w:tcW w:w="4700" w:type="dxa"/>
            <w:tcBorders>
              <w:top w:val="nil"/>
              <w:left w:val="nil"/>
              <w:bottom w:val="nil"/>
              <w:right w:val="nil"/>
            </w:tcBorders>
            <w:shd w:val="clear" w:color="000000" w:fill="FFFFFF"/>
            <w:noWrap/>
            <w:vAlign w:val="center"/>
            <w:hideMark/>
          </w:tcPr>
          <w:p w14:paraId="134A602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lastRenderedPageBreak/>
              <w:t> </w:t>
            </w:r>
          </w:p>
        </w:tc>
        <w:tc>
          <w:tcPr>
            <w:tcW w:w="1701" w:type="dxa"/>
            <w:tcBorders>
              <w:top w:val="nil"/>
              <w:left w:val="nil"/>
              <w:bottom w:val="nil"/>
              <w:right w:val="nil"/>
            </w:tcBorders>
            <w:shd w:val="clear" w:color="000000" w:fill="FFFFFF"/>
            <w:noWrap/>
            <w:vAlign w:val="center"/>
            <w:hideMark/>
          </w:tcPr>
          <w:p w14:paraId="2756804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08" w:type="dxa"/>
            <w:tcBorders>
              <w:top w:val="nil"/>
              <w:left w:val="nil"/>
              <w:bottom w:val="nil"/>
              <w:right w:val="nil"/>
            </w:tcBorders>
            <w:shd w:val="clear" w:color="000000" w:fill="FFFFFF"/>
            <w:noWrap/>
            <w:vAlign w:val="center"/>
            <w:hideMark/>
          </w:tcPr>
          <w:p w14:paraId="3C84A0D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48" w:type="dxa"/>
            <w:tcBorders>
              <w:top w:val="nil"/>
              <w:left w:val="nil"/>
              <w:bottom w:val="nil"/>
              <w:right w:val="nil"/>
            </w:tcBorders>
            <w:shd w:val="clear" w:color="000000" w:fill="FFFFFF"/>
            <w:noWrap/>
            <w:vAlign w:val="center"/>
            <w:hideMark/>
          </w:tcPr>
          <w:p w14:paraId="471AA7D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6A662C36" w14:textId="77777777" w:rsidTr="004024A0">
        <w:trPr>
          <w:trHeight w:val="315"/>
          <w:jc w:val="center"/>
        </w:trPr>
        <w:tc>
          <w:tcPr>
            <w:tcW w:w="470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6B01963"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APALANCAMIENTO</w:t>
            </w:r>
          </w:p>
        </w:tc>
        <w:tc>
          <w:tcPr>
            <w:tcW w:w="1701" w:type="dxa"/>
            <w:tcBorders>
              <w:top w:val="single" w:sz="8" w:space="0" w:color="auto"/>
              <w:left w:val="nil"/>
              <w:bottom w:val="single" w:sz="8" w:space="0" w:color="auto"/>
              <w:right w:val="single" w:sz="8" w:space="0" w:color="auto"/>
            </w:tcBorders>
            <w:shd w:val="clear" w:color="000000" w:fill="FFFFFF"/>
            <w:noWrap/>
            <w:vAlign w:val="center"/>
            <w:hideMark/>
          </w:tcPr>
          <w:p w14:paraId="3CCADFA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708" w:type="dxa"/>
            <w:tcBorders>
              <w:top w:val="single" w:sz="8" w:space="0" w:color="auto"/>
              <w:left w:val="nil"/>
              <w:bottom w:val="single" w:sz="8" w:space="0" w:color="auto"/>
              <w:right w:val="single" w:sz="8" w:space="0" w:color="auto"/>
            </w:tcBorders>
            <w:shd w:val="clear" w:color="000000" w:fill="FFFFFF"/>
            <w:noWrap/>
            <w:vAlign w:val="center"/>
            <w:hideMark/>
          </w:tcPr>
          <w:p w14:paraId="4DF1F635"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648" w:type="dxa"/>
            <w:tcBorders>
              <w:top w:val="single" w:sz="8" w:space="0" w:color="auto"/>
              <w:left w:val="nil"/>
              <w:bottom w:val="single" w:sz="8" w:space="0" w:color="auto"/>
              <w:right w:val="single" w:sz="8" w:space="0" w:color="auto"/>
            </w:tcBorders>
            <w:shd w:val="clear" w:color="000000" w:fill="FFFFFF"/>
            <w:noWrap/>
            <w:vAlign w:val="center"/>
            <w:hideMark/>
          </w:tcPr>
          <w:p w14:paraId="567F3D79"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r>
      <w:tr w:rsidR="00F64523" w:rsidRPr="00092E33" w14:paraId="2F25B59A"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6CBB0AF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Activo total</w:t>
            </w:r>
          </w:p>
        </w:tc>
        <w:tc>
          <w:tcPr>
            <w:tcW w:w="1701" w:type="dxa"/>
            <w:tcBorders>
              <w:top w:val="nil"/>
              <w:left w:val="nil"/>
              <w:bottom w:val="nil"/>
              <w:right w:val="nil"/>
            </w:tcBorders>
            <w:shd w:val="clear" w:color="000000" w:fill="FFFFFF"/>
            <w:noWrap/>
            <w:vAlign w:val="center"/>
            <w:hideMark/>
          </w:tcPr>
          <w:p w14:paraId="5EA1003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828.146 </w:t>
            </w:r>
          </w:p>
        </w:tc>
        <w:tc>
          <w:tcPr>
            <w:tcW w:w="1708" w:type="dxa"/>
            <w:tcBorders>
              <w:top w:val="nil"/>
              <w:left w:val="nil"/>
              <w:bottom w:val="nil"/>
              <w:right w:val="nil"/>
            </w:tcBorders>
            <w:shd w:val="clear" w:color="000000" w:fill="FFFFFF"/>
            <w:noWrap/>
            <w:vAlign w:val="center"/>
            <w:hideMark/>
          </w:tcPr>
          <w:p w14:paraId="619257A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453.125 </w:t>
            </w:r>
          </w:p>
        </w:tc>
        <w:tc>
          <w:tcPr>
            <w:tcW w:w="1648" w:type="dxa"/>
            <w:tcBorders>
              <w:top w:val="nil"/>
              <w:left w:val="nil"/>
              <w:bottom w:val="nil"/>
              <w:right w:val="nil"/>
            </w:tcBorders>
            <w:shd w:val="clear" w:color="000000" w:fill="FFFFFF"/>
            <w:noWrap/>
            <w:vAlign w:val="center"/>
            <w:hideMark/>
          </w:tcPr>
          <w:p w14:paraId="4639B6C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319.818 </w:t>
            </w:r>
          </w:p>
        </w:tc>
      </w:tr>
      <w:tr w:rsidR="00F64523" w:rsidRPr="00092E33" w14:paraId="4B717231"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54B4AF7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Patrimonio Neto</w:t>
            </w:r>
          </w:p>
        </w:tc>
        <w:tc>
          <w:tcPr>
            <w:tcW w:w="1701" w:type="dxa"/>
            <w:tcBorders>
              <w:top w:val="nil"/>
              <w:left w:val="nil"/>
              <w:bottom w:val="nil"/>
              <w:right w:val="nil"/>
            </w:tcBorders>
            <w:shd w:val="clear" w:color="000000" w:fill="FFFFFF"/>
            <w:noWrap/>
            <w:vAlign w:val="center"/>
            <w:hideMark/>
          </w:tcPr>
          <w:p w14:paraId="32BC058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503.610 </w:t>
            </w:r>
          </w:p>
        </w:tc>
        <w:tc>
          <w:tcPr>
            <w:tcW w:w="1708" w:type="dxa"/>
            <w:tcBorders>
              <w:top w:val="nil"/>
              <w:left w:val="nil"/>
              <w:bottom w:val="nil"/>
              <w:right w:val="nil"/>
            </w:tcBorders>
            <w:shd w:val="clear" w:color="000000" w:fill="FFFFFF"/>
            <w:noWrap/>
            <w:vAlign w:val="center"/>
            <w:hideMark/>
          </w:tcPr>
          <w:p w14:paraId="722CE6B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135.373 </w:t>
            </w:r>
          </w:p>
        </w:tc>
        <w:tc>
          <w:tcPr>
            <w:tcW w:w="1648" w:type="dxa"/>
            <w:tcBorders>
              <w:top w:val="nil"/>
              <w:left w:val="nil"/>
              <w:bottom w:val="nil"/>
              <w:right w:val="nil"/>
            </w:tcBorders>
            <w:shd w:val="clear" w:color="000000" w:fill="FFFFFF"/>
            <w:noWrap/>
            <w:vAlign w:val="center"/>
            <w:hideMark/>
          </w:tcPr>
          <w:p w14:paraId="3F9B7F5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175.390 </w:t>
            </w:r>
          </w:p>
        </w:tc>
      </w:tr>
      <w:tr w:rsidR="00F64523" w:rsidRPr="00092E33" w14:paraId="37A837BF" w14:textId="77777777" w:rsidTr="004024A0">
        <w:trPr>
          <w:trHeight w:val="300"/>
          <w:jc w:val="center"/>
        </w:trPr>
        <w:tc>
          <w:tcPr>
            <w:tcW w:w="4700" w:type="dxa"/>
            <w:tcBorders>
              <w:top w:val="nil"/>
              <w:left w:val="nil"/>
              <w:bottom w:val="nil"/>
              <w:right w:val="nil"/>
            </w:tcBorders>
            <w:shd w:val="clear" w:color="000000" w:fill="FFFFFF"/>
            <w:noWrap/>
            <w:vAlign w:val="center"/>
            <w:hideMark/>
          </w:tcPr>
          <w:p w14:paraId="5A369B1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Apalancamiento = Activo total / Patrimonio Neto</w:t>
            </w:r>
          </w:p>
        </w:tc>
        <w:tc>
          <w:tcPr>
            <w:tcW w:w="1701" w:type="dxa"/>
            <w:tcBorders>
              <w:top w:val="nil"/>
              <w:left w:val="nil"/>
              <w:bottom w:val="nil"/>
              <w:right w:val="nil"/>
            </w:tcBorders>
            <w:shd w:val="clear" w:color="000000" w:fill="FFFFFF"/>
            <w:noWrap/>
            <w:vAlign w:val="center"/>
            <w:hideMark/>
          </w:tcPr>
          <w:p w14:paraId="7BE9952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1,64 </w:t>
            </w:r>
          </w:p>
        </w:tc>
        <w:tc>
          <w:tcPr>
            <w:tcW w:w="1708" w:type="dxa"/>
            <w:tcBorders>
              <w:top w:val="nil"/>
              <w:left w:val="nil"/>
              <w:bottom w:val="nil"/>
              <w:right w:val="nil"/>
            </w:tcBorders>
            <w:shd w:val="clear" w:color="000000" w:fill="FFFFFF"/>
            <w:noWrap/>
            <w:vAlign w:val="center"/>
            <w:hideMark/>
          </w:tcPr>
          <w:p w14:paraId="4B0BEF6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3,35 </w:t>
            </w:r>
          </w:p>
        </w:tc>
        <w:tc>
          <w:tcPr>
            <w:tcW w:w="1648" w:type="dxa"/>
            <w:tcBorders>
              <w:top w:val="nil"/>
              <w:left w:val="nil"/>
              <w:bottom w:val="nil"/>
              <w:right w:val="nil"/>
            </w:tcBorders>
            <w:shd w:val="clear" w:color="000000" w:fill="FFFFFF"/>
            <w:noWrap/>
            <w:vAlign w:val="center"/>
            <w:hideMark/>
          </w:tcPr>
          <w:p w14:paraId="23EC348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1,82 </w:t>
            </w:r>
          </w:p>
        </w:tc>
      </w:tr>
    </w:tbl>
    <w:p w14:paraId="4B6F7B45" w14:textId="77777777" w:rsidR="00F64523" w:rsidRPr="00092E33" w:rsidRDefault="00F64523" w:rsidP="00F64523">
      <w:pPr>
        <w:spacing w:after="0" w:line="220" w:lineRule="exact"/>
        <w:jc w:val="both"/>
        <w:rPr>
          <w:rFonts w:ascii="Times New Roman" w:hAnsi="Times New Roman" w:cs="Times New Roman"/>
          <w:b/>
          <w:u w:val="single"/>
        </w:rPr>
      </w:pPr>
    </w:p>
    <w:p w14:paraId="1BFB43CC" w14:textId="77777777" w:rsidR="00F64523" w:rsidRPr="00092E33" w:rsidRDefault="00F64523" w:rsidP="00F64523">
      <w:pPr>
        <w:spacing w:after="0" w:line="220" w:lineRule="exact"/>
        <w:jc w:val="both"/>
        <w:rPr>
          <w:rFonts w:ascii="Times New Roman" w:hAnsi="Times New Roman" w:cs="Times New Roman"/>
          <w:b/>
          <w:u w:val="single"/>
        </w:rPr>
      </w:pPr>
    </w:p>
    <w:tbl>
      <w:tblPr>
        <w:tblW w:w="9969" w:type="dxa"/>
        <w:jc w:val="center"/>
        <w:tblCellMar>
          <w:left w:w="70" w:type="dxa"/>
          <w:right w:w="70" w:type="dxa"/>
        </w:tblCellMar>
        <w:tblLook w:val="04A0" w:firstRow="1" w:lastRow="0" w:firstColumn="1" w:lastColumn="0" w:noHBand="0" w:noVBand="1"/>
      </w:tblPr>
      <w:tblGrid>
        <w:gridCol w:w="5538"/>
        <w:gridCol w:w="1460"/>
        <w:gridCol w:w="1679"/>
        <w:gridCol w:w="1292"/>
      </w:tblGrid>
      <w:tr w:rsidR="00F64523" w:rsidRPr="00092E33" w14:paraId="5BDDB7E7" w14:textId="77777777" w:rsidTr="004024A0">
        <w:trPr>
          <w:trHeight w:val="330"/>
          <w:jc w:val="center"/>
        </w:trPr>
        <w:tc>
          <w:tcPr>
            <w:tcW w:w="9969" w:type="dxa"/>
            <w:gridSpan w:val="4"/>
            <w:tcBorders>
              <w:top w:val="nil"/>
              <w:left w:val="nil"/>
              <w:bottom w:val="nil"/>
              <w:right w:val="nil"/>
            </w:tcBorders>
            <w:shd w:val="clear" w:color="000000" w:fill="FFFFFF"/>
            <w:noWrap/>
            <w:vAlign w:val="center"/>
            <w:hideMark/>
          </w:tcPr>
          <w:p w14:paraId="11649CBD" w14:textId="77777777" w:rsidR="00F64523" w:rsidRPr="00092E33" w:rsidRDefault="00F64523" w:rsidP="00F64523">
            <w:pPr>
              <w:spacing w:after="0"/>
              <w:jc w:val="both"/>
              <w:rPr>
                <w:rFonts w:ascii="Times New Roman" w:hAnsi="Times New Roman" w:cs="Times New Roman"/>
                <w:b/>
                <w:bCs/>
                <w:lang w:eastAsia="es-AR"/>
              </w:rPr>
            </w:pPr>
            <w:bookmarkStart w:id="13" w:name="_Hlk34409386"/>
            <w:r w:rsidRPr="00092E33">
              <w:rPr>
                <w:rFonts w:ascii="Times New Roman" w:hAnsi="Times New Roman" w:cs="Times New Roman"/>
                <w:b/>
                <w:bCs/>
                <w:lang w:eastAsia="es-AR"/>
              </w:rPr>
              <w:t>ESTRUCTURA ESTADO DE SITUACION FINANCIERA CONSOLIDADOS</w:t>
            </w:r>
          </w:p>
        </w:tc>
      </w:tr>
      <w:tr w:rsidR="00F64523" w:rsidRPr="00092E33" w14:paraId="65B41AEF" w14:textId="77777777" w:rsidTr="004024A0">
        <w:trPr>
          <w:trHeight w:val="300"/>
          <w:jc w:val="center"/>
        </w:trPr>
        <w:tc>
          <w:tcPr>
            <w:tcW w:w="9969" w:type="dxa"/>
            <w:gridSpan w:val="4"/>
            <w:tcBorders>
              <w:top w:val="nil"/>
              <w:left w:val="nil"/>
              <w:bottom w:val="nil"/>
              <w:right w:val="nil"/>
            </w:tcBorders>
            <w:shd w:val="clear" w:color="000000" w:fill="FFFFFF"/>
            <w:noWrap/>
            <w:vAlign w:val="center"/>
            <w:hideMark/>
          </w:tcPr>
          <w:p w14:paraId="63E5106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Cifras expresadas en miles de pesos</w:t>
            </w:r>
          </w:p>
        </w:tc>
      </w:tr>
      <w:tr w:rsidR="00F64523" w:rsidRPr="00092E33" w14:paraId="0D527A4E" w14:textId="77777777" w:rsidTr="004024A0">
        <w:trPr>
          <w:trHeight w:val="300"/>
          <w:jc w:val="center"/>
        </w:trPr>
        <w:tc>
          <w:tcPr>
            <w:tcW w:w="5538" w:type="dxa"/>
            <w:tcBorders>
              <w:top w:val="nil"/>
              <w:left w:val="nil"/>
              <w:bottom w:val="nil"/>
              <w:right w:val="nil"/>
            </w:tcBorders>
            <w:shd w:val="clear" w:color="000000" w:fill="FFFFFF"/>
            <w:noWrap/>
            <w:vAlign w:val="center"/>
            <w:hideMark/>
          </w:tcPr>
          <w:p w14:paraId="497A2DE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60" w:type="dxa"/>
            <w:tcBorders>
              <w:top w:val="nil"/>
              <w:left w:val="nil"/>
              <w:bottom w:val="nil"/>
              <w:right w:val="nil"/>
            </w:tcBorders>
            <w:shd w:val="clear" w:color="000000" w:fill="FFFFFF"/>
            <w:noWrap/>
            <w:vAlign w:val="center"/>
            <w:hideMark/>
          </w:tcPr>
          <w:p w14:paraId="6F3F99A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79" w:type="dxa"/>
            <w:tcBorders>
              <w:top w:val="nil"/>
              <w:left w:val="nil"/>
              <w:bottom w:val="nil"/>
              <w:right w:val="nil"/>
            </w:tcBorders>
            <w:shd w:val="clear" w:color="000000" w:fill="FFFFFF"/>
            <w:noWrap/>
            <w:vAlign w:val="center"/>
            <w:hideMark/>
          </w:tcPr>
          <w:p w14:paraId="75F7B33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89" w:type="dxa"/>
            <w:tcBorders>
              <w:top w:val="nil"/>
              <w:left w:val="nil"/>
              <w:bottom w:val="nil"/>
              <w:right w:val="nil"/>
            </w:tcBorders>
            <w:shd w:val="clear" w:color="000000" w:fill="FFFFFF"/>
            <w:noWrap/>
            <w:vAlign w:val="center"/>
            <w:hideMark/>
          </w:tcPr>
          <w:p w14:paraId="3AA2A9A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F85FC17" w14:textId="77777777" w:rsidTr="004024A0">
        <w:trPr>
          <w:trHeight w:val="300"/>
          <w:jc w:val="center"/>
        </w:trPr>
        <w:tc>
          <w:tcPr>
            <w:tcW w:w="5538" w:type="dxa"/>
            <w:tcBorders>
              <w:top w:val="nil"/>
              <w:left w:val="nil"/>
              <w:bottom w:val="nil"/>
              <w:right w:val="nil"/>
            </w:tcBorders>
            <w:shd w:val="clear" w:color="000000" w:fill="FFFFFF"/>
            <w:vAlign w:val="center"/>
            <w:hideMark/>
          </w:tcPr>
          <w:p w14:paraId="302ABCA2"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ACTIVO</w:t>
            </w:r>
          </w:p>
        </w:tc>
        <w:tc>
          <w:tcPr>
            <w:tcW w:w="1460" w:type="dxa"/>
            <w:tcBorders>
              <w:top w:val="nil"/>
              <w:left w:val="nil"/>
              <w:bottom w:val="nil"/>
              <w:right w:val="nil"/>
            </w:tcBorders>
            <w:shd w:val="clear" w:color="000000" w:fill="FFFFFF"/>
            <w:noWrap/>
            <w:vAlign w:val="center"/>
            <w:hideMark/>
          </w:tcPr>
          <w:p w14:paraId="72935277"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31/12/2019</w:t>
            </w:r>
          </w:p>
        </w:tc>
        <w:tc>
          <w:tcPr>
            <w:tcW w:w="1679" w:type="dxa"/>
            <w:tcBorders>
              <w:top w:val="nil"/>
              <w:left w:val="nil"/>
              <w:bottom w:val="nil"/>
              <w:right w:val="nil"/>
            </w:tcBorders>
            <w:shd w:val="clear" w:color="000000" w:fill="FFFFFF"/>
            <w:noWrap/>
            <w:vAlign w:val="center"/>
            <w:hideMark/>
          </w:tcPr>
          <w:p w14:paraId="18CF813D"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31/12/2018</w:t>
            </w:r>
          </w:p>
        </w:tc>
        <w:tc>
          <w:tcPr>
            <w:tcW w:w="1289" w:type="dxa"/>
            <w:tcBorders>
              <w:top w:val="nil"/>
              <w:left w:val="nil"/>
              <w:bottom w:val="nil"/>
              <w:right w:val="nil"/>
            </w:tcBorders>
            <w:shd w:val="clear" w:color="000000" w:fill="FFFFFF"/>
            <w:noWrap/>
            <w:vAlign w:val="center"/>
            <w:hideMark/>
          </w:tcPr>
          <w:p w14:paraId="6B9DCB1D"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31/12/2017</w:t>
            </w:r>
          </w:p>
        </w:tc>
      </w:tr>
      <w:tr w:rsidR="00F64523" w:rsidRPr="00092E33" w14:paraId="33CCCD05" w14:textId="77777777" w:rsidTr="004024A0">
        <w:trPr>
          <w:trHeight w:val="300"/>
          <w:jc w:val="center"/>
        </w:trPr>
        <w:tc>
          <w:tcPr>
            <w:tcW w:w="5538" w:type="dxa"/>
            <w:tcBorders>
              <w:top w:val="nil"/>
              <w:left w:val="nil"/>
              <w:bottom w:val="nil"/>
              <w:right w:val="nil"/>
            </w:tcBorders>
            <w:shd w:val="clear" w:color="000000" w:fill="FFFFFF"/>
            <w:vAlign w:val="center"/>
            <w:hideMark/>
          </w:tcPr>
          <w:p w14:paraId="7224CF3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60" w:type="dxa"/>
            <w:tcBorders>
              <w:top w:val="nil"/>
              <w:left w:val="nil"/>
              <w:bottom w:val="nil"/>
              <w:right w:val="nil"/>
            </w:tcBorders>
            <w:shd w:val="clear" w:color="000000" w:fill="FFFFFF"/>
            <w:noWrap/>
            <w:vAlign w:val="center"/>
            <w:hideMark/>
          </w:tcPr>
          <w:p w14:paraId="092DD75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79" w:type="dxa"/>
            <w:tcBorders>
              <w:top w:val="nil"/>
              <w:left w:val="nil"/>
              <w:bottom w:val="nil"/>
              <w:right w:val="nil"/>
            </w:tcBorders>
            <w:shd w:val="clear" w:color="000000" w:fill="FFFFFF"/>
            <w:noWrap/>
            <w:vAlign w:val="center"/>
            <w:hideMark/>
          </w:tcPr>
          <w:p w14:paraId="3EAB936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89" w:type="dxa"/>
            <w:tcBorders>
              <w:top w:val="nil"/>
              <w:left w:val="nil"/>
              <w:bottom w:val="nil"/>
              <w:right w:val="nil"/>
            </w:tcBorders>
            <w:shd w:val="clear" w:color="000000" w:fill="FFFFFF"/>
            <w:noWrap/>
            <w:vAlign w:val="center"/>
            <w:hideMark/>
          </w:tcPr>
          <w:p w14:paraId="5742ABFC" w14:textId="77777777" w:rsidR="00F64523" w:rsidRPr="00092E33" w:rsidRDefault="00F64523" w:rsidP="00F64523">
            <w:pPr>
              <w:spacing w:after="0"/>
              <w:jc w:val="both"/>
              <w:rPr>
                <w:rFonts w:ascii="Times New Roman" w:hAnsi="Times New Roman" w:cs="Times New Roman"/>
                <w:color w:val="0070C0"/>
                <w:lang w:eastAsia="es-AR"/>
              </w:rPr>
            </w:pPr>
            <w:r w:rsidRPr="00092E33">
              <w:rPr>
                <w:rFonts w:ascii="Times New Roman" w:hAnsi="Times New Roman" w:cs="Times New Roman"/>
                <w:color w:val="0070C0"/>
                <w:lang w:eastAsia="es-AR"/>
              </w:rPr>
              <w:t> </w:t>
            </w:r>
          </w:p>
        </w:tc>
      </w:tr>
      <w:tr w:rsidR="00F64523" w:rsidRPr="00092E33" w14:paraId="233715E4" w14:textId="77777777" w:rsidTr="004024A0">
        <w:trPr>
          <w:trHeight w:val="300"/>
          <w:jc w:val="center"/>
        </w:trPr>
        <w:tc>
          <w:tcPr>
            <w:tcW w:w="5538" w:type="dxa"/>
            <w:tcBorders>
              <w:top w:val="nil"/>
              <w:left w:val="nil"/>
              <w:bottom w:val="nil"/>
              <w:right w:val="nil"/>
            </w:tcBorders>
            <w:shd w:val="clear" w:color="000000" w:fill="FFFFFF"/>
            <w:vAlign w:val="center"/>
            <w:hideMark/>
          </w:tcPr>
          <w:p w14:paraId="52E216E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Efectivo y Depósitos en Bancos</w:t>
            </w:r>
          </w:p>
        </w:tc>
        <w:tc>
          <w:tcPr>
            <w:tcW w:w="1460" w:type="dxa"/>
            <w:tcBorders>
              <w:top w:val="nil"/>
              <w:left w:val="nil"/>
              <w:bottom w:val="nil"/>
              <w:right w:val="nil"/>
            </w:tcBorders>
            <w:shd w:val="clear" w:color="000000" w:fill="FFFFFF"/>
            <w:noWrap/>
            <w:vAlign w:val="center"/>
            <w:hideMark/>
          </w:tcPr>
          <w:p w14:paraId="4696615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1.942.621 </w:t>
            </w:r>
          </w:p>
        </w:tc>
        <w:tc>
          <w:tcPr>
            <w:tcW w:w="1679" w:type="dxa"/>
            <w:tcBorders>
              <w:top w:val="nil"/>
              <w:left w:val="nil"/>
              <w:bottom w:val="nil"/>
              <w:right w:val="nil"/>
            </w:tcBorders>
            <w:shd w:val="clear" w:color="000000" w:fill="FFFFFF"/>
            <w:noWrap/>
            <w:vAlign w:val="center"/>
            <w:hideMark/>
          </w:tcPr>
          <w:p w14:paraId="1220CE8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1.028.585 </w:t>
            </w:r>
          </w:p>
        </w:tc>
        <w:tc>
          <w:tcPr>
            <w:tcW w:w="1289" w:type="dxa"/>
            <w:tcBorders>
              <w:top w:val="nil"/>
              <w:left w:val="nil"/>
              <w:bottom w:val="nil"/>
              <w:right w:val="nil"/>
            </w:tcBorders>
            <w:shd w:val="clear" w:color="000000" w:fill="FFFFFF"/>
            <w:noWrap/>
            <w:vAlign w:val="center"/>
            <w:hideMark/>
          </w:tcPr>
          <w:p w14:paraId="0FA0B47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624.090 </w:t>
            </w:r>
          </w:p>
        </w:tc>
      </w:tr>
      <w:tr w:rsidR="00F64523" w:rsidRPr="00092E33" w14:paraId="10C097AE" w14:textId="77777777" w:rsidTr="004024A0">
        <w:trPr>
          <w:trHeight w:val="600"/>
          <w:jc w:val="center"/>
        </w:trPr>
        <w:tc>
          <w:tcPr>
            <w:tcW w:w="5538" w:type="dxa"/>
            <w:tcBorders>
              <w:top w:val="nil"/>
              <w:left w:val="nil"/>
              <w:bottom w:val="nil"/>
              <w:right w:val="nil"/>
            </w:tcBorders>
            <w:shd w:val="clear" w:color="000000" w:fill="FFFFFF"/>
            <w:vAlign w:val="center"/>
            <w:hideMark/>
          </w:tcPr>
          <w:p w14:paraId="134F803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Títulos de deuda a valor razonable con cambios en resultados</w:t>
            </w:r>
          </w:p>
        </w:tc>
        <w:tc>
          <w:tcPr>
            <w:tcW w:w="1460" w:type="dxa"/>
            <w:tcBorders>
              <w:top w:val="nil"/>
              <w:left w:val="nil"/>
              <w:bottom w:val="nil"/>
              <w:right w:val="nil"/>
            </w:tcBorders>
            <w:shd w:val="clear" w:color="000000" w:fill="FFFFFF"/>
            <w:noWrap/>
            <w:vAlign w:val="center"/>
            <w:hideMark/>
          </w:tcPr>
          <w:p w14:paraId="6BF6237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2.864.781 </w:t>
            </w:r>
          </w:p>
        </w:tc>
        <w:tc>
          <w:tcPr>
            <w:tcW w:w="1679" w:type="dxa"/>
            <w:tcBorders>
              <w:top w:val="nil"/>
              <w:left w:val="nil"/>
              <w:bottom w:val="nil"/>
              <w:right w:val="nil"/>
            </w:tcBorders>
            <w:shd w:val="clear" w:color="000000" w:fill="FFFFFF"/>
            <w:noWrap/>
            <w:vAlign w:val="center"/>
            <w:hideMark/>
          </w:tcPr>
          <w:p w14:paraId="5CBB0DC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772.622 </w:t>
            </w:r>
          </w:p>
        </w:tc>
        <w:tc>
          <w:tcPr>
            <w:tcW w:w="1289" w:type="dxa"/>
            <w:tcBorders>
              <w:top w:val="nil"/>
              <w:left w:val="nil"/>
              <w:bottom w:val="nil"/>
              <w:right w:val="nil"/>
            </w:tcBorders>
            <w:shd w:val="clear" w:color="000000" w:fill="FFFFFF"/>
            <w:noWrap/>
            <w:vAlign w:val="center"/>
            <w:hideMark/>
          </w:tcPr>
          <w:p w14:paraId="0F0D6AA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510 </w:t>
            </w:r>
          </w:p>
        </w:tc>
      </w:tr>
      <w:tr w:rsidR="00F64523" w:rsidRPr="00092E33" w14:paraId="49C2239F" w14:textId="77777777" w:rsidTr="004024A0">
        <w:trPr>
          <w:trHeight w:val="300"/>
          <w:jc w:val="center"/>
        </w:trPr>
        <w:tc>
          <w:tcPr>
            <w:tcW w:w="5538" w:type="dxa"/>
            <w:tcBorders>
              <w:top w:val="nil"/>
              <w:left w:val="nil"/>
              <w:bottom w:val="nil"/>
              <w:right w:val="nil"/>
            </w:tcBorders>
            <w:shd w:val="clear" w:color="000000" w:fill="FFFFFF"/>
            <w:vAlign w:val="center"/>
            <w:hideMark/>
          </w:tcPr>
          <w:p w14:paraId="4787A4F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Instrumentos derivados</w:t>
            </w:r>
          </w:p>
        </w:tc>
        <w:tc>
          <w:tcPr>
            <w:tcW w:w="1460" w:type="dxa"/>
            <w:tcBorders>
              <w:top w:val="nil"/>
              <w:left w:val="nil"/>
              <w:bottom w:val="nil"/>
              <w:right w:val="nil"/>
            </w:tcBorders>
            <w:shd w:val="clear" w:color="000000" w:fill="FFFFFF"/>
            <w:noWrap/>
            <w:vAlign w:val="center"/>
            <w:hideMark/>
          </w:tcPr>
          <w:p w14:paraId="39D128E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1.210 </w:t>
            </w:r>
          </w:p>
        </w:tc>
        <w:tc>
          <w:tcPr>
            <w:tcW w:w="1679" w:type="dxa"/>
            <w:tcBorders>
              <w:top w:val="nil"/>
              <w:left w:val="nil"/>
              <w:bottom w:val="nil"/>
              <w:right w:val="nil"/>
            </w:tcBorders>
            <w:shd w:val="clear" w:color="000000" w:fill="FFFFFF"/>
            <w:noWrap/>
            <w:vAlign w:val="center"/>
            <w:hideMark/>
          </w:tcPr>
          <w:p w14:paraId="281BA34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6.991 </w:t>
            </w:r>
          </w:p>
        </w:tc>
        <w:tc>
          <w:tcPr>
            <w:tcW w:w="1289" w:type="dxa"/>
            <w:tcBorders>
              <w:top w:val="nil"/>
              <w:left w:val="nil"/>
              <w:bottom w:val="nil"/>
              <w:right w:val="nil"/>
            </w:tcBorders>
            <w:shd w:val="clear" w:color="000000" w:fill="FFFFFF"/>
            <w:noWrap/>
            <w:vAlign w:val="center"/>
            <w:hideMark/>
          </w:tcPr>
          <w:p w14:paraId="4752ACF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33AFEC89" w14:textId="77777777" w:rsidTr="004024A0">
        <w:trPr>
          <w:trHeight w:val="300"/>
          <w:jc w:val="center"/>
        </w:trPr>
        <w:tc>
          <w:tcPr>
            <w:tcW w:w="5538" w:type="dxa"/>
            <w:tcBorders>
              <w:top w:val="nil"/>
              <w:left w:val="nil"/>
              <w:bottom w:val="nil"/>
              <w:right w:val="nil"/>
            </w:tcBorders>
            <w:shd w:val="clear" w:color="000000" w:fill="FFFFFF"/>
            <w:vAlign w:val="center"/>
            <w:hideMark/>
          </w:tcPr>
          <w:p w14:paraId="37DD64D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Operaciones de pase</w:t>
            </w:r>
          </w:p>
        </w:tc>
        <w:tc>
          <w:tcPr>
            <w:tcW w:w="1460" w:type="dxa"/>
            <w:tcBorders>
              <w:top w:val="nil"/>
              <w:left w:val="nil"/>
              <w:bottom w:val="nil"/>
              <w:right w:val="nil"/>
            </w:tcBorders>
            <w:shd w:val="clear" w:color="000000" w:fill="FFFFFF"/>
            <w:noWrap/>
            <w:vAlign w:val="center"/>
            <w:hideMark/>
          </w:tcPr>
          <w:p w14:paraId="4371D93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   </w:t>
            </w:r>
          </w:p>
        </w:tc>
        <w:tc>
          <w:tcPr>
            <w:tcW w:w="1679" w:type="dxa"/>
            <w:tcBorders>
              <w:top w:val="nil"/>
              <w:left w:val="nil"/>
              <w:bottom w:val="nil"/>
              <w:right w:val="nil"/>
            </w:tcBorders>
            <w:shd w:val="clear" w:color="000000" w:fill="FFFFFF"/>
            <w:noWrap/>
            <w:vAlign w:val="center"/>
            <w:hideMark/>
          </w:tcPr>
          <w:p w14:paraId="01A7797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243.537 </w:t>
            </w:r>
          </w:p>
        </w:tc>
        <w:tc>
          <w:tcPr>
            <w:tcW w:w="1289" w:type="dxa"/>
            <w:tcBorders>
              <w:top w:val="nil"/>
              <w:left w:val="nil"/>
              <w:bottom w:val="nil"/>
              <w:right w:val="nil"/>
            </w:tcBorders>
            <w:shd w:val="clear" w:color="000000" w:fill="FFFFFF"/>
            <w:noWrap/>
            <w:vAlign w:val="center"/>
            <w:hideMark/>
          </w:tcPr>
          <w:p w14:paraId="10EB733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318.642 </w:t>
            </w:r>
          </w:p>
        </w:tc>
      </w:tr>
      <w:tr w:rsidR="00F64523" w:rsidRPr="00092E33" w14:paraId="153C8142" w14:textId="77777777" w:rsidTr="004024A0">
        <w:trPr>
          <w:trHeight w:val="300"/>
          <w:jc w:val="center"/>
        </w:trPr>
        <w:tc>
          <w:tcPr>
            <w:tcW w:w="5538" w:type="dxa"/>
            <w:tcBorders>
              <w:top w:val="nil"/>
              <w:left w:val="nil"/>
              <w:bottom w:val="nil"/>
              <w:right w:val="nil"/>
            </w:tcBorders>
            <w:shd w:val="clear" w:color="000000" w:fill="FFFFFF"/>
            <w:vAlign w:val="center"/>
            <w:hideMark/>
          </w:tcPr>
          <w:p w14:paraId="7F1203C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Otros activos financieros</w:t>
            </w:r>
          </w:p>
        </w:tc>
        <w:tc>
          <w:tcPr>
            <w:tcW w:w="1460" w:type="dxa"/>
            <w:tcBorders>
              <w:top w:val="nil"/>
              <w:left w:val="nil"/>
              <w:bottom w:val="nil"/>
              <w:right w:val="nil"/>
            </w:tcBorders>
            <w:shd w:val="clear" w:color="000000" w:fill="FFFFFF"/>
            <w:noWrap/>
            <w:vAlign w:val="center"/>
            <w:hideMark/>
          </w:tcPr>
          <w:p w14:paraId="712877E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790.434 </w:t>
            </w:r>
          </w:p>
        </w:tc>
        <w:tc>
          <w:tcPr>
            <w:tcW w:w="1679" w:type="dxa"/>
            <w:tcBorders>
              <w:top w:val="nil"/>
              <w:left w:val="nil"/>
              <w:bottom w:val="nil"/>
              <w:right w:val="nil"/>
            </w:tcBorders>
            <w:shd w:val="clear" w:color="000000" w:fill="FFFFFF"/>
            <w:noWrap/>
            <w:vAlign w:val="center"/>
            <w:hideMark/>
          </w:tcPr>
          <w:p w14:paraId="388C791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414.600 </w:t>
            </w:r>
          </w:p>
        </w:tc>
        <w:tc>
          <w:tcPr>
            <w:tcW w:w="1289" w:type="dxa"/>
            <w:tcBorders>
              <w:top w:val="nil"/>
              <w:left w:val="nil"/>
              <w:bottom w:val="nil"/>
              <w:right w:val="nil"/>
            </w:tcBorders>
            <w:shd w:val="clear" w:color="000000" w:fill="FFFFFF"/>
            <w:noWrap/>
            <w:vAlign w:val="center"/>
            <w:hideMark/>
          </w:tcPr>
          <w:p w14:paraId="000D31C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497.391 </w:t>
            </w:r>
          </w:p>
        </w:tc>
      </w:tr>
      <w:tr w:rsidR="00F64523" w:rsidRPr="00092E33" w14:paraId="6F15D52A" w14:textId="77777777" w:rsidTr="004024A0">
        <w:trPr>
          <w:trHeight w:val="300"/>
          <w:jc w:val="center"/>
        </w:trPr>
        <w:tc>
          <w:tcPr>
            <w:tcW w:w="5538" w:type="dxa"/>
            <w:tcBorders>
              <w:top w:val="nil"/>
              <w:left w:val="nil"/>
              <w:bottom w:val="nil"/>
              <w:right w:val="nil"/>
            </w:tcBorders>
            <w:shd w:val="clear" w:color="000000" w:fill="FFFFFF"/>
            <w:vAlign w:val="center"/>
            <w:hideMark/>
          </w:tcPr>
          <w:p w14:paraId="4D37772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Préstamos y otras financiaciones</w:t>
            </w:r>
          </w:p>
        </w:tc>
        <w:tc>
          <w:tcPr>
            <w:tcW w:w="1460" w:type="dxa"/>
            <w:tcBorders>
              <w:top w:val="nil"/>
              <w:left w:val="nil"/>
              <w:bottom w:val="nil"/>
              <w:right w:val="nil"/>
            </w:tcBorders>
            <w:shd w:val="clear" w:color="000000" w:fill="FFFFFF"/>
            <w:noWrap/>
            <w:vAlign w:val="center"/>
            <w:hideMark/>
          </w:tcPr>
          <w:p w14:paraId="63E2E0C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1.665.900 </w:t>
            </w:r>
          </w:p>
        </w:tc>
        <w:tc>
          <w:tcPr>
            <w:tcW w:w="1679" w:type="dxa"/>
            <w:tcBorders>
              <w:top w:val="nil"/>
              <w:left w:val="nil"/>
              <w:bottom w:val="nil"/>
              <w:right w:val="nil"/>
            </w:tcBorders>
            <w:shd w:val="clear" w:color="000000" w:fill="FFFFFF"/>
            <w:noWrap/>
            <w:vAlign w:val="center"/>
            <w:hideMark/>
          </w:tcPr>
          <w:p w14:paraId="11D7646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2.206.788 </w:t>
            </w:r>
          </w:p>
        </w:tc>
        <w:tc>
          <w:tcPr>
            <w:tcW w:w="1289" w:type="dxa"/>
            <w:tcBorders>
              <w:top w:val="nil"/>
              <w:left w:val="nil"/>
              <w:bottom w:val="nil"/>
              <w:right w:val="nil"/>
            </w:tcBorders>
            <w:shd w:val="clear" w:color="000000" w:fill="FFFFFF"/>
            <w:noWrap/>
            <w:vAlign w:val="center"/>
            <w:hideMark/>
          </w:tcPr>
          <w:p w14:paraId="0F3493C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2.998.689 </w:t>
            </w:r>
          </w:p>
        </w:tc>
      </w:tr>
      <w:tr w:rsidR="00F64523" w:rsidRPr="00092E33" w14:paraId="2EE6D022" w14:textId="77777777" w:rsidTr="004024A0">
        <w:trPr>
          <w:trHeight w:val="300"/>
          <w:jc w:val="center"/>
        </w:trPr>
        <w:tc>
          <w:tcPr>
            <w:tcW w:w="5538" w:type="dxa"/>
            <w:tcBorders>
              <w:top w:val="nil"/>
              <w:left w:val="nil"/>
              <w:bottom w:val="nil"/>
              <w:right w:val="nil"/>
            </w:tcBorders>
            <w:shd w:val="clear" w:color="000000" w:fill="FFFFFF"/>
            <w:vAlign w:val="center"/>
            <w:hideMark/>
          </w:tcPr>
          <w:p w14:paraId="339F9BF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Otros títulos de deuda </w:t>
            </w:r>
          </w:p>
        </w:tc>
        <w:tc>
          <w:tcPr>
            <w:tcW w:w="1460" w:type="dxa"/>
            <w:tcBorders>
              <w:top w:val="nil"/>
              <w:left w:val="nil"/>
              <w:bottom w:val="nil"/>
              <w:right w:val="nil"/>
            </w:tcBorders>
            <w:shd w:val="clear" w:color="000000" w:fill="FFFFFF"/>
            <w:noWrap/>
            <w:vAlign w:val="center"/>
            <w:hideMark/>
          </w:tcPr>
          <w:p w14:paraId="0D2F991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467.897 </w:t>
            </w:r>
          </w:p>
        </w:tc>
        <w:tc>
          <w:tcPr>
            <w:tcW w:w="1679" w:type="dxa"/>
            <w:tcBorders>
              <w:top w:val="nil"/>
              <w:left w:val="nil"/>
              <w:bottom w:val="nil"/>
              <w:right w:val="nil"/>
            </w:tcBorders>
            <w:shd w:val="clear" w:color="000000" w:fill="FFFFFF"/>
            <w:noWrap/>
            <w:vAlign w:val="center"/>
            <w:hideMark/>
          </w:tcPr>
          <w:p w14:paraId="760FF37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218.565 </w:t>
            </w:r>
          </w:p>
        </w:tc>
        <w:tc>
          <w:tcPr>
            <w:tcW w:w="1289" w:type="dxa"/>
            <w:tcBorders>
              <w:top w:val="nil"/>
              <w:left w:val="nil"/>
              <w:bottom w:val="nil"/>
              <w:right w:val="nil"/>
            </w:tcBorders>
            <w:shd w:val="clear" w:color="000000" w:fill="FFFFFF"/>
            <w:noWrap/>
            <w:vAlign w:val="center"/>
            <w:hideMark/>
          </w:tcPr>
          <w:p w14:paraId="5CFB472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20.138 </w:t>
            </w:r>
          </w:p>
        </w:tc>
      </w:tr>
      <w:tr w:rsidR="00F64523" w:rsidRPr="00092E33" w14:paraId="48ED0A7B" w14:textId="77777777" w:rsidTr="004024A0">
        <w:trPr>
          <w:trHeight w:val="300"/>
          <w:jc w:val="center"/>
        </w:trPr>
        <w:tc>
          <w:tcPr>
            <w:tcW w:w="5538" w:type="dxa"/>
            <w:tcBorders>
              <w:top w:val="nil"/>
              <w:left w:val="nil"/>
              <w:bottom w:val="nil"/>
              <w:right w:val="nil"/>
            </w:tcBorders>
            <w:shd w:val="clear" w:color="000000" w:fill="FFFFFF"/>
            <w:vAlign w:val="center"/>
            <w:hideMark/>
          </w:tcPr>
          <w:p w14:paraId="67CB7E1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Activos financieros entregados en garantía</w:t>
            </w:r>
          </w:p>
        </w:tc>
        <w:tc>
          <w:tcPr>
            <w:tcW w:w="1460" w:type="dxa"/>
            <w:tcBorders>
              <w:top w:val="nil"/>
              <w:left w:val="nil"/>
              <w:bottom w:val="nil"/>
              <w:right w:val="nil"/>
            </w:tcBorders>
            <w:shd w:val="clear" w:color="000000" w:fill="FFFFFF"/>
            <w:noWrap/>
            <w:vAlign w:val="center"/>
            <w:hideMark/>
          </w:tcPr>
          <w:p w14:paraId="04B04A9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2.726.323 </w:t>
            </w:r>
          </w:p>
        </w:tc>
        <w:tc>
          <w:tcPr>
            <w:tcW w:w="1679" w:type="dxa"/>
            <w:tcBorders>
              <w:top w:val="nil"/>
              <w:left w:val="nil"/>
              <w:bottom w:val="nil"/>
              <w:right w:val="nil"/>
            </w:tcBorders>
            <w:shd w:val="clear" w:color="000000" w:fill="FFFFFF"/>
            <w:noWrap/>
            <w:vAlign w:val="center"/>
            <w:hideMark/>
          </w:tcPr>
          <w:p w14:paraId="7A2A325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735.515 </w:t>
            </w:r>
          </w:p>
        </w:tc>
        <w:tc>
          <w:tcPr>
            <w:tcW w:w="1289" w:type="dxa"/>
            <w:tcBorders>
              <w:top w:val="nil"/>
              <w:left w:val="nil"/>
              <w:bottom w:val="nil"/>
              <w:right w:val="nil"/>
            </w:tcBorders>
            <w:shd w:val="clear" w:color="000000" w:fill="FFFFFF"/>
            <w:noWrap/>
            <w:vAlign w:val="center"/>
            <w:hideMark/>
          </w:tcPr>
          <w:p w14:paraId="3FDAD36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494.844 </w:t>
            </w:r>
          </w:p>
        </w:tc>
      </w:tr>
      <w:tr w:rsidR="00F64523" w:rsidRPr="00092E33" w14:paraId="6BD2536F" w14:textId="77777777" w:rsidTr="004024A0">
        <w:trPr>
          <w:trHeight w:val="300"/>
          <w:jc w:val="center"/>
        </w:trPr>
        <w:tc>
          <w:tcPr>
            <w:tcW w:w="5538" w:type="dxa"/>
            <w:tcBorders>
              <w:top w:val="nil"/>
              <w:left w:val="nil"/>
              <w:bottom w:val="nil"/>
              <w:right w:val="nil"/>
            </w:tcBorders>
            <w:shd w:val="clear" w:color="000000" w:fill="FFFFFF"/>
            <w:vAlign w:val="center"/>
            <w:hideMark/>
          </w:tcPr>
          <w:p w14:paraId="48B7F86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Activos por impuestos a las ganancias corriente</w:t>
            </w:r>
          </w:p>
        </w:tc>
        <w:tc>
          <w:tcPr>
            <w:tcW w:w="1460" w:type="dxa"/>
            <w:tcBorders>
              <w:top w:val="nil"/>
              <w:left w:val="nil"/>
              <w:bottom w:val="nil"/>
              <w:right w:val="nil"/>
            </w:tcBorders>
            <w:shd w:val="clear" w:color="000000" w:fill="FFFFFF"/>
            <w:noWrap/>
            <w:vAlign w:val="center"/>
            <w:hideMark/>
          </w:tcPr>
          <w:p w14:paraId="54C0B06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47.493 </w:t>
            </w:r>
          </w:p>
        </w:tc>
        <w:tc>
          <w:tcPr>
            <w:tcW w:w="1679" w:type="dxa"/>
            <w:tcBorders>
              <w:top w:val="nil"/>
              <w:left w:val="nil"/>
              <w:bottom w:val="nil"/>
              <w:right w:val="nil"/>
            </w:tcBorders>
            <w:shd w:val="clear" w:color="000000" w:fill="FFFFFF"/>
            <w:noWrap/>
            <w:vAlign w:val="center"/>
            <w:hideMark/>
          </w:tcPr>
          <w:p w14:paraId="7F3D23D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47.536 </w:t>
            </w:r>
          </w:p>
        </w:tc>
        <w:tc>
          <w:tcPr>
            <w:tcW w:w="1289" w:type="dxa"/>
            <w:tcBorders>
              <w:top w:val="nil"/>
              <w:left w:val="nil"/>
              <w:bottom w:val="nil"/>
              <w:right w:val="nil"/>
            </w:tcBorders>
            <w:shd w:val="clear" w:color="000000" w:fill="FFFFFF"/>
            <w:noWrap/>
            <w:vAlign w:val="center"/>
            <w:hideMark/>
          </w:tcPr>
          <w:p w14:paraId="679575B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42.608 </w:t>
            </w:r>
          </w:p>
        </w:tc>
      </w:tr>
      <w:tr w:rsidR="00F64523" w:rsidRPr="00092E33" w14:paraId="51F0D8DA" w14:textId="77777777" w:rsidTr="004024A0">
        <w:trPr>
          <w:trHeight w:val="300"/>
          <w:jc w:val="center"/>
        </w:trPr>
        <w:tc>
          <w:tcPr>
            <w:tcW w:w="5538" w:type="dxa"/>
            <w:tcBorders>
              <w:top w:val="nil"/>
              <w:left w:val="nil"/>
              <w:bottom w:val="nil"/>
              <w:right w:val="nil"/>
            </w:tcBorders>
            <w:shd w:val="clear" w:color="000000" w:fill="FFFFFF"/>
            <w:vAlign w:val="center"/>
            <w:hideMark/>
          </w:tcPr>
          <w:p w14:paraId="7ED7B49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Inversiones en instrumentos de patrimonio</w:t>
            </w:r>
          </w:p>
        </w:tc>
        <w:tc>
          <w:tcPr>
            <w:tcW w:w="1460" w:type="dxa"/>
            <w:tcBorders>
              <w:top w:val="nil"/>
              <w:left w:val="nil"/>
              <w:bottom w:val="nil"/>
              <w:right w:val="nil"/>
            </w:tcBorders>
            <w:shd w:val="clear" w:color="000000" w:fill="FFFFFF"/>
            <w:noWrap/>
            <w:vAlign w:val="center"/>
            <w:hideMark/>
          </w:tcPr>
          <w:p w14:paraId="343915C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212.124 </w:t>
            </w:r>
          </w:p>
        </w:tc>
        <w:tc>
          <w:tcPr>
            <w:tcW w:w="1679" w:type="dxa"/>
            <w:tcBorders>
              <w:top w:val="nil"/>
              <w:left w:val="nil"/>
              <w:bottom w:val="nil"/>
              <w:right w:val="nil"/>
            </w:tcBorders>
            <w:shd w:val="clear" w:color="000000" w:fill="FFFFFF"/>
            <w:noWrap/>
            <w:vAlign w:val="center"/>
            <w:hideMark/>
          </w:tcPr>
          <w:p w14:paraId="0D060B7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52.259 </w:t>
            </w:r>
          </w:p>
        </w:tc>
        <w:tc>
          <w:tcPr>
            <w:tcW w:w="1289" w:type="dxa"/>
            <w:tcBorders>
              <w:top w:val="nil"/>
              <w:left w:val="nil"/>
              <w:bottom w:val="nil"/>
              <w:right w:val="nil"/>
            </w:tcBorders>
            <w:shd w:val="clear" w:color="000000" w:fill="FFFFFF"/>
            <w:noWrap/>
            <w:vAlign w:val="center"/>
            <w:hideMark/>
          </w:tcPr>
          <w:p w14:paraId="3BF21A8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31.800 </w:t>
            </w:r>
          </w:p>
        </w:tc>
      </w:tr>
      <w:tr w:rsidR="00F64523" w:rsidRPr="00092E33" w14:paraId="50B4B7E0" w14:textId="77777777" w:rsidTr="004024A0">
        <w:trPr>
          <w:trHeight w:val="300"/>
          <w:jc w:val="center"/>
        </w:trPr>
        <w:tc>
          <w:tcPr>
            <w:tcW w:w="5538" w:type="dxa"/>
            <w:tcBorders>
              <w:top w:val="nil"/>
              <w:left w:val="nil"/>
              <w:bottom w:val="nil"/>
              <w:right w:val="nil"/>
            </w:tcBorders>
            <w:shd w:val="clear" w:color="000000" w:fill="FFFFFF"/>
            <w:vAlign w:val="center"/>
            <w:hideMark/>
          </w:tcPr>
          <w:p w14:paraId="1FBC104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Propiedad, planta y equipo</w:t>
            </w:r>
          </w:p>
        </w:tc>
        <w:tc>
          <w:tcPr>
            <w:tcW w:w="1460" w:type="dxa"/>
            <w:tcBorders>
              <w:top w:val="nil"/>
              <w:left w:val="nil"/>
              <w:bottom w:val="nil"/>
              <w:right w:val="nil"/>
            </w:tcBorders>
            <w:shd w:val="clear" w:color="000000" w:fill="FFFFFF"/>
            <w:noWrap/>
            <w:vAlign w:val="center"/>
            <w:hideMark/>
          </w:tcPr>
          <w:p w14:paraId="0CC9D2B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13.478 </w:t>
            </w:r>
          </w:p>
        </w:tc>
        <w:tc>
          <w:tcPr>
            <w:tcW w:w="1679" w:type="dxa"/>
            <w:tcBorders>
              <w:top w:val="nil"/>
              <w:left w:val="nil"/>
              <w:bottom w:val="nil"/>
              <w:right w:val="nil"/>
            </w:tcBorders>
            <w:shd w:val="clear" w:color="000000" w:fill="FFFFFF"/>
            <w:noWrap/>
            <w:vAlign w:val="center"/>
            <w:hideMark/>
          </w:tcPr>
          <w:p w14:paraId="35A52BD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10.567 </w:t>
            </w:r>
          </w:p>
        </w:tc>
        <w:tc>
          <w:tcPr>
            <w:tcW w:w="1289" w:type="dxa"/>
            <w:tcBorders>
              <w:top w:val="nil"/>
              <w:left w:val="nil"/>
              <w:bottom w:val="nil"/>
              <w:right w:val="nil"/>
            </w:tcBorders>
            <w:shd w:val="clear" w:color="000000" w:fill="FFFFFF"/>
            <w:noWrap/>
            <w:vAlign w:val="center"/>
            <w:hideMark/>
          </w:tcPr>
          <w:p w14:paraId="1C8FB8E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12.712 </w:t>
            </w:r>
          </w:p>
        </w:tc>
      </w:tr>
      <w:tr w:rsidR="00F64523" w:rsidRPr="00092E33" w14:paraId="71F18040" w14:textId="77777777" w:rsidTr="004024A0">
        <w:trPr>
          <w:trHeight w:val="300"/>
          <w:jc w:val="center"/>
        </w:trPr>
        <w:tc>
          <w:tcPr>
            <w:tcW w:w="5538" w:type="dxa"/>
            <w:tcBorders>
              <w:top w:val="nil"/>
              <w:left w:val="nil"/>
              <w:bottom w:val="nil"/>
              <w:right w:val="nil"/>
            </w:tcBorders>
            <w:shd w:val="clear" w:color="000000" w:fill="FFFFFF"/>
            <w:vAlign w:val="center"/>
            <w:hideMark/>
          </w:tcPr>
          <w:p w14:paraId="3FFEFD4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Activos intangibles</w:t>
            </w:r>
          </w:p>
        </w:tc>
        <w:tc>
          <w:tcPr>
            <w:tcW w:w="1460" w:type="dxa"/>
            <w:tcBorders>
              <w:top w:val="nil"/>
              <w:left w:val="nil"/>
              <w:bottom w:val="nil"/>
              <w:right w:val="nil"/>
            </w:tcBorders>
            <w:shd w:val="clear" w:color="000000" w:fill="FFFFFF"/>
            <w:noWrap/>
            <w:vAlign w:val="center"/>
            <w:hideMark/>
          </w:tcPr>
          <w:p w14:paraId="3447F5D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17.770 </w:t>
            </w:r>
          </w:p>
        </w:tc>
        <w:tc>
          <w:tcPr>
            <w:tcW w:w="1679" w:type="dxa"/>
            <w:tcBorders>
              <w:top w:val="nil"/>
              <w:left w:val="nil"/>
              <w:bottom w:val="nil"/>
              <w:right w:val="nil"/>
            </w:tcBorders>
            <w:shd w:val="clear" w:color="000000" w:fill="FFFFFF"/>
            <w:noWrap/>
            <w:vAlign w:val="center"/>
            <w:hideMark/>
          </w:tcPr>
          <w:p w14:paraId="47AE4F6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16.280 </w:t>
            </w:r>
          </w:p>
        </w:tc>
        <w:tc>
          <w:tcPr>
            <w:tcW w:w="1289" w:type="dxa"/>
            <w:tcBorders>
              <w:top w:val="nil"/>
              <w:left w:val="nil"/>
              <w:bottom w:val="nil"/>
              <w:right w:val="nil"/>
            </w:tcBorders>
            <w:shd w:val="clear" w:color="000000" w:fill="FFFFFF"/>
            <w:noWrap/>
            <w:vAlign w:val="center"/>
            <w:hideMark/>
          </w:tcPr>
          <w:p w14:paraId="0528312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11.982 </w:t>
            </w:r>
          </w:p>
        </w:tc>
      </w:tr>
      <w:tr w:rsidR="00F64523" w:rsidRPr="00092E33" w14:paraId="3DED0870" w14:textId="77777777" w:rsidTr="004024A0">
        <w:trPr>
          <w:trHeight w:val="300"/>
          <w:jc w:val="center"/>
        </w:trPr>
        <w:tc>
          <w:tcPr>
            <w:tcW w:w="5538" w:type="dxa"/>
            <w:tcBorders>
              <w:top w:val="nil"/>
              <w:left w:val="nil"/>
              <w:bottom w:val="nil"/>
              <w:right w:val="nil"/>
            </w:tcBorders>
            <w:shd w:val="clear" w:color="000000" w:fill="FFFFFF"/>
            <w:vAlign w:val="center"/>
            <w:hideMark/>
          </w:tcPr>
          <w:p w14:paraId="58D1F91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Activos por impuesto a las ganancias diferido</w:t>
            </w:r>
          </w:p>
        </w:tc>
        <w:tc>
          <w:tcPr>
            <w:tcW w:w="1460" w:type="dxa"/>
            <w:tcBorders>
              <w:top w:val="nil"/>
              <w:left w:val="nil"/>
              <w:bottom w:val="nil"/>
              <w:right w:val="nil"/>
            </w:tcBorders>
            <w:shd w:val="clear" w:color="000000" w:fill="FFFFFF"/>
            <w:noWrap/>
            <w:vAlign w:val="center"/>
            <w:hideMark/>
          </w:tcPr>
          <w:p w14:paraId="0A4E635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81.323 </w:t>
            </w:r>
          </w:p>
        </w:tc>
        <w:tc>
          <w:tcPr>
            <w:tcW w:w="1679" w:type="dxa"/>
            <w:tcBorders>
              <w:top w:val="nil"/>
              <w:left w:val="nil"/>
              <w:bottom w:val="nil"/>
              <w:right w:val="nil"/>
            </w:tcBorders>
            <w:shd w:val="clear" w:color="000000" w:fill="FFFFFF"/>
            <w:noWrap/>
            <w:vAlign w:val="center"/>
            <w:hideMark/>
          </w:tcPr>
          <w:p w14:paraId="7C45D4F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97.179 </w:t>
            </w:r>
          </w:p>
        </w:tc>
        <w:tc>
          <w:tcPr>
            <w:tcW w:w="1289" w:type="dxa"/>
            <w:tcBorders>
              <w:top w:val="nil"/>
              <w:left w:val="nil"/>
              <w:bottom w:val="nil"/>
              <w:right w:val="nil"/>
            </w:tcBorders>
            <w:shd w:val="clear" w:color="000000" w:fill="FFFFFF"/>
            <w:noWrap/>
            <w:vAlign w:val="center"/>
            <w:hideMark/>
          </w:tcPr>
          <w:p w14:paraId="1E08428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19.237 </w:t>
            </w:r>
          </w:p>
        </w:tc>
      </w:tr>
      <w:tr w:rsidR="00F64523" w:rsidRPr="00092E33" w14:paraId="7607FA04" w14:textId="77777777" w:rsidTr="004024A0">
        <w:trPr>
          <w:trHeight w:val="315"/>
          <w:jc w:val="center"/>
        </w:trPr>
        <w:tc>
          <w:tcPr>
            <w:tcW w:w="5538" w:type="dxa"/>
            <w:tcBorders>
              <w:top w:val="nil"/>
              <w:left w:val="nil"/>
              <w:bottom w:val="nil"/>
              <w:right w:val="nil"/>
            </w:tcBorders>
            <w:shd w:val="clear" w:color="000000" w:fill="FFFFFF"/>
            <w:vAlign w:val="center"/>
            <w:hideMark/>
          </w:tcPr>
          <w:p w14:paraId="496990E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Otros activos no financieros</w:t>
            </w:r>
          </w:p>
        </w:tc>
        <w:tc>
          <w:tcPr>
            <w:tcW w:w="1460" w:type="dxa"/>
            <w:tcBorders>
              <w:top w:val="nil"/>
              <w:left w:val="nil"/>
              <w:bottom w:val="nil"/>
              <w:right w:val="nil"/>
            </w:tcBorders>
            <w:shd w:val="clear" w:color="000000" w:fill="FFFFFF"/>
            <w:noWrap/>
            <w:vAlign w:val="center"/>
            <w:hideMark/>
          </w:tcPr>
          <w:p w14:paraId="71E883B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6.412 </w:t>
            </w:r>
          </w:p>
        </w:tc>
        <w:tc>
          <w:tcPr>
            <w:tcW w:w="1679" w:type="dxa"/>
            <w:tcBorders>
              <w:top w:val="nil"/>
              <w:left w:val="nil"/>
              <w:bottom w:val="nil"/>
              <w:right w:val="nil"/>
            </w:tcBorders>
            <w:shd w:val="clear" w:color="000000" w:fill="FFFFFF"/>
            <w:noWrap/>
            <w:vAlign w:val="center"/>
            <w:hideMark/>
          </w:tcPr>
          <w:p w14:paraId="0012249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53.077 </w:t>
            </w:r>
          </w:p>
        </w:tc>
        <w:tc>
          <w:tcPr>
            <w:tcW w:w="1289" w:type="dxa"/>
            <w:tcBorders>
              <w:top w:val="nil"/>
              <w:left w:val="nil"/>
              <w:bottom w:val="nil"/>
              <w:right w:val="nil"/>
            </w:tcBorders>
            <w:shd w:val="clear" w:color="000000" w:fill="FFFFFF"/>
            <w:noWrap/>
            <w:vAlign w:val="center"/>
            <w:hideMark/>
          </w:tcPr>
          <w:p w14:paraId="5312099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13.515 </w:t>
            </w:r>
          </w:p>
        </w:tc>
      </w:tr>
      <w:tr w:rsidR="00F64523" w:rsidRPr="00092E33" w14:paraId="30BDF2AC" w14:textId="77777777" w:rsidTr="004024A0">
        <w:trPr>
          <w:trHeight w:val="315"/>
          <w:jc w:val="center"/>
        </w:trPr>
        <w:tc>
          <w:tcPr>
            <w:tcW w:w="5538" w:type="dxa"/>
            <w:tcBorders>
              <w:top w:val="nil"/>
              <w:left w:val="nil"/>
              <w:bottom w:val="nil"/>
              <w:right w:val="nil"/>
            </w:tcBorders>
            <w:shd w:val="clear" w:color="000000" w:fill="FFFFFF"/>
            <w:vAlign w:val="center"/>
            <w:hideMark/>
          </w:tcPr>
          <w:p w14:paraId="2B0F7074" w14:textId="77777777" w:rsidR="00F64523" w:rsidRPr="00092E33" w:rsidRDefault="00F64523" w:rsidP="00F64523">
            <w:pPr>
              <w:spacing w:after="0"/>
              <w:jc w:val="both"/>
              <w:rPr>
                <w:rFonts w:ascii="Times New Roman" w:hAnsi="Times New Roman" w:cs="Times New Roman"/>
                <w:b/>
                <w:bCs/>
                <w:color w:val="000000"/>
                <w:lang w:eastAsia="es-AR"/>
              </w:rPr>
            </w:pPr>
            <w:proofErr w:type="gramStart"/>
            <w:r w:rsidRPr="00092E33">
              <w:rPr>
                <w:rFonts w:ascii="Times New Roman" w:hAnsi="Times New Roman" w:cs="Times New Roman"/>
                <w:b/>
                <w:bCs/>
                <w:color w:val="000000"/>
                <w:lang w:eastAsia="es-AR"/>
              </w:rPr>
              <w:t>TOTAL</w:t>
            </w:r>
            <w:proofErr w:type="gramEnd"/>
            <w:r w:rsidRPr="00092E33">
              <w:rPr>
                <w:rFonts w:ascii="Times New Roman" w:hAnsi="Times New Roman" w:cs="Times New Roman"/>
                <w:b/>
                <w:bCs/>
                <w:color w:val="000000"/>
                <w:lang w:eastAsia="es-AR"/>
              </w:rPr>
              <w:t xml:space="preserve"> DE ACTIVO</w:t>
            </w:r>
          </w:p>
        </w:tc>
        <w:tc>
          <w:tcPr>
            <w:tcW w:w="1460" w:type="dxa"/>
            <w:tcBorders>
              <w:top w:val="double" w:sz="6" w:space="0" w:color="auto"/>
              <w:left w:val="nil"/>
              <w:bottom w:val="nil"/>
              <w:right w:val="nil"/>
            </w:tcBorders>
            <w:shd w:val="clear" w:color="000000" w:fill="FFFFFF"/>
            <w:noWrap/>
            <w:vAlign w:val="center"/>
            <w:hideMark/>
          </w:tcPr>
          <w:p w14:paraId="0A59D58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10.837.766 </w:t>
            </w:r>
          </w:p>
        </w:tc>
        <w:tc>
          <w:tcPr>
            <w:tcW w:w="1679" w:type="dxa"/>
            <w:tcBorders>
              <w:top w:val="double" w:sz="6" w:space="0" w:color="auto"/>
              <w:left w:val="nil"/>
              <w:bottom w:val="nil"/>
              <w:right w:val="nil"/>
            </w:tcBorders>
            <w:shd w:val="clear" w:color="000000" w:fill="FFFFFF"/>
            <w:noWrap/>
            <w:vAlign w:val="center"/>
            <w:hideMark/>
          </w:tcPr>
          <w:p w14:paraId="336074A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5.904.101 </w:t>
            </w:r>
          </w:p>
        </w:tc>
        <w:tc>
          <w:tcPr>
            <w:tcW w:w="1289" w:type="dxa"/>
            <w:tcBorders>
              <w:top w:val="double" w:sz="6" w:space="0" w:color="auto"/>
              <w:left w:val="nil"/>
              <w:bottom w:val="nil"/>
              <w:right w:val="nil"/>
            </w:tcBorders>
            <w:shd w:val="clear" w:color="000000" w:fill="FFFFFF"/>
            <w:noWrap/>
            <w:vAlign w:val="center"/>
            <w:hideMark/>
          </w:tcPr>
          <w:p w14:paraId="16680CC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5.086.158 </w:t>
            </w:r>
          </w:p>
        </w:tc>
      </w:tr>
      <w:tr w:rsidR="00F64523" w:rsidRPr="00092E33" w14:paraId="358C223B" w14:textId="77777777" w:rsidTr="004024A0">
        <w:trPr>
          <w:trHeight w:val="300"/>
          <w:jc w:val="center"/>
        </w:trPr>
        <w:tc>
          <w:tcPr>
            <w:tcW w:w="5538" w:type="dxa"/>
            <w:tcBorders>
              <w:top w:val="nil"/>
              <w:left w:val="nil"/>
              <w:bottom w:val="nil"/>
              <w:right w:val="nil"/>
            </w:tcBorders>
            <w:shd w:val="clear" w:color="000000" w:fill="FFFFFF"/>
            <w:vAlign w:val="center"/>
            <w:hideMark/>
          </w:tcPr>
          <w:p w14:paraId="021390EC"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w:t>
            </w:r>
          </w:p>
        </w:tc>
        <w:tc>
          <w:tcPr>
            <w:tcW w:w="1460" w:type="dxa"/>
            <w:tcBorders>
              <w:top w:val="nil"/>
              <w:left w:val="nil"/>
              <w:bottom w:val="nil"/>
              <w:right w:val="nil"/>
            </w:tcBorders>
            <w:shd w:val="clear" w:color="000000" w:fill="FFFFFF"/>
            <w:noWrap/>
            <w:vAlign w:val="center"/>
            <w:hideMark/>
          </w:tcPr>
          <w:p w14:paraId="43AB5872"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w:t>
            </w:r>
          </w:p>
        </w:tc>
        <w:tc>
          <w:tcPr>
            <w:tcW w:w="1679" w:type="dxa"/>
            <w:tcBorders>
              <w:top w:val="nil"/>
              <w:left w:val="nil"/>
              <w:bottom w:val="nil"/>
              <w:right w:val="nil"/>
            </w:tcBorders>
            <w:shd w:val="clear" w:color="000000" w:fill="FFFFFF"/>
            <w:noWrap/>
            <w:vAlign w:val="center"/>
            <w:hideMark/>
          </w:tcPr>
          <w:p w14:paraId="1F6CD56D"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w:t>
            </w:r>
          </w:p>
        </w:tc>
        <w:tc>
          <w:tcPr>
            <w:tcW w:w="1289" w:type="dxa"/>
            <w:tcBorders>
              <w:top w:val="nil"/>
              <w:left w:val="nil"/>
              <w:bottom w:val="nil"/>
              <w:right w:val="nil"/>
            </w:tcBorders>
            <w:shd w:val="clear" w:color="000000" w:fill="FFFFFF"/>
            <w:noWrap/>
            <w:vAlign w:val="center"/>
            <w:hideMark/>
          </w:tcPr>
          <w:p w14:paraId="2D447012"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w:t>
            </w:r>
          </w:p>
        </w:tc>
      </w:tr>
      <w:tr w:rsidR="00F64523" w:rsidRPr="00092E33" w14:paraId="640BE075" w14:textId="77777777" w:rsidTr="004024A0">
        <w:trPr>
          <w:trHeight w:val="300"/>
          <w:jc w:val="center"/>
        </w:trPr>
        <w:tc>
          <w:tcPr>
            <w:tcW w:w="5538" w:type="dxa"/>
            <w:tcBorders>
              <w:top w:val="nil"/>
              <w:left w:val="nil"/>
              <w:bottom w:val="nil"/>
              <w:right w:val="nil"/>
            </w:tcBorders>
            <w:shd w:val="clear" w:color="000000" w:fill="FFFFFF"/>
            <w:vAlign w:val="center"/>
            <w:hideMark/>
          </w:tcPr>
          <w:p w14:paraId="5C09F40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60" w:type="dxa"/>
            <w:tcBorders>
              <w:top w:val="nil"/>
              <w:left w:val="nil"/>
              <w:bottom w:val="nil"/>
              <w:right w:val="nil"/>
            </w:tcBorders>
            <w:shd w:val="clear" w:color="000000" w:fill="FFFFFF"/>
            <w:noWrap/>
            <w:vAlign w:val="center"/>
            <w:hideMark/>
          </w:tcPr>
          <w:p w14:paraId="04E4363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79" w:type="dxa"/>
            <w:tcBorders>
              <w:top w:val="nil"/>
              <w:left w:val="nil"/>
              <w:bottom w:val="nil"/>
              <w:right w:val="nil"/>
            </w:tcBorders>
            <w:shd w:val="clear" w:color="000000" w:fill="FFFFFF"/>
            <w:noWrap/>
            <w:vAlign w:val="center"/>
            <w:hideMark/>
          </w:tcPr>
          <w:p w14:paraId="41FFDAB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89" w:type="dxa"/>
            <w:tcBorders>
              <w:top w:val="nil"/>
              <w:left w:val="nil"/>
              <w:bottom w:val="nil"/>
              <w:right w:val="nil"/>
            </w:tcBorders>
            <w:shd w:val="clear" w:color="000000" w:fill="FFFFFF"/>
            <w:noWrap/>
            <w:vAlign w:val="center"/>
            <w:hideMark/>
          </w:tcPr>
          <w:p w14:paraId="0F77051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300FCA8E" w14:textId="77777777" w:rsidTr="004024A0">
        <w:trPr>
          <w:trHeight w:val="300"/>
          <w:jc w:val="center"/>
        </w:trPr>
        <w:tc>
          <w:tcPr>
            <w:tcW w:w="5538" w:type="dxa"/>
            <w:tcBorders>
              <w:top w:val="nil"/>
              <w:left w:val="nil"/>
              <w:bottom w:val="nil"/>
              <w:right w:val="nil"/>
            </w:tcBorders>
            <w:shd w:val="clear" w:color="000000" w:fill="FFFFFF"/>
            <w:vAlign w:val="center"/>
            <w:hideMark/>
          </w:tcPr>
          <w:p w14:paraId="36AEC7D0"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PASIVO</w:t>
            </w:r>
          </w:p>
        </w:tc>
        <w:tc>
          <w:tcPr>
            <w:tcW w:w="1460" w:type="dxa"/>
            <w:tcBorders>
              <w:top w:val="nil"/>
              <w:left w:val="nil"/>
              <w:bottom w:val="nil"/>
              <w:right w:val="nil"/>
            </w:tcBorders>
            <w:shd w:val="clear" w:color="000000" w:fill="FFFFFF"/>
            <w:noWrap/>
            <w:vAlign w:val="center"/>
            <w:hideMark/>
          </w:tcPr>
          <w:p w14:paraId="6A34523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79" w:type="dxa"/>
            <w:tcBorders>
              <w:top w:val="nil"/>
              <w:left w:val="nil"/>
              <w:bottom w:val="nil"/>
              <w:right w:val="nil"/>
            </w:tcBorders>
            <w:shd w:val="clear" w:color="000000" w:fill="FFFFFF"/>
            <w:noWrap/>
            <w:vAlign w:val="center"/>
            <w:hideMark/>
          </w:tcPr>
          <w:p w14:paraId="74424DF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89" w:type="dxa"/>
            <w:tcBorders>
              <w:top w:val="nil"/>
              <w:left w:val="nil"/>
              <w:bottom w:val="nil"/>
              <w:right w:val="nil"/>
            </w:tcBorders>
            <w:shd w:val="clear" w:color="000000" w:fill="FFFFFF"/>
            <w:noWrap/>
            <w:vAlign w:val="center"/>
            <w:hideMark/>
          </w:tcPr>
          <w:p w14:paraId="2EB6A61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5AB30B54" w14:textId="77777777" w:rsidTr="004024A0">
        <w:trPr>
          <w:trHeight w:val="300"/>
          <w:jc w:val="center"/>
        </w:trPr>
        <w:tc>
          <w:tcPr>
            <w:tcW w:w="5538" w:type="dxa"/>
            <w:tcBorders>
              <w:top w:val="nil"/>
              <w:left w:val="nil"/>
              <w:bottom w:val="nil"/>
              <w:right w:val="nil"/>
            </w:tcBorders>
            <w:shd w:val="clear" w:color="000000" w:fill="FFFFFF"/>
            <w:vAlign w:val="center"/>
            <w:hideMark/>
          </w:tcPr>
          <w:p w14:paraId="68DA748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60" w:type="dxa"/>
            <w:tcBorders>
              <w:top w:val="nil"/>
              <w:left w:val="nil"/>
              <w:bottom w:val="nil"/>
              <w:right w:val="nil"/>
            </w:tcBorders>
            <w:shd w:val="clear" w:color="000000" w:fill="FFFFFF"/>
            <w:noWrap/>
            <w:vAlign w:val="center"/>
            <w:hideMark/>
          </w:tcPr>
          <w:p w14:paraId="1FB4B80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79" w:type="dxa"/>
            <w:tcBorders>
              <w:top w:val="nil"/>
              <w:left w:val="nil"/>
              <w:bottom w:val="nil"/>
              <w:right w:val="nil"/>
            </w:tcBorders>
            <w:shd w:val="clear" w:color="000000" w:fill="FFFFFF"/>
            <w:noWrap/>
            <w:vAlign w:val="center"/>
            <w:hideMark/>
          </w:tcPr>
          <w:p w14:paraId="7303E63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89" w:type="dxa"/>
            <w:tcBorders>
              <w:top w:val="nil"/>
              <w:left w:val="nil"/>
              <w:bottom w:val="nil"/>
              <w:right w:val="nil"/>
            </w:tcBorders>
            <w:shd w:val="clear" w:color="000000" w:fill="FFFFFF"/>
            <w:noWrap/>
            <w:vAlign w:val="center"/>
            <w:hideMark/>
          </w:tcPr>
          <w:p w14:paraId="77A39C6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0A736092" w14:textId="77777777" w:rsidTr="004024A0">
        <w:trPr>
          <w:trHeight w:val="300"/>
          <w:jc w:val="center"/>
        </w:trPr>
        <w:tc>
          <w:tcPr>
            <w:tcW w:w="5538" w:type="dxa"/>
            <w:tcBorders>
              <w:top w:val="nil"/>
              <w:left w:val="nil"/>
              <w:bottom w:val="nil"/>
              <w:right w:val="nil"/>
            </w:tcBorders>
            <w:shd w:val="clear" w:color="000000" w:fill="FFFFFF"/>
            <w:vAlign w:val="center"/>
            <w:hideMark/>
          </w:tcPr>
          <w:p w14:paraId="21C68A7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Depósitos</w:t>
            </w:r>
          </w:p>
        </w:tc>
        <w:tc>
          <w:tcPr>
            <w:tcW w:w="1460" w:type="dxa"/>
            <w:tcBorders>
              <w:top w:val="nil"/>
              <w:left w:val="nil"/>
              <w:bottom w:val="nil"/>
              <w:right w:val="nil"/>
            </w:tcBorders>
            <w:shd w:val="clear" w:color="000000" w:fill="FFFFFF"/>
            <w:noWrap/>
            <w:vAlign w:val="center"/>
            <w:hideMark/>
          </w:tcPr>
          <w:p w14:paraId="58BB58E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6.391.385 </w:t>
            </w:r>
          </w:p>
        </w:tc>
        <w:tc>
          <w:tcPr>
            <w:tcW w:w="1679" w:type="dxa"/>
            <w:tcBorders>
              <w:top w:val="nil"/>
              <w:left w:val="nil"/>
              <w:bottom w:val="nil"/>
              <w:right w:val="nil"/>
            </w:tcBorders>
            <w:shd w:val="clear" w:color="000000" w:fill="FFFFFF"/>
            <w:noWrap/>
            <w:vAlign w:val="center"/>
            <w:hideMark/>
          </w:tcPr>
          <w:p w14:paraId="264EE6B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4.366.365 </w:t>
            </w:r>
          </w:p>
        </w:tc>
        <w:tc>
          <w:tcPr>
            <w:tcW w:w="1289" w:type="dxa"/>
            <w:tcBorders>
              <w:top w:val="nil"/>
              <w:left w:val="nil"/>
              <w:bottom w:val="nil"/>
              <w:right w:val="nil"/>
            </w:tcBorders>
            <w:shd w:val="clear" w:color="000000" w:fill="FFFFFF"/>
            <w:noWrap/>
            <w:vAlign w:val="center"/>
            <w:hideMark/>
          </w:tcPr>
          <w:p w14:paraId="3BF6E9C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2.989.825 </w:t>
            </w:r>
          </w:p>
        </w:tc>
      </w:tr>
      <w:tr w:rsidR="00F64523" w:rsidRPr="00092E33" w14:paraId="4318E035" w14:textId="77777777" w:rsidTr="004024A0">
        <w:trPr>
          <w:trHeight w:val="300"/>
          <w:jc w:val="center"/>
        </w:trPr>
        <w:tc>
          <w:tcPr>
            <w:tcW w:w="5538" w:type="dxa"/>
            <w:tcBorders>
              <w:top w:val="nil"/>
              <w:left w:val="nil"/>
              <w:bottom w:val="nil"/>
              <w:right w:val="nil"/>
            </w:tcBorders>
            <w:shd w:val="clear" w:color="000000" w:fill="FFFFFF"/>
            <w:vAlign w:val="center"/>
            <w:hideMark/>
          </w:tcPr>
          <w:p w14:paraId="074C7C6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Pasivos a valor razonable con cambios en resultados</w:t>
            </w:r>
          </w:p>
        </w:tc>
        <w:tc>
          <w:tcPr>
            <w:tcW w:w="1460" w:type="dxa"/>
            <w:tcBorders>
              <w:top w:val="nil"/>
              <w:left w:val="nil"/>
              <w:bottom w:val="nil"/>
              <w:right w:val="nil"/>
            </w:tcBorders>
            <w:shd w:val="clear" w:color="000000" w:fill="FFFFFF"/>
            <w:noWrap/>
            <w:vAlign w:val="center"/>
            <w:hideMark/>
          </w:tcPr>
          <w:p w14:paraId="1C4C900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574.582 </w:t>
            </w:r>
          </w:p>
        </w:tc>
        <w:tc>
          <w:tcPr>
            <w:tcW w:w="1679" w:type="dxa"/>
            <w:tcBorders>
              <w:top w:val="nil"/>
              <w:left w:val="nil"/>
              <w:bottom w:val="nil"/>
              <w:right w:val="nil"/>
            </w:tcBorders>
            <w:shd w:val="clear" w:color="000000" w:fill="FFFFFF"/>
            <w:noWrap/>
            <w:vAlign w:val="center"/>
            <w:hideMark/>
          </w:tcPr>
          <w:p w14:paraId="403EEB0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198.199 </w:t>
            </w:r>
          </w:p>
        </w:tc>
        <w:tc>
          <w:tcPr>
            <w:tcW w:w="1289" w:type="dxa"/>
            <w:tcBorders>
              <w:top w:val="nil"/>
              <w:left w:val="nil"/>
              <w:bottom w:val="nil"/>
              <w:right w:val="nil"/>
            </w:tcBorders>
            <w:shd w:val="clear" w:color="000000" w:fill="FFFFFF"/>
            <w:noWrap/>
            <w:vAlign w:val="center"/>
            <w:hideMark/>
          </w:tcPr>
          <w:p w14:paraId="48CB877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337.282 </w:t>
            </w:r>
          </w:p>
        </w:tc>
      </w:tr>
      <w:tr w:rsidR="00F64523" w:rsidRPr="00092E33" w14:paraId="2174770D" w14:textId="77777777" w:rsidTr="004024A0">
        <w:trPr>
          <w:trHeight w:val="300"/>
          <w:jc w:val="center"/>
        </w:trPr>
        <w:tc>
          <w:tcPr>
            <w:tcW w:w="5538" w:type="dxa"/>
            <w:tcBorders>
              <w:top w:val="nil"/>
              <w:left w:val="nil"/>
              <w:bottom w:val="nil"/>
              <w:right w:val="nil"/>
            </w:tcBorders>
            <w:shd w:val="clear" w:color="000000" w:fill="FFFFFF"/>
            <w:vAlign w:val="center"/>
            <w:hideMark/>
          </w:tcPr>
          <w:p w14:paraId="2C5E346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Instrumentos derivados</w:t>
            </w:r>
          </w:p>
        </w:tc>
        <w:tc>
          <w:tcPr>
            <w:tcW w:w="1460" w:type="dxa"/>
            <w:tcBorders>
              <w:top w:val="nil"/>
              <w:left w:val="nil"/>
              <w:bottom w:val="nil"/>
              <w:right w:val="nil"/>
            </w:tcBorders>
            <w:shd w:val="clear" w:color="000000" w:fill="FFFFFF"/>
            <w:noWrap/>
            <w:vAlign w:val="center"/>
            <w:hideMark/>
          </w:tcPr>
          <w:p w14:paraId="350C795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2.557 </w:t>
            </w:r>
          </w:p>
        </w:tc>
        <w:tc>
          <w:tcPr>
            <w:tcW w:w="1679" w:type="dxa"/>
            <w:tcBorders>
              <w:top w:val="nil"/>
              <w:left w:val="nil"/>
              <w:bottom w:val="nil"/>
              <w:right w:val="nil"/>
            </w:tcBorders>
            <w:shd w:val="clear" w:color="000000" w:fill="FFFFFF"/>
            <w:noWrap/>
            <w:vAlign w:val="center"/>
            <w:hideMark/>
          </w:tcPr>
          <w:p w14:paraId="3A98652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   </w:t>
            </w:r>
          </w:p>
        </w:tc>
        <w:tc>
          <w:tcPr>
            <w:tcW w:w="1289" w:type="dxa"/>
            <w:tcBorders>
              <w:top w:val="nil"/>
              <w:left w:val="nil"/>
              <w:bottom w:val="nil"/>
              <w:right w:val="nil"/>
            </w:tcBorders>
            <w:shd w:val="clear" w:color="000000" w:fill="FFFFFF"/>
            <w:noWrap/>
            <w:vAlign w:val="center"/>
            <w:hideMark/>
          </w:tcPr>
          <w:p w14:paraId="036DAC3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165 </w:t>
            </w:r>
          </w:p>
        </w:tc>
      </w:tr>
      <w:tr w:rsidR="00F64523" w:rsidRPr="00092E33" w14:paraId="242EAA59" w14:textId="77777777" w:rsidTr="004024A0">
        <w:trPr>
          <w:trHeight w:val="300"/>
          <w:jc w:val="center"/>
        </w:trPr>
        <w:tc>
          <w:tcPr>
            <w:tcW w:w="5538" w:type="dxa"/>
            <w:tcBorders>
              <w:top w:val="nil"/>
              <w:left w:val="nil"/>
              <w:bottom w:val="nil"/>
              <w:right w:val="nil"/>
            </w:tcBorders>
            <w:shd w:val="clear" w:color="000000" w:fill="FFFFFF"/>
            <w:vAlign w:val="center"/>
            <w:hideMark/>
          </w:tcPr>
          <w:p w14:paraId="0C07E2A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Operaciones de pase</w:t>
            </w:r>
          </w:p>
        </w:tc>
        <w:tc>
          <w:tcPr>
            <w:tcW w:w="1460" w:type="dxa"/>
            <w:tcBorders>
              <w:top w:val="nil"/>
              <w:left w:val="nil"/>
              <w:bottom w:val="nil"/>
              <w:right w:val="nil"/>
            </w:tcBorders>
            <w:shd w:val="clear" w:color="000000" w:fill="FFFFFF"/>
            <w:noWrap/>
            <w:vAlign w:val="center"/>
            <w:hideMark/>
          </w:tcPr>
          <w:p w14:paraId="258DD0B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2.049.038 </w:t>
            </w:r>
          </w:p>
        </w:tc>
        <w:tc>
          <w:tcPr>
            <w:tcW w:w="1679" w:type="dxa"/>
            <w:tcBorders>
              <w:top w:val="nil"/>
              <w:left w:val="nil"/>
              <w:bottom w:val="nil"/>
              <w:right w:val="nil"/>
            </w:tcBorders>
            <w:shd w:val="clear" w:color="000000" w:fill="FFFFFF"/>
            <w:noWrap/>
            <w:vAlign w:val="center"/>
            <w:hideMark/>
          </w:tcPr>
          <w:p w14:paraId="4C8DE0D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461.617 </w:t>
            </w:r>
          </w:p>
        </w:tc>
        <w:tc>
          <w:tcPr>
            <w:tcW w:w="1289" w:type="dxa"/>
            <w:tcBorders>
              <w:top w:val="nil"/>
              <w:left w:val="nil"/>
              <w:bottom w:val="nil"/>
              <w:right w:val="nil"/>
            </w:tcBorders>
            <w:shd w:val="clear" w:color="000000" w:fill="FFFFFF"/>
            <w:noWrap/>
            <w:vAlign w:val="center"/>
            <w:hideMark/>
          </w:tcPr>
          <w:p w14:paraId="79F76D7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525.902 </w:t>
            </w:r>
          </w:p>
        </w:tc>
      </w:tr>
      <w:tr w:rsidR="00F64523" w:rsidRPr="00092E33" w14:paraId="60B06E59" w14:textId="77777777" w:rsidTr="004024A0">
        <w:trPr>
          <w:trHeight w:val="300"/>
          <w:jc w:val="center"/>
        </w:trPr>
        <w:tc>
          <w:tcPr>
            <w:tcW w:w="5538" w:type="dxa"/>
            <w:tcBorders>
              <w:top w:val="nil"/>
              <w:left w:val="nil"/>
              <w:bottom w:val="nil"/>
              <w:right w:val="nil"/>
            </w:tcBorders>
            <w:shd w:val="clear" w:color="000000" w:fill="FFFFFF"/>
            <w:vAlign w:val="center"/>
            <w:hideMark/>
          </w:tcPr>
          <w:p w14:paraId="2D49DC9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Otros pasivos financieros</w:t>
            </w:r>
          </w:p>
        </w:tc>
        <w:tc>
          <w:tcPr>
            <w:tcW w:w="1460" w:type="dxa"/>
            <w:tcBorders>
              <w:top w:val="nil"/>
              <w:left w:val="nil"/>
              <w:bottom w:val="nil"/>
              <w:right w:val="nil"/>
            </w:tcBorders>
            <w:shd w:val="clear" w:color="000000" w:fill="FFFFFF"/>
            <w:noWrap/>
            <w:vAlign w:val="center"/>
            <w:hideMark/>
          </w:tcPr>
          <w:p w14:paraId="05A078E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527.890 </w:t>
            </w:r>
          </w:p>
        </w:tc>
        <w:tc>
          <w:tcPr>
            <w:tcW w:w="1679" w:type="dxa"/>
            <w:tcBorders>
              <w:top w:val="nil"/>
              <w:left w:val="nil"/>
              <w:bottom w:val="nil"/>
              <w:right w:val="nil"/>
            </w:tcBorders>
            <w:shd w:val="clear" w:color="000000" w:fill="FFFFFF"/>
            <w:noWrap/>
            <w:vAlign w:val="center"/>
            <w:hideMark/>
          </w:tcPr>
          <w:p w14:paraId="784B0CE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356.809 </w:t>
            </w:r>
          </w:p>
        </w:tc>
        <w:tc>
          <w:tcPr>
            <w:tcW w:w="1289" w:type="dxa"/>
            <w:tcBorders>
              <w:top w:val="nil"/>
              <w:left w:val="nil"/>
              <w:bottom w:val="nil"/>
              <w:right w:val="nil"/>
            </w:tcBorders>
            <w:shd w:val="clear" w:color="000000" w:fill="FFFFFF"/>
            <w:noWrap/>
            <w:vAlign w:val="center"/>
            <w:hideMark/>
          </w:tcPr>
          <w:p w14:paraId="723B1C0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303.921 </w:t>
            </w:r>
          </w:p>
        </w:tc>
      </w:tr>
      <w:tr w:rsidR="00F64523" w:rsidRPr="00092E33" w14:paraId="13CF5666" w14:textId="77777777" w:rsidTr="004024A0">
        <w:trPr>
          <w:trHeight w:val="600"/>
          <w:jc w:val="center"/>
        </w:trPr>
        <w:tc>
          <w:tcPr>
            <w:tcW w:w="5538" w:type="dxa"/>
            <w:tcBorders>
              <w:top w:val="nil"/>
              <w:left w:val="nil"/>
              <w:bottom w:val="nil"/>
              <w:right w:val="nil"/>
            </w:tcBorders>
            <w:shd w:val="clear" w:color="000000" w:fill="FFFFFF"/>
            <w:vAlign w:val="center"/>
            <w:hideMark/>
          </w:tcPr>
          <w:p w14:paraId="6B8632C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Financiaciones recibidas el B.C.R.A y otras instituciones financieras</w:t>
            </w:r>
          </w:p>
        </w:tc>
        <w:tc>
          <w:tcPr>
            <w:tcW w:w="1460" w:type="dxa"/>
            <w:tcBorders>
              <w:top w:val="nil"/>
              <w:left w:val="nil"/>
              <w:bottom w:val="nil"/>
              <w:right w:val="nil"/>
            </w:tcBorders>
            <w:shd w:val="clear" w:color="000000" w:fill="FFFFFF"/>
            <w:noWrap/>
            <w:vAlign w:val="center"/>
            <w:hideMark/>
          </w:tcPr>
          <w:p w14:paraId="165621E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155.747 </w:t>
            </w:r>
          </w:p>
        </w:tc>
        <w:tc>
          <w:tcPr>
            <w:tcW w:w="1679" w:type="dxa"/>
            <w:tcBorders>
              <w:top w:val="nil"/>
              <w:left w:val="nil"/>
              <w:bottom w:val="nil"/>
              <w:right w:val="nil"/>
            </w:tcBorders>
            <w:shd w:val="clear" w:color="000000" w:fill="FFFFFF"/>
            <w:noWrap/>
            <w:vAlign w:val="center"/>
            <w:hideMark/>
          </w:tcPr>
          <w:p w14:paraId="01607F3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38.847 </w:t>
            </w:r>
          </w:p>
        </w:tc>
        <w:tc>
          <w:tcPr>
            <w:tcW w:w="1289" w:type="dxa"/>
            <w:tcBorders>
              <w:top w:val="nil"/>
              <w:left w:val="nil"/>
              <w:bottom w:val="nil"/>
              <w:right w:val="nil"/>
            </w:tcBorders>
            <w:shd w:val="clear" w:color="000000" w:fill="FFFFFF"/>
            <w:noWrap/>
            <w:vAlign w:val="center"/>
            <w:hideMark/>
          </w:tcPr>
          <w:p w14:paraId="6DFCBC4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272.567 </w:t>
            </w:r>
          </w:p>
        </w:tc>
      </w:tr>
      <w:tr w:rsidR="00F64523" w:rsidRPr="00092E33" w14:paraId="07ED0813" w14:textId="77777777" w:rsidTr="004024A0">
        <w:trPr>
          <w:trHeight w:val="300"/>
          <w:jc w:val="center"/>
        </w:trPr>
        <w:tc>
          <w:tcPr>
            <w:tcW w:w="5538" w:type="dxa"/>
            <w:tcBorders>
              <w:top w:val="nil"/>
              <w:left w:val="nil"/>
              <w:bottom w:val="nil"/>
              <w:right w:val="nil"/>
            </w:tcBorders>
            <w:shd w:val="clear" w:color="000000" w:fill="FFFFFF"/>
            <w:vAlign w:val="center"/>
            <w:hideMark/>
          </w:tcPr>
          <w:p w14:paraId="1432300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Obligaciones negociables emitidas</w:t>
            </w:r>
          </w:p>
        </w:tc>
        <w:tc>
          <w:tcPr>
            <w:tcW w:w="1460" w:type="dxa"/>
            <w:tcBorders>
              <w:top w:val="nil"/>
              <w:left w:val="nil"/>
              <w:bottom w:val="nil"/>
              <w:right w:val="nil"/>
            </w:tcBorders>
            <w:shd w:val="clear" w:color="000000" w:fill="FFFFFF"/>
            <w:noWrap/>
            <w:vAlign w:val="center"/>
            <w:hideMark/>
          </w:tcPr>
          <w:p w14:paraId="6469D72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179.855 </w:t>
            </w:r>
          </w:p>
        </w:tc>
        <w:tc>
          <w:tcPr>
            <w:tcW w:w="1679" w:type="dxa"/>
            <w:tcBorders>
              <w:top w:val="nil"/>
              <w:left w:val="nil"/>
              <w:bottom w:val="nil"/>
              <w:right w:val="nil"/>
            </w:tcBorders>
            <w:shd w:val="clear" w:color="000000" w:fill="FFFFFF"/>
            <w:noWrap/>
            <w:vAlign w:val="center"/>
            <w:hideMark/>
          </w:tcPr>
          <w:p w14:paraId="4B7100F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104.066 </w:t>
            </w:r>
          </w:p>
        </w:tc>
        <w:tc>
          <w:tcPr>
            <w:tcW w:w="1289" w:type="dxa"/>
            <w:tcBorders>
              <w:top w:val="nil"/>
              <w:left w:val="nil"/>
              <w:bottom w:val="nil"/>
              <w:right w:val="nil"/>
            </w:tcBorders>
            <w:shd w:val="clear" w:color="000000" w:fill="FFFFFF"/>
            <w:noWrap/>
            <w:vAlign w:val="center"/>
            <w:hideMark/>
          </w:tcPr>
          <w:p w14:paraId="493EC3D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92.698 </w:t>
            </w:r>
          </w:p>
        </w:tc>
      </w:tr>
      <w:tr w:rsidR="00F64523" w:rsidRPr="00092E33" w14:paraId="7309D686" w14:textId="77777777" w:rsidTr="004024A0">
        <w:trPr>
          <w:trHeight w:val="300"/>
          <w:jc w:val="center"/>
        </w:trPr>
        <w:tc>
          <w:tcPr>
            <w:tcW w:w="5538" w:type="dxa"/>
            <w:tcBorders>
              <w:top w:val="nil"/>
              <w:left w:val="nil"/>
              <w:bottom w:val="nil"/>
              <w:right w:val="nil"/>
            </w:tcBorders>
            <w:shd w:val="clear" w:color="000000" w:fill="FFFFFF"/>
            <w:vAlign w:val="center"/>
            <w:hideMark/>
          </w:tcPr>
          <w:p w14:paraId="2B5B6E0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Pasivo por impuestos a las ganancias corriente</w:t>
            </w:r>
          </w:p>
        </w:tc>
        <w:tc>
          <w:tcPr>
            <w:tcW w:w="1460" w:type="dxa"/>
            <w:tcBorders>
              <w:top w:val="nil"/>
              <w:left w:val="nil"/>
              <w:bottom w:val="nil"/>
              <w:right w:val="nil"/>
            </w:tcBorders>
            <w:shd w:val="clear" w:color="000000" w:fill="FFFFFF"/>
            <w:noWrap/>
            <w:vAlign w:val="center"/>
            <w:hideMark/>
          </w:tcPr>
          <w:p w14:paraId="6D9829E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   </w:t>
            </w:r>
          </w:p>
        </w:tc>
        <w:tc>
          <w:tcPr>
            <w:tcW w:w="1679" w:type="dxa"/>
            <w:tcBorders>
              <w:top w:val="nil"/>
              <w:left w:val="nil"/>
              <w:bottom w:val="nil"/>
              <w:right w:val="nil"/>
            </w:tcBorders>
            <w:shd w:val="clear" w:color="000000" w:fill="FFFFFF"/>
            <w:noWrap/>
            <w:vAlign w:val="center"/>
            <w:hideMark/>
          </w:tcPr>
          <w:p w14:paraId="018C615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4.671 </w:t>
            </w:r>
          </w:p>
        </w:tc>
        <w:tc>
          <w:tcPr>
            <w:tcW w:w="1289" w:type="dxa"/>
            <w:tcBorders>
              <w:top w:val="nil"/>
              <w:left w:val="nil"/>
              <w:bottom w:val="nil"/>
              <w:right w:val="nil"/>
            </w:tcBorders>
            <w:shd w:val="clear" w:color="000000" w:fill="FFFFFF"/>
            <w:noWrap/>
            <w:vAlign w:val="center"/>
            <w:hideMark/>
          </w:tcPr>
          <w:p w14:paraId="017EA84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8.706 </w:t>
            </w:r>
          </w:p>
        </w:tc>
      </w:tr>
      <w:tr w:rsidR="00F64523" w:rsidRPr="00092E33" w14:paraId="6762F89F" w14:textId="77777777" w:rsidTr="004024A0">
        <w:trPr>
          <w:trHeight w:val="300"/>
          <w:jc w:val="center"/>
        </w:trPr>
        <w:tc>
          <w:tcPr>
            <w:tcW w:w="5538" w:type="dxa"/>
            <w:tcBorders>
              <w:top w:val="nil"/>
              <w:left w:val="nil"/>
              <w:bottom w:val="nil"/>
              <w:right w:val="nil"/>
            </w:tcBorders>
            <w:shd w:val="clear" w:color="000000" w:fill="FFFFFF"/>
            <w:vAlign w:val="center"/>
            <w:hideMark/>
          </w:tcPr>
          <w:p w14:paraId="5B77C34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Obligaciones negociables subordinadas</w:t>
            </w:r>
          </w:p>
        </w:tc>
        <w:tc>
          <w:tcPr>
            <w:tcW w:w="1460" w:type="dxa"/>
            <w:tcBorders>
              <w:top w:val="nil"/>
              <w:left w:val="nil"/>
              <w:bottom w:val="nil"/>
              <w:right w:val="nil"/>
            </w:tcBorders>
            <w:shd w:val="clear" w:color="000000" w:fill="FFFFFF"/>
            <w:noWrap/>
            <w:vAlign w:val="center"/>
            <w:hideMark/>
          </w:tcPr>
          <w:p w14:paraId="1C8A8DC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224.057 </w:t>
            </w:r>
          </w:p>
        </w:tc>
        <w:tc>
          <w:tcPr>
            <w:tcW w:w="1679" w:type="dxa"/>
            <w:tcBorders>
              <w:top w:val="nil"/>
              <w:left w:val="nil"/>
              <w:bottom w:val="nil"/>
              <w:right w:val="nil"/>
            </w:tcBorders>
            <w:shd w:val="clear" w:color="000000" w:fill="FFFFFF"/>
            <w:noWrap/>
            <w:vAlign w:val="center"/>
            <w:hideMark/>
          </w:tcPr>
          <w:p w14:paraId="0A6DB3C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132.029 </w:t>
            </w:r>
          </w:p>
        </w:tc>
        <w:tc>
          <w:tcPr>
            <w:tcW w:w="1289" w:type="dxa"/>
            <w:tcBorders>
              <w:top w:val="nil"/>
              <w:left w:val="nil"/>
              <w:bottom w:val="nil"/>
              <w:right w:val="nil"/>
            </w:tcBorders>
            <w:shd w:val="clear" w:color="000000" w:fill="FFFFFF"/>
            <w:noWrap/>
            <w:vAlign w:val="center"/>
            <w:hideMark/>
          </w:tcPr>
          <w:p w14:paraId="2D95D04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182.064 </w:t>
            </w:r>
          </w:p>
        </w:tc>
      </w:tr>
      <w:tr w:rsidR="00F64523" w:rsidRPr="00092E33" w14:paraId="684F52DE" w14:textId="77777777" w:rsidTr="004024A0">
        <w:trPr>
          <w:trHeight w:val="300"/>
          <w:jc w:val="center"/>
        </w:trPr>
        <w:tc>
          <w:tcPr>
            <w:tcW w:w="5538" w:type="dxa"/>
            <w:tcBorders>
              <w:top w:val="nil"/>
              <w:left w:val="nil"/>
              <w:bottom w:val="nil"/>
              <w:right w:val="nil"/>
            </w:tcBorders>
            <w:shd w:val="clear" w:color="000000" w:fill="FFFFFF"/>
            <w:vAlign w:val="center"/>
            <w:hideMark/>
          </w:tcPr>
          <w:p w14:paraId="5AE8CFA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Provisiones</w:t>
            </w:r>
          </w:p>
        </w:tc>
        <w:tc>
          <w:tcPr>
            <w:tcW w:w="1460" w:type="dxa"/>
            <w:tcBorders>
              <w:top w:val="nil"/>
              <w:left w:val="nil"/>
              <w:bottom w:val="nil"/>
              <w:right w:val="nil"/>
            </w:tcBorders>
            <w:shd w:val="clear" w:color="000000" w:fill="FFFFFF"/>
            <w:noWrap/>
            <w:vAlign w:val="center"/>
            <w:hideMark/>
          </w:tcPr>
          <w:p w14:paraId="3072A54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3.551 </w:t>
            </w:r>
          </w:p>
        </w:tc>
        <w:tc>
          <w:tcPr>
            <w:tcW w:w="1679" w:type="dxa"/>
            <w:tcBorders>
              <w:top w:val="nil"/>
              <w:left w:val="nil"/>
              <w:bottom w:val="nil"/>
              <w:right w:val="nil"/>
            </w:tcBorders>
            <w:shd w:val="clear" w:color="000000" w:fill="FFFFFF"/>
            <w:noWrap/>
            <w:vAlign w:val="center"/>
            <w:hideMark/>
          </w:tcPr>
          <w:p w14:paraId="393BD22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8.681 </w:t>
            </w:r>
          </w:p>
        </w:tc>
        <w:tc>
          <w:tcPr>
            <w:tcW w:w="1289" w:type="dxa"/>
            <w:tcBorders>
              <w:top w:val="nil"/>
              <w:left w:val="nil"/>
              <w:bottom w:val="nil"/>
              <w:right w:val="nil"/>
            </w:tcBorders>
            <w:shd w:val="clear" w:color="000000" w:fill="FFFFFF"/>
            <w:noWrap/>
            <w:vAlign w:val="center"/>
            <w:hideMark/>
          </w:tcPr>
          <w:p w14:paraId="46F962C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80.710 </w:t>
            </w:r>
          </w:p>
        </w:tc>
      </w:tr>
      <w:tr w:rsidR="00F64523" w:rsidRPr="00092E33" w14:paraId="074B0852" w14:textId="77777777" w:rsidTr="004024A0">
        <w:trPr>
          <w:trHeight w:val="315"/>
          <w:jc w:val="center"/>
        </w:trPr>
        <w:tc>
          <w:tcPr>
            <w:tcW w:w="5538" w:type="dxa"/>
            <w:tcBorders>
              <w:top w:val="nil"/>
              <w:left w:val="nil"/>
              <w:bottom w:val="nil"/>
              <w:right w:val="nil"/>
            </w:tcBorders>
            <w:shd w:val="clear" w:color="000000" w:fill="FFFFFF"/>
            <w:vAlign w:val="center"/>
            <w:hideMark/>
          </w:tcPr>
          <w:p w14:paraId="462B020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Otros pasivos no financieros</w:t>
            </w:r>
          </w:p>
        </w:tc>
        <w:tc>
          <w:tcPr>
            <w:tcW w:w="1460" w:type="dxa"/>
            <w:tcBorders>
              <w:top w:val="nil"/>
              <w:left w:val="nil"/>
              <w:bottom w:val="nil"/>
              <w:right w:val="nil"/>
            </w:tcBorders>
            <w:shd w:val="clear" w:color="000000" w:fill="FFFFFF"/>
            <w:noWrap/>
            <w:vAlign w:val="center"/>
            <w:hideMark/>
          </w:tcPr>
          <w:p w14:paraId="7AFA08F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112.033 </w:t>
            </w:r>
          </w:p>
        </w:tc>
        <w:tc>
          <w:tcPr>
            <w:tcW w:w="1679" w:type="dxa"/>
            <w:tcBorders>
              <w:top w:val="nil"/>
              <w:left w:val="nil"/>
              <w:bottom w:val="nil"/>
              <w:right w:val="nil"/>
            </w:tcBorders>
            <w:shd w:val="clear" w:color="000000" w:fill="FFFFFF"/>
            <w:noWrap/>
            <w:vAlign w:val="center"/>
            <w:hideMark/>
          </w:tcPr>
          <w:p w14:paraId="65376CB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95.422 </w:t>
            </w:r>
          </w:p>
        </w:tc>
        <w:tc>
          <w:tcPr>
            <w:tcW w:w="1289" w:type="dxa"/>
            <w:tcBorders>
              <w:top w:val="nil"/>
              <w:left w:val="nil"/>
              <w:bottom w:val="nil"/>
              <w:right w:val="nil"/>
            </w:tcBorders>
            <w:shd w:val="clear" w:color="000000" w:fill="FFFFFF"/>
            <w:noWrap/>
            <w:vAlign w:val="center"/>
            <w:hideMark/>
          </w:tcPr>
          <w:p w14:paraId="1A53435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114.104 </w:t>
            </w:r>
          </w:p>
        </w:tc>
      </w:tr>
      <w:tr w:rsidR="00F64523" w:rsidRPr="00092E33" w14:paraId="552BF022" w14:textId="77777777" w:rsidTr="004024A0">
        <w:trPr>
          <w:trHeight w:val="315"/>
          <w:jc w:val="center"/>
        </w:trPr>
        <w:tc>
          <w:tcPr>
            <w:tcW w:w="5538" w:type="dxa"/>
            <w:tcBorders>
              <w:top w:val="nil"/>
              <w:left w:val="nil"/>
              <w:bottom w:val="nil"/>
              <w:right w:val="nil"/>
            </w:tcBorders>
            <w:shd w:val="clear" w:color="000000" w:fill="FFFFFF"/>
            <w:vAlign w:val="center"/>
            <w:hideMark/>
          </w:tcPr>
          <w:p w14:paraId="648AEF9A" w14:textId="77777777" w:rsidR="00F64523" w:rsidRPr="00092E33" w:rsidRDefault="00F64523" w:rsidP="00F64523">
            <w:pPr>
              <w:spacing w:after="0"/>
              <w:jc w:val="both"/>
              <w:rPr>
                <w:rFonts w:ascii="Times New Roman" w:hAnsi="Times New Roman" w:cs="Times New Roman"/>
                <w:b/>
                <w:bCs/>
                <w:color w:val="000000"/>
                <w:lang w:eastAsia="es-AR"/>
              </w:rPr>
            </w:pPr>
            <w:proofErr w:type="gramStart"/>
            <w:r w:rsidRPr="00092E33">
              <w:rPr>
                <w:rFonts w:ascii="Times New Roman" w:hAnsi="Times New Roman" w:cs="Times New Roman"/>
                <w:b/>
                <w:bCs/>
                <w:color w:val="000000"/>
                <w:lang w:eastAsia="es-AR"/>
              </w:rPr>
              <w:t>TOTAL</w:t>
            </w:r>
            <w:proofErr w:type="gramEnd"/>
            <w:r w:rsidRPr="00092E33">
              <w:rPr>
                <w:rFonts w:ascii="Times New Roman" w:hAnsi="Times New Roman" w:cs="Times New Roman"/>
                <w:b/>
                <w:bCs/>
                <w:color w:val="000000"/>
                <w:lang w:eastAsia="es-AR"/>
              </w:rPr>
              <w:t xml:space="preserve"> DE PASIVO</w:t>
            </w:r>
          </w:p>
        </w:tc>
        <w:tc>
          <w:tcPr>
            <w:tcW w:w="1460" w:type="dxa"/>
            <w:tcBorders>
              <w:top w:val="double" w:sz="6" w:space="0" w:color="auto"/>
              <w:left w:val="nil"/>
              <w:bottom w:val="nil"/>
              <w:right w:val="nil"/>
            </w:tcBorders>
            <w:shd w:val="clear" w:color="000000" w:fill="FFFFFF"/>
            <w:noWrap/>
            <w:vAlign w:val="center"/>
            <w:hideMark/>
          </w:tcPr>
          <w:p w14:paraId="4116E18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10.220.695 </w:t>
            </w:r>
          </w:p>
        </w:tc>
        <w:tc>
          <w:tcPr>
            <w:tcW w:w="1679" w:type="dxa"/>
            <w:tcBorders>
              <w:top w:val="double" w:sz="6" w:space="0" w:color="auto"/>
              <w:left w:val="nil"/>
              <w:bottom w:val="nil"/>
              <w:right w:val="nil"/>
            </w:tcBorders>
            <w:shd w:val="clear" w:color="000000" w:fill="FFFFFF"/>
            <w:noWrap/>
            <w:vAlign w:val="center"/>
            <w:hideMark/>
          </w:tcPr>
          <w:p w14:paraId="25D6D82E"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5.766.706 </w:t>
            </w:r>
          </w:p>
        </w:tc>
        <w:tc>
          <w:tcPr>
            <w:tcW w:w="1289" w:type="dxa"/>
            <w:tcBorders>
              <w:top w:val="double" w:sz="6" w:space="0" w:color="auto"/>
              <w:left w:val="nil"/>
              <w:bottom w:val="nil"/>
              <w:right w:val="nil"/>
            </w:tcBorders>
            <w:shd w:val="clear" w:color="000000" w:fill="FFFFFF"/>
            <w:noWrap/>
            <w:vAlign w:val="center"/>
            <w:hideMark/>
          </w:tcPr>
          <w:p w14:paraId="3E3011E9"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4.907.944 </w:t>
            </w:r>
          </w:p>
        </w:tc>
      </w:tr>
      <w:tr w:rsidR="00F64523" w:rsidRPr="00092E33" w14:paraId="037EA04E" w14:textId="77777777" w:rsidTr="004024A0">
        <w:trPr>
          <w:trHeight w:val="300"/>
          <w:jc w:val="center"/>
        </w:trPr>
        <w:tc>
          <w:tcPr>
            <w:tcW w:w="5538" w:type="dxa"/>
            <w:tcBorders>
              <w:top w:val="nil"/>
              <w:left w:val="nil"/>
              <w:bottom w:val="nil"/>
              <w:right w:val="nil"/>
            </w:tcBorders>
            <w:shd w:val="clear" w:color="000000" w:fill="FFFFFF"/>
            <w:vAlign w:val="center"/>
            <w:hideMark/>
          </w:tcPr>
          <w:p w14:paraId="11A8360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60" w:type="dxa"/>
            <w:tcBorders>
              <w:top w:val="nil"/>
              <w:left w:val="nil"/>
              <w:bottom w:val="nil"/>
              <w:right w:val="nil"/>
            </w:tcBorders>
            <w:shd w:val="clear" w:color="000000" w:fill="FFFFFF"/>
            <w:noWrap/>
            <w:vAlign w:val="center"/>
            <w:hideMark/>
          </w:tcPr>
          <w:p w14:paraId="7D2E413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79" w:type="dxa"/>
            <w:tcBorders>
              <w:top w:val="nil"/>
              <w:left w:val="nil"/>
              <w:bottom w:val="nil"/>
              <w:right w:val="nil"/>
            </w:tcBorders>
            <w:shd w:val="clear" w:color="000000" w:fill="FFFFFF"/>
            <w:noWrap/>
            <w:vAlign w:val="center"/>
            <w:hideMark/>
          </w:tcPr>
          <w:p w14:paraId="72882F5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89" w:type="dxa"/>
            <w:tcBorders>
              <w:top w:val="nil"/>
              <w:left w:val="nil"/>
              <w:bottom w:val="nil"/>
              <w:right w:val="nil"/>
            </w:tcBorders>
            <w:shd w:val="clear" w:color="000000" w:fill="FFFFFF"/>
            <w:noWrap/>
            <w:vAlign w:val="center"/>
            <w:hideMark/>
          </w:tcPr>
          <w:p w14:paraId="6D8E347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0B16632C" w14:textId="77777777" w:rsidTr="004024A0">
        <w:trPr>
          <w:trHeight w:val="300"/>
          <w:jc w:val="center"/>
        </w:trPr>
        <w:tc>
          <w:tcPr>
            <w:tcW w:w="5538" w:type="dxa"/>
            <w:tcBorders>
              <w:top w:val="nil"/>
              <w:left w:val="nil"/>
              <w:bottom w:val="nil"/>
              <w:right w:val="nil"/>
            </w:tcBorders>
            <w:shd w:val="clear" w:color="000000" w:fill="FFFFFF"/>
            <w:vAlign w:val="center"/>
            <w:hideMark/>
          </w:tcPr>
          <w:p w14:paraId="2BD88E4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60" w:type="dxa"/>
            <w:tcBorders>
              <w:top w:val="nil"/>
              <w:left w:val="nil"/>
              <w:bottom w:val="nil"/>
              <w:right w:val="nil"/>
            </w:tcBorders>
            <w:shd w:val="clear" w:color="000000" w:fill="FFFFFF"/>
            <w:noWrap/>
            <w:vAlign w:val="center"/>
            <w:hideMark/>
          </w:tcPr>
          <w:p w14:paraId="2DD8022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79" w:type="dxa"/>
            <w:tcBorders>
              <w:top w:val="nil"/>
              <w:left w:val="nil"/>
              <w:bottom w:val="nil"/>
              <w:right w:val="nil"/>
            </w:tcBorders>
            <w:shd w:val="clear" w:color="000000" w:fill="FFFFFF"/>
            <w:noWrap/>
            <w:vAlign w:val="center"/>
            <w:hideMark/>
          </w:tcPr>
          <w:p w14:paraId="52D683E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89" w:type="dxa"/>
            <w:tcBorders>
              <w:top w:val="nil"/>
              <w:left w:val="nil"/>
              <w:bottom w:val="nil"/>
              <w:right w:val="nil"/>
            </w:tcBorders>
            <w:shd w:val="clear" w:color="000000" w:fill="FFFFFF"/>
            <w:noWrap/>
            <w:vAlign w:val="center"/>
            <w:hideMark/>
          </w:tcPr>
          <w:p w14:paraId="0A8E2B0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05846DB1" w14:textId="77777777" w:rsidTr="004024A0">
        <w:trPr>
          <w:trHeight w:val="300"/>
          <w:jc w:val="center"/>
        </w:trPr>
        <w:tc>
          <w:tcPr>
            <w:tcW w:w="5538" w:type="dxa"/>
            <w:tcBorders>
              <w:top w:val="nil"/>
              <w:left w:val="nil"/>
              <w:bottom w:val="nil"/>
              <w:right w:val="nil"/>
            </w:tcBorders>
            <w:shd w:val="clear" w:color="000000" w:fill="FFFFFF"/>
            <w:vAlign w:val="center"/>
            <w:hideMark/>
          </w:tcPr>
          <w:p w14:paraId="74E7537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PATRIMONIO NETO</w:t>
            </w:r>
          </w:p>
        </w:tc>
        <w:tc>
          <w:tcPr>
            <w:tcW w:w="1460" w:type="dxa"/>
            <w:tcBorders>
              <w:top w:val="nil"/>
              <w:left w:val="nil"/>
              <w:bottom w:val="nil"/>
              <w:right w:val="nil"/>
            </w:tcBorders>
            <w:shd w:val="clear" w:color="000000" w:fill="FFFFFF"/>
            <w:noWrap/>
            <w:vAlign w:val="center"/>
            <w:hideMark/>
          </w:tcPr>
          <w:p w14:paraId="6979FD2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79" w:type="dxa"/>
            <w:tcBorders>
              <w:top w:val="nil"/>
              <w:left w:val="nil"/>
              <w:bottom w:val="nil"/>
              <w:right w:val="nil"/>
            </w:tcBorders>
            <w:shd w:val="clear" w:color="000000" w:fill="FFFFFF"/>
            <w:noWrap/>
            <w:vAlign w:val="center"/>
            <w:hideMark/>
          </w:tcPr>
          <w:p w14:paraId="07F2BEC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89" w:type="dxa"/>
            <w:tcBorders>
              <w:top w:val="nil"/>
              <w:left w:val="nil"/>
              <w:bottom w:val="nil"/>
              <w:right w:val="nil"/>
            </w:tcBorders>
            <w:shd w:val="clear" w:color="000000" w:fill="FFFFFF"/>
            <w:noWrap/>
            <w:vAlign w:val="center"/>
            <w:hideMark/>
          </w:tcPr>
          <w:p w14:paraId="068DB5C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2307D523" w14:textId="77777777" w:rsidTr="004024A0">
        <w:trPr>
          <w:trHeight w:val="300"/>
          <w:jc w:val="center"/>
        </w:trPr>
        <w:tc>
          <w:tcPr>
            <w:tcW w:w="5538" w:type="dxa"/>
            <w:tcBorders>
              <w:top w:val="nil"/>
              <w:left w:val="nil"/>
              <w:bottom w:val="nil"/>
              <w:right w:val="nil"/>
            </w:tcBorders>
            <w:shd w:val="clear" w:color="000000" w:fill="FFFFFF"/>
            <w:vAlign w:val="center"/>
            <w:hideMark/>
          </w:tcPr>
          <w:p w14:paraId="4470C83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Capital social</w:t>
            </w:r>
          </w:p>
        </w:tc>
        <w:tc>
          <w:tcPr>
            <w:tcW w:w="1460" w:type="dxa"/>
            <w:tcBorders>
              <w:top w:val="nil"/>
              <w:left w:val="nil"/>
              <w:bottom w:val="nil"/>
              <w:right w:val="nil"/>
            </w:tcBorders>
            <w:shd w:val="clear" w:color="000000" w:fill="FFFFFF"/>
            <w:noWrap/>
            <w:vAlign w:val="center"/>
            <w:hideMark/>
          </w:tcPr>
          <w:p w14:paraId="35BDA03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371.433 </w:t>
            </w:r>
          </w:p>
        </w:tc>
        <w:tc>
          <w:tcPr>
            <w:tcW w:w="1679" w:type="dxa"/>
            <w:tcBorders>
              <w:top w:val="nil"/>
              <w:left w:val="nil"/>
              <w:bottom w:val="nil"/>
              <w:right w:val="nil"/>
            </w:tcBorders>
            <w:shd w:val="clear" w:color="000000" w:fill="FFFFFF"/>
            <w:noWrap/>
            <w:vAlign w:val="center"/>
            <w:hideMark/>
          </w:tcPr>
          <w:p w14:paraId="46B7A38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386.200 </w:t>
            </w:r>
          </w:p>
        </w:tc>
        <w:tc>
          <w:tcPr>
            <w:tcW w:w="1289" w:type="dxa"/>
            <w:tcBorders>
              <w:top w:val="nil"/>
              <w:left w:val="nil"/>
              <w:bottom w:val="nil"/>
              <w:right w:val="nil"/>
            </w:tcBorders>
            <w:shd w:val="clear" w:color="000000" w:fill="FFFFFF"/>
            <w:noWrap/>
            <w:vAlign w:val="center"/>
            <w:hideMark/>
          </w:tcPr>
          <w:p w14:paraId="0E09A4E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171.672 </w:t>
            </w:r>
          </w:p>
        </w:tc>
      </w:tr>
      <w:tr w:rsidR="00F64523" w:rsidRPr="00092E33" w14:paraId="4918C8D0" w14:textId="77777777" w:rsidTr="004024A0">
        <w:trPr>
          <w:trHeight w:val="300"/>
          <w:jc w:val="center"/>
        </w:trPr>
        <w:tc>
          <w:tcPr>
            <w:tcW w:w="5538" w:type="dxa"/>
            <w:tcBorders>
              <w:top w:val="nil"/>
              <w:left w:val="nil"/>
              <w:bottom w:val="nil"/>
              <w:right w:val="nil"/>
            </w:tcBorders>
            <w:shd w:val="clear" w:color="000000" w:fill="FFFFFF"/>
            <w:vAlign w:val="center"/>
            <w:hideMark/>
          </w:tcPr>
          <w:p w14:paraId="7E88616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Aportes no capitalizados</w:t>
            </w:r>
          </w:p>
        </w:tc>
        <w:tc>
          <w:tcPr>
            <w:tcW w:w="1460" w:type="dxa"/>
            <w:tcBorders>
              <w:top w:val="nil"/>
              <w:left w:val="nil"/>
              <w:bottom w:val="nil"/>
              <w:right w:val="nil"/>
            </w:tcBorders>
            <w:shd w:val="clear" w:color="000000" w:fill="FFFFFF"/>
            <w:noWrap/>
            <w:vAlign w:val="center"/>
            <w:hideMark/>
          </w:tcPr>
          <w:p w14:paraId="510E77E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   </w:t>
            </w:r>
          </w:p>
        </w:tc>
        <w:tc>
          <w:tcPr>
            <w:tcW w:w="1679" w:type="dxa"/>
            <w:tcBorders>
              <w:top w:val="nil"/>
              <w:left w:val="nil"/>
              <w:bottom w:val="nil"/>
              <w:right w:val="nil"/>
            </w:tcBorders>
            <w:shd w:val="clear" w:color="000000" w:fill="FFFFFF"/>
            <w:noWrap/>
            <w:vAlign w:val="center"/>
            <w:hideMark/>
          </w:tcPr>
          <w:p w14:paraId="331AA29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31.402 </w:t>
            </w:r>
          </w:p>
        </w:tc>
        <w:tc>
          <w:tcPr>
            <w:tcW w:w="1289" w:type="dxa"/>
            <w:tcBorders>
              <w:top w:val="nil"/>
              <w:left w:val="nil"/>
              <w:bottom w:val="nil"/>
              <w:right w:val="nil"/>
            </w:tcBorders>
            <w:shd w:val="clear" w:color="000000" w:fill="FFFFFF"/>
            <w:noWrap/>
            <w:vAlign w:val="center"/>
            <w:hideMark/>
          </w:tcPr>
          <w:p w14:paraId="1FDBAA1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26.402 </w:t>
            </w:r>
          </w:p>
        </w:tc>
      </w:tr>
      <w:tr w:rsidR="00F64523" w:rsidRPr="00092E33" w14:paraId="6610CE01" w14:textId="77777777" w:rsidTr="004024A0">
        <w:trPr>
          <w:trHeight w:val="300"/>
          <w:jc w:val="center"/>
        </w:trPr>
        <w:tc>
          <w:tcPr>
            <w:tcW w:w="5538" w:type="dxa"/>
            <w:tcBorders>
              <w:top w:val="nil"/>
              <w:left w:val="nil"/>
              <w:bottom w:val="nil"/>
              <w:right w:val="nil"/>
            </w:tcBorders>
            <w:shd w:val="clear" w:color="000000" w:fill="FFFFFF"/>
            <w:vAlign w:val="center"/>
            <w:hideMark/>
          </w:tcPr>
          <w:p w14:paraId="56DC9D9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Ganancias reservadas</w:t>
            </w:r>
          </w:p>
        </w:tc>
        <w:tc>
          <w:tcPr>
            <w:tcW w:w="1460" w:type="dxa"/>
            <w:tcBorders>
              <w:top w:val="nil"/>
              <w:left w:val="nil"/>
              <w:bottom w:val="nil"/>
              <w:right w:val="nil"/>
            </w:tcBorders>
            <w:shd w:val="clear" w:color="000000" w:fill="FFFFFF"/>
            <w:noWrap/>
            <w:vAlign w:val="center"/>
            <w:hideMark/>
          </w:tcPr>
          <w:p w14:paraId="6896956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   </w:t>
            </w:r>
          </w:p>
        </w:tc>
        <w:tc>
          <w:tcPr>
            <w:tcW w:w="1679" w:type="dxa"/>
            <w:tcBorders>
              <w:top w:val="nil"/>
              <w:left w:val="nil"/>
              <w:bottom w:val="nil"/>
              <w:right w:val="nil"/>
            </w:tcBorders>
            <w:shd w:val="clear" w:color="000000" w:fill="FFFFFF"/>
            <w:noWrap/>
            <w:vAlign w:val="center"/>
            <w:hideMark/>
          </w:tcPr>
          <w:p w14:paraId="73ED76D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22.618 </w:t>
            </w:r>
          </w:p>
        </w:tc>
        <w:tc>
          <w:tcPr>
            <w:tcW w:w="1289" w:type="dxa"/>
            <w:tcBorders>
              <w:top w:val="nil"/>
              <w:left w:val="nil"/>
              <w:bottom w:val="nil"/>
              <w:right w:val="nil"/>
            </w:tcBorders>
            <w:shd w:val="clear" w:color="000000" w:fill="FFFFFF"/>
            <w:noWrap/>
            <w:vAlign w:val="center"/>
            <w:hideMark/>
          </w:tcPr>
          <w:p w14:paraId="77F3FBD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34.897 </w:t>
            </w:r>
          </w:p>
        </w:tc>
      </w:tr>
      <w:tr w:rsidR="00F64523" w:rsidRPr="00092E33" w14:paraId="4F5EB9EF" w14:textId="77777777" w:rsidTr="004024A0">
        <w:trPr>
          <w:trHeight w:val="300"/>
          <w:jc w:val="center"/>
        </w:trPr>
        <w:tc>
          <w:tcPr>
            <w:tcW w:w="5538" w:type="dxa"/>
            <w:tcBorders>
              <w:top w:val="nil"/>
              <w:left w:val="nil"/>
              <w:bottom w:val="nil"/>
              <w:right w:val="nil"/>
            </w:tcBorders>
            <w:shd w:val="clear" w:color="000000" w:fill="FFFFFF"/>
            <w:vAlign w:val="center"/>
            <w:hideMark/>
          </w:tcPr>
          <w:p w14:paraId="2DBBDC0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Resultados no asignados</w:t>
            </w:r>
          </w:p>
        </w:tc>
        <w:tc>
          <w:tcPr>
            <w:tcW w:w="1460" w:type="dxa"/>
            <w:tcBorders>
              <w:top w:val="nil"/>
              <w:left w:val="nil"/>
              <w:bottom w:val="nil"/>
              <w:right w:val="nil"/>
            </w:tcBorders>
            <w:shd w:val="clear" w:color="000000" w:fill="FFFFFF"/>
            <w:noWrap/>
            <w:vAlign w:val="center"/>
            <w:hideMark/>
          </w:tcPr>
          <w:p w14:paraId="1AF5907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(337) </w:t>
            </w:r>
          </w:p>
        </w:tc>
        <w:tc>
          <w:tcPr>
            <w:tcW w:w="1679" w:type="dxa"/>
            <w:tcBorders>
              <w:top w:val="nil"/>
              <w:left w:val="nil"/>
              <w:bottom w:val="nil"/>
              <w:right w:val="nil"/>
            </w:tcBorders>
            <w:shd w:val="clear" w:color="000000" w:fill="FFFFFF"/>
            <w:noWrap/>
            <w:vAlign w:val="center"/>
            <w:hideMark/>
          </w:tcPr>
          <w:p w14:paraId="59B4632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(100.251) </w:t>
            </w:r>
          </w:p>
        </w:tc>
        <w:tc>
          <w:tcPr>
            <w:tcW w:w="1289" w:type="dxa"/>
            <w:tcBorders>
              <w:top w:val="nil"/>
              <w:left w:val="nil"/>
              <w:bottom w:val="nil"/>
              <w:right w:val="nil"/>
            </w:tcBorders>
            <w:shd w:val="clear" w:color="000000" w:fill="FFFFFF"/>
            <w:noWrap/>
            <w:vAlign w:val="center"/>
            <w:hideMark/>
          </w:tcPr>
          <w:p w14:paraId="784D7A6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(15.834) </w:t>
            </w:r>
          </w:p>
        </w:tc>
      </w:tr>
      <w:tr w:rsidR="00F64523" w:rsidRPr="00092E33" w14:paraId="6EE7F8D9" w14:textId="77777777" w:rsidTr="004024A0">
        <w:trPr>
          <w:trHeight w:val="300"/>
          <w:jc w:val="center"/>
        </w:trPr>
        <w:tc>
          <w:tcPr>
            <w:tcW w:w="5538" w:type="dxa"/>
            <w:tcBorders>
              <w:top w:val="nil"/>
              <w:left w:val="nil"/>
              <w:bottom w:val="nil"/>
              <w:right w:val="nil"/>
            </w:tcBorders>
            <w:shd w:val="clear" w:color="000000" w:fill="FFFFFF"/>
            <w:vAlign w:val="center"/>
            <w:hideMark/>
          </w:tcPr>
          <w:p w14:paraId="000FD5E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Otros Resultados Integrales acumulados</w:t>
            </w:r>
          </w:p>
        </w:tc>
        <w:tc>
          <w:tcPr>
            <w:tcW w:w="1460" w:type="dxa"/>
            <w:tcBorders>
              <w:top w:val="nil"/>
              <w:left w:val="nil"/>
              <w:bottom w:val="nil"/>
              <w:right w:val="nil"/>
            </w:tcBorders>
            <w:shd w:val="clear" w:color="000000" w:fill="FFFFFF"/>
            <w:noWrap/>
            <w:vAlign w:val="center"/>
            <w:hideMark/>
          </w:tcPr>
          <w:p w14:paraId="7A8E9F3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31.025 </w:t>
            </w:r>
          </w:p>
        </w:tc>
        <w:tc>
          <w:tcPr>
            <w:tcW w:w="1679" w:type="dxa"/>
            <w:tcBorders>
              <w:top w:val="nil"/>
              <w:left w:val="nil"/>
              <w:bottom w:val="nil"/>
              <w:right w:val="nil"/>
            </w:tcBorders>
            <w:shd w:val="clear" w:color="000000" w:fill="FFFFFF"/>
            <w:noWrap/>
            <w:vAlign w:val="center"/>
            <w:hideMark/>
          </w:tcPr>
          <w:p w14:paraId="4C7FE59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31.025 </w:t>
            </w:r>
          </w:p>
        </w:tc>
        <w:tc>
          <w:tcPr>
            <w:tcW w:w="1289" w:type="dxa"/>
            <w:tcBorders>
              <w:top w:val="nil"/>
              <w:left w:val="nil"/>
              <w:bottom w:val="nil"/>
              <w:right w:val="nil"/>
            </w:tcBorders>
            <w:shd w:val="clear" w:color="000000" w:fill="FFFFFF"/>
            <w:noWrap/>
            <w:vAlign w:val="center"/>
            <w:hideMark/>
          </w:tcPr>
          <w:p w14:paraId="6196BD4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54.951 </w:t>
            </w:r>
          </w:p>
        </w:tc>
      </w:tr>
      <w:tr w:rsidR="00F64523" w:rsidRPr="00092E33" w14:paraId="21FD516D" w14:textId="77777777" w:rsidTr="004024A0">
        <w:trPr>
          <w:trHeight w:val="300"/>
          <w:jc w:val="center"/>
        </w:trPr>
        <w:tc>
          <w:tcPr>
            <w:tcW w:w="5538" w:type="dxa"/>
            <w:tcBorders>
              <w:top w:val="nil"/>
              <w:left w:val="nil"/>
              <w:bottom w:val="nil"/>
              <w:right w:val="nil"/>
            </w:tcBorders>
            <w:shd w:val="clear" w:color="000000" w:fill="FFFFFF"/>
            <w:vAlign w:val="center"/>
            <w:hideMark/>
          </w:tcPr>
          <w:p w14:paraId="5442958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Resultado del período</w:t>
            </w:r>
          </w:p>
        </w:tc>
        <w:tc>
          <w:tcPr>
            <w:tcW w:w="1460" w:type="dxa"/>
            <w:tcBorders>
              <w:top w:val="nil"/>
              <w:left w:val="nil"/>
              <w:bottom w:val="nil"/>
              <w:right w:val="nil"/>
            </w:tcBorders>
            <w:shd w:val="clear" w:color="000000" w:fill="FFFFFF"/>
            <w:noWrap/>
            <w:vAlign w:val="center"/>
            <w:hideMark/>
          </w:tcPr>
          <w:p w14:paraId="196FC0F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212.771 </w:t>
            </w:r>
          </w:p>
        </w:tc>
        <w:tc>
          <w:tcPr>
            <w:tcW w:w="1679" w:type="dxa"/>
            <w:tcBorders>
              <w:top w:val="nil"/>
              <w:left w:val="nil"/>
              <w:bottom w:val="nil"/>
              <w:right w:val="nil"/>
            </w:tcBorders>
            <w:shd w:val="clear" w:color="000000" w:fill="FFFFFF"/>
            <w:noWrap/>
            <w:vAlign w:val="center"/>
            <w:hideMark/>
          </w:tcPr>
          <w:p w14:paraId="6F4A00B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(235.619) </w:t>
            </w:r>
          </w:p>
        </w:tc>
        <w:tc>
          <w:tcPr>
            <w:tcW w:w="1289" w:type="dxa"/>
            <w:tcBorders>
              <w:top w:val="nil"/>
              <w:left w:val="nil"/>
              <w:bottom w:val="nil"/>
              <w:right w:val="nil"/>
            </w:tcBorders>
            <w:shd w:val="clear" w:color="000000" w:fill="FFFFFF"/>
            <w:noWrap/>
            <w:vAlign w:val="center"/>
            <w:hideMark/>
          </w:tcPr>
          <w:p w14:paraId="050B6A6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(96.698) </w:t>
            </w:r>
          </w:p>
        </w:tc>
      </w:tr>
      <w:tr w:rsidR="00F64523" w:rsidRPr="00092E33" w14:paraId="45ECA34F" w14:textId="77777777" w:rsidTr="004024A0">
        <w:trPr>
          <w:trHeight w:val="300"/>
          <w:jc w:val="center"/>
        </w:trPr>
        <w:tc>
          <w:tcPr>
            <w:tcW w:w="5538" w:type="dxa"/>
            <w:tcBorders>
              <w:top w:val="nil"/>
              <w:left w:val="nil"/>
              <w:bottom w:val="nil"/>
              <w:right w:val="nil"/>
            </w:tcBorders>
            <w:shd w:val="clear" w:color="000000" w:fill="FFFFFF"/>
            <w:vAlign w:val="center"/>
            <w:hideMark/>
          </w:tcPr>
          <w:p w14:paraId="0E2986F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PN atribuible a los propietarios de la controladora</w:t>
            </w:r>
          </w:p>
        </w:tc>
        <w:tc>
          <w:tcPr>
            <w:tcW w:w="1460" w:type="dxa"/>
            <w:tcBorders>
              <w:top w:val="single" w:sz="4" w:space="0" w:color="auto"/>
              <w:left w:val="nil"/>
              <w:bottom w:val="nil"/>
              <w:right w:val="nil"/>
            </w:tcBorders>
            <w:shd w:val="clear" w:color="000000" w:fill="FFFFFF"/>
            <w:noWrap/>
            <w:vAlign w:val="center"/>
            <w:hideMark/>
          </w:tcPr>
          <w:p w14:paraId="6A2A4B7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614.892 </w:t>
            </w:r>
          </w:p>
        </w:tc>
        <w:tc>
          <w:tcPr>
            <w:tcW w:w="1679" w:type="dxa"/>
            <w:tcBorders>
              <w:top w:val="single" w:sz="4" w:space="0" w:color="auto"/>
              <w:left w:val="nil"/>
              <w:bottom w:val="nil"/>
              <w:right w:val="nil"/>
            </w:tcBorders>
            <w:shd w:val="clear" w:color="000000" w:fill="FFFFFF"/>
            <w:noWrap/>
            <w:vAlign w:val="center"/>
            <w:hideMark/>
          </w:tcPr>
          <w:p w14:paraId="739E5A3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135.375 </w:t>
            </w:r>
          </w:p>
        </w:tc>
        <w:tc>
          <w:tcPr>
            <w:tcW w:w="1289" w:type="dxa"/>
            <w:tcBorders>
              <w:top w:val="single" w:sz="4" w:space="0" w:color="auto"/>
              <w:left w:val="nil"/>
              <w:bottom w:val="nil"/>
              <w:right w:val="nil"/>
            </w:tcBorders>
            <w:shd w:val="clear" w:color="000000" w:fill="FFFFFF"/>
            <w:noWrap/>
            <w:vAlign w:val="center"/>
            <w:hideMark/>
          </w:tcPr>
          <w:p w14:paraId="1CF6DF9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175.398 </w:t>
            </w:r>
          </w:p>
        </w:tc>
      </w:tr>
      <w:tr w:rsidR="00F64523" w:rsidRPr="00092E33" w14:paraId="5F1E3DD3" w14:textId="77777777" w:rsidTr="004024A0">
        <w:trPr>
          <w:trHeight w:val="315"/>
          <w:jc w:val="center"/>
        </w:trPr>
        <w:tc>
          <w:tcPr>
            <w:tcW w:w="5538" w:type="dxa"/>
            <w:tcBorders>
              <w:top w:val="nil"/>
              <w:left w:val="nil"/>
              <w:bottom w:val="nil"/>
              <w:right w:val="nil"/>
            </w:tcBorders>
            <w:shd w:val="clear" w:color="000000" w:fill="FFFFFF"/>
            <w:vAlign w:val="center"/>
            <w:hideMark/>
          </w:tcPr>
          <w:p w14:paraId="2241E66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lastRenderedPageBreak/>
              <w:t>PN atribuible a participaciones no controladas</w:t>
            </w:r>
          </w:p>
        </w:tc>
        <w:tc>
          <w:tcPr>
            <w:tcW w:w="1460" w:type="dxa"/>
            <w:tcBorders>
              <w:top w:val="nil"/>
              <w:left w:val="nil"/>
              <w:bottom w:val="nil"/>
              <w:right w:val="nil"/>
            </w:tcBorders>
            <w:shd w:val="clear" w:color="000000" w:fill="FFFFFF"/>
            <w:noWrap/>
            <w:vAlign w:val="center"/>
            <w:hideMark/>
          </w:tcPr>
          <w:p w14:paraId="55314CB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2.179 </w:t>
            </w:r>
          </w:p>
        </w:tc>
        <w:tc>
          <w:tcPr>
            <w:tcW w:w="1679" w:type="dxa"/>
            <w:tcBorders>
              <w:top w:val="nil"/>
              <w:left w:val="nil"/>
              <w:bottom w:val="nil"/>
              <w:right w:val="nil"/>
            </w:tcBorders>
            <w:shd w:val="clear" w:color="000000" w:fill="FFFFFF"/>
            <w:noWrap/>
            <w:vAlign w:val="center"/>
            <w:hideMark/>
          </w:tcPr>
          <w:p w14:paraId="5F5A05D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2.020 </w:t>
            </w:r>
          </w:p>
        </w:tc>
        <w:tc>
          <w:tcPr>
            <w:tcW w:w="1289" w:type="dxa"/>
            <w:tcBorders>
              <w:top w:val="nil"/>
              <w:left w:val="nil"/>
              <w:bottom w:val="nil"/>
              <w:right w:val="nil"/>
            </w:tcBorders>
            <w:shd w:val="clear" w:color="000000" w:fill="FFFFFF"/>
            <w:noWrap/>
            <w:vAlign w:val="center"/>
            <w:hideMark/>
          </w:tcPr>
          <w:p w14:paraId="1B9FDE4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2.816 </w:t>
            </w:r>
          </w:p>
        </w:tc>
      </w:tr>
      <w:tr w:rsidR="00F64523" w:rsidRPr="00092E33" w14:paraId="445357ED" w14:textId="77777777" w:rsidTr="004024A0">
        <w:trPr>
          <w:trHeight w:val="315"/>
          <w:jc w:val="center"/>
        </w:trPr>
        <w:tc>
          <w:tcPr>
            <w:tcW w:w="5538" w:type="dxa"/>
            <w:tcBorders>
              <w:top w:val="nil"/>
              <w:left w:val="nil"/>
              <w:bottom w:val="nil"/>
              <w:right w:val="nil"/>
            </w:tcBorders>
            <w:shd w:val="clear" w:color="000000" w:fill="FFFFFF"/>
            <w:noWrap/>
            <w:vAlign w:val="center"/>
            <w:hideMark/>
          </w:tcPr>
          <w:p w14:paraId="2636BC2B"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PATRIMONIO NETO</w:t>
            </w:r>
          </w:p>
        </w:tc>
        <w:tc>
          <w:tcPr>
            <w:tcW w:w="1460" w:type="dxa"/>
            <w:tcBorders>
              <w:top w:val="double" w:sz="6" w:space="0" w:color="auto"/>
              <w:left w:val="nil"/>
              <w:bottom w:val="nil"/>
              <w:right w:val="nil"/>
            </w:tcBorders>
            <w:shd w:val="clear" w:color="000000" w:fill="FFFFFF"/>
            <w:noWrap/>
            <w:vAlign w:val="center"/>
            <w:hideMark/>
          </w:tcPr>
          <w:p w14:paraId="1CDD8268"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617.071 </w:t>
            </w:r>
          </w:p>
        </w:tc>
        <w:tc>
          <w:tcPr>
            <w:tcW w:w="1679" w:type="dxa"/>
            <w:tcBorders>
              <w:top w:val="double" w:sz="6" w:space="0" w:color="auto"/>
              <w:left w:val="nil"/>
              <w:bottom w:val="nil"/>
              <w:right w:val="nil"/>
            </w:tcBorders>
            <w:shd w:val="clear" w:color="000000" w:fill="FFFFFF"/>
            <w:noWrap/>
            <w:vAlign w:val="center"/>
            <w:hideMark/>
          </w:tcPr>
          <w:p w14:paraId="78E09FE0"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137.395 </w:t>
            </w:r>
          </w:p>
        </w:tc>
        <w:tc>
          <w:tcPr>
            <w:tcW w:w="1289" w:type="dxa"/>
            <w:tcBorders>
              <w:top w:val="double" w:sz="6" w:space="0" w:color="auto"/>
              <w:left w:val="nil"/>
              <w:bottom w:val="nil"/>
              <w:right w:val="nil"/>
            </w:tcBorders>
            <w:shd w:val="clear" w:color="000000" w:fill="FFFFFF"/>
            <w:noWrap/>
            <w:vAlign w:val="center"/>
            <w:hideMark/>
          </w:tcPr>
          <w:p w14:paraId="5C625B3F"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178.214 </w:t>
            </w:r>
          </w:p>
        </w:tc>
      </w:tr>
      <w:tr w:rsidR="00F64523" w:rsidRPr="00092E33" w14:paraId="41405872" w14:textId="77777777" w:rsidTr="004024A0">
        <w:trPr>
          <w:trHeight w:val="315"/>
          <w:jc w:val="center"/>
        </w:trPr>
        <w:tc>
          <w:tcPr>
            <w:tcW w:w="5538" w:type="dxa"/>
            <w:tcBorders>
              <w:top w:val="nil"/>
              <w:left w:val="nil"/>
              <w:bottom w:val="nil"/>
              <w:right w:val="nil"/>
            </w:tcBorders>
            <w:shd w:val="clear" w:color="000000" w:fill="FFFFFF"/>
            <w:noWrap/>
            <w:vAlign w:val="center"/>
            <w:hideMark/>
          </w:tcPr>
          <w:p w14:paraId="4C61095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60" w:type="dxa"/>
            <w:tcBorders>
              <w:top w:val="nil"/>
              <w:left w:val="nil"/>
              <w:bottom w:val="nil"/>
              <w:right w:val="nil"/>
            </w:tcBorders>
            <w:shd w:val="clear" w:color="000000" w:fill="FFFFFF"/>
            <w:noWrap/>
            <w:vAlign w:val="center"/>
            <w:hideMark/>
          </w:tcPr>
          <w:p w14:paraId="41B0648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679" w:type="dxa"/>
            <w:tcBorders>
              <w:top w:val="nil"/>
              <w:left w:val="nil"/>
              <w:bottom w:val="nil"/>
              <w:right w:val="nil"/>
            </w:tcBorders>
            <w:shd w:val="clear" w:color="000000" w:fill="FFFFFF"/>
            <w:noWrap/>
            <w:vAlign w:val="center"/>
            <w:hideMark/>
          </w:tcPr>
          <w:p w14:paraId="270DC75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89" w:type="dxa"/>
            <w:tcBorders>
              <w:top w:val="nil"/>
              <w:left w:val="nil"/>
              <w:bottom w:val="nil"/>
              <w:right w:val="nil"/>
            </w:tcBorders>
            <w:shd w:val="clear" w:color="000000" w:fill="FFFFFF"/>
            <w:noWrap/>
            <w:vAlign w:val="center"/>
            <w:hideMark/>
          </w:tcPr>
          <w:p w14:paraId="56A634B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09E4DFB" w14:textId="77777777" w:rsidTr="004024A0">
        <w:trPr>
          <w:trHeight w:val="315"/>
          <w:jc w:val="center"/>
        </w:trPr>
        <w:tc>
          <w:tcPr>
            <w:tcW w:w="5538" w:type="dxa"/>
            <w:tcBorders>
              <w:top w:val="nil"/>
              <w:left w:val="nil"/>
              <w:bottom w:val="nil"/>
              <w:right w:val="nil"/>
            </w:tcBorders>
            <w:shd w:val="clear" w:color="000000" w:fill="FFFFFF"/>
            <w:noWrap/>
            <w:vAlign w:val="center"/>
            <w:hideMark/>
          </w:tcPr>
          <w:p w14:paraId="5C8DE7B4" w14:textId="77777777" w:rsidR="00F64523" w:rsidRPr="00092E33" w:rsidRDefault="00F64523" w:rsidP="00F64523">
            <w:pPr>
              <w:spacing w:after="0"/>
              <w:jc w:val="both"/>
              <w:rPr>
                <w:rFonts w:ascii="Times New Roman" w:hAnsi="Times New Roman" w:cs="Times New Roman"/>
                <w:b/>
                <w:bCs/>
                <w:color w:val="000000"/>
                <w:lang w:eastAsia="es-AR"/>
              </w:rPr>
            </w:pPr>
            <w:proofErr w:type="gramStart"/>
            <w:r w:rsidRPr="00092E33">
              <w:rPr>
                <w:rFonts w:ascii="Times New Roman" w:hAnsi="Times New Roman" w:cs="Times New Roman"/>
                <w:b/>
                <w:bCs/>
                <w:color w:val="000000"/>
                <w:lang w:eastAsia="es-AR"/>
              </w:rPr>
              <w:t>TOTAL</w:t>
            </w:r>
            <w:proofErr w:type="gramEnd"/>
            <w:r w:rsidRPr="00092E33">
              <w:rPr>
                <w:rFonts w:ascii="Times New Roman" w:hAnsi="Times New Roman" w:cs="Times New Roman"/>
                <w:b/>
                <w:bCs/>
                <w:color w:val="000000"/>
                <w:lang w:eastAsia="es-AR"/>
              </w:rPr>
              <w:t xml:space="preserve"> DE PASIVO MAS PATRIMONIO NETO</w:t>
            </w:r>
          </w:p>
        </w:tc>
        <w:tc>
          <w:tcPr>
            <w:tcW w:w="1460" w:type="dxa"/>
            <w:tcBorders>
              <w:top w:val="double" w:sz="6" w:space="0" w:color="auto"/>
              <w:left w:val="nil"/>
              <w:bottom w:val="nil"/>
              <w:right w:val="nil"/>
            </w:tcBorders>
            <w:shd w:val="clear" w:color="000000" w:fill="FFFFFF"/>
            <w:noWrap/>
            <w:vAlign w:val="center"/>
            <w:hideMark/>
          </w:tcPr>
          <w:p w14:paraId="4AFEB982"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10.837.766 </w:t>
            </w:r>
          </w:p>
        </w:tc>
        <w:tc>
          <w:tcPr>
            <w:tcW w:w="1679" w:type="dxa"/>
            <w:tcBorders>
              <w:top w:val="double" w:sz="6" w:space="0" w:color="auto"/>
              <w:left w:val="nil"/>
              <w:bottom w:val="nil"/>
              <w:right w:val="nil"/>
            </w:tcBorders>
            <w:shd w:val="clear" w:color="000000" w:fill="FFFFFF"/>
            <w:noWrap/>
            <w:vAlign w:val="center"/>
            <w:hideMark/>
          </w:tcPr>
          <w:p w14:paraId="291F974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5.904.101 </w:t>
            </w:r>
          </w:p>
        </w:tc>
        <w:tc>
          <w:tcPr>
            <w:tcW w:w="1289" w:type="dxa"/>
            <w:tcBorders>
              <w:top w:val="double" w:sz="6" w:space="0" w:color="auto"/>
              <w:left w:val="nil"/>
              <w:bottom w:val="nil"/>
              <w:right w:val="nil"/>
            </w:tcBorders>
            <w:shd w:val="clear" w:color="000000" w:fill="FFFFFF"/>
            <w:noWrap/>
            <w:vAlign w:val="center"/>
            <w:hideMark/>
          </w:tcPr>
          <w:p w14:paraId="3BFA6916"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5.086.158 </w:t>
            </w:r>
          </w:p>
        </w:tc>
      </w:tr>
    </w:tbl>
    <w:p w14:paraId="2422599F" w14:textId="77777777" w:rsidR="00F64523" w:rsidRPr="00092E33" w:rsidRDefault="00F64523" w:rsidP="00F64523">
      <w:pPr>
        <w:spacing w:after="0" w:line="220" w:lineRule="exact"/>
        <w:jc w:val="both"/>
        <w:rPr>
          <w:rFonts w:ascii="Times New Roman" w:hAnsi="Times New Roman" w:cs="Times New Roman"/>
          <w:b/>
          <w:u w:val="single"/>
        </w:rPr>
      </w:pPr>
    </w:p>
    <w:p w14:paraId="54D4EE85" w14:textId="77777777" w:rsidR="00F64523" w:rsidRPr="00092E33" w:rsidRDefault="00F64523" w:rsidP="00F64523">
      <w:pPr>
        <w:spacing w:after="0" w:line="220" w:lineRule="exact"/>
        <w:jc w:val="both"/>
        <w:rPr>
          <w:rFonts w:ascii="Times New Roman" w:hAnsi="Times New Roman" w:cs="Times New Roman"/>
        </w:rPr>
      </w:pPr>
    </w:p>
    <w:p w14:paraId="07CF4248" w14:textId="77777777" w:rsidR="00F64523" w:rsidRPr="00092E33" w:rsidRDefault="00F64523" w:rsidP="00F64523">
      <w:pPr>
        <w:spacing w:after="0" w:line="220" w:lineRule="exact"/>
        <w:jc w:val="both"/>
        <w:rPr>
          <w:rFonts w:ascii="Times New Roman" w:hAnsi="Times New Roman" w:cs="Times New Roman"/>
          <w:b/>
          <w:u w:val="single"/>
        </w:rPr>
      </w:pPr>
    </w:p>
    <w:tbl>
      <w:tblPr>
        <w:tblW w:w="9620" w:type="dxa"/>
        <w:jc w:val="center"/>
        <w:tblCellMar>
          <w:left w:w="70" w:type="dxa"/>
          <w:right w:w="70" w:type="dxa"/>
        </w:tblCellMar>
        <w:tblLook w:val="04A0" w:firstRow="1" w:lastRow="0" w:firstColumn="1" w:lastColumn="0" w:noHBand="0" w:noVBand="1"/>
      </w:tblPr>
      <w:tblGrid>
        <w:gridCol w:w="4547"/>
        <w:gridCol w:w="1805"/>
        <w:gridCol w:w="1781"/>
        <w:gridCol w:w="1487"/>
      </w:tblGrid>
      <w:tr w:rsidR="00F64523" w:rsidRPr="00092E33" w14:paraId="5168A244" w14:textId="77777777" w:rsidTr="004024A0">
        <w:trPr>
          <w:trHeight w:val="330"/>
          <w:jc w:val="center"/>
        </w:trPr>
        <w:tc>
          <w:tcPr>
            <w:tcW w:w="9620" w:type="dxa"/>
            <w:gridSpan w:val="4"/>
            <w:tcBorders>
              <w:top w:val="nil"/>
              <w:left w:val="nil"/>
              <w:bottom w:val="nil"/>
              <w:right w:val="nil"/>
            </w:tcBorders>
            <w:shd w:val="clear" w:color="000000" w:fill="FFFFFF"/>
            <w:noWrap/>
            <w:vAlign w:val="center"/>
            <w:hideMark/>
          </w:tcPr>
          <w:p w14:paraId="352E6F17"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ESTRUCTURA ESTADO DE RESULTADOS CONSOLIDADOS</w:t>
            </w:r>
          </w:p>
        </w:tc>
      </w:tr>
      <w:tr w:rsidR="00F64523" w:rsidRPr="00092E33" w14:paraId="68166AA6" w14:textId="77777777" w:rsidTr="004024A0">
        <w:trPr>
          <w:trHeight w:val="300"/>
          <w:jc w:val="center"/>
        </w:trPr>
        <w:tc>
          <w:tcPr>
            <w:tcW w:w="9620" w:type="dxa"/>
            <w:gridSpan w:val="4"/>
            <w:tcBorders>
              <w:top w:val="nil"/>
              <w:left w:val="nil"/>
              <w:bottom w:val="nil"/>
              <w:right w:val="nil"/>
            </w:tcBorders>
            <w:shd w:val="clear" w:color="000000" w:fill="FFFFFF"/>
            <w:noWrap/>
            <w:vAlign w:val="center"/>
            <w:hideMark/>
          </w:tcPr>
          <w:p w14:paraId="3625ED8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Cifras expresadas en miles de pesos</w:t>
            </w:r>
          </w:p>
        </w:tc>
      </w:tr>
      <w:tr w:rsidR="00F64523" w:rsidRPr="00092E33" w14:paraId="712B3C39" w14:textId="77777777" w:rsidTr="004024A0">
        <w:trPr>
          <w:trHeight w:val="300"/>
          <w:jc w:val="center"/>
        </w:trPr>
        <w:tc>
          <w:tcPr>
            <w:tcW w:w="4547" w:type="dxa"/>
            <w:tcBorders>
              <w:top w:val="nil"/>
              <w:left w:val="nil"/>
              <w:bottom w:val="nil"/>
              <w:right w:val="nil"/>
            </w:tcBorders>
            <w:shd w:val="clear" w:color="000000" w:fill="FFFFFF"/>
            <w:noWrap/>
            <w:vAlign w:val="center"/>
            <w:hideMark/>
          </w:tcPr>
          <w:p w14:paraId="3F063FE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805" w:type="dxa"/>
            <w:tcBorders>
              <w:top w:val="nil"/>
              <w:left w:val="nil"/>
              <w:bottom w:val="nil"/>
              <w:right w:val="nil"/>
            </w:tcBorders>
            <w:shd w:val="clear" w:color="000000" w:fill="FFFFFF"/>
            <w:noWrap/>
            <w:vAlign w:val="center"/>
            <w:hideMark/>
          </w:tcPr>
          <w:p w14:paraId="6DCDE2A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81" w:type="dxa"/>
            <w:tcBorders>
              <w:top w:val="nil"/>
              <w:left w:val="nil"/>
              <w:bottom w:val="nil"/>
              <w:right w:val="nil"/>
            </w:tcBorders>
            <w:shd w:val="clear" w:color="000000" w:fill="FFFFFF"/>
            <w:noWrap/>
            <w:vAlign w:val="center"/>
            <w:hideMark/>
          </w:tcPr>
          <w:p w14:paraId="0E7CC57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87" w:type="dxa"/>
            <w:tcBorders>
              <w:top w:val="nil"/>
              <w:left w:val="nil"/>
              <w:bottom w:val="nil"/>
              <w:right w:val="nil"/>
            </w:tcBorders>
            <w:shd w:val="clear" w:color="000000" w:fill="FFFFFF"/>
            <w:noWrap/>
            <w:vAlign w:val="center"/>
            <w:hideMark/>
          </w:tcPr>
          <w:p w14:paraId="63AFFA8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585AADF" w14:textId="77777777" w:rsidTr="004024A0">
        <w:trPr>
          <w:trHeight w:val="300"/>
          <w:jc w:val="center"/>
        </w:trPr>
        <w:tc>
          <w:tcPr>
            <w:tcW w:w="4547" w:type="dxa"/>
            <w:tcBorders>
              <w:top w:val="nil"/>
              <w:left w:val="nil"/>
              <w:bottom w:val="nil"/>
              <w:right w:val="nil"/>
            </w:tcBorders>
            <w:shd w:val="clear" w:color="000000" w:fill="FFFFFF"/>
            <w:noWrap/>
            <w:vAlign w:val="center"/>
            <w:hideMark/>
          </w:tcPr>
          <w:p w14:paraId="22B24A7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805" w:type="dxa"/>
            <w:tcBorders>
              <w:top w:val="nil"/>
              <w:left w:val="nil"/>
              <w:bottom w:val="nil"/>
              <w:right w:val="nil"/>
            </w:tcBorders>
            <w:shd w:val="clear" w:color="000000" w:fill="FFFFFF"/>
            <w:noWrap/>
            <w:vAlign w:val="center"/>
            <w:hideMark/>
          </w:tcPr>
          <w:p w14:paraId="2CDFCFDC"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781" w:type="dxa"/>
            <w:tcBorders>
              <w:top w:val="nil"/>
              <w:left w:val="nil"/>
              <w:bottom w:val="nil"/>
              <w:right w:val="nil"/>
            </w:tcBorders>
            <w:shd w:val="clear" w:color="000000" w:fill="FFFFFF"/>
            <w:noWrap/>
            <w:vAlign w:val="center"/>
            <w:hideMark/>
          </w:tcPr>
          <w:p w14:paraId="213604D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487" w:type="dxa"/>
            <w:tcBorders>
              <w:top w:val="nil"/>
              <w:left w:val="nil"/>
              <w:bottom w:val="nil"/>
              <w:right w:val="nil"/>
            </w:tcBorders>
            <w:shd w:val="clear" w:color="000000" w:fill="FFFFFF"/>
            <w:noWrap/>
            <w:vAlign w:val="center"/>
            <w:hideMark/>
          </w:tcPr>
          <w:p w14:paraId="30645E62"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r>
      <w:tr w:rsidR="00F64523" w:rsidRPr="00092E33" w14:paraId="26666B54" w14:textId="77777777" w:rsidTr="004024A0">
        <w:trPr>
          <w:trHeight w:val="300"/>
          <w:jc w:val="center"/>
        </w:trPr>
        <w:tc>
          <w:tcPr>
            <w:tcW w:w="4547" w:type="dxa"/>
            <w:tcBorders>
              <w:top w:val="nil"/>
              <w:left w:val="nil"/>
              <w:bottom w:val="nil"/>
              <w:right w:val="nil"/>
            </w:tcBorders>
            <w:shd w:val="clear" w:color="000000" w:fill="FFFFFF"/>
            <w:noWrap/>
            <w:vAlign w:val="center"/>
            <w:hideMark/>
          </w:tcPr>
          <w:p w14:paraId="43F8FB9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805" w:type="dxa"/>
            <w:tcBorders>
              <w:top w:val="nil"/>
              <w:left w:val="nil"/>
              <w:bottom w:val="nil"/>
              <w:right w:val="nil"/>
            </w:tcBorders>
            <w:shd w:val="clear" w:color="000000" w:fill="FFFFFF"/>
            <w:noWrap/>
            <w:vAlign w:val="center"/>
            <w:hideMark/>
          </w:tcPr>
          <w:p w14:paraId="41D97E4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81" w:type="dxa"/>
            <w:tcBorders>
              <w:top w:val="nil"/>
              <w:left w:val="nil"/>
              <w:bottom w:val="nil"/>
              <w:right w:val="nil"/>
            </w:tcBorders>
            <w:shd w:val="clear" w:color="000000" w:fill="FFFFFF"/>
            <w:noWrap/>
            <w:vAlign w:val="center"/>
            <w:hideMark/>
          </w:tcPr>
          <w:p w14:paraId="4FCDD47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87" w:type="dxa"/>
            <w:tcBorders>
              <w:top w:val="nil"/>
              <w:left w:val="nil"/>
              <w:bottom w:val="nil"/>
              <w:right w:val="nil"/>
            </w:tcBorders>
            <w:shd w:val="clear" w:color="000000" w:fill="FFFFFF"/>
            <w:noWrap/>
            <w:vAlign w:val="center"/>
            <w:hideMark/>
          </w:tcPr>
          <w:p w14:paraId="265BAF7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30DC4DD0" w14:textId="77777777" w:rsidTr="004024A0">
        <w:trPr>
          <w:trHeight w:val="315"/>
          <w:jc w:val="center"/>
        </w:trPr>
        <w:tc>
          <w:tcPr>
            <w:tcW w:w="4547" w:type="dxa"/>
            <w:tcBorders>
              <w:top w:val="nil"/>
              <w:left w:val="nil"/>
              <w:bottom w:val="nil"/>
              <w:right w:val="nil"/>
            </w:tcBorders>
            <w:shd w:val="clear" w:color="000000" w:fill="FFFFFF"/>
            <w:vAlign w:val="center"/>
            <w:hideMark/>
          </w:tcPr>
          <w:p w14:paraId="423030D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Resultado neto por intereses</w:t>
            </w:r>
          </w:p>
        </w:tc>
        <w:tc>
          <w:tcPr>
            <w:tcW w:w="1805" w:type="dxa"/>
            <w:tcBorders>
              <w:top w:val="nil"/>
              <w:left w:val="nil"/>
              <w:bottom w:val="double" w:sz="6" w:space="0" w:color="auto"/>
              <w:right w:val="nil"/>
            </w:tcBorders>
            <w:shd w:val="clear" w:color="000000" w:fill="FFFFFF"/>
            <w:noWrap/>
            <w:vAlign w:val="center"/>
            <w:hideMark/>
          </w:tcPr>
          <w:p w14:paraId="4DCF3C5E"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(815.585) </w:t>
            </w:r>
          </w:p>
        </w:tc>
        <w:tc>
          <w:tcPr>
            <w:tcW w:w="1781" w:type="dxa"/>
            <w:tcBorders>
              <w:top w:val="nil"/>
              <w:left w:val="nil"/>
              <w:bottom w:val="double" w:sz="6" w:space="0" w:color="auto"/>
              <w:right w:val="nil"/>
            </w:tcBorders>
            <w:shd w:val="clear" w:color="000000" w:fill="FFFFFF"/>
            <w:noWrap/>
            <w:vAlign w:val="center"/>
            <w:hideMark/>
          </w:tcPr>
          <w:p w14:paraId="224BB0D3"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(3.942) </w:t>
            </w:r>
          </w:p>
        </w:tc>
        <w:tc>
          <w:tcPr>
            <w:tcW w:w="1487" w:type="dxa"/>
            <w:tcBorders>
              <w:top w:val="nil"/>
              <w:left w:val="nil"/>
              <w:bottom w:val="double" w:sz="6" w:space="0" w:color="auto"/>
              <w:right w:val="nil"/>
            </w:tcBorders>
            <w:shd w:val="clear" w:color="000000" w:fill="FFFFFF"/>
            <w:noWrap/>
            <w:vAlign w:val="center"/>
            <w:hideMark/>
          </w:tcPr>
          <w:p w14:paraId="4CCB5DDA"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687.204 </w:t>
            </w:r>
          </w:p>
        </w:tc>
      </w:tr>
      <w:tr w:rsidR="00F64523" w:rsidRPr="00092E33" w14:paraId="5C8CE67D" w14:textId="77777777" w:rsidTr="004024A0">
        <w:trPr>
          <w:trHeight w:val="330"/>
          <w:jc w:val="center"/>
        </w:trPr>
        <w:tc>
          <w:tcPr>
            <w:tcW w:w="4547" w:type="dxa"/>
            <w:tcBorders>
              <w:top w:val="nil"/>
              <w:left w:val="nil"/>
              <w:bottom w:val="nil"/>
              <w:right w:val="nil"/>
            </w:tcBorders>
            <w:shd w:val="clear" w:color="000000" w:fill="FFFFFF"/>
            <w:vAlign w:val="center"/>
            <w:hideMark/>
          </w:tcPr>
          <w:p w14:paraId="0EA1E15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Resultado neto por comisiones</w:t>
            </w:r>
          </w:p>
        </w:tc>
        <w:tc>
          <w:tcPr>
            <w:tcW w:w="1805" w:type="dxa"/>
            <w:tcBorders>
              <w:top w:val="single" w:sz="4" w:space="0" w:color="auto"/>
              <w:left w:val="nil"/>
              <w:bottom w:val="double" w:sz="6" w:space="0" w:color="auto"/>
              <w:right w:val="nil"/>
            </w:tcBorders>
            <w:shd w:val="clear" w:color="000000" w:fill="FFFFFF"/>
            <w:noWrap/>
            <w:vAlign w:val="center"/>
            <w:hideMark/>
          </w:tcPr>
          <w:p w14:paraId="734E3944"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16.342 </w:t>
            </w:r>
          </w:p>
        </w:tc>
        <w:tc>
          <w:tcPr>
            <w:tcW w:w="1781" w:type="dxa"/>
            <w:tcBorders>
              <w:top w:val="single" w:sz="4" w:space="0" w:color="auto"/>
              <w:left w:val="nil"/>
              <w:bottom w:val="double" w:sz="6" w:space="0" w:color="auto"/>
              <w:right w:val="nil"/>
            </w:tcBorders>
            <w:shd w:val="clear" w:color="000000" w:fill="FFFFFF"/>
            <w:noWrap/>
            <w:vAlign w:val="center"/>
            <w:hideMark/>
          </w:tcPr>
          <w:p w14:paraId="1AF7D92C"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41.955 </w:t>
            </w:r>
          </w:p>
        </w:tc>
        <w:tc>
          <w:tcPr>
            <w:tcW w:w="1487" w:type="dxa"/>
            <w:tcBorders>
              <w:top w:val="single" w:sz="4" w:space="0" w:color="auto"/>
              <w:left w:val="nil"/>
              <w:bottom w:val="double" w:sz="6" w:space="0" w:color="auto"/>
              <w:right w:val="nil"/>
            </w:tcBorders>
            <w:shd w:val="clear" w:color="000000" w:fill="FFFFFF"/>
            <w:noWrap/>
            <w:vAlign w:val="center"/>
            <w:hideMark/>
          </w:tcPr>
          <w:p w14:paraId="31531D04"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30.208 </w:t>
            </w:r>
          </w:p>
        </w:tc>
      </w:tr>
      <w:tr w:rsidR="00F64523" w:rsidRPr="00092E33" w14:paraId="4EE76C89" w14:textId="77777777" w:rsidTr="004024A0">
        <w:trPr>
          <w:trHeight w:val="330"/>
          <w:jc w:val="center"/>
        </w:trPr>
        <w:tc>
          <w:tcPr>
            <w:tcW w:w="4547" w:type="dxa"/>
            <w:tcBorders>
              <w:top w:val="nil"/>
              <w:left w:val="nil"/>
              <w:bottom w:val="nil"/>
              <w:right w:val="nil"/>
            </w:tcBorders>
            <w:shd w:val="clear" w:color="000000" w:fill="FFFFFF"/>
            <w:vAlign w:val="center"/>
            <w:hideMark/>
          </w:tcPr>
          <w:p w14:paraId="2473208E"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Ingreso operativo neto</w:t>
            </w:r>
          </w:p>
        </w:tc>
        <w:tc>
          <w:tcPr>
            <w:tcW w:w="1805" w:type="dxa"/>
            <w:tcBorders>
              <w:top w:val="nil"/>
              <w:left w:val="nil"/>
              <w:bottom w:val="double" w:sz="6" w:space="0" w:color="auto"/>
              <w:right w:val="nil"/>
            </w:tcBorders>
            <w:shd w:val="clear" w:color="000000" w:fill="FFFFFF"/>
            <w:noWrap/>
            <w:vAlign w:val="center"/>
            <w:hideMark/>
          </w:tcPr>
          <w:p w14:paraId="6FB4A493"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1.136.895 </w:t>
            </w:r>
          </w:p>
        </w:tc>
        <w:tc>
          <w:tcPr>
            <w:tcW w:w="1781" w:type="dxa"/>
            <w:tcBorders>
              <w:top w:val="nil"/>
              <w:left w:val="nil"/>
              <w:bottom w:val="double" w:sz="6" w:space="0" w:color="auto"/>
              <w:right w:val="nil"/>
            </w:tcBorders>
            <w:shd w:val="clear" w:color="000000" w:fill="FFFFFF"/>
            <w:noWrap/>
            <w:vAlign w:val="center"/>
            <w:hideMark/>
          </w:tcPr>
          <w:p w14:paraId="001A9610"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630.443 </w:t>
            </w:r>
          </w:p>
        </w:tc>
        <w:tc>
          <w:tcPr>
            <w:tcW w:w="1487" w:type="dxa"/>
            <w:tcBorders>
              <w:top w:val="nil"/>
              <w:left w:val="nil"/>
              <w:bottom w:val="double" w:sz="6" w:space="0" w:color="auto"/>
              <w:right w:val="nil"/>
            </w:tcBorders>
            <w:shd w:val="clear" w:color="000000" w:fill="FFFFFF"/>
            <w:noWrap/>
            <w:vAlign w:val="center"/>
            <w:hideMark/>
          </w:tcPr>
          <w:p w14:paraId="16FBA4A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866.837 </w:t>
            </w:r>
          </w:p>
        </w:tc>
      </w:tr>
      <w:tr w:rsidR="00F64523" w:rsidRPr="00092E33" w14:paraId="52FCEF05" w14:textId="77777777" w:rsidTr="004024A0">
        <w:trPr>
          <w:trHeight w:val="330"/>
          <w:jc w:val="center"/>
        </w:trPr>
        <w:tc>
          <w:tcPr>
            <w:tcW w:w="4547" w:type="dxa"/>
            <w:tcBorders>
              <w:top w:val="nil"/>
              <w:left w:val="nil"/>
              <w:bottom w:val="nil"/>
              <w:right w:val="nil"/>
            </w:tcBorders>
            <w:shd w:val="clear" w:color="000000" w:fill="FFFFFF"/>
            <w:vAlign w:val="center"/>
            <w:hideMark/>
          </w:tcPr>
          <w:p w14:paraId="1F3BA6E2"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Resultado operativo</w:t>
            </w:r>
          </w:p>
        </w:tc>
        <w:tc>
          <w:tcPr>
            <w:tcW w:w="1805" w:type="dxa"/>
            <w:tcBorders>
              <w:top w:val="nil"/>
              <w:left w:val="nil"/>
              <w:bottom w:val="double" w:sz="6" w:space="0" w:color="auto"/>
              <w:right w:val="nil"/>
            </w:tcBorders>
            <w:shd w:val="clear" w:color="000000" w:fill="FFFFFF"/>
            <w:noWrap/>
            <w:vAlign w:val="center"/>
            <w:hideMark/>
          </w:tcPr>
          <w:p w14:paraId="4E7DF35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(845.021) </w:t>
            </w:r>
          </w:p>
        </w:tc>
        <w:tc>
          <w:tcPr>
            <w:tcW w:w="1781" w:type="dxa"/>
            <w:tcBorders>
              <w:top w:val="nil"/>
              <w:left w:val="nil"/>
              <w:bottom w:val="double" w:sz="6" w:space="0" w:color="auto"/>
              <w:right w:val="nil"/>
            </w:tcBorders>
            <w:shd w:val="clear" w:color="000000" w:fill="FFFFFF"/>
            <w:noWrap/>
            <w:vAlign w:val="center"/>
            <w:hideMark/>
          </w:tcPr>
          <w:p w14:paraId="50EDE04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(879.101) </w:t>
            </w:r>
          </w:p>
        </w:tc>
        <w:tc>
          <w:tcPr>
            <w:tcW w:w="1487" w:type="dxa"/>
            <w:tcBorders>
              <w:top w:val="nil"/>
              <w:left w:val="nil"/>
              <w:bottom w:val="double" w:sz="6" w:space="0" w:color="auto"/>
              <w:right w:val="nil"/>
            </w:tcBorders>
            <w:shd w:val="clear" w:color="000000" w:fill="FFFFFF"/>
            <w:noWrap/>
            <w:vAlign w:val="center"/>
            <w:hideMark/>
          </w:tcPr>
          <w:p w14:paraId="50C28F3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(988.181) </w:t>
            </w:r>
          </w:p>
        </w:tc>
      </w:tr>
      <w:tr w:rsidR="00F64523" w:rsidRPr="00092E33" w14:paraId="461A3B21" w14:textId="77777777" w:rsidTr="004024A0">
        <w:trPr>
          <w:trHeight w:val="330"/>
          <w:jc w:val="center"/>
        </w:trPr>
        <w:tc>
          <w:tcPr>
            <w:tcW w:w="4547" w:type="dxa"/>
            <w:tcBorders>
              <w:top w:val="nil"/>
              <w:left w:val="nil"/>
              <w:bottom w:val="nil"/>
              <w:right w:val="nil"/>
            </w:tcBorders>
            <w:shd w:val="clear" w:color="000000" w:fill="FFFFFF"/>
            <w:vAlign w:val="center"/>
            <w:hideMark/>
          </w:tcPr>
          <w:p w14:paraId="4C6A7BF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Resultado antes de impuesto a las ganancias</w:t>
            </w:r>
          </w:p>
        </w:tc>
        <w:tc>
          <w:tcPr>
            <w:tcW w:w="1805" w:type="dxa"/>
            <w:tcBorders>
              <w:top w:val="single" w:sz="4" w:space="0" w:color="auto"/>
              <w:left w:val="nil"/>
              <w:bottom w:val="double" w:sz="6" w:space="0" w:color="auto"/>
              <w:right w:val="nil"/>
            </w:tcBorders>
            <w:shd w:val="clear" w:color="000000" w:fill="FFFFFF"/>
            <w:noWrap/>
            <w:vAlign w:val="center"/>
            <w:hideMark/>
          </w:tcPr>
          <w:p w14:paraId="2C21A05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403.156 </w:t>
            </w:r>
          </w:p>
        </w:tc>
        <w:tc>
          <w:tcPr>
            <w:tcW w:w="1781" w:type="dxa"/>
            <w:tcBorders>
              <w:top w:val="single" w:sz="4" w:space="0" w:color="auto"/>
              <w:left w:val="nil"/>
              <w:bottom w:val="double" w:sz="6" w:space="0" w:color="auto"/>
              <w:right w:val="nil"/>
            </w:tcBorders>
            <w:shd w:val="clear" w:color="000000" w:fill="FFFFFF"/>
            <w:noWrap/>
            <w:vAlign w:val="center"/>
            <w:hideMark/>
          </w:tcPr>
          <w:p w14:paraId="2110467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(248.658) </w:t>
            </w:r>
          </w:p>
        </w:tc>
        <w:tc>
          <w:tcPr>
            <w:tcW w:w="1487" w:type="dxa"/>
            <w:tcBorders>
              <w:top w:val="single" w:sz="4" w:space="0" w:color="auto"/>
              <w:left w:val="nil"/>
              <w:bottom w:val="double" w:sz="6" w:space="0" w:color="auto"/>
              <w:right w:val="nil"/>
            </w:tcBorders>
            <w:shd w:val="clear" w:color="000000" w:fill="FFFFFF"/>
            <w:noWrap/>
            <w:vAlign w:val="center"/>
            <w:hideMark/>
          </w:tcPr>
          <w:p w14:paraId="086C844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(121.344) </w:t>
            </w:r>
          </w:p>
        </w:tc>
      </w:tr>
      <w:tr w:rsidR="00F64523" w:rsidRPr="00092E33" w14:paraId="413E9494" w14:textId="77777777" w:rsidTr="004024A0">
        <w:trPr>
          <w:trHeight w:val="315"/>
          <w:jc w:val="center"/>
        </w:trPr>
        <w:tc>
          <w:tcPr>
            <w:tcW w:w="4547" w:type="dxa"/>
            <w:tcBorders>
              <w:top w:val="nil"/>
              <w:left w:val="nil"/>
              <w:bottom w:val="nil"/>
              <w:right w:val="nil"/>
            </w:tcBorders>
            <w:shd w:val="clear" w:color="000000" w:fill="FFFFFF"/>
            <w:vAlign w:val="center"/>
            <w:hideMark/>
          </w:tcPr>
          <w:p w14:paraId="775B3D7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Impuesto a las ganancias</w:t>
            </w:r>
          </w:p>
        </w:tc>
        <w:tc>
          <w:tcPr>
            <w:tcW w:w="1805" w:type="dxa"/>
            <w:tcBorders>
              <w:top w:val="nil"/>
              <w:left w:val="nil"/>
              <w:bottom w:val="nil"/>
              <w:right w:val="nil"/>
            </w:tcBorders>
            <w:shd w:val="clear" w:color="000000" w:fill="FFFFFF"/>
            <w:noWrap/>
            <w:vAlign w:val="center"/>
            <w:hideMark/>
          </w:tcPr>
          <w:p w14:paraId="0251442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(68.068) </w:t>
            </w:r>
          </w:p>
        </w:tc>
        <w:tc>
          <w:tcPr>
            <w:tcW w:w="1781" w:type="dxa"/>
            <w:tcBorders>
              <w:top w:val="nil"/>
              <w:left w:val="nil"/>
              <w:bottom w:val="nil"/>
              <w:right w:val="nil"/>
            </w:tcBorders>
            <w:shd w:val="clear" w:color="000000" w:fill="FFFFFF"/>
            <w:noWrap/>
            <w:vAlign w:val="center"/>
            <w:hideMark/>
          </w:tcPr>
          <w:p w14:paraId="02B0BB9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44.180 </w:t>
            </w:r>
          </w:p>
        </w:tc>
        <w:tc>
          <w:tcPr>
            <w:tcW w:w="1487" w:type="dxa"/>
            <w:tcBorders>
              <w:top w:val="nil"/>
              <w:left w:val="nil"/>
              <w:bottom w:val="nil"/>
              <w:right w:val="nil"/>
            </w:tcBorders>
            <w:shd w:val="clear" w:color="000000" w:fill="FFFFFF"/>
            <w:noWrap/>
            <w:vAlign w:val="center"/>
            <w:hideMark/>
          </w:tcPr>
          <w:p w14:paraId="5118D8B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23.816 </w:t>
            </w:r>
          </w:p>
        </w:tc>
      </w:tr>
      <w:tr w:rsidR="00F64523" w:rsidRPr="00092E33" w14:paraId="19AE3F78" w14:textId="77777777" w:rsidTr="004024A0">
        <w:trPr>
          <w:trHeight w:val="315"/>
          <w:jc w:val="center"/>
        </w:trPr>
        <w:tc>
          <w:tcPr>
            <w:tcW w:w="4547" w:type="dxa"/>
            <w:tcBorders>
              <w:top w:val="nil"/>
              <w:left w:val="nil"/>
              <w:bottom w:val="nil"/>
              <w:right w:val="nil"/>
            </w:tcBorders>
            <w:shd w:val="clear" w:color="000000" w:fill="FFFFFF"/>
            <w:vAlign w:val="center"/>
            <w:hideMark/>
          </w:tcPr>
          <w:p w14:paraId="18D6DB7E"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Resultado neto de las actividades que continúan </w:t>
            </w:r>
          </w:p>
        </w:tc>
        <w:tc>
          <w:tcPr>
            <w:tcW w:w="1805" w:type="dxa"/>
            <w:tcBorders>
              <w:top w:val="single" w:sz="4" w:space="0" w:color="auto"/>
              <w:left w:val="nil"/>
              <w:bottom w:val="double" w:sz="6" w:space="0" w:color="auto"/>
              <w:right w:val="nil"/>
            </w:tcBorders>
            <w:shd w:val="clear" w:color="000000" w:fill="FFFFFF"/>
            <w:noWrap/>
            <w:vAlign w:val="center"/>
            <w:hideMark/>
          </w:tcPr>
          <w:p w14:paraId="05AF2F9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335.088 </w:t>
            </w:r>
          </w:p>
        </w:tc>
        <w:tc>
          <w:tcPr>
            <w:tcW w:w="1781" w:type="dxa"/>
            <w:tcBorders>
              <w:top w:val="single" w:sz="4" w:space="0" w:color="auto"/>
              <w:left w:val="nil"/>
              <w:bottom w:val="double" w:sz="6" w:space="0" w:color="auto"/>
              <w:right w:val="nil"/>
            </w:tcBorders>
            <w:shd w:val="clear" w:color="000000" w:fill="FFFFFF"/>
            <w:noWrap/>
            <w:vAlign w:val="center"/>
            <w:hideMark/>
          </w:tcPr>
          <w:p w14:paraId="2CC08965"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(204.478) </w:t>
            </w:r>
          </w:p>
        </w:tc>
        <w:tc>
          <w:tcPr>
            <w:tcW w:w="1487" w:type="dxa"/>
            <w:tcBorders>
              <w:top w:val="single" w:sz="4" w:space="0" w:color="auto"/>
              <w:left w:val="nil"/>
              <w:bottom w:val="double" w:sz="6" w:space="0" w:color="auto"/>
              <w:right w:val="nil"/>
            </w:tcBorders>
            <w:shd w:val="clear" w:color="000000" w:fill="FFFFFF"/>
            <w:noWrap/>
            <w:vAlign w:val="center"/>
            <w:hideMark/>
          </w:tcPr>
          <w:p w14:paraId="7163B89C"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(97.528) </w:t>
            </w:r>
          </w:p>
        </w:tc>
      </w:tr>
      <w:tr w:rsidR="00F64523" w:rsidRPr="00092E33" w14:paraId="0772F385" w14:textId="77777777" w:rsidTr="004024A0">
        <w:trPr>
          <w:trHeight w:val="315"/>
          <w:jc w:val="center"/>
        </w:trPr>
        <w:tc>
          <w:tcPr>
            <w:tcW w:w="4547" w:type="dxa"/>
            <w:tcBorders>
              <w:top w:val="nil"/>
              <w:left w:val="nil"/>
              <w:bottom w:val="nil"/>
              <w:right w:val="nil"/>
            </w:tcBorders>
            <w:shd w:val="clear" w:color="000000" w:fill="FFFFFF"/>
            <w:vAlign w:val="center"/>
            <w:hideMark/>
          </w:tcPr>
          <w:p w14:paraId="4CC5AFB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805" w:type="dxa"/>
            <w:tcBorders>
              <w:top w:val="nil"/>
              <w:left w:val="nil"/>
              <w:bottom w:val="nil"/>
              <w:right w:val="nil"/>
            </w:tcBorders>
            <w:shd w:val="clear" w:color="000000" w:fill="FFFFFF"/>
            <w:noWrap/>
            <w:vAlign w:val="center"/>
            <w:hideMark/>
          </w:tcPr>
          <w:p w14:paraId="56F3DAF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81" w:type="dxa"/>
            <w:tcBorders>
              <w:top w:val="nil"/>
              <w:left w:val="nil"/>
              <w:bottom w:val="nil"/>
              <w:right w:val="nil"/>
            </w:tcBorders>
            <w:shd w:val="clear" w:color="000000" w:fill="FFFFFF"/>
            <w:noWrap/>
            <w:vAlign w:val="center"/>
            <w:hideMark/>
          </w:tcPr>
          <w:p w14:paraId="642553B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87" w:type="dxa"/>
            <w:tcBorders>
              <w:top w:val="nil"/>
              <w:left w:val="nil"/>
              <w:bottom w:val="nil"/>
              <w:right w:val="nil"/>
            </w:tcBorders>
            <w:shd w:val="clear" w:color="000000" w:fill="FFFFFF"/>
            <w:noWrap/>
            <w:vAlign w:val="center"/>
            <w:hideMark/>
          </w:tcPr>
          <w:p w14:paraId="0709364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4797A3BA" w14:textId="77777777" w:rsidTr="004024A0">
        <w:trPr>
          <w:trHeight w:val="300"/>
          <w:jc w:val="center"/>
        </w:trPr>
        <w:tc>
          <w:tcPr>
            <w:tcW w:w="4547" w:type="dxa"/>
            <w:tcBorders>
              <w:top w:val="nil"/>
              <w:left w:val="nil"/>
              <w:bottom w:val="nil"/>
              <w:right w:val="nil"/>
            </w:tcBorders>
            <w:shd w:val="clear" w:color="000000" w:fill="FFFFFF"/>
            <w:vAlign w:val="center"/>
            <w:hideMark/>
          </w:tcPr>
          <w:p w14:paraId="5FF4E69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Resultado de operaciones discontinuadas</w:t>
            </w:r>
          </w:p>
        </w:tc>
        <w:tc>
          <w:tcPr>
            <w:tcW w:w="1805" w:type="dxa"/>
            <w:tcBorders>
              <w:top w:val="single" w:sz="4" w:space="0" w:color="auto"/>
              <w:left w:val="nil"/>
              <w:bottom w:val="nil"/>
              <w:right w:val="nil"/>
            </w:tcBorders>
            <w:shd w:val="clear" w:color="000000" w:fill="FFFFFF"/>
            <w:noWrap/>
            <w:vAlign w:val="center"/>
            <w:hideMark/>
          </w:tcPr>
          <w:p w14:paraId="5140292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(128.529) </w:t>
            </w:r>
          </w:p>
        </w:tc>
        <w:tc>
          <w:tcPr>
            <w:tcW w:w="1781" w:type="dxa"/>
            <w:tcBorders>
              <w:top w:val="single" w:sz="4" w:space="0" w:color="auto"/>
              <w:left w:val="nil"/>
              <w:bottom w:val="nil"/>
              <w:right w:val="nil"/>
            </w:tcBorders>
            <w:shd w:val="clear" w:color="000000" w:fill="FFFFFF"/>
            <w:noWrap/>
            <w:vAlign w:val="center"/>
            <w:hideMark/>
          </w:tcPr>
          <w:p w14:paraId="2578346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(51.599) </w:t>
            </w:r>
          </w:p>
        </w:tc>
        <w:tc>
          <w:tcPr>
            <w:tcW w:w="1487" w:type="dxa"/>
            <w:tcBorders>
              <w:top w:val="single" w:sz="4" w:space="0" w:color="auto"/>
              <w:left w:val="nil"/>
              <w:bottom w:val="nil"/>
              <w:right w:val="nil"/>
            </w:tcBorders>
            <w:shd w:val="clear" w:color="000000" w:fill="FFFFFF"/>
            <w:noWrap/>
            <w:vAlign w:val="center"/>
            <w:hideMark/>
          </w:tcPr>
          <w:p w14:paraId="0F8049B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   </w:t>
            </w:r>
          </w:p>
        </w:tc>
      </w:tr>
      <w:tr w:rsidR="00F64523" w:rsidRPr="00092E33" w14:paraId="2EFF5E03" w14:textId="77777777" w:rsidTr="004024A0">
        <w:trPr>
          <w:trHeight w:val="300"/>
          <w:jc w:val="center"/>
        </w:trPr>
        <w:tc>
          <w:tcPr>
            <w:tcW w:w="4547" w:type="dxa"/>
            <w:tcBorders>
              <w:top w:val="nil"/>
              <w:left w:val="nil"/>
              <w:bottom w:val="nil"/>
              <w:right w:val="nil"/>
            </w:tcBorders>
            <w:shd w:val="clear" w:color="000000" w:fill="FFFFFF"/>
            <w:vAlign w:val="center"/>
            <w:hideMark/>
          </w:tcPr>
          <w:p w14:paraId="1F70F8A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Impuesto a las ganancias de actividades discontinuadas</w:t>
            </w:r>
          </w:p>
        </w:tc>
        <w:tc>
          <w:tcPr>
            <w:tcW w:w="1805" w:type="dxa"/>
            <w:tcBorders>
              <w:top w:val="single" w:sz="4" w:space="0" w:color="auto"/>
              <w:left w:val="nil"/>
              <w:bottom w:val="nil"/>
              <w:right w:val="nil"/>
            </w:tcBorders>
            <w:shd w:val="clear" w:color="000000" w:fill="FFFFFF"/>
            <w:noWrap/>
            <w:vAlign w:val="center"/>
            <w:hideMark/>
          </w:tcPr>
          <w:p w14:paraId="4BFFEF9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38.559 </w:t>
            </w:r>
          </w:p>
        </w:tc>
        <w:tc>
          <w:tcPr>
            <w:tcW w:w="1781" w:type="dxa"/>
            <w:tcBorders>
              <w:top w:val="single" w:sz="4" w:space="0" w:color="auto"/>
              <w:left w:val="nil"/>
              <w:bottom w:val="nil"/>
              <w:right w:val="nil"/>
            </w:tcBorders>
            <w:shd w:val="clear" w:color="000000" w:fill="FFFFFF"/>
            <w:noWrap/>
            <w:vAlign w:val="center"/>
            <w:hideMark/>
          </w:tcPr>
          <w:p w14:paraId="3497544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15.480 </w:t>
            </w:r>
          </w:p>
        </w:tc>
        <w:tc>
          <w:tcPr>
            <w:tcW w:w="1487" w:type="dxa"/>
            <w:tcBorders>
              <w:top w:val="single" w:sz="4" w:space="0" w:color="auto"/>
              <w:left w:val="nil"/>
              <w:bottom w:val="nil"/>
              <w:right w:val="nil"/>
            </w:tcBorders>
            <w:shd w:val="clear" w:color="000000" w:fill="FFFFFF"/>
            <w:noWrap/>
            <w:vAlign w:val="center"/>
            <w:hideMark/>
          </w:tcPr>
          <w:p w14:paraId="2C896BF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   </w:t>
            </w:r>
          </w:p>
        </w:tc>
      </w:tr>
      <w:tr w:rsidR="00F64523" w:rsidRPr="00092E33" w14:paraId="03BCABFC" w14:textId="77777777" w:rsidTr="004024A0">
        <w:trPr>
          <w:trHeight w:val="315"/>
          <w:jc w:val="center"/>
        </w:trPr>
        <w:tc>
          <w:tcPr>
            <w:tcW w:w="4547" w:type="dxa"/>
            <w:tcBorders>
              <w:top w:val="nil"/>
              <w:left w:val="nil"/>
              <w:bottom w:val="nil"/>
              <w:right w:val="nil"/>
            </w:tcBorders>
            <w:shd w:val="clear" w:color="000000" w:fill="FFFFFF"/>
            <w:vAlign w:val="center"/>
            <w:hideMark/>
          </w:tcPr>
          <w:p w14:paraId="15C661EC"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Resultado neto del período – (Pérdida) / Ganancias</w:t>
            </w:r>
          </w:p>
        </w:tc>
        <w:tc>
          <w:tcPr>
            <w:tcW w:w="1805" w:type="dxa"/>
            <w:tcBorders>
              <w:top w:val="single" w:sz="4" w:space="0" w:color="auto"/>
              <w:left w:val="nil"/>
              <w:bottom w:val="double" w:sz="6" w:space="0" w:color="auto"/>
              <w:right w:val="nil"/>
            </w:tcBorders>
            <w:shd w:val="clear" w:color="000000" w:fill="FFFFFF"/>
            <w:noWrap/>
            <w:vAlign w:val="center"/>
            <w:hideMark/>
          </w:tcPr>
          <w:p w14:paraId="76A7637D"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245.118 </w:t>
            </w:r>
          </w:p>
        </w:tc>
        <w:tc>
          <w:tcPr>
            <w:tcW w:w="1781" w:type="dxa"/>
            <w:tcBorders>
              <w:top w:val="single" w:sz="4" w:space="0" w:color="auto"/>
              <w:left w:val="nil"/>
              <w:bottom w:val="double" w:sz="6" w:space="0" w:color="auto"/>
              <w:right w:val="nil"/>
            </w:tcBorders>
            <w:shd w:val="clear" w:color="000000" w:fill="FFFFFF"/>
            <w:noWrap/>
            <w:vAlign w:val="center"/>
            <w:hideMark/>
          </w:tcPr>
          <w:p w14:paraId="0EA09A90"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(240.597) </w:t>
            </w:r>
          </w:p>
        </w:tc>
        <w:tc>
          <w:tcPr>
            <w:tcW w:w="1487" w:type="dxa"/>
            <w:tcBorders>
              <w:top w:val="single" w:sz="4" w:space="0" w:color="auto"/>
              <w:left w:val="nil"/>
              <w:bottom w:val="double" w:sz="6" w:space="0" w:color="auto"/>
              <w:right w:val="nil"/>
            </w:tcBorders>
            <w:shd w:val="clear" w:color="000000" w:fill="FFFFFF"/>
            <w:noWrap/>
            <w:vAlign w:val="center"/>
            <w:hideMark/>
          </w:tcPr>
          <w:p w14:paraId="42564C5F"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(97.528) </w:t>
            </w:r>
          </w:p>
        </w:tc>
      </w:tr>
      <w:tr w:rsidR="00F64523" w:rsidRPr="00092E33" w14:paraId="6F3EF36D" w14:textId="77777777" w:rsidTr="004024A0">
        <w:trPr>
          <w:trHeight w:val="615"/>
          <w:jc w:val="center"/>
        </w:trPr>
        <w:tc>
          <w:tcPr>
            <w:tcW w:w="4547" w:type="dxa"/>
            <w:tcBorders>
              <w:top w:val="nil"/>
              <w:left w:val="nil"/>
              <w:bottom w:val="nil"/>
              <w:right w:val="nil"/>
            </w:tcBorders>
            <w:shd w:val="clear" w:color="000000" w:fill="FFFFFF"/>
            <w:vAlign w:val="center"/>
            <w:hideMark/>
          </w:tcPr>
          <w:p w14:paraId="781EA35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Diferencia de cambio por conversión de Estados Financieros</w:t>
            </w:r>
          </w:p>
        </w:tc>
        <w:tc>
          <w:tcPr>
            <w:tcW w:w="1805" w:type="dxa"/>
            <w:tcBorders>
              <w:top w:val="nil"/>
              <w:left w:val="nil"/>
              <w:bottom w:val="single" w:sz="4" w:space="0" w:color="auto"/>
              <w:right w:val="nil"/>
            </w:tcBorders>
            <w:shd w:val="clear" w:color="000000" w:fill="FFFFFF"/>
            <w:noWrap/>
            <w:vAlign w:val="center"/>
            <w:hideMark/>
          </w:tcPr>
          <w:p w14:paraId="4A6DDED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   </w:t>
            </w:r>
          </w:p>
        </w:tc>
        <w:tc>
          <w:tcPr>
            <w:tcW w:w="1781" w:type="dxa"/>
            <w:tcBorders>
              <w:top w:val="nil"/>
              <w:left w:val="nil"/>
              <w:bottom w:val="single" w:sz="4" w:space="0" w:color="auto"/>
              <w:right w:val="nil"/>
            </w:tcBorders>
            <w:shd w:val="clear" w:color="000000" w:fill="FFFFFF"/>
            <w:noWrap/>
            <w:vAlign w:val="center"/>
            <w:hideMark/>
          </w:tcPr>
          <w:p w14:paraId="740A661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   </w:t>
            </w:r>
          </w:p>
        </w:tc>
        <w:tc>
          <w:tcPr>
            <w:tcW w:w="1487" w:type="dxa"/>
            <w:tcBorders>
              <w:top w:val="nil"/>
              <w:left w:val="nil"/>
              <w:bottom w:val="single" w:sz="4" w:space="0" w:color="auto"/>
              <w:right w:val="nil"/>
            </w:tcBorders>
            <w:shd w:val="clear" w:color="000000" w:fill="FFFFFF"/>
            <w:noWrap/>
            <w:vAlign w:val="center"/>
            <w:hideMark/>
          </w:tcPr>
          <w:p w14:paraId="4DFC9DC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90 </w:t>
            </w:r>
          </w:p>
        </w:tc>
      </w:tr>
      <w:tr w:rsidR="00F64523" w:rsidRPr="00092E33" w14:paraId="51223830" w14:textId="77777777" w:rsidTr="004024A0">
        <w:trPr>
          <w:trHeight w:val="315"/>
          <w:jc w:val="center"/>
        </w:trPr>
        <w:tc>
          <w:tcPr>
            <w:tcW w:w="4547" w:type="dxa"/>
            <w:tcBorders>
              <w:top w:val="nil"/>
              <w:left w:val="nil"/>
              <w:bottom w:val="nil"/>
              <w:right w:val="nil"/>
            </w:tcBorders>
            <w:shd w:val="clear" w:color="000000" w:fill="FFFFFF"/>
            <w:vAlign w:val="center"/>
            <w:hideMark/>
          </w:tcPr>
          <w:p w14:paraId="5D0D85A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Diferencia de cambio del periodo</w:t>
            </w:r>
          </w:p>
        </w:tc>
        <w:tc>
          <w:tcPr>
            <w:tcW w:w="1805" w:type="dxa"/>
            <w:tcBorders>
              <w:top w:val="nil"/>
              <w:left w:val="nil"/>
              <w:bottom w:val="double" w:sz="6" w:space="0" w:color="auto"/>
              <w:right w:val="nil"/>
            </w:tcBorders>
            <w:shd w:val="clear" w:color="000000" w:fill="FFFFFF"/>
            <w:noWrap/>
            <w:vAlign w:val="bottom"/>
            <w:hideMark/>
          </w:tcPr>
          <w:p w14:paraId="6ACCFE4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   </w:t>
            </w:r>
          </w:p>
        </w:tc>
        <w:tc>
          <w:tcPr>
            <w:tcW w:w="1781" w:type="dxa"/>
            <w:tcBorders>
              <w:top w:val="nil"/>
              <w:left w:val="nil"/>
              <w:bottom w:val="double" w:sz="6" w:space="0" w:color="auto"/>
              <w:right w:val="nil"/>
            </w:tcBorders>
            <w:shd w:val="clear" w:color="000000" w:fill="FFFFFF"/>
            <w:noWrap/>
            <w:vAlign w:val="bottom"/>
            <w:hideMark/>
          </w:tcPr>
          <w:p w14:paraId="5542F25B"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   </w:t>
            </w:r>
          </w:p>
        </w:tc>
        <w:tc>
          <w:tcPr>
            <w:tcW w:w="1487" w:type="dxa"/>
            <w:tcBorders>
              <w:top w:val="nil"/>
              <w:left w:val="nil"/>
              <w:bottom w:val="double" w:sz="6" w:space="0" w:color="auto"/>
              <w:right w:val="nil"/>
            </w:tcBorders>
            <w:shd w:val="clear" w:color="000000" w:fill="FFFFFF"/>
            <w:noWrap/>
            <w:vAlign w:val="bottom"/>
            <w:hideMark/>
          </w:tcPr>
          <w:p w14:paraId="045878E2"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90 </w:t>
            </w:r>
          </w:p>
        </w:tc>
      </w:tr>
      <w:tr w:rsidR="00F64523" w:rsidRPr="00092E33" w14:paraId="0D0219C8" w14:textId="77777777" w:rsidTr="004024A0">
        <w:trPr>
          <w:trHeight w:val="600"/>
          <w:jc w:val="center"/>
        </w:trPr>
        <w:tc>
          <w:tcPr>
            <w:tcW w:w="4547" w:type="dxa"/>
            <w:tcBorders>
              <w:top w:val="nil"/>
              <w:left w:val="nil"/>
              <w:bottom w:val="nil"/>
              <w:right w:val="nil"/>
            </w:tcBorders>
            <w:shd w:val="clear" w:color="000000" w:fill="FFFFFF"/>
            <w:vAlign w:val="center"/>
            <w:hideMark/>
          </w:tcPr>
          <w:p w14:paraId="28D26B38"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Ganancias por </w:t>
            </w:r>
            <w:proofErr w:type="spellStart"/>
            <w:r w:rsidRPr="00092E33">
              <w:rPr>
                <w:rFonts w:ascii="Times New Roman" w:hAnsi="Times New Roman" w:cs="Times New Roman"/>
                <w:b/>
                <w:bCs/>
                <w:color w:val="000000"/>
                <w:lang w:eastAsia="es-AR"/>
              </w:rPr>
              <w:t>Intrumentos</w:t>
            </w:r>
            <w:proofErr w:type="spellEnd"/>
            <w:r w:rsidRPr="00092E33">
              <w:rPr>
                <w:rFonts w:ascii="Times New Roman" w:hAnsi="Times New Roman" w:cs="Times New Roman"/>
                <w:b/>
                <w:bCs/>
                <w:color w:val="000000"/>
                <w:lang w:eastAsia="es-AR"/>
              </w:rPr>
              <w:t xml:space="preserve"> Financieros a valor razonable con cambios ORI</w:t>
            </w:r>
          </w:p>
        </w:tc>
        <w:tc>
          <w:tcPr>
            <w:tcW w:w="1805" w:type="dxa"/>
            <w:tcBorders>
              <w:top w:val="single" w:sz="4" w:space="0" w:color="auto"/>
              <w:left w:val="nil"/>
              <w:bottom w:val="double" w:sz="6" w:space="0" w:color="auto"/>
              <w:right w:val="nil"/>
            </w:tcBorders>
            <w:shd w:val="clear" w:color="000000" w:fill="FFFFFF"/>
            <w:noWrap/>
            <w:vAlign w:val="bottom"/>
            <w:hideMark/>
          </w:tcPr>
          <w:p w14:paraId="2B681EC2"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(31.856) </w:t>
            </w:r>
          </w:p>
        </w:tc>
        <w:tc>
          <w:tcPr>
            <w:tcW w:w="1781" w:type="dxa"/>
            <w:tcBorders>
              <w:top w:val="single" w:sz="4" w:space="0" w:color="auto"/>
              <w:left w:val="nil"/>
              <w:bottom w:val="double" w:sz="6" w:space="0" w:color="auto"/>
              <w:right w:val="nil"/>
            </w:tcBorders>
            <w:shd w:val="clear" w:color="000000" w:fill="FFFFFF"/>
            <w:noWrap/>
            <w:vAlign w:val="bottom"/>
            <w:hideMark/>
          </w:tcPr>
          <w:p w14:paraId="5470C30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(24.058) </w:t>
            </w:r>
          </w:p>
        </w:tc>
        <w:tc>
          <w:tcPr>
            <w:tcW w:w="1487" w:type="dxa"/>
            <w:tcBorders>
              <w:top w:val="single" w:sz="4" w:space="0" w:color="auto"/>
              <w:left w:val="nil"/>
              <w:bottom w:val="double" w:sz="6" w:space="0" w:color="auto"/>
              <w:right w:val="nil"/>
            </w:tcBorders>
            <w:shd w:val="clear" w:color="000000" w:fill="FFFFFF"/>
            <w:noWrap/>
            <w:vAlign w:val="bottom"/>
            <w:hideMark/>
          </w:tcPr>
          <w:p w14:paraId="04F6D97C"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55.914 </w:t>
            </w:r>
          </w:p>
        </w:tc>
      </w:tr>
      <w:tr w:rsidR="00F64523" w:rsidRPr="00092E33" w14:paraId="691AA0BC" w14:textId="77777777" w:rsidTr="004024A0">
        <w:trPr>
          <w:trHeight w:val="600"/>
          <w:jc w:val="center"/>
        </w:trPr>
        <w:tc>
          <w:tcPr>
            <w:tcW w:w="4547" w:type="dxa"/>
            <w:tcBorders>
              <w:top w:val="nil"/>
              <w:left w:val="nil"/>
              <w:bottom w:val="nil"/>
              <w:right w:val="nil"/>
            </w:tcBorders>
            <w:shd w:val="clear" w:color="000000" w:fill="FFFFFF"/>
            <w:vAlign w:val="center"/>
            <w:hideMark/>
          </w:tcPr>
          <w:p w14:paraId="24A3B5D2" w14:textId="77777777" w:rsidR="00F64523" w:rsidRPr="00092E33" w:rsidRDefault="00F64523" w:rsidP="00F64523">
            <w:pPr>
              <w:spacing w:after="0"/>
              <w:jc w:val="both"/>
              <w:rPr>
                <w:rFonts w:ascii="Times New Roman" w:hAnsi="Times New Roman" w:cs="Times New Roman"/>
                <w:b/>
                <w:bCs/>
                <w:color w:val="000000"/>
                <w:lang w:eastAsia="es-AR"/>
              </w:rPr>
            </w:pPr>
            <w:proofErr w:type="gramStart"/>
            <w:r w:rsidRPr="00092E33">
              <w:rPr>
                <w:rFonts w:ascii="Times New Roman" w:hAnsi="Times New Roman" w:cs="Times New Roman"/>
                <w:b/>
                <w:bCs/>
                <w:color w:val="000000"/>
                <w:lang w:eastAsia="es-AR"/>
              </w:rPr>
              <w:t>Total</w:t>
            </w:r>
            <w:proofErr w:type="gramEnd"/>
            <w:r w:rsidRPr="00092E33">
              <w:rPr>
                <w:rFonts w:ascii="Times New Roman" w:hAnsi="Times New Roman" w:cs="Times New Roman"/>
                <w:b/>
                <w:bCs/>
                <w:color w:val="000000"/>
                <w:lang w:eastAsia="es-AR"/>
              </w:rPr>
              <w:t xml:space="preserve"> otros resultados integrales que se reclasificará al resultado del período</w:t>
            </w:r>
          </w:p>
        </w:tc>
        <w:tc>
          <w:tcPr>
            <w:tcW w:w="1805" w:type="dxa"/>
            <w:tcBorders>
              <w:top w:val="single" w:sz="4" w:space="0" w:color="auto"/>
              <w:left w:val="nil"/>
              <w:bottom w:val="double" w:sz="6" w:space="0" w:color="auto"/>
              <w:right w:val="nil"/>
            </w:tcBorders>
            <w:shd w:val="clear" w:color="000000" w:fill="FFFFFF"/>
            <w:noWrap/>
            <w:vAlign w:val="center"/>
            <w:hideMark/>
          </w:tcPr>
          <w:p w14:paraId="3782FA8D"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(31.856) </w:t>
            </w:r>
          </w:p>
        </w:tc>
        <w:tc>
          <w:tcPr>
            <w:tcW w:w="1781" w:type="dxa"/>
            <w:tcBorders>
              <w:top w:val="single" w:sz="4" w:space="0" w:color="auto"/>
              <w:left w:val="nil"/>
              <w:bottom w:val="double" w:sz="6" w:space="0" w:color="auto"/>
              <w:right w:val="nil"/>
            </w:tcBorders>
            <w:shd w:val="clear" w:color="000000" w:fill="FFFFFF"/>
            <w:noWrap/>
            <w:vAlign w:val="center"/>
            <w:hideMark/>
          </w:tcPr>
          <w:p w14:paraId="36D2D514"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(24.058) </w:t>
            </w:r>
          </w:p>
        </w:tc>
        <w:tc>
          <w:tcPr>
            <w:tcW w:w="1487" w:type="dxa"/>
            <w:tcBorders>
              <w:top w:val="single" w:sz="4" w:space="0" w:color="auto"/>
              <w:left w:val="nil"/>
              <w:bottom w:val="double" w:sz="6" w:space="0" w:color="auto"/>
              <w:right w:val="nil"/>
            </w:tcBorders>
            <w:shd w:val="clear" w:color="000000" w:fill="FFFFFF"/>
            <w:noWrap/>
            <w:vAlign w:val="center"/>
            <w:hideMark/>
          </w:tcPr>
          <w:p w14:paraId="514542A5"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56.004 </w:t>
            </w:r>
          </w:p>
        </w:tc>
      </w:tr>
      <w:tr w:rsidR="00F64523" w:rsidRPr="00092E33" w14:paraId="5E10367D" w14:textId="77777777" w:rsidTr="004024A0">
        <w:trPr>
          <w:trHeight w:val="315"/>
          <w:jc w:val="center"/>
        </w:trPr>
        <w:tc>
          <w:tcPr>
            <w:tcW w:w="4547" w:type="dxa"/>
            <w:tcBorders>
              <w:top w:val="nil"/>
              <w:left w:val="nil"/>
              <w:bottom w:val="nil"/>
              <w:right w:val="nil"/>
            </w:tcBorders>
            <w:shd w:val="clear" w:color="000000" w:fill="FFFFFF"/>
            <w:vAlign w:val="center"/>
            <w:hideMark/>
          </w:tcPr>
          <w:p w14:paraId="3D95429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805" w:type="dxa"/>
            <w:tcBorders>
              <w:top w:val="nil"/>
              <w:left w:val="nil"/>
              <w:bottom w:val="nil"/>
              <w:right w:val="nil"/>
            </w:tcBorders>
            <w:shd w:val="clear" w:color="000000" w:fill="FFFFFF"/>
            <w:noWrap/>
            <w:vAlign w:val="center"/>
            <w:hideMark/>
          </w:tcPr>
          <w:p w14:paraId="22292D3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81" w:type="dxa"/>
            <w:tcBorders>
              <w:top w:val="nil"/>
              <w:left w:val="nil"/>
              <w:bottom w:val="nil"/>
              <w:right w:val="nil"/>
            </w:tcBorders>
            <w:shd w:val="clear" w:color="000000" w:fill="FFFFFF"/>
            <w:noWrap/>
            <w:vAlign w:val="center"/>
            <w:hideMark/>
          </w:tcPr>
          <w:p w14:paraId="20B983C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87" w:type="dxa"/>
            <w:tcBorders>
              <w:top w:val="nil"/>
              <w:left w:val="nil"/>
              <w:bottom w:val="nil"/>
              <w:right w:val="nil"/>
            </w:tcBorders>
            <w:shd w:val="clear" w:color="000000" w:fill="FFFFFF"/>
            <w:noWrap/>
            <w:vAlign w:val="center"/>
            <w:hideMark/>
          </w:tcPr>
          <w:p w14:paraId="08025F5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19B406D" w14:textId="77777777" w:rsidTr="004024A0">
        <w:trPr>
          <w:trHeight w:val="345"/>
          <w:jc w:val="center"/>
        </w:trPr>
        <w:tc>
          <w:tcPr>
            <w:tcW w:w="4547" w:type="dxa"/>
            <w:tcBorders>
              <w:top w:val="nil"/>
              <w:left w:val="nil"/>
              <w:bottom w:val="nil"/>
              <w:right w:val="nil"/>
            </w:tcBorders>
            <w:shd w:val="clear" w:color="000000" w:fill="FFFFFF"/>
            <w:vAlign w:val="center"/>
            <w:hideMark/>
          </w:tcPr>
          <w:p w14:paraId="2F0747DB" w14:textId="77777777" w:rsidR="00F64523" w:rsidRPr="00092E33" w:rsidRDefault="00F64523" w:rsidP="00F64523">
            <w:pPr>
              <w:spacing w:after="0"/>
              <w:jc w:val="both"/>
              <w:rPr>
                <w:rFonts w:ascii="Times New Roman" w:hAnsi="Times New Roman" w:cs="Times New Roman"/>
                <w:b/>
                <w:bCs/>
                <w:color w:val="000000"/>
                <w:lang w:eastAsia="es-AR"/>
              </w:rPr>
            </w:pPr>
            <w:proofErr w:type="gramStart"/>
            <w:r w:rsidRPr="00092E33">
              <w:rPr>
                <w:rFonts w:ascii="Times New Roman" w:hAnsi="Times New Roman" w:cs="Times New Roman"/>
                <w:b/>
                <w:bCs/>
                <w:color w:val="000000"/>
                <w:lang w:eastAsia="es-AR"/>
              </w:rPr>
              <w:t>Total</w:t>
            </w:r>
            <w:proofErr w:type="gramEnd"/>
            <w:r w:rsidRPr="00092E33">
              <w:rPr>
                <w:rFonts w:ascii="Times New Roman" w:hAnsi="Times New Roman" w:cs="Times New Roman"/>
                <w:b/>
                <w:bCs/>
                <w:color w:val="000000"/>
                <w:lang w:eastAsia="es-AR"/>
              </w:rPr>
              <w:t xml:space="preserve"> otro resultado integral del período</w:t>
            </w:r>
          </w:p>
        </w:tc>
        <w:tc>
          <w:tcPr>
            <w:tcW w:w="1805" w:type="dxa"/>
            <w:tcBorders>
              <w:top w:val="single" w:sz="4" w:space="0" w:color="auto"/>
              <w:left w:val="nil"/>
              <w:bottom w:val="double" w:sz="6" w:space="0" w:color="auto"/>
              <w:right w:val="nil"/>
            </w:tcBorders>
            <w:shd w:val="clear" w:color="000000" w:fill="FFFFFF"/>
            <w:noWrap/>
            <w:vAlign w:val="center"/>
            <w:hideMark/>
          </w:tcPr>
          <w:p w14:paraId="455C6C5B"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213.262 </w:t>
            </w:r>
          </w:p>
        </w:tc>
        <w:tc>
          <w:tcPr>
            <w:tcW w:w="1781" w:type="dxa"/>
            <w:tcBorders>
              <w:top w:val="single" w:sz="4" w:space="0" w:color="auto"/>
              <w:left w:val="nil"/>
              <w:bottom w:val="double" w:sz="6" w:space="0" w:color="auto"/>
              <w:right w:val="nil"/>
            </w:tcBorders>
            <w:shd w:val="clear" w:color="000000" w:fill="FFFFFF"/>
            <w:noWrap/>
            <w:vAlign w:val="center"/>
            <w:hideMark/>
          </w:tcPr>
          <w:p w14:paraId="05B5CA0F"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(264.655) </w:t>
            </w:r>
          </w:p>
        </w:tc>
        <w:tc>
          <w:tcPr>
            <w:tcW w:w="1487" w:type="dxa"/>
            <w:tcBorders>
              <w:top w:val="single" w:sz="4" w:space="0" w:color="auto"/>
              <w:left w:val="nil"/>
              <w:bottom w:val="double" w:sz="6" w:space="0" w:color="auto"/>
              <w:right w:val="nil"/>
            </w:tcBorders>
            <w:shd w:val="clear" w:color="000000" w:fill="FFFFFF"/>
            <w:noWrap/>
            <w:vAlign w:val="center"/>
            <w:hideMark/>
          </w:tcPr>
          <w:p w14:paraId="2A15639D"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(41.524) </w:t>
            </w:r>
          </w:p>
        </w:tc>
      </w:tr>
      <w:tr w:rsidR="00F64523" w:rsidRPr="00092E33" w14:paraId="53EFE19C" w14:textId="77777777" w:rsidTr="004024A0">
        <w:trPr>
          <w:trHeight w:val="345"/>
          <w:jc w:val="center"/>
        </w:trPr>
        <w:tc>
          <w:tcPr>
            <w:tcW w:w="4547" w:type="dxa"/>
            <w:tcBorders>
              <w:top w:val="nil"/>
              <w:left w:val="nil"/>
              <w:bottom w:val="nil"/>
              <w:right w:val="nil"/>
            </w:tcBorders>
            <w:shd w:val="clear" w:color="000000" w:fill="FFFFFF"/>
            <w:vAlign w:val="center"/>
            <w:hideMark/>
          </w:tcPr>
          <w:p w14:paraId="0C03468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805" w:type="dxa"/>
            <w:tcBorders>
              <w:top w:val="nil"/>
              <w:left w:val="nil"/>
              <w:bottom w:val="nil"/>
              <w:right w:val="nil"/>
            </w:tcBorders>
            <w:shd w:val="clear" w:color="000000" w:fill="FFFFFF"/>
            <w:noWrap/>
            <w:vAlign w:val="center"/>
            <w:hideMark/>
          </w:tcPr>
          <w:p w14:paraId="74B573F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81" w:type="dxa"/>
            <w:tcBorders>
              <w:top w:val="nil"/>
              <w:left w:val="nil"/>
              <w:bottom w:val="nil"/>
              <w:right w:val="nil"/>
            </w:tcBorders>
            <w:shd w:val="clear" w:color="000000" w:fill="FFFFFF"/>
            <w:noWrap/>
            <w:vAlign w:val="center"/>
            <w:hideMark/>
          </w:tcPr>
          <w:p w14:paraId="702EE38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87" w:type="dxa"/>
            <w:tcBorders>
              <w:top w:val="nil"/>
              <w:left w:val="nil"/>
              <w:bottom w:val="nil"/>
              <w:right w:val="nil"/>
            </w:tcBorders>
            <w:shd w:val="clear" w:color="000000" w:fill="FFFFFF"/>
            <w:noWrap/>
            <w:vAlign w:val="center"/>
            <w:hideMark/>
          </w:tcPr>
          <w:p w14:paraId="51DADA2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2C7725DA" w14:textId="77777777" w:rsidTr="004024A0">
        <w:trPr>
          <w:trHeight w:val="600"/>
          <w:jc w:val="center"/>
        </w:trPr>
        <w:tc>
          <w:tcPr>
            <w:tcW w:w="4547" w:type="dxa"/>
            <w:tcBorders>
              <w:top w:val="nil"/>
              <w:left w:val="nil"/>
              <w:bottom w:val="nil"/>
              <w:right w:val="nil"/>
            </w:tcBorders>
            <w:shd w:val="clear" w:color="000000" w:fill="FFFFFF"/>
            <w:vAlign w:val="center"/>
            <w:hideMark/>
          </w:tcPr>
          <w:p w14:paraId="34AEF68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Resultado integral atribuible a los propietarios de la controladora</w:t>
            </w:r>
          </w:p>
        </w:tc>
        <w:tc>
          <w:tcPr>
            <w:tcW w:w="1805" w:type="dxa"/>
            <w:tcBorders>
              <w:top w:val="nil"/>
              <w:left w:val="nil"/>
              <w:bottom w:val="nil"/>
              <w:right w:val="nil"/>
            </w:tcBorders>
            <w:shd w:val="clear" w:color="000000" w:fill="FFFFFF"/>
            <w:noWrap/>
            <w:vAlign w:val="center"/>
            <w:hideMark/>
          </w:tcPr>
          <w:p w14:paraId="3734CFF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(31.719) </w:t>
            </w:r>
          </w:p>
        </w:tc>
        <w:tc>
          <w:tcPr>
            <w:tcW w:w="1781" w:type="dxa"/>
            <w:tcBorders>
              <w:top w:val="nil"/>
              <w:left w:val="nil"/>
              <w:bottom w:val="nil"/>
              <w:right w:val="nil"/>
            </w:tcBorders>
            <w:shd w:val="clear" w:color="000000" w:fill="FFFFFF"/>
            <w:noWrap/>
            <w:vAlign w:val="center"/>
            <w:hideMark/>
          </w:tcPr>
          <w:p w14:paraId="001A392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(23.930) </w:t>
            </w:r>
          </w:p>
        </w:tc>
        <w:tc>
          <w:tcPr>
            <w:tcW w:w="1487" w:type="dxa"/>
            <w:tcBorders>
              <w:top w:val="nil"/>
              <w:left w:val="nil"/>
              <w:bottom w:val="nil"/>
              <w:right w:val="nil"/>
            </w:tcBorders>
            <w:shd w:val="clear" w:color="000000" w:fill="FFFFFF"/>
            <w:noWrap/>
            <w:vAlign w:val="center"/>
            <w:hideMark/>
          </w:tcPr>
          <w:p w14:paraId="090F568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(41.330) </w:t>
            </w:r>
          </w:p>
        </w:tc>
      </w:tr>
      <w:tr w:rsidR="00F64523" w:rsidRPr="00092E33" w14:paraId="75DB2A3F" w14:textId="77777777" w:rsidTr="004024A0">
        <w:trPr>
          <w:trHeight w:val="600"/>
          <w:jc w:val="center"/>
        </w:trPr>
        <w:tc>
          <w:tcPr>
            <w:tcW w:w="4547" w:type="dxa"/>
            <w:tcBorders>
              <w:top w:val="nil"/>
              <w:left w:val="nil"/>
              <w:bottom w:val="nil"/>
              <w:right w:val="nil"/>
            </w:tcBorders>
            <w:shd w:val="clear" w:color="000000" w:fill="FFFFFF"/>
            <w:vAlign w:val="center"/>
            <w:hideMark/>
          </w:tcPr>
          <w:p w14:paraId="71F3F5D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Resultado integral atribuible a participaciones no controladoras</w:t>
            </w:r>
          </w:p>
        </w:tc>
        <w:tc>
          <w:tcPr>
            <w:tcW w:w="1805" w:type="dxa"/>
            <w:tcBorders>
              <w:top w:val="nil"/>
              <w:left w:val="nil"/>
              <w:bottom w:val="nil"/>
              <w:right w:val="nil"/>
            </w:tcBorders>
            <w:shd w:val="clear" w:color="000000" w:fill="FFFFFF"/>
            <w:noWrap/>
            <w:vAlign w:val="center"/>
            <w:hideMark/>
          </w:tcPr>
          <w:p w14:paraId="372C6D3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(137) </w:t>
            </w:r>
          </w:p>
        </w:tc>
        <w:tc>
          <w:tcPr>
            <w:tcW w:w="1781" w:type="dxa"/>
            <w:tcBorders>
              <w:top w:val="nil"/>
              <w:left w:val="nil"/>
              <w:bottom w:val="nil"/>
              <w:right w:val="nil"/>
            </w:tcBorders>
            <w:shd w:val="clear" w:color="000000" w:fill="FFFFFF"/>
            <w:noWrap/>
            <w:vAlign w:val="center"/>
            <w:hideMark/>
          </w:tcPr>
          <w:p w14:paraId="3E671A0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(128) </w:t>
            </w:r>
          </w:p>
        </w:tc>
        <w:tc>
          <w:tcPr>
            <w:tcW w:w="1487" w:type="dxa"/>
            <w:tcBorders>
              <w:top w:val="nil"/>
              <w:left w:val="nil"/>
              <w:bottom w:val="nil"/>
              <w:right w:val="nil"/>
            </w:tcBorders>
            <w:shd w:val="clear" w:color="000000" w:fill="FFFFFF"/>
            <w:noWrap/>
            <w:vAlign w:val="center"/>
            <w:hideMark/>
          </w:tcPr>
          <w:p w14:paraId="145E046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(194) </w:t>
            </w:r>
          </w:p>
        </w:tc>
      </w:tr>
    </w:tbl>
    <w:p w14:paraId="73F09C62" w14:textId="77777777" w:rsidR="00F64523" w:rsidRPr="00092E33" w:rsidRDefault="00F64523" w:rsidP="00F64523">
      <w:pPr>
        <w:spacing w:after="0" w:line="220" w:lineRule="exact"/>
        <w:jc w:val="both"/>
        <w:rPr>
          <w:rFonts w:ascii="Times New Roman" w:hAnsi="Times New Roman" w:cs="Times New Roman"/>
          <w:b/>
          <w:u w:val="single"/>
        </w:rPr>
      </w:pPr>
    </w:p>
    <w:p w14:paraId="70AC5236" w14:textId="77777777" w:rsidR="00F64523" w:rsidRPr="00092E33" w:rsidRDefault="00F64523" w:rsidP="00F64523">
      <w:pPr>
        <w:spacing w:after="0" w:line="220" w:lineRule="exact"/>
        <w:jc w:val="both"/>
        <w:rPr>
          <w:rFonts w:ascii="Times New Roman" w:hAnsi="Times New Roman" w:cs="Times New Roman"/>
          <w:b/>
          <w:u w:val="single"/>
        </w:rPr>
      </w:pPr>
    </w:p>
    <w:tbl>
      <w:tblPr>
        <w:tblW w:w="10299" w:type="dxa"/>
        <w:jc w:val="center"/>
        <w:tblCellMar>
          <w:left w:w="70" w:type="dxa"/>
          <w:right w:w="70" w:type="dxa"/>
        </w:tblCellMar>
        <w:tblLook w:val="04A0" w:firstRow="1" w:lastRow="0" w:firstColumn="1" w:lastColumn="0" w:noHBand="0" w:noVBand="1"/>
      </w:tblPr>
      <w:tblGrid>
        <w:gridCol w:w="4946"/>
        <w:gridCol w:w="868"/>
        <w:gridCol w:w="848"/>
        <w:gridCol w:w="682"/>
        <w:gridCol w:w="1034"/>
        <w:gridCol w:w="496"/>
        <w:gridCol w:w="918"/>
        <w:gridCol w:w="195"/>
        <w:gridCol w:w="117"/>
        <w:gridCol w:w="195"/>
      </w:tblGrid>
      <w:tr w:rsidR="00F64523" w:rsidRPr="00092E33" w14:paraId="6FA5749C" w14:textId="77777777" w:rsidTr="009E49BA">
        <w:trPr>
          <w:gridAfter w:val="2"/>
          <w:wAfter w:w="312" w:type="dxa"/>
          <w:trHeight w:val="330"/>
          <w:jc w:val="center"/>
        </w:trPr>
        <w:tc>
          <w:tcPr>
            <w:tcW w:w="9987" w:type="dxa"/>
            <w:gridSpan w:val="8"/>
            <w:tcBorders>
              <w:top w:val="nil"/>
              <w:left w:val="nil"/>
              <w:bottom w:val="nil"/>
              <w:right w:val="nil"/>
            </w:tcBorders>
            <w:shd w:val="clear" w:color="000000" w:fill="FFFFFF"/>
            <w:noWrap/>
            <w:vAlign w:val="center"/>
            <w:hideMark/>
          </w:tcPr>
          <w:p w14:paraId="327939A6" w14:textId="77777777" w:rsidR="00F64523" w:rsidRPr="00092E33" w:rsidRDefault="00F64523" w:rsidP="00F64523">
            <w:pPr>
              <w:spacing w:after="0"/>
              <w:jc w:val="both"/>
              <w:rPr>
                <w:rFonts w:ascii="Times New Roman" w:hAnsi="Times New Roman" w:cs="Times New Roman"/>
                <w:b/>
                <w:bCs/>
                <w:lang w:eastAsia="es-AR"/>
              </w:rPr>
            </w:pPr>
            <w:r w:rsidRPr="00092E33">
              <w:rPr>
                <w:rFonts w:ascii="Times New Roman" w:hAnsi="Times New Roman" w:cs="Times New Roman"/>
                <w:b/>
                <w:bCs/>
                <w:lang w:eastAsia="es-AR"/>
              </w:rPr>
              <w:t>ESTRUCTURA ESTADO DE FLUJO DE EFECTIVO CONSOLIDADO</w:t>
            </w:r>
          </w:p>
        </w:tc>
      </w:tr>
      <w:tr w:rsidR="00F64523" w:rsidRPr="00092E33" w14:paraId="39765405" w14:textId="77777777" w:rsidTr="009E49BA">
        <w:trPr>
          <w:gridAfter w:val="2"/>
          <w:wAfter w:w="312" w:type="dxa"/>
          <w:trHeight w:val="300"/>
          <w:jc w:val="center"/>
        </w:trPr>
        <w:tc>
          <w:tcPr>
            <w:tcW w:w="9987" w:type="dxa"/>
            <w:gridSpan w:val="8"/>
            <w:tcBorders>
              <w:top w:val="nil"/>
              <w:left w:val="nil"/>
              <w:bottom w:val="nil"/>
              <w:right w:val="nil"/>
            </w:tcBorders>
            <w:shd w:val="clear" w:color="000000" w:fill="FFFFFF"/>
            <w:noWrap/>
            <w:vAlign w:val="center"/>
            <w:hideMark/>
          </w:tcPr>
          <w:p w14:paraId="397786A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Cifras expresadas en miles de pesos</w:t>
            </w:r>
          </w:p>
        </w:tc>
      </w:tr>
      <w:tr w:rsidR="00F64523" w:rsidRPr="00092E33" w14:paraId="474C2A17" w14:textId="77777777" w:rsidTr="009E49BA">
        <w:trPr>
          <w:gridAfter w:val="2"/>
          <w:wAfter w:w="312" w:type="dxa"/>
          <w:trHeight w:val="300"/>
          <w:jc w:val="center"/>
        </w:trPr>
        <w:tc>
          <w:tcPr>
            <w:tcW w:w="4946" w:type="dxa"/>
            <w:tcBorders>
              <w:top w:val="nil"/>
              <w:left w:val="nil"/>
              <w:bottom w:val="nil"/>
              <w:right w:val="nil"/>
            </w:tcBorders>
            <w:shd w:val="clear" w:color="000000" w:fill="FFFFFF"/>
            <w:noWrap/>
            <w:vAlign w:val="center"/>
            <w:hideMark/>
          </w:tcPr>
          <w:p w14:paraId="0B820E0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6" w:type="dxa"/>
            <w:gridSpan w:val="2"/>
            <w:tcBorders>
              <w:top w:val="nil"/>
              <w:left w:val="nil"/>
              <w:bottom w:val="nil"/>
              <w:right w:val="nil"/>
            </w:tcBorders>
            <w:shd w:val="clear" w:color="000000" w:fill="FFFFFF"/>
            <w:noWrap/>
            <w:vAlign w:val="center"/>
            <w:hideMark/>
          </w:tcPr>
          <w:p w14:paraId="175FC2B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6" w:type="dxa"/>
            <w:gridSpan w:val="2"/>
            <w:tcBorders>
              <w:top w:val="nil"/>
              <w:left w:val="nil"/>
              <w:bottom w:val="nil"/>
              <w:right w:val="nil"/>
            </w:tcBorders>
            <w:shd w:val="clear" w:color="000000" w:fill="FFFFFF"/>
            <w:noWrap/>
            <w:vAlign w:val="center"/>
            <w:hideMark/>
          </w:tcPr>
          <w:p w14:paraId="4FBE6AA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14" w:type="dxa"/>
            <w:gridSpan w:val="2"/>
            <w:tcBorders>
              <w:top w:val="nil"/>
              <w:left w:val="nil"/>
              <w:bottom w:val="nil"/>
              <w:right w:val="nil"/>
            </w:tcBorders>
            <w:shd w:val="clear" w:color="000000" w:fill="FFFFFF"/>
            <w:noWrap/>
            <w:vAlign w:val="center"/>
            <w:hideMark/>
          </w:tcPr>
          <w:p w14:paraId="570D958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3F2D48B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6D8E7152" w14:textId="77777777" w:rsidTr="009E49BA">
        <w:trPr>
          <w:gridAfter w:val="2"/>
          <w:wAfter w:w="312" w:type="dxa"/>
          <w:trHeight w:val="300"/>
          <w:jc w:val="center"/>
        </w:trPr>
        <w:tc>
          <w:tcPr>
            <w:tcW w:w="4946" w:type="dxa"/>
            <w:tcBorders>
              <w:top w:val="nil"/>
              <w:left w:val="nil"/>
              <w:bottom w:val="nil"/>
              <w:right w:val="nil"/>
            </w:tcBorders>
            <w:shd w:val="clear" w:color="000000" w:fill="FFFFFF"/>
            <w:noWrap/>
            <w:vAlign w:val="center"/>
            <w:hideMark/>
          </w:tcPr>
          <w:p w14:paraId="4FF78D5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6" w:type="dxa"/>
            <w:gridSpan w:val="2"/>
            <w:tcBorders>
              <w:top w:val="nil"/>
              <w:left w:val="nil"/>
              <w:bottom w:val="nil"/>
              <w:right w:val="nil"/>
            </w:tcBorders>
            <w:shd w:val="clear" w:color="000000" w:fill="FFFFFF"/>
            <w:noWrap/>
            <w:vAlign w:val="center"/>
            <w:hideMark/>
          </w:tcPr>
          <w:p w14:paraId="66F74742"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716" w:type="dxa"/>
            <w:gridSpan w:val="2"/>
            <w:tcBorders>
              <w:top w:val="nil"/>
              <w:left w:val="nil"/>
              <w:bottom w:val="nil"/>
              <w:right w:val="nil"/>
            </w:tcBorders>
            <w:shd w:val="clear" w:color="000000" w:fill="FFFFFF"/>
            <w:noWrap/>
            <w:vAlign w:val="center"/>
            <w:hideMark/>
          </w:tcPr>
          <w:p w14:paraId="37758F56"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414" w:type="dxa"/>
            <w:gridSpan w:val="2"/>
            <w:tcBorders>
              <w:top w:val="nil"/>
              <w:left w:val="nil"/>
              <w:bottom w:val="nil"/>
              <w:right w:val="nil"/>
            </w:tcBorders>
            <w:shd w:val="clear" w:color="000000" w:fill="FFFFFF"/>
            <w:noWrap/>
            <w:vAlign w:val="center"/>
            <w:hideMark/>
          </w:tcPr>
          <w:p w14:paraId="3408A059"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c>
          <w:tcPr>
            <w:tcW w:w="195" w:type="dxa"/>
            <w:tcBorders>
              <w:top w:val="nil"/>
              <w:left w:val="nil"/>
              <w:bottom w:val="nil"/>
              <w:right w:val="nil"/>
            </w:tcBorders>
            <w:shd w:val="clear" w:color="000000" w:fill="FFFFFF"/>
            <w:noWrap/>
            <w:vAlign w:val="center"/>
            <w:hideMark/>
          </w:tcPr>
          <w:p w14:paraId="49FC427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4F6D66D3" w14:textId="77777777" w:rsidTr="009E49BA">
        <w:trPr>
          <w:gridAfter w:val="2"/>
          <w:wAfter w:w="312" w:type="dxa"/>
          <w:trHeight w:val="300"/>
          <w:jc w:val="center"/>
        </w:trPr>
        <w:tc>
          <w:tcPr>
            <w:tcW w:w="4946" w:type="dxa"/>
            <w:tcBorders>
              <w:top w:val="nil"/>
              <w:left w:val="nil"/>
              <w:bottom w:val="nil"/>
              <w:right w:val="nil"/>
            </w:tcBorders>
            <w:shd w:val="clear" w:color="000000" w:fill="FFFFFF"/>
            <w:noWrap/>
            <w:vAlign w:val="center"/>
            <w:hideMark/>
          </w:tcPr>
          <w:p w14:paraId="0C9E496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6" w:type="dxa"/>
            <w:gridSpan w:val="2"/>
            <w:tcBorders>
              <w:top w:val="nil"/>
              <w:left w:val="nil"/>
              <w:bottom w:val="nil"/>
              <w:right w:val="nil"/>
            </w:tcBorders>
            <w:shd w:val="clear" w:color="000000" w:fill="FFFFFF"/>
            <w:noWrap/>
            <w:vAlign w:val="center"/>
            <w:hideMark/>
          </w:tcPr>
          <w:p w14:paraId="2F73D78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6" w:type="dxa"/>
            <w:gridSpan w:val="2"/>
            <w:tcBorders>
              <w:top w:val="nil"/>
              <w:left w:val="nil"/>
              <w:bottom w:val="nil"/>
              <w:right w:val="nil"/>
            </w:tcBorders>
            <w:shd w:val="clear" w:color="000000" w:fill="FFFFFF"/>
            <w:noWrap/>
            <w:vAlign w:val="center"/>
            <w:hideMark/>
          </w:tcPr>
          <w:p w14:paraId="0A1F41D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14" w:type="dxa"/>
            <w:gridSpan w:val="2"/>
            <w:tcBorders>
              <w:top w:val="nil"/>
              <w:left w:val="nil"/>
              <w:bottom w:val="nil"/>
              <w:right w:val="nil"/>
            </w:tcBorders>
            <w:shd w:val="clear" w:color="000000" w:fill="FFFFFF"/>
            <w:noWrap/>
            <w:vAlign w:val="center"/>
            <w:hideMark/>
          </w:tcPr>
          <w:p w14:paraId="6C2D7DA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2839E0A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03BD53A7" w14:textId="77777777" w:rsidTr="009E49BA">
        <w:trPr>
          <w:gridAfter w:val="2"/>
          <w:wAfter w:w="312" w:type="dxa"/>
          <w:trHeight w:val="300"/>
          <w:jc w:val="center"/>
        </w:trPr>
        <w:tc>
          <w:tcPr>
            <w:tcW w:w="4946" w:type="dxa"/>
            <w:tcBorders>
              <w:top w:val="nil"/>
              <w:left w:val="nil"/>
              <w:bottom w:val="nil"/>
              <w:right w:val="nil"/>
            </w:tcBorders>
            <w:shd w:val="clear" w:color="000000" w:fill="FFFFFF"/>
            <w:vAlign w:val="center"/>
            <w:hideMark/>
          </w:tcPr>
          <w:p w14:paraId="330E90E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Fondos generados(aplicados) por las actividades operativas</w:t>
            </w:r>
          </w:p>
        </w:tc>
        <w:tc>
          <w:tcPr>
            <w:tcW w:w="1716" w:type="dxa"/>
            <w:gridSpan w:val="2"/>
            <w:tcBorders>
              <w:top w:val="nil"/>
              <w:left w:val="nil"/>
              <w:bottom w:val="nil"/>
              <w:right w:val="nil"/>
            </w:tcBorders>
            <w:shd w:val="clear" w:color="000000" w:fill="FFFFFF"/>
            <w:noWrap/>
            <w:vAlign w:val="center"/>
            <w:hideMark/>
          </w:tcPr>
          <w:p w14:paraId="50D9EF7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516.612 </w:t>
            </w:r>
          </w:p>
        </w:tc>
        <w:tc>
          <w:tcPr>
            <w:tcW w:w="1716" w:type="dxa"/>
            <w:gridSpan w:val="2"/>
            <w:tcBorders>
              <w:top w:val="nil"/>
              <w:left w:val="nil"/>
              <w:bottom w:val="nil"/>
              <w:right w:val="nil"/>
            </w:tcBorders>
            <w:shd w:val="clear" w:color="000000" w:fill="FFFFFF"/>
            <w:noWrap/>
            <w:vAlign w:val="center"/>
            <w:hideMark/>
          </w:tcPr>
          <w:p w14:paraId="53C4AA9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547.455 </w:t>
            </w:r>
          </w:p>
        </w:tc>
        <w:tc>
          <w:tcPr>
            <w:tcW w:w="1414" w:type="dxa"/>
            <w:gridSpan w:val="2"/>
            <w:tcBorders>
              <w:top w:val="nil"/>
              <w:left w:val="nil"/>
              <w:bottom w:val="nil"/>
              <w:right w:val="nil"/>
            </w:tcBorders>
            <w:shd w:val="clear" w:color="000000" w:fill="FFFFFF"/>
            <w:noWrap/>
            <w:vAlign w:val="center"/>
            <w:hideMark/>
          </w:tcPr>
          <w:p w14:paraId="3AD1D83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(323.778) </w:t>
            </w:r>
          </w:p>
        </w:tc>
        <w:tc>
          <w:tcPr>
            <w:tcW w:w="195" w:type="dxa"/>
            <w:tcBorders>
              <w:top w:val="nil"/>
              <w:left w:val="nil"/>
              <w:bottom w:val="nil"/>
              <w:right w:val="nil"/>
            </w:tcBorders>
            <w:shd w:val="clear" w:color="000000" w:fill="FFFFFF"/>
            <w:noWrap/>
            <w:vAlign w:val="center"/>
            <w:hideMark/>
          </w:tcPr>
          <w:p w14:paraId="1F61BDD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3011A4AA" w14:textId="77777777" w:rsidTr="009E49BA">
        <w:trPr>
          <w:gridAfter w:val="2"/>
          <w:wAfter w:w="312" w:type="dxa"/>
          <w:trHeight w:val="300"/>
          <w:jc w:val="center"/>
        </w:trPr>
        <w:tc>
          <w:tcPr>
            <w:tcW w:w="4946" w:type="dxa"/>
            <w:tcBorders>
              <w:top w:val="nil"/>
              <w:left w:val="nil"/>
              <w:bottom w:val="nil"/>
              <w:right w:val="nil"/>
            </w:tcBorders>
            <w:shd w:val="clear" w:color="000000" w:fill="FFFFFF"/>
            <w:vAlign w:val="center"/>
            <w:hideMark/>
          </w:tcPr>
          <w:p w14:paraId="113EE00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6" w:type="dxa"/>
            <w:gridSpan w:val="2"/>
            <w:tcBorders>
              <w:top w:val="nil"/>
              <w:left w:val="nil"/>
              <w:bottom w:val="nil"/>
              <w:right w:val="nil"/>
            </w:tcBorders>
            <w:shd w:val="clear" w:color="000000" w:fill="FFFFFF"/>
            <w:noWrap/>
            <w:vAlign w:val="center"/>
            <w:hideMark/>
          </w:tcPr>
          <w:p w14:paraId="3424FC0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6" w:type="dxa"/>
            <w:gridSpan w:val="2"/>
            <w:tcBorders>
              <w:top w:val="nil"/>
              <w:left w:val="nil"/>
              <w:bottom w:val="nil"/>
              <w:right w:val="nil"/>
            </w:tcBorders>
            <w:shd w:val="clear" w:color="000000" w:fill="FFFFFF"/>
            <w:noWrap/>
            <w:vAlign w:val="center"/>
            <w:hideMark/>
          </w:tcPr>
          <w:p w14:paraId="09E66F9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14" w:type="dxa"/>
            <w:gridSpan w:val="2"/>
            <w:tcBorders>
              <w:top w:val="nil"/>
              <w:left w:val="nil"/>
              <w:bottom w:val="nil"/>
              <w:right w:val="nil"/>
            </w:tcBorders>
            <w:shd w:val="clear" w:color="000000" w:fill="FFFFFF"/>
            <w:noWrap/>
            <w:vAlign w:val="center"/>
            <w:hideMark/>
          </w:tcPr>
          <w:p w14:paraId="6852D64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4CF3625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2F348F1" w14:textId="77777777" w:rsidTr="009E49BA">
        <w:trPr>
          <w:gridAfter w:val="2"/>
          <w:wAfter w:w="312" w:type="dxa"/>
          <w:trHeight w:val="300"/>
          <w:jc w:val="center"/>
        </w:trPr>
        <w:tc>
          <w:tcPr>
            <w:tcW w:w="4946" w:type="dxa"/>
            <w:tcBorders>
              <w:top w:val="nil"/>
              <w:left w:val="nil"/>
              <w:bottom w:val="nil"/>
              <w:right w:val="nil"/>
            </w:tcBorders>
            <w:shd w:val="clear" w:color="000000" w:fill="FFFFFF"/>
            <w:vAlign w:val="center"/>
            <w:hideMark/>
          </w:tcPr>
          <w:p w14:paraId="2FE6D28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Fondos generados(aplicados) en las actividades de inversión</w:t>
            </w:r>
          </w:p>
        </w:tc>
        <w:tc>
          <w:tcPr>
            <w:tcW w:w="1716" w:type="dxa"/>
            <w:gridSpan w:val="2"/>
            <w:tcBorders>
              <w:top w:val="nil"/>
              <w:left w:val="nil"/>
              <w:bottom w:val="nil"/>
              <w:right w:val="nil"/>
            </w:tcBorders>
            <w:shd w:val="clear" w:color="000000" w:fill="FFFFFF"/>
            <w:noWrap/>
            <w:vAlign w:val="center"/>
            <w:hideMark/>
          </w:tcPr>
          <w:p w14:paraId="4527EE9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(22.424) </w:t>
            </w:r>
          </w:p>
        </w:tc>
        <w:tc>
          <w:tcPr>
            <w:tcW w:w="1716" w:type="dxa"/>
            <w:gridSpan w:val="2"/>
            <w:tcBorders>
              <w:top w:val="nil"/>
              <w:left w:val="nil"/>
              <w:bottom w:val="nil"/>
              <w:right w:val="nil"/>
            </w:tcBorders>
            <w:shd w:val="clear" w:color="000000" w:fill="FFFFFF"/>
            <w:noWrap/>
            <w:vAlign w:val="center"/>
            <w:hideMark/>
          </w:tcPr>
          <w:p w14:paraId="27F91DB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(4.414) </w:t>
            </w:r>
          </w:p>
        </w:tc>
        <w:tc>
          <w:tcPr>
            <w:tcW w:w="1414" w:type="dxa"/>
            <w:gridSpan w:val="2"/>
            <w:tcBorders>
              <w:top w:val="nil"/>
              <w:left w:val="nil"/>
              <w:bottom w:val="nil"/>
              <w:right w:val="nil"/>
            </w:tcBorders>
            <w:shd w:val="clear" w:color="000000" w:fill="FFFFFF"/>
            <w:noWrap/>
            <w:vAlign w:val="center"/>
            <w:hideMark/>
          </w:tcPr>
          <w:p w14:paraId="1AF6409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(6.036) </w:t>
            </w:r>
          </w:p>
        </w:tc>
        <w:tc>
          <w:tcPr>
            <w:tcW w:w="195" w:type="dxa"/>
            <w:tcBorders>
              <w:top w:val="nil"/>
              <w:left w:val="nil"/>
              <w:bottom w:val="nil"/>
              <w:right w:val="nil"/>
            </w:tcBorders>
            <w:shd w:val="clear" w:color="000000" w:fill="FFFFFF"/>
            <w:noWrap/>
            <w:vAlign w:val="center"/>
            <w:hideMark/>
          </w:tcPr>
          <w:p w14:paraId="74198AE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666B421B" w14:textId="77777777" w:rsidTr="009E49BA">
        <w:trPr>
          <w:gridAfter w:val="2"/>
          <w:wAfter w:w="312" w:type="dxa"/>
          <w:trHeight w:val="300"/>
          <w:jc w:val="center"/>
        </w:trPr>
        <w:tc>
          <w:tcPr>
            <w:tcW w:w="4946" w:type="dxa"/>
            <w:tcBorders>
              <w:top w:val="nil"/>
              <w:left w:val="nil"/>
              <w:bottom w:val="nil"/>
              <w:right w:val="nil"/>
            </w:tcBorders>
            <w:shd w:val="clear" w:color="000000" w:fill="FFFFFF"/>
            <w:vAlign w:val="center"/>
            <w:hideMark/>
          </w:tcPr>
          <w:p w14:paraId="1A420AD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6" w:type="dxa"/>
            <w:gridSpan w:val="2"/>
            <w:tcBorders>
              <w:top w:val="nil"/>
              <w:left w:val="nil"/>
              <w:bottom w:val="nil"/>
              <w:right w:val="nil"/>
            </w:tcBorders>
            <w:shd w:val="clear" w:color="000000" w:fill="FFFFFF"/>
            <w:noWrap/>
            <w:vAlign w:val="center"/>
            <w:hideMark/>
          </w:tcPr>
          <w:p w14:paraId="72A7746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6" w:type="dxa"/>
            <w:gridSpan w:val="2"/>
            <w:tcBorders>
              <w:top w:val="nil"/>
              <w:left w:val="nil"/>
              <w:bottom w:val="nil"/>
              <w:right w:val="nil"/>
            </w:tcBorders>
            <w:shd w:val="clear" w:color="000000" w:fill="FFFFFF"/>
            <w:noWrap/>
            <w:vAlign w:val="center"/>
            <w:hideMark/>
          </w:tcPr>
          <w:p w14:paraId="1D2AB05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14" w:type="dxa"/>
            <w:gridSpan w:val="2"/>
            <w:tcBorders>
              <w:top w:val="nil"/>
              <w:left w:val="nil"/>
              <w:bottom w:val="nil"/>
              <w:right w:val="nil"/>
            </w:tcBorders>
            <w:shd w:val="clear" w:color="000000" w:fill="FFFFFF"/>
            <w:noWrap/>
            <w:vAlign w:val="center"/>
            <w:hideMark/>
          </w:tcPr>
          <w:p w14:paraId="09BC211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114D881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7029C58A" w14:textId="77777777" w:rsidTr="009E49BA">
        <w:trPr>
          <w:gridAfter w:val="2"/>
          <w:wAfter w:w="312" w:type="dxa"/>
          <w:trHeight w:val="300"/>
          <w:jc w:val="center"/>
        </w:trPr>
        <w:tc>
          <w:tcPr>
            <w:tcW w:w="4946" w:type="dxa"/>
            <w:tcBorders>
              <w:top w:val="nil"/>
              <w:left w:val="nil"/>
              <w:bottom w:val="nil"/>
              <w:right w:val="nil"/>
            </w:tcBorders>
            <w:shd w:val="clear" w:color="000000" w:fill="FFFFFF"/>
            <w:vAlign w:val="center"/>
            <w:hideMark/>
          </w:tcPr>
          <w:p w14:paraId="3BD3FEE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Fondos generados(aplicados) por las actividades de financiación</w:t>
            </w:r>
          </w:p>
        </w:tc>
        <w:tc>
          <w:tcPr>
            <w:tcW w:w="1716" w:type="dxa"/>
            <w:gridSpan w:val="2"/>
            <w:tcBorders>
              <w:top w:val="nil"/>
              <w:left w:val="nil"/>
              <w:bottom w:val="nil"/>
              <w:right w:val="nil"/>
            </w:tcBorders>
            <w:shd w:val="clear" w:color="000000" w:fill="FFFFFF"/>
            <w:noWrap/>
            <w:vAlign w:val="center"/>
            <w:hideMark/>
          </w:tcPr>
          <w:p w14:paraId="4EE65F0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378.966 </w:t>
            </w:r>
          </w:p>
        </w:tc>
        <w:tc>
          <w:tcPr>
            <w:tcW w:w="1716" w:type="dxa"/>
            <w:gridSpan w:val="2"/>
            <w:tcBorders>
              <w:top w:val="nil"/>
              <w:left w:val="nil"/>
              <w:bottom w:val="nil"/>
              <w:right w:val="nil"/>
            </w:tcBorders>
            <w:shd w:val="clear" w:color="000000" w:fill="FFFFFF"/>
            <w:noWrap/>
            <w:vAlign w:val="center"/>
            <w:hideMark/>
          </w:tcPr>
          <w:p w14:paraId="76D9309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(130.928) </w:t>
            </w:r>
          </w:p>
        </w:tc>
        <w:tc>
          <w:tcPr>
            <w:tcW w:w="1414" w:type="dxa"/>
            <w:gridSpan w:val="2"/>
            <w:tcBorders>
              <w:top w:val="nil"/>
              <w:left w:val="nil"/>
              <w:bottom w:val="nil"/>
              <w:right w:val="nil"/>
            </w:tcBorders>
            <w:shd w:val="clear" w:color="000000" w:fill="FFFFFF"/>
            <w:noWrap/>
            <w:vAlign w:val="center"/>
            <w:hideMark/>
          </w:tcPr>
          <w:p w14:paraId="052AEE6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66.092 </w:t>
            </w:r>
          </w:p>
        </w:tc>
        <w:tc>
          <w:tcPr>
            <w:tcW w:w="195" w:type="dxa"/>
            <w:tcBorders>
              <w:top w:val="nil"/>
              <w:left w:val="nil"/>
              <w:bottom w:val="nil"/>
              <w:right w:val="nil"/>
            </w:tcBorders>
            <w:shd w:val="clear" w:color="000000" w:fill="FFFFFF"/>
            <w:noWrap/>
            <w:vAlign w:val="center"/>
            <w:hideMark/>
          </w:tcPr>
          <w:p w14:paraId="5B08802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5CBF51EF" w14:textId="77777777" w:rsidTr="009E49BA">
        <w:trPr>
          <w:gridAfter w:val="2"/>
          <w:wAfter w:w="312" w:type="dxa"/>
          <w:trHeight w:val="300"/>
          <w:jc w:val="center"/>
        </w:trPr>
        <w:tc>
          <w:tcPr>
            <w:tcW w:w="4946" w:type="dxa"/>
            <w:tcBorders>
              <w:top w:val="nil"/>
              <w:left w:val="nil"/>
              <w:bottom w:val="nil"/>
              <w:right w:val="nil"/>
            </w:tcBorders>
            <w:shd w:val="clear" w:color="000000" w:fill="FFFFFF"/>
            <w:vAlign w:val="center"/>
            <w:hideMark/>
          </w:tcPr>
          <w:p w14:paraId="0D8C29C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6" w:type="dxa"/>
            <w:gridSpan w:val="2"/>
            <w:tcBorders>
              <w:top w:val="nil"/>
              <w:left w:val="nil"/>
              <w:bottom w:val="nil"/>
              <w:right w:val="nil"/>
            </w:tcBorders>
            <w:shd w:val="clear" w:color="000000" w:fill="FFFFFF"/>
            <w:noWrap/>
            <w:vAlign w:val="center"/>
            <w:hideMark/>
          </w:tcPr>
          <w:p w14:paraId="552ABD3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6" w:type="dxa"/>
            <w:gridSpan w:val="2"/>
            <w:tcBorders>
              <w:top w:val="nil"/>
              <w:left w:val="nil"/>
              <w:bottom w:val="nil"/>
              <w:right w:val="nil"/>
            </w:tcBorders>
            <w:shd w:val="clear" w:color="000000" w:fill="FFFFFF"/>
            <w:noWrap/>
            <w:vAlign w:val="center"/>
            <w:hideMark/>
          </w:tcPr>
          <w:p w14:paraId="63AA84C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14" w:type="dxa"/>
            <w:gridSpan w:val="2"/>
            <w:tcBorders>
              <w:top w:val="nil"/>
              <w:left w:val="nil"/>
              <w:bottom w:val="nil"/>
              <w:right w:val="nil"/>
            </w:tcBorders>
            <w:shd w:val="clear" w:color="000000" w:fill="FFFFFF"/>
            <w:noWrap/>
            <w:vAlign w:val="center"/>
            <w:hideMark/>
          </w:tcPr>
          <w:p w14:paraId="1FB3D7C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5169A3D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539DA6B" w14:textId="77777777" w:rsidTr="009E49BA">
        <w:trPr>
          <w:gridAfter w:val="2"/>
          <w:wAfter w:w="312" w:type="dxa"/>
          <w:trHeight w:val="600"/>
          <w:jc w:val="center"/>
        </w:trPr>
        <w:tc>
          <w:tcPr>
            <w:tcW w:w="4946" w:type="dxa"/>
            <w:tcBorders>
              <w:top w:val="nil"/>
              <w:left w:val="nil"/>
              <w:bottom w:val="nil"/>
              <w:right w:val="nil"/>
            </w:tcBorders>
            <w:shd w:val="clear" w:color="000000" w:fill="FFFFFF"/>
            <w:vAlign w:val="center"/>
            <w:hideMark/>
          </w:tcPr>
          <w:p w14:paraId="32B72E1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lastRenderedPageBreak/>
              <w:t>Efecto de las variaciones del tipo de cambio sobre saldos de efectivo y equivalentes de efectivo</w:t>
            </w:r>
          </w:p>
        </w:tc>
        <w:tc>
          <w:tcPr>
            <w:tcW w:w="1716" w:type="dxa"/>
            <w:gridSpan w:val="2"/>
            <w:tcBorders>
              <w:top w:val="nil"/>
              <w:left w:val="nil"/>
              <w:bottom w:val="nil"/>
              <w:right w:val="nil"/>
            </w:tcBorders>
            <w:shd w:val="clear" w:color="000000" w:fill="FFFFFF"/>
            <w:noWrap/>
            <w:vAlign w:val="center"/>
            <w:hideMark/>
          </w:tcPr>
          <w:p w14:paraId="386F1FC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40.882 </w:t>
            </w:r>
          </w:p>
        </w:tc>
        <w:tc>
          <w:tcPr>
            <w:tcW w:w="1716" w:type="dxa"/>
            <w:gridSpan w:val="2"/>
            <w:tcBorders>
              <w:top w:val="nil"/>
              <w:left w:val="nil"/>
              <w:bottom w:val="nil"/>
              <w:right w:val="nil"/>
            </w:tcBorders>
            <w:shd w:val="clear" w:color="000000" w:fill="FFFFFF"/>
            <w:noWrap/>
            <w:vAlign w:val="center"/>
            <w:hideMark/>
          </w:tcPr>
          <w:p w14:paraId="1A2250A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(7.618) </w:t>
            </w:r>
          </w:p>
        </w:tc>
        <w:tc>
          <w:tcPr>
            <w:tcW w:w="1414" w:type="dxa"/>
            <w:gridSpan w:val="2"/>
            <w:tcBorders>
              <w:top w:val="nil"/>
              <w:left w:val="nil"/>
              <w:bottom w:val="nil"/>
              <w:right w:val="nil"/>
            </w:tcBorders>
            <w:shd w:val="clear" w:color="000000" w:fill="FFFFFF"/>
            <w:noWrap/>
            <w:vAlign w:val="center"/>
            <w:hideMark/>
          </w:tcPr>
          <w:p w14:paraId="317D2E8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(58.527) </w:t>
            </w:r>
          </w:p>
        </w:tc>
        <w:tc>
          <w:tcPr>
            <w:tcW w:w="195" w:type="dxa"/>
            <w:tcBorders>
              <w:top w:val="nil"/>
              <w:left w:val="nil"/>
              <w:bottom w:val="nil"/>
              <w:right w:val="nil"/>
            </w:tcBorders>
            <w:shd w:val="clear" w:color="000000" w:fill="FFFFFF"/>
            <w:noWrap/>
            <w:vAlign w:val="center"/>
            <w:hideMark/>
          </w:tcPr>
          <w:p w14:paraId="2A6F91D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2034F6C9" w14:textId="77777777" w:rsidTr="009E49BA">
        <w:trPr>
          <w:gridAfter w:val="2"/>
          <w:wAfter w:w="312" w:type="dxa"/>
          <w:trHeight w:val="315"/>
          <w:jc w:val="center"/>
        </w:trPr>
        <w:tc>
          <w:tcPr>
            <w:tcW w:w="4946" w:type="dxa"/>
            <w:tcBorders>
              <w:top w:val="nil"/>
              <w:left w:val="nil"/>
              <w:bottom w:val="nil"/>
              <w:right w:val="nil"/>
            </w:tcBorders>
            <w:shd w:val="clear" w:color="000000" w:fill="FFFFFF"/>
            <w:vAlign w:val="center"/>
            <w:hideMark/>
          </w:tcPr>
          <w:p w14:paraId="677CE60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6" w:type="dxa"/>
            <w:gridSpan w:val="2"/>
            <w:tcBorders>
              <w:top w:val="nil"/>
              <w:left w:val="nil"/>
              <w:bottom w:val="nil"/>
              <w:right w:val="nil"/>
            </w:tcBorders>
            <w:shd w:val="clear" w:color="000000" w:fill="FFFFFF"/>
            <w:noWrap/>
            <w:vAlign w:val="center"/>
            <w:hideMark/>
          </w:tcPr>
          <w:p w14:paraId="3D918C5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6" w:type="dxa"/>
            <w:gridSpan w:val="2"/>
            <w:tcBorders>
              <w:top w:val="nil"/>
              <w:left w:val="nil"/>
              <w:bottom w:val="nil"/>
              <w:right w:val="nil"/>
            </w:tcBorders>
            <w:shd w:val="clear" w:color="000000" w:fill="FFFFFF"/>
            <w:noWrap/>
            <w:vAlign w:val="center"/>
            <w:hideMark/>
          </w:tcPr>
          <w:p w14:paraId="13C27BE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14" w:type="dxa"/>
            <w:gridSpan w:val="2"/>
            <w:tcBorders>
              <w:top w:val="nil"/>
              <w:left w:val="nil"/>
              <w:bottom w:val="nil"/>
              <w:right w:val="nil"/>
            </w:tcBorders>
            <w:shd w:val="clear" w:color="000000" w:fill="FFFFFF"/>
            <w:noWrap/>
            <w:vAlign w:val="center"/>
            <w:hideMark/>
          </w:tcPr>
          <w:p w14:paraId="2717A4D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511B526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57245D62" w14:textId="77777777" w:rsidTr="009E49BA">
        <w:trPr>
          <w:gridAfter w:val="2"/>
          <w:wAfter w:w="312" w:type="dxa"/>
          <w:trHeight w:val="585"/>
          <w:jc w:val="center"/>
        </w:trPr>
        <w:tc>
          <w:tcPr>
            <w:tcW w:w="4946" w:type="dxa"/>
            <w:tcBorders>
              <w:top w:val="nil"/>
              <w:left w:val="nil"/>
              <w:bottom w:val="nil"/>
              <w:right w:val="nil"/>
            </w:tcBorders>
            <w:shd w:val="clear" w:color="000000" w:fill="FFFFFF"/>
            <w:vAlign w:val="center"/>
            <w:hideMark/>
          </w:tcPr>
          <w:p w14:paraId="2AEC4DCB" w14:textId="77777777" w:rsidR="00F64523" w:rsidRPr="00092E33" w:rsidRDefault="00F64523" w:rsidP="00F64523">
            <w:pPr>
              <w:spacing w:after="0"/>
              <w:jc w:val="both"/>
              <w:rPr>
                <w:rFonts w:ascii="Times New Roman" w:hAnsi="Times New Roman" w:cs="Times New Roman"/>
                <w:b/>
                <w:bCs/>
                <w:color w:val="000000"/>
                <w:lang w:eastAsia="es-AR"/>
              </w:rPr>
            </w:pPr>
            <w:proofErr w:type="gramStart"/>
            <w:r w:rsidRPr="00092E33">
              <w:rPr>
                <w:rFonts w:ascii="Times New Roman" w:hAnsi="Times New Roman" w:cs="Times New Roman"/>
                <w:b/>
                <w:bCs/>
                <w:color w:val="000000"/>
                <w:lang w:eastAsia="es-AR"/>
              </w:rPr>
              <w:t>Total</w:t>
            </w:r>
            <w:proofErr w:type="gramEnd"/>
            <w:r w:rsidRPr="00092E33">
              <w:rPr>
                <w:rFonts w:ascii="Times New Roman" w:hAnsi="Times New Roman" w:cs="Times New Roman"/>
                <w:b/>
                <w:bCs/>
                <w:color w:val="000000"/>
                <w:lang w:eastAsia="es-AR"/>
              </w:rPr>
              <w:t xml:space="preserve"> de fondos generados (aplicados) durante el período</w:t>
            </w:r>
          </w:p>
        </w:tc>
        <w:tc>
          <w:tcPr>
            <w:tcW w:w="1716" w:type="dxa"/>
            <w:gridSpan w:val="2"/>
            <w:tcBorders>
              <w:top w:val="double" w:sz="6" w:space="0" w:color="auto"/>
              <w:left w:val="nil"/>
              <w:bottom w:val="nil"/>
              <w:right w:val="nil"/>
            </w:tcBorders>
            <w:shd w:val="clear" w:color="000000" w:fill="FFFFFF"/>
            <w:noWrap/>
            <w:vAlign w:val="center"/>
            <w:hideMark/>
          </w:tcPr>
          <w:p w14:paraId="4671373E"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914.036 </w:t>
            </w:r>
          </w:p>
        </w:tc>
        <w:tc>
          <w:tcPr>
            <w:tcW w:w="1716" w:type="dxa"/>
            <w:gridSpan w:val="2"/>
            <w:tcBorders>
              <w:top w:val="double" w:sz="6" w:space="0" w:color="auto"/>
              <w:left w:val="nil"/>
              <w:bottom w:val="nil"/>
              <w:right w:val="nil"/>
            </w:tcBorders>
            <w:shd w:val="clear" w:color="000000" w:fill="FFFFFF"/>
            <w:noWrap/>
            <w:vAlign w:val="center"/>
            <w:hideMark/>
          </w:tcPr>
          <w:p w14:paraId="00611ED8"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404.495 </w:t>
            </w:r>
          </w:p>
        </w:tc>
        <w:tc>
          <w:tcPr>
            <w:tcW w:w="1414" w:type="dxa"/>
            <w:gridSpan w:val="2"/>
            <w:tcBorders>
              <w:top w:val="double" w:sz="6" w:space="0" w:color="auto"/>
              <w:left w:val="nil"/>
              <w:bottom w:val="nil"/>
              <w:right w:val="nil"/>
            </w:tcBorders>
            <w:shd w:val="clear" w:color="000000" w:fill="FFFFFF"/>
            <w:noWrap/>
            <w:vAlign w:val="center"/>
            <w:hideMark/>
          </w:tcPr>
          <w:p w14:paraId="28E8E55D"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 xml:space="preserve">  (322.249) </w:t>
            </w:r>
          </w:p>
        </w:tc>
        <w:tc>
          <w:tcPr>
            <w:tcW w:w="195" w:type="dxa"/>
            <w:tcBorders>
              <w:top w:val="nil"/>
              <w:left w:val="nil"/>
              <w:bottom w:val="nil"/>
              <w:right w:val="nil"/>
            </w:tcBorders>
            <w:shd w:val="clear" w:color="000000" w:fill="FFFFFF"/>
            <w:noWrap/>
            <w:vAlign w:val="center"/>
            <w:hideMark/>
          </w:tcPr>
          <w:p w14:paraId="09B3F0A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70766369" w14:textId="77777777" w:rsidTr="009E49BA">
        <w:trPr>
          <w:gridAfter w:val="2"/>
          <w:wAfter w:w="312" w:type="dxa"/>
          <w:trHeight w:val="300"/>
          <w:jc w:val="center"/>
        </w:trPr>
        <w:tc>
          <w:tcPr>
            <w:tcW w:w="4946" w:type="dxa"/>
            <w:tcBorders>
              <w:top w:val="nil"/>
              <w:left w:val="nil"/>
              <w:bottom w:val="nil"/>
              <w:right w:val="nil"/>
            </w:tcBorders>
            <w:shd w:val="clear" w:color="000000" w:fill="FFFFFF"/>
            <w:noWrap/>
            <w:vAlign w:val="center"/>
            <w:hideMark/>
          </w:tcPr>
          <w:p w14:paraId="291F583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6" w:type="dxa"/>
            <w:gridSpan w:val="2"/>
            <w:tcBorders>
              <w:top w:val="nil"/>
              <w:left w:val="nil"/>
              <w:bottom w:val="nil"/>
              <w:right w:val="nil"/>
            </w:tcBorders>
            <w:shd w:val="clear" w:color="000000" w:fill="FFFFFF"/>
            <w:noWrap/>
            <w:vAlign w:val="center"/>
            <w:hideMark/>
          </w:tcPr>
          <w:p w14:paraId="3287E0C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716" w:type="dxa"/>
            <w:gridSpan w:val="2"/>
            <w:tcBorders>
              <w:top w:val="nil"/>
              <w:left w:val="nil"/>
              <w:bottom w:val="nil"/>
              <w:right w:val="nil"/>
            </w:tcBorders>
            <w:shd w:val="clear" w:color="000000" w:fill="FFFFFF"/>
            <w:noWrap/>
            <w:vAlign w:val="center"/>
            <w:hideMark/>
          </w:tcPr>
          <w:p w14:paraId="21C68E2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414" w:type="dxa"/>
            <w:gridSpan w:val="2"/>
            <w:tcBorders>
              <w:top w:val="nil"/>
              <w:left w:val="nil"/>
              <w:bottom w:val="nil"/>
              <w:right w:val="nil"/>
            </w:tcBorders>
            <w:shd w:val="clear" w:color="000000" w:fill="FFFFFF"/>
            <w:noWrap/>
            <w:vAlign w:val="center"/>
            <w:hideMark/>
          </w:tcPr>
          <w:p w14:paraId="59493F6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6A12DB5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00DFC411" w14:textId="77777777" w:rsidTr="009E49BA">
        <w:trPr>
          <w:trHeight w:val="300"/>
          <w:jc w:val="center"/>
        </w:trPr>
        <w:tc>
          <w:tcPr>
            <w:tcW w:w="10299" w:type="dxa"/>
            <w:gridSpan w:val="10"/>
            <w:tcBorders>
              <w:top w:val="nil"/>
              <w:left w:val="nil"/>
              <w:bottom w:val="nil"/>
              <w:right w:val="nil"/>
            </w:tcBorders>
            <w:shd w:val="clear" w:color="000000" w:fill="FFFFFF"/>
            <w:noWrap/>
            <w:vAlign w:val="center"/>
            <w:hideMark/>
          </w:tcPr>
          <w:p w14:paraId="09A1023E"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INDICES- ESTADOS DE SITUACION FINANCIERA CONSOLIDADOS</w:t>
            </w:r>
          </w:p>
        </w:tc>
      </w:tr>
      <w:tr w:rsidR="00F64523" w:rsidRPr="00092E33" w14:paraId="529C9D45" w14:textId="77777777" w:rsidTr="009E49BA">
        <w:trPr>
          <w:trHeight w:val="300"/>
          <w:jc w:val="center"/>
        </w:trPr>
        <w:tc>
          <w:tcPr>
            <w:tcW w:w="10299" w:type="dxa"/>
            <w:gridSpan w:val="10"/>
            <w:tcBorders>
              <w:top w:val="nil"/>
              <w:left w:val="nil"/>
              <w:bottom w:val="nil"/>
              <w:right w:val="nil"/>
            </w:tcBorders>
            <w:shd w:val="clear" w:color="000000" w:fill="FFFFFF"/>
            <w:noWrap/>
            <w:vAlign w:val="center"/>
            <w:hideMark/>
          </w:tcPr>
          <w:p w14:paraId="237174D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Cifras expresadas en miles de pesos</w:t>
            </w:r>
          </w:p>
        </w:tc>
      </w:tr>
      <w:tr w:rsidR="00F64523" w:rsidRPr="00092E33" w14:paraId="750B8BC5" w14:textId="77777777" w:rsidTr="009E49BA">
        <w:trPr>
          <w:trHeight w:val="315"/>
          <w:jc w:val="center"/>
        </w:trPr>
        <w:tc>
          <w:tcPr>
            <w:tcW w:w="5814" w:type="dxa"/>
            <w:gridSpan w:val="2"/>
            <w:tcBorders>
              <w:top w:val="nil"/>
              <w:left w:val="nil"/>
              <w:bottom w:val="single" w:sz="8" w:space="0" w:color="auto"/>
              <w:right w:val="nil"/>
            </w:tcBorders>
            <w:shd w:val="clear" w:color="000000" w:fill="FFFFFF"/>
            <w:noWrap/>
            <w:vAlign w:val="center"/>
            <w:hideMark/>
          </w:tcPr>
          <w:p w14:paraId="5D4A4FB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single" w:sz="8" w:space="0" w:color="auto"/>
              <w:right w:val="nil"/>
            </w:tcBorders>
            <w:shd w:val="clear" w:color="000000" w:fill="FFFFFF"/>
            <w:noWrap/>
            <w:vAlign w:val="center"/>
            <w:hideMark/>
          </w:tcPr>
          <w:p w14:paraId="06E2354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single" w:sz="8" w:space="0" w:color="auto"/>
              <w:right w:val="nil"/>
            </w:tcBorders>
            <w:shd w:val="clear" w:color="000000" w:fill="FFFFFF"/>
            <w:noWrap/>
            <w:vAlign w:val="center"/>
            <w:hideMark/>
          </w:tcPr>
          <w:p w14:paraId="2F234F1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30" w:type="dxa"/>
            <w:gridSpan w:val="3"/>
            <w:tcBorders>
              <w:top w:val="nil"/>
              <w:left w:val="nil"/>
              <w:bottom w:val="single" w:sz="8" w:space="0" w:color="auto"/>
              <w:right w:val="nil"/>
            </w:tcBorders>
            <w:shd w:val="clear" w:color="000000" w:fill="FFFFFF"/>
            <w:noWrap/>
            <w:vAlign w:val="center"/>
            <w:hideMark/>
          </w:tcPr>
          <w:p w14:paraId="789E252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6605514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A2C4E87" w14:textId="77777777" w:rsidTr="009E49BA">
        <w:trPr>
          <w:trHeight w:val="315"/>
          <w:jc w:val="center"/>
        </w:trPr>
        <w:tc>
          <w:tcPr>
            <w:tcW w:w="5814" w:type="dxa"/>
            <w:gridSpan w:val="2"/>
            <w:tcBorders>
              <w:top w:val="nil"/>
              <w:left w:val="single" w:sz="8" w:space="0" w:color="auto"/>
              <w:bottom w:val="single" w:sz="8" w:space="0" w:color="auto"/>
              <w:right w:val="single" w:sz="8" w:space="0" w:color="auto"/>
            </w:tcBorders>
            <w:shd w:val="clear" w:color="000000" w:fill="FFFFFF"/>
            <w:noWrap/>
            <w:vAlign w:val="center"/>
            <w:hideMark/>
          </w:tcPr>
          <w:p w14:paraId="56FDFE40"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PATRIMONIO</w:t>
            </w:r>
          </w:p>
        </w:tc>
        <w:tc>
          <w:tcPr>
            <w:tcW w:w="1530" w:type="dxa"/>
            <w:gridSpan w:val="2"/>
            <w:tcBorders>
              <w:top w:val="nil"/>
              <w:left w:val="nil"/>
              <w:bottom w:val="single" w:sz="8" w:space="0" w:color="auto"/>
              <w:right w:val="single" w:sz="8" w:space="0" w:color="auto"/>
            </w:tcBorders>
            <w:shd w:val="clear" w:color="000000" w:fill="FFFFFF"/>
            <w:noWrap/>
            <w:vAlign w:val="center"/>
            <w:hideMark/>
          </w:tcPr>
          <w:p w14:paraId="690FB67D"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530" w:type="dxa"/>
            <w:gridSpan w:val="2"/>
            <w:tcBorders>
              <w:top w:val="nil"/>
              <w:left w:val="nil"/>
              <w:bottom w:val="single" w:sz="8" w:space="0" w:color="auto"/>
              <w:right w:val="single" w:sz="8" w:space="0" w:color="auto"/>
            </w:tcBorders>
            <w:shd w:val="clear" w:color="000000" w:fill="FFFFFF"/>
            <w:noWrap/>
            <w:vAlign w:val="center"/>
            <w:hideMark/>
          </w:tcPr>
          <w:p w14:paraId="1AD8C01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230" w:type="dxa"/>
            <w:gridSpan w:val="3"/>
            <w:tcBorders>
              <w:top w:val="nil"/>
              <w:left w:val="nil"/>
              <w:bottom w:val="single" w:sz="8" w:space="0" w:color="auto"/>
              <w:right w:val="single" w:sz="8" w:space="0" w:color="auto"/>
            </w:tcBorders>
            <w:shd w:val="clear" w:color="000000" w:fill="FFFFFF"/>
            <w:noWrap/>
            <w:vAlign w:val="center"/>
            <w:hideMark/>
          </w:tcPr>
          <w:p w14:paraId="084CF9D0"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c>
          <w:tcPr>
            <w:tcW w:w="195" w:type="dxa"/>
            <w:tcBorders>
              <w:top w:val="nil"/>
              <w:left w:val="nil"/>
              <w:bottom w:val="nil"/>
              <w:right w:val="nil"/>
            </w:tcBorders>
            <w:shd w:val="clear" w:color="000000" w:fill="FFFFFF"/>
            <w:noWrap/>
            <w:vAlign w:val="center"/>
            <w:hideMark/>
          </w:tcPr>
          <w:p w14:paraId="0C18456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4BED705F"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30CD420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Activos</w:t>
            </w:r>
          </w:p>
        </w:tc>
        <w:tc>
          <w:tcPr>
            <w:tcW w:w="1530" w:type="dxa"/>
            <w:gridSpan w:val="2"/>
            <w:tcBorders>
              <w:top w:val="nil"/>
              <w:left w:val="nil"/>
              <w:bottom w:val="nil"/>
              <w:right w:val="nil"/>
            </w:tcBorders>
            <w:shd w:val="clear" w:color="000000" w:fill="FFFFFF"/>
            <w:noWrap/>
            <w:vAlign w:val="center"/>
            <w:hideMark/>
          </w:tcPr>
          <w:p w14:paraId="4D6B984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10.837.766 </w:t>
            </w:r>
          </w:p>
        </w:tc>
        <w:tc>
          <w:tcPr>
            <w:tcW w:w="1530" w:type="dxa"/>
            <w:gridSpan w:val="2"/>
            <w:tcBorders>
              <w:top w:val="nil"/>
              <w:left w:val="nil"/>
              <w:bottom w:val="nil"/>
              <w:right w:val="nil"/>
            </w:tcBorders>
            <w:shd w:val="clear" w:color="000000" w:fill="FFFFFF"/>
            <w:noWrap/>
            <w:vAlign w:val="center"/>
            <w:hideMark/>
          </w:tcPr>
          <w:p w14:paraId="33BCE3E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5.904.101 </w:t>
            </w:r>
          </w:p>
        </w:tc>
        <w:tc>
          <w:tcPr>
            <w:tcW w:w="1230" w:type="dxa"/>
            <w:gridSpan w:val="3"/>
            <w:tcBorders>
              <w:top w:val="nil"/>
              <w:left w:val="nil"/>
              <w:bottom w:val="nil"/>
              <w:right w:val="nil"/>
            </w:tcBorders>
            <w:shd w:val="clear" w:color="000000" w:fill="FFFFFF"/>
            <w:noWrap/>
            <w:vAlign w:val="center"/>
            <w:hideMark/>
          </w:tcPr>
          <w:p w14:paraId="7080238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5.086.158 </w:t>
            </w:r>
          </w:p>
        </w:tc>
        <w:tc>
          <w:tcPr>
            <w:tcW w:w="195" w:type="dxa"/>
            <w:tcBorders>
              <w:top w:val="nil"/>
              <w:left w:val="nil"/>
              <w:bottom w:val="nil"/>
              <w:right w:val="nil"/>
            </w:tcBorders>
            <w:shd w:val="clear" w:color="000000" w:fill="FFFFFF"/>
            <w:noWrap/>
            <w:vAlign w:val="center"/>
            <w:hideMark/>
          </w:tcPr>
          <w:p w14:paraId="7EDEFF1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524C5B9D"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6EFCC3F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Pasivos</w:t>
            </w:r>
          </w:p>
        </w:tc>
        <w:tc>
          <w:tcPr>
            <w:tcW w:w="1530" w:type="dxa"/>
            <w:gridSpan w:val="2"/>
            <w:tcBorders>
              <w:top w:val="nil"/>
              <w:left w:val="nil"/>
              <w:bottom w:val="nil"/>
              <w:right w:val="nil"/>
            </w:tcBorders>
            <w:shd w:val="clear" w:color="000000" w:fill="FFFFFF"/>
            <w:noWrap/>
            <w:vAlign w:val="center"/>
            <w:hideMark/>
          </w:tcPr>
          <w:p w14:paraId="71F6408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10.220.695 </w:t>
            </w:r>
          </w:p>
        </w:tc>
        <w:tc>
          <w:tcPr>
            <w:tcW w:w="1530" w:type="dxa"/>
            <w:gridSpan w:val="2"/>
            <w:tcBorders>
              <w:top w:val="nil"/>
              <w:left w:val="nil"/>
              <w:bottom w:val="nil"/>
              <w:right w:val="nil"/>
            </w:tcBorders>
            <w:shd w:val="clear" w:color="000000" w:fill="FFFFFF"/>
            <w:noWrap/>
            <w:vAlign w:val="center"/>
            <w:hideMark/>
          </w:tcPr>
          <w:p w14:paraId="0F157F3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5.766.706 </w:t>
            </w:r>
          </w:p>
        </w:tc>
        <w:tc>
          <w:tcPr>
            <w:tcW w:w="1230" w:type="dxa"/>
            <w:gridSpan w:val="3"/>
            <w:tcBorders>
              <w:top w:val="nil"/>
              <w:left w:val="nil"/>
              <w:bottom w:val="nil"/>
              <w:right w:val="nil"/>
            </w:tcBorders>
            <w:shd w:val="clear" w:color="000000" w:fill="FFFFFF"/>
            <w:noWrap/>
            <w:vAlign w:val="center"/>
            <w:hideMark/>
          </w:tcPr>
          <w:p w14:paraId="46BD24B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4.907.944 </w:t>
            </w:r>
          </w:p>
        </w:tc>
        <w:tc>
          <w:tcPr>
            <w:tcW w:w="195" w:type="dxa"/>
            <w:tcBorders>
              <w:top w:val="nil"/>
              <w:left w:val="nil"/>
              <w:bottom w:val="nil"/>
              <w:right w:val="nil"/>
            </w:tcBorders>
            <w:shd w:val="clear" w:color="000000" w:fill="FFFFFF"/>
            <w:noWrap/>
            <w:vAlign w:val="center"/>
            <w:hideMark/>
          </w:tcPr>
          <w:p w14:paraId="61353C0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0B4CE0F5"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5663810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Patrimonio neto</w:t>
            </w:r>
          </w:p>
        </w:tc>
        <w:tc>
          <w:tcPr>
            <w:tcW w:w="1530" w:type="dxa"/>
            <w:gridSpan w:val="2"/>
            <w:tcBorders>
              <w:top w:val="nil"/>
              <w:left w:val="nil"/>
              <w:bottom w:val="nil"/>
              <w:right w:val="nil"/>
            </w:tcBorders>
            <w:shd w:val="clear" w:color="000000" w:fill="FFFFFF"/>
            <w:noWrap/>
            <w:vAlign w:val="center"/>
            <w:hideMark/>
          </w:tcPr>
          <w:p w14:paraId="4259F86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617.071 </w:t>
            </w:r>
          </w:p>
        </w:tc>
        <w:tc>
          <w:tcPr>
            <w:tcW w:w="1530" w:type="dxa"/>
            <w:gridSpan w:val="2"/>
            <w:tcBorders>
              <w:top w:val="nil"/>
              <w:left w:val="nil"/>
              <w:bottom w:val="nil"/>
              <w:right w:val="nil"/>
            </w:tcBorders>
            <w:shd w:val="clear" w:color="000000" w:fill="FFFFFF"/>
            <w:noWrap/>
            <w:vAlign w:val="center"/>
            <w:hideMark/>
          </w:tcPr>
          <w:p w14:paraId="109C7CB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137.395 </w:t>
            </w:r>
          </w:p>
        </w:tc>
        <w:tc>
          <w:tcPr>
            <w:tcW w:w="1230" w:type="dxa"/>
            <w:gridSpan w:val="3"/>
            <w:tcBorders>
              <w:top w:val="nil"/>
              <w:left w:val="nil"/>
              <w:bottom w:val="nil"/>
              <w:right w:val="nil"/>
            </w:tcBorders>
            <w:shd w:val="clear" w:color="000000" w:fill="FFFFFF"/>
            <w:noWrap/>
            <w:vAlign w:val="center"/>
            <w:hideMark/>
          </w:tcPr>
          <w:p w14:paraId="5E69296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178.214 </w:t>
            </w:r>
          </w:p>
        </w:tc>
        <w:tc>
          <w:tcPr>
            <w:tcW w:w="195" w:type="dxa"/>
            <w:tcBorders>
              <w:top w:val="nil"/>
              <w:left w:val="nil"/>
              <w:bottom w:val="nil"/>
              <w:right w:val="nil"/>
            </w:tcBorders>
            <w:shd w:val="clear" w:color="000000" w:fill="FFFFFF"/>
            <w:noWrap/>
            <w:vAlign w:val="center"/>
            <w:hideMark/>
          </w:tcPr>
          <w:p w14:paraId="03666C1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421F7C40"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1F5ED87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Resultado del </w:t>
            </w:r>
            <w:proofErr w:type="gramStart"/>
            <w:r w:rsidRPr="00092E33">
              <w:rPr>
                <w:rFonts w:ascii="Times New Roman" w:hAnsi="Times New Roman" w:cs="Times New Roman"/>
                <w:color w:val="000000"/>
                <w:lang w:eastAsia="es-AR"/>
              </w:rPr>
              <w:t>ejercicio(</w:t>
            </w:r>
            <w:proofErr w:type="gramEnd"/>
            <w:r w:rsidRPr="00092E33">
              <w:rPr>
                <w:rFonts w:ascii="Times New Roman" w:hAnsi="Times New Roman" w:cs="Times New Roman"/>
                <w:color w:val="000000"/>
                <w:lang w:eastAsia="es-AR"/>
              </w:rPr>
              <w:t>Pérdida)/Ganancia</w:t>
            </w:r>
          </w:p>
        </w:tc>
        <w:tc>
          <w:tcPr>
            <w:tcW w:w="1530" w:type="dxa"/>
            <w:gridSpan w:val="2"/>
            <w:tcBorders>
              <w:top w:val="nil"/>
              <w:left w:val="nil"/>
              <w:bottom w:val="nil"/>
              <w:right w:val="nil"/>
            </w:tcBorders>
            <w:shd w:val="clear" w:color="000000" w:fill="FFFFFF"/>
            <w:noWrap/>
            <w:vAlign w:val="center"/>
            <w:hideMark/>
          </w:tcPr>
          <w:p w14:paraId="14A42A2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212.771 </w:t>
            </w:r>
          </w:p>
        </w:tc>
        <w:tc>
          <w:tcPr>
            <w:tcW w:w="1530" w:type="dxa"/>
            <w:gridSpan w:val="2"/>
            <w:tcBorders>
              <w:top w:val="nil"/>
              <w:left w:val="nil"/>
              <w:bottom w:val="nil"/>
              <w:right w:val="nil"/>
            </w:tcBorders>
            <w:shd w:val="clear" w:color="000000" w:fill="FFFFFF"/>
            <w:noWrap/>
            <w:vAlign w:val="center"/>
            <w:hideMark/>
          </w:tcPr>
          <w:p w14:paraId="78F2B00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(235.619) </w:t>
            </w:r>
          </w:p>
        </w:tc>
        <w:tc>
          <w:tcPr>
            <w:tcW w:w="1230" w:type="dxa"/>
            <w:gridSpan w:val="3"/>
            <w:tcBorders>
              <w:top w:val="nil"/>
              <w:left w:val="nil"/>
              <w:bottom w:val="nil"/>
              <w:right w:val="nil"/>
            </w:tcBorders>
            <w:shd w:val="clear" w:color="000000" w:fill="FFFFFF"/>
            <w:noWrap/>
            <w:vAlign w:val="center"/>
            <w:hideMark/>
          </w:tcPr>
          <w:p w14:paraId="1156DDE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(96.698) </w:t>
            </w:r>
          </w:p>
        </w:tc>
        <w:tc>
          <w:tcPr>
            <w:tcW w:w="195" w:type="dxa"/>
            <w:tcBorders>
              <w:top w:val="nil"/>
              <w:left w:val="nil"/>
              <w:bottom w:val="nil"/>
              <w:right w:val="nil"/>
            </w:tcBorders>
            <w:shd w:val="clear" w:color="000000" w:fill="FFFFFF"/>
            <w:noWrap/>
            <w:vAlign w:val="center"/>
            <w:hideMark/>
          </w:tcPr>
          <w:p w14:paraId="4C8C6C3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7F42C544" w14:textId="77777777" w:rsidTr="009E49BA">
        <w:trPr>
          <w:trHeight w:val="315"/>
          <w:jc w:val="center"/>
        </w:trPr>
        <w:tc>
          <w:tcPr>
            <w:tcW w:w="5814" w:type="dxa"/>
            <w:gridSpan w:val="2"/>
            <w:tcBorders>
              <w:top w:val="nil"/>
              <w:left w:val="nil"/>
              <w:bottom w:val="nil"/>
              <w:right w:val="nil"/>
            </w:tcBorders>
            <w:shd w:val="clear" w:color="000000" w:fill="FFFFFF"/>
            <w:noWrap/>
            <w:vAlign w:val="center"/>
            <w:hideMark/>
          </w:tcPr>
          <w:p w14:paraId="4CEE850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75725F5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3FBF975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30" w:type="dxa"/>
            <w:gridSpan w:val="3"/>
            <w:tcBorders>
              <w:top w:val="nil"/>
              <w:left w:val="nil"/>
              <w:bottom w:val="nil"/>
              <w:right w:val="nil"/>
            </w:tcBorders>
            <w:shd w:val="clear" w:color="000000" w:fill="FFFFFF"/>
            <w:noWrap/>
            <w:vAlign w:val="center"/>
            <w:hideMark/>
          </w:tcPr>
          <w:p w14:paraId="341DDA9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7858BC7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688A5887" w14:textId="77777777" w:rsidTr="009E49BA">
        <w:trPr>
          <w:trHeight w:val="315"/>
          <w:jc w:val="center"/>
        </w:trPr>
        <w:tc>
          <w:tcPr>
            <w:tcW w:w="5814"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F96D024"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CAPITAL DE TRABAJO</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17BBDA75"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1CB88B2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230" w:type="dxa"/>
            <w:gridSpan w:val="3"/>
            <w:tcBorders>
              <w:top w:val="single" w:sz="8" w:space="0" w:color="auto"/>
              <w:left w:val="nil"/>
              <w:bottom w:val="single" w:sz="8" w:space="0" w:color="auto"/>
              <w:right w:val="single" w:sz="8" w:space="0" w:color="auto"/>
            </w:tcBorders>
            <w:shd w:val="clear" w:color="000000" w:fill="FFFFFF"/>
            <w:noWrap/>
            <w:vAlign w:val="center"/>
            <w:hideMark/>
          </w:tcPr>
          <w:p w14:paraId="6EBE358C"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c>
          <w:tcPr>
            <w:tcW w:w="195" w:type="dxa"/>
            <w:tcBorders>
              <w:top w:val="nil"/>
              <w:left w:val="nil"/>
              <w:bottom w:val="nil"/>
              <w:right w:val="nil"/>
            </w:tcBorders>
            <w:shd w:val="clear" w:color="000000" w:fill="FFFFFF"/>
            <w:noWrap/>
            <w:vAlign w:val="center"/>
            <w:hideMark/>
          </w:tcPr>
          <w:p w14:paraId="12191D6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41A945A1"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1E7317E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Activo corriente</w:t>
            </w:r>
          </w:p>
        </w:tc>
        <w:tc>
          <w:tcPr>
            <w:tcW w:w="1530" w:type="dxa"/>
            <w:gridSpan w:val="2"/>
            <w:tcBorders>
              <w:top w:val="nil"/>
              <w:left w:val="nil"/>
              <w:bottom w:val="nil"/>
              <w:right w:val="nil"/>
            </w:tcBorders>
            <w:shd w:val="clear" w:color="000000" w:fill="FFFFFF"/>
            <w:noWrap/>
            <w:vAlign w:val="center"/>
            <w:hideMark/>
          </w:tcPr>
          <w:p w14:paraId="406898C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10.513.071 </w:t>
            </w:r>
          </w:p>
        </w:tc>
        <w:tc>
          <w:tcPr>
            <w:tcW w:w="1530" w:type="dxa"/>
            <w:gridSpan w:val="2"/>
            <w:tcBorders>
              <w:top w:val="nil"/>
              <w:left w:val="nil"/>
              <w:bottom w:val="nil"/>
              <w:right w:val="nil"/>
            </w:tcBorders>
            <w:shd w:val="clear" w:color="000000" w:fill="FFFFFF"/>
            <w:noWrap/>
            <w:vAlign w:val="center"/>
            <w:hideMark/>
          </w:tcPr>
          <w:p w14:paraId="07B9524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5.727.816 </w:t>
            </w:r>
          </w:p>
        </w:tc>
        <w:tc>
          <w:tcPr>
            <w:tcW w:w="1230" w:type="dxa"/>
            <w:gridSpan w:val="3"/>
            <w:tcBorders>
              <w:top w:val="nil"/>
              <w:left w:val="nil"/>
              <w:bottom w:val="nil"/>
              <w:right w:val="nil"/>
            </w:tcBorders>
            <w:shd w:val="clear" w:color="000000" w:fill="FFFFFF"/>
            <w:noWrap/>
            <w:vAlign w:val="center"/>
            <w:hideMark/>
          </w:tcPr>
          <w:p w14:paraId="6B9519D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5.010.427 </w:t>
            </w:r>
          </w:p>
        </w:tc>
        <w:tc>
          <w:tcPr>
            <w:tcW w:w="195" w:type="dxa"/>
            <w:tcBorders>
              <w:top w:val="nil"/>
              <w:left w:val="nil"/>
              <w:bottom w:val="nil"/>
              <w:right w:val="nil"/>
            </w:tcBorders>
            <w:shd w:val="clear" w:color="000000" w:fill="FFFFFF"/>
            <w:noWrap/>
            <w:vAlign w:val="center"/>
            <w:hideMark/>
          </w:tcPr>
          <w:p w14:paraId="520C6C7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09CA47F7"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15E100C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Pasivo corriente</w:t>
            </w:r>
          </w:p>
        </w:tc>
        <w:tc>
          <w:tcPr>
            <w:tcW w:w="1530" w:type="dxa"/>
            <w:gridSpan w:val="2"/>
            <w:tcBorders>
              <w:top w:val="nil"/>
              <w:left w:val="nil"/>
              <w:bottom w:val="nil"/>
              <w:right w:val="nil"/>
            </w:tcBorders>
            <w:shd w:val="clear" w:color="000000" w:fill="FFFFFF"/>
            <w:noWrap/>
            <w:vAlign w:val="center"/>
            <w:hideMark/>
          </w:tcPr>
          <w:p w14:paraId="73E7196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9.816.783 </w:t>
            </w:r>
          </w:p>
        </w:tc>
        <w:tc>
          <w:tcPr>
            <w:tcW w:w="1530" w:type="dxa"/>
            <w:gridSpan w:val="2"/>
            <w:tcBorders>
              <w:top w:val="nil"/>
              <w:left w:val="nil"/>
              <w:bottom w:val="nil"/>
              <w:right w:val="nil"/>
            </w:tcBorders>
            <w:shd w:val="clear" w:color="000000" w:fill="FFFFFF"/>
            <w:noWrap/>
            <w:vAlign w:val="center"/>
            <w:hideMark/>
          </w:tcPr>
          <w:p w14:paraId="03C7233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5.530.611 </w:t>
            </w:r>
          </w:p>
        </w:tc>
        <w:tc>
          <w:tcPr>
            <w:tcW w:w="1230" w:type="dxa"/>
            <w:gridSpan w:val="3"/>
            <w:tcBorders>
              <w:top w:val="nil"/>
              <w:left w:val="nil"/>
              <w:bottom w:val="nil"/>
              <w:right w:val="nil"/>
            </w:tcBorders>
            <w:shd w:val="clear" w:color="000000" w:fill="FFFFFF"/>
            <w:noWrap/>
            <w:vAlign w:val="center"/>
            <w:hideMark/>
          </w:tcPr>
          <w:p w14:paraId="099FE7A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4.633.182 </w:t>
            </w:r>
          </w:p>
        </w:tc>
        <w:tc>
          <w:tcPr>
            <w:tcW w:w="195" w:type="dxa"/>
            <w:tcBorders>
              <w:top w:val="nil"/>
              <w:left w:val="nil"/>
              <w:bottom w:val="nil"/>
              <w:right w:val="nil"/>
            </w:tcBorders>
            <w:shd w:val="clear" w:color="000000" w:fill="FFFFFF"/>
            <w:noWrap/>
            <w:vAlign w:val="center"/>
            <w:hideMark/>
          </w:tcPr>
          <w:p w14:paraId="5686BB3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7E8268C1"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30378DA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Capital de Trabajo = Activo corriente - Pasivo corriente</w:t>
            </w:r>
          </w:p>
        </w:tc>
        <w:tc>
          <w:tcPr>
            <w:tcW w:w="1530" w:type="dxa"/>
            <w:gridSpan w:val="2"/>
            <w:tcBorders>
              <w:top w:val="nil"/>
              <w:left w:val="nil"/>
              <w:bottom w:val="nil"/>
              <w:right w:val="nil"/>
            </w:tcBorders>
            <w:shd w:val="clear" w:color="000000" w:fill="FFFFFF"/>
            <w:noWrap/>
            <w:vAlign w:val="center"/>
            <w:hideMark/>
          </w:tcPr>
          <w:p w14:paraId="5E42C92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696.288,00 </w:t>
            </w:r>
          </w:p>
        </w:tc>
        <w:tc>
          <w:tcPr>
            <w:tcW w:w="1530" w:type="dxa"/>
            <w:gridSpan w:val="2"/>
            <w:tcBorders>
              <w:top w:val="nil"/>
              <w:left w:val="nil"/>
              <w:bottom w:val="nil"/>
              <w:right w:val="nil"/>
            </w:tcBorders>
            <w:shd w:val="clear" w:color="000000" w:fill="FFFFFF"/>
            <w:noWrap/>
            <w:vAlign w:val="center"/>
            <w:hideMark/>
          </w:tcPr>
          <w:p w14:paraId="432B32C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197.205,00 </w:t>
            </w:r>
          </w:p>
        </w:tc>
        <w:tc>
          <w:tcPr>
            <w:tcW w:w="1230" w:type="dxa"/>
            <w:gridSpan w:val="3"/>
            <w:tcBorders>
              <w:top w:val="nil"/>
              <w:left w:val="nil"/>
              <w:bottom w:val="nil"/>
              <w:right w:val="nil"/>
            </w:tcBorders>
            <w:shd w:val="clear" w:color="000000" w:fill="FFFFFF"/>
            <w:noWrap/>
            <w:vAlign w:val="center"/>
            <w:hideMark/>
          </w:tcPr>
          <w:p w14:paraId="6B471DA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377.245,00 </w:t>
            </w:r>
          </w:p>
        </w:tc>
        <w:tc>
          <w:tcPr>
            <w:tcW w:w="195" w:type="dxa"/>
            <w:tcBorders>
              <w:top w:val="nil"/>
              <w:left w:val="nil"/>
              <w:bottom w:val="nil"/>
              <w:right w:val="nil"/>
            </w:tcBorders>
            <w:shd w:val="clear" w:color="000000" w:fill="FFFFFF"/>
            <w:noWrap/>
            <w:vAlign w:val="center"/>
            <w:hideMark/>
          </w:tcPr>
          <w:p w14:paraId="2249A66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55DB1C7E" w14:textId="77777777" w:rsidTr="009E49BA">
        <w:trPr>
          <w:trHeight w:val="315"/>
          <w:jc w:val="center"/>
        </w:trPr>
        <w:tc>
          <w:tcPr>
            <w:tcW w:w="5814" w:type="dxa"/>
            <w:gridSpan w:val="2"/>
            <w:tcBorders>
              <w:top w:val="nil"/>
              <w:left w:val="nil"/>
              <w:bottom w:val="nil"/>
              <w:right w:val="nil"/>
            </w:tcBorders>
            <w:shd w:val="clear" w:color="000000" w:fill="FFFFFF"/>
            <w:noWrap/>
            <w:vAlign w:val="center"/>
            <w:hideMark/>
          </w:tcPr>
          <w:p w14:paraId="6BF9A70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638A902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55C876A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30" w:type="dxa"/>
            <w:gridSpan w:val="3"/>
            <w:tcBorders>
              <w:top w:val="nil"/>
              <w:left w:val="nil"/>
              <w:bottom w:val="nil"/>
              <w:right w:val="nil"/>
            </w:tcBorders>
            <w:shd w:val="clear" w:color="000000" w:fill="FFFFFF"/>
            <w:noWrap/>
            <w:vAlign w:val="center"/>
            <w:hideMark/>
          </w:tcPr>
          <w:p w14:paraId="067C48F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69073DC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6B11DB63" w14:textId="77777777" w:rsidTr="009E49BA">
        <w:trPr>
          <w:trHeight w:val="315"/>
          <w:jc w:val="center"/>
        </w:trPr>
        <w:tc>
          <w:tcPr>
            <w:tcW w:w="5814"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1E0F5FF"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LIQUIDEZ</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3E4A2AE0"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3E5BBB2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230" w:type="dxa"/>
            <w:gridSpan w:val="3"/>
            <w:tcBorders>
              <w:top w:val="single" w:sz="8" w:space="0" w:color="auto"/>
              <w:left w:val="nil"/>
              <w:bottom w:val="single" w:sz="8" w:space="0" w:color="auto"/>
              <w:right w:val="single" w:sz="8" w:space="0" w:color="auto"/>
            </w:tcBorders>
            <w:shd w:val="clear" w:color="000000" w:fill="FFFFFF"/>
            <w:noWrap/>
            <w:vAlign w:val="center"/>
            <w:hideMark/>
          </w:tcPr>
          <w:p w14:paraId="60279099"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c>
          <w:tcPr>
            <w:tcW w:w="195" w:type="dxa"/>
            <w:tcBorders>
              <w:top w:val="nil"/>
              <w:left w:val="nil"/>
              <w:bottom w:val="nil"/>
              <w:right w:val="nil"/>
            </w:tcBorders>
            <w:shd w:val="clear" w:color="000000" w:fill="FFFFFF"/>
            <w:noWrap/>
            <w:vAlign w:val="center"/>
            <w:hideMark/>
          </w:tcPr>
          <w:p w14:paraId="68E317B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3DADD833"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271A543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Activo corriente</w:t>
            </w:r>
          </w:p>
        </w:tc>
        <w:tc>
          <w:tcPr>
            <w:tcW w:w="1530" w:type="dxa"/>
            <w:gridSpan w:val="2"/>
            <w:tcBorders>
              <w:top w:val="nil"/>
              <w:left w:val="nil"/>
              <w:bottom w:val="nil"/>
              <w:right w:val="nil"/>
            </w:tcBorders>
            <w:shd w:val="clear" w:color="000000" w:fill="FFFFFF"/>
            <w:noWrap/>
            <w:vAlign w:val="center"/>
            <w:hideMark/>
          </w:tcPr>
          <w:p w14:paraId="381E519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10.513.071 </w:t>
            </w:r>
          </w:p>
        </w:tc>
        <w:tc>
          <w:tcPr>
            <w:tcW w:w="1530" w:type="dxa"/>
            <w:gridSpan w:val="2"/>
            <w:tcBorders>
              <w:top w:val="nil"/>
              <w:left w:val="nil"/>
              <w:bottom w:val="nil"/>
              <w:right w:val="nil"/>
            </w:tcBorders>
            <w:shd w:val="clear" w:color="000000" w:fill="FFFFFF"/>
            <w:noWrap/>
            <w:vAlign w:val="center"/>
            <w:hideMark/>
          </w:tcPr>
          <w:p w14:paraId="7E2D1F3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5.727.816 </w:t>
            </w:r>
          </w:p>
        </w:tc>
        <w:tc>
          <w:tcPr>
            <w:tcW w:w="1230" w:type="dxa"/>
            <w:gridSpan w:val="3"/>
            <w:tcBorders>
              <w:top w:val="nil"/>
              <w:left w:val="nil"/>
              <w:bottom w:val="nil"/>
              <w:right w:val="nil"/>
            </w:tcBorders>
            <w:shd w:val="clear" w:color="000000" w:fill="FFFFFF"/>
            <w:noWrap/>
            <w:vAlign w:val="center"/>
            <w:hideMark/>
          </w:tcPr>
          <w:p w14:paraId="2413698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5.010.427 </w:t>
            </w:r>
          </w:p>
        </w:tc>
        <w:tc>
          <w:tcPr>
            <w:tcW w:w="195" w:type="dxa"/>
            <w:tcBorders>
              <w:top w:val="nil"/>
              <w:left w:val="nil"/>
              <w:bottom w:val="nil"/>
              <w:right w:val="nil"/>
            </w:tcBorders>
            <w:shd w:val="clear" w:color="000000" w:fill="FFFFFF"/>
            <w:noWrap/>
            <w:vAlign w:val="center"/>
            <w:hideMark/>
          </w:tcPr>
          <w:p w14:paraId="17C362B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660F6F9B"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514BE35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Activo no corriente</w:t>
            </w:r>
          </w:p>
        </w:tc>
        <w:tc>
          <w:tcPr>
            <w:tcW w:w="1530" w:type="dxa"/>
            <w:gridSpan w:val="2"/>
            <w:tcBorders>
              <w:top w:val="nil"/>
              <w:left w:val="nil"/>
              <w:bottom w:val="nil"/>
              <w:right w:val="nil"/>
            </w:tcBorders>
            <w:shd w:val="clear" w:color="000000" w:fill="FFFFFF"/>
            <w:noWrap/>
            <w:vAlign w:val="center"/>
            <w:hideMark/>
          </w:tcPr>
          <w:p w14:paraId="675D26A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324.695 </w:t>
            </w:r>
          </w:p>
        </w:tc>
        <w:tc>
          <w:tcPr>
            <w:tcW w:w="1530" w:type="dxa"/>
            <w:gridSpan w:val="2"/>
            <w:tcBorders>
              <w:top w:val="nil"/>
              <w:left w:val="nil"/>
              <w:bottom w:val="nil"/>
              <w:right w:val="nil"/>
            </w:tcBorders>
            <w:shd w:val="clear" w:color="000000" w:fill="FFFFFF"/>
            <w:noWrap/>
            <w:vAlign w:val="center"/>
            <w:hideMark/>
          </w:tcPr>
          <w:p w14:paraId="7BA1527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176.285 </w:t>
            </w:r>
          </w:p>
        </w:tc>
        <w:tc>
          <w:tcPr>
            <w:tcW w:w="1230" w:type="dxa"/>
            <w:gridSpan w:val="3"/>
            <w:tcBorders>
              <w:top w:val="nil"/>
              <w:left w:val="nil"/>
              <w:bottom w:val="nil"/>
              <w:right w:val="nil"/>
            </w:tcBorders>
            <w:shd w:val="clear" w:color="000000" w:fill="FFFFFF"/>
            <w:noWrap/>
            <w:vAlign w:val="center"/>
            <w:hideMark/>
          </w:tcPr>
          <w:p w14:paraId="76E4E7E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75.731 </w:t>
            </w:r>
          </w:p>
        </w:tc>
        <w:tc>
          <w:tcPr>
            <w:tcW w:w="195" w:type="dxa"/>
            <w:tcBorders>
              <w:top w:val="nil"/>
              <w:left w:val="nil"/>
              <w:bottom w:val="nil"/>
              <w:right w:val="nil"/>
            </w:tcBorders>
            <w:shd w:val="clear" w:color="000000" w:fill="FFFFFF"/>
            <w:noWrap/>
            <w:vAlign w:val="center"/>
            <w:hideMark/>
          </w:tcPr>
          <w:p w14:paraId="46A293D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555EC48E"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793983D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Pasivo corriente</w:t>
            </w:r>
          </w:p>
        </w:tc>
        <w:tc>
          <w:tcPr>
            <w:tcW w:w="1530" w:type="dxa"/>
            <w:gridSpan w:val="2"/>
            <w:tcBorders>
              <w:top w:val="nil"/>
              <w:left w:val="nil"/>
              <w:bottom w:val="nil"/>
              <w:right w:val="nil"/>
            </w:tcBorders>
            <w:shd w:val="clear" w:color="000000" w:fill="FFFFFF"/>
            <w:noWrap/>
            <w:vAlign w:val="center"/>
            <w:hideMark/>
          </w:tcPr>
          <w:p w14:paraId="2E83DCF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9.816.783 </w:t>
            </w:r>
          </w:p>
        </w:tc>
        <w:tc>
          <w:tcPr>
            <w:tcW w:w="1530" w:type="dxa"/>
            <w:gridSpan w:val="2"/>
            <w:tcBorders>
              <w:top w:val="nil"/>
              <w:left w:val="nil"/>
              <w:bottom w:val="nil"/>
              <w:right w:val="nil"/>
            </w:tcBorders>
            <w:shd w:val="clear" w:color="000000" w:fill="FFFFFF"/>
            <w:noWrap/>
            <w:vAlign w:val="center"/>
            <w:hideMark/>
          </w:tcPr>
          <w:p w14:paraId="13C003E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5.530.611 </w:t>
            </w:r>
          </w:p>
        </w:tc>
        <w:tc>
          <w:tcPr>
            <w:tcW w:w="1230" w:type="dxa"/>
            <w:gridSpan w:val="3"/>
            <w:tcBorders>
              <w:top w:val="nil"/>
              <w:left w:val="nil"/>
              <w:bottom w:val="nil"/>
              <w:right w:val="nil"/>
            </w:tcBorders>
            <w:shd w:val="clear" w:color="000000" w:fill="FFFFFF"/>
            <w:noWrap/>
            <w:vAlign w:val="center"/>
            <w:hideMark/>
          </w:tcPr>
          <w:p w14:paraId="4862CCD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4.633.182 </w:t>
            </w:r>
          </w:p>
        </w:tc>
        <w:tc>
          <w:tcPr>
            <w:tcW w:w="195" w:type="dxa"/>
            <w:tcBorders>
              <w:top w:val="nil"/>
              <w:left w:val="nil"/>
              <w:bottom w:val="nil"/>
              <w:right w:val="nil"/>
            </w:tcBorders>
            <w:shd w:val="clear" w:color="000000" w:fill="FFFFFF"/>
            <w:noWrap/>
            <w:vAlign w:val="center"/>
            <w:hideMark/>
          </w:tcPr>
          <w:p w14:paraId="115A6EF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20C62293"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2FA74D7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Pasivo no corriente</w:t>
            </w:r>
          </w:p>
        </w:tc>
        <w:tc>
          <w:tcPr>
            <w:tcW w:w="1530" w:type="dxa"/>
            <w:gridSpan w:val="2"/>
            <w:tcBorders>
              <w:top w:val="nil"/>
              <w:left w:val="nil"/>
              <w:bottom w:val="nil"/>
              <w:right w:val="nil"/>
            </w:tcBorders>
            <w:shd w:val="clear" w:color="000000" w:fill="FFFFFF"/>
            <w:noWrap/>
            <w:vAlign w:val="center"/>
            <w:hideMark/>
          </w:tcPr>
          <w:p w14:paraId="405455F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403.912 </w:t>
            </w:r>
          </w:p>
        </w:tc>
        <w:tc>
          <w:tcPr>
            <w:tcW w:w="1530" w:type="dxa"/>
            <w:gridSpan w:val="2"/>
            <w:tcBorders>
              <w:top w:val="nil"/>
              <w:left w:val="nil"/>
              <w:bottom w:val="nil"/>
              <w:right w:val="nil"/>
            </w:tcBorders>
            <w:shd w:val="clear" w:color="000000" w:fill="FFFFFF"/>
            <w:noWrap/>
            <w:vAlign w:val="center"/>
            <w:hideMark/>
          </w:tcPr>
          <w:p w14:paraId="7E73400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236.095 </w:t>
            </w:r>
          </w:p>
        </w:tc>
        <w:tc>
          <w:tcPr>
            <w:tcW w:w="1230" w:type="dxa"/>
            <w:gridSpan w:val="3"/>
            <w:tcBorders>
              <w:top w:val="nil"/>
              <w:left w:val="nil"/>
              <w:bottom w:val="nil"/>
              <w:right w:val="nil"/>
            </w:tcBorders>
            <w:shd w:val="clear" w:color="000000" w:fill="FFFFFF"/>
            <w:noWrap/>
            <w:vAlign w:val="center"/>
            <w:hideMark/>
          </w:tcPr>
          <w:p w14:paraId="266CD93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274.762 </w:t>
            </w:r>
          </w:p>
        </w:tc>
        <w:tc>
          <w:tcPr>
            <w:tcW w:w="195" w:type="dxa"/>
            <w:tcBorders>
              <w:top w:val="nil"/>
              <w:left w:val="nil"/>
              <w:bottom w:val="nil"/>
              <w:right w:val="nil"/>
            </w:tcBorders>
            <w:shd w:val="clear" w:color="000000" w:fill="FFFFFF"/>
            <w:noWrap/>
            <w:vAlign w:val="center"/>
            <w:hideMark/>
          </w:tcPr>
          <w:p w14:paraId="38D6BAB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4EDB6110"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6C29334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Liquidez = </w:t>
            </w:r>
            <w:proofErr w:type="gramStart"/>
            <w:r w:rsidRPr="00092E33">
              <w:rPr>
                <w:rFonts w:ascii="Times New Roman" w:hAnsi="Times New Roman" w:cs="Times New Roman"/>
                <w:color w:val="000000"/>
                <w:lang w:eastAsia="es-AR"/>
              </w:rPr>
              <w:t>Activo  corriente</w:t>
            </w:r>
            <w:proofErr w:type="gramEnd"/>
            <w:r w:rsidRPr="00092E33">
              <w:rPr>
                <w:rFonts w:ascii="Times New Roman" w:hAnsi="Times New Roman" w:cs="Times New Roman"/>
                <w:color w:val="000000"/>
                <w:lang w:eastAsia="es-AR"/>
              </w:rPr>
              <w:t>/Pasivo corriente</w:t>
            </w:r>
          </w:p>
        </w:tc>
        <w:tc>
          <w:tcPr>
            <w:tcW w:w="1530" w:type="dxa"/>
            <w:gridSpan w:val="2"/>
            <w:tcBorders>
              <w:top w:val="nil"/>
              <w:left w:val="nil"/>
              <w:bottom w:val="nil"/>
              <w:right w:val="nil"/>
            </w:tcBorders>
            <w:shd w:val="clear" w:color="000000" w:fill="FFFFFF"/>
            <w:noWrap/>
            <w:vAlign w:val="center"/>
            <w:hideMark/>
          </w:tcPr>
          <w:p w14:paraId="03A1D8E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1,07 </w:t>
            </w:r>
          </w:p>
        </w:tc>
        <w:tc>
          <w:tcPr>
            <w:tcW w:w="1530" w:type="dxa"/>
            <w:gridSpan w:val="2"/>
            <w:tcBorders>
              <w:top w:val="nil"/>
              <w:left w:val="nil"/>
              <w:bottom w:val="nil"/>
              <w:right w:val="nil"/>
            </w:tcBorders>
            <w:shd w:val="clear" w:color="000000" w:fill="FFFFFF"/>
            <w:noWrap/>
            <w:vAlign w:val="center"/>
            <w:hideMark/>
          </w:tcPr>
          <w:p w14:paraId="730AFE2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1,04 </w:t>
            </w:r>
          </w:p>
        </w:tc>
        <w:tc>
          <w:tcPr>
            <w:tcW w:w="1230" w:type="dxa"/>
            <w:gridSpan w:val="3"/>
            <w:tcBorders>
              <w:top w:val="nil"/>
              <w:left w:val="nil"/>
              <w:bottom w:val="nil"/>
              <w:right w:val="nil"/>
            </w:tcBorders>
            <w:shd w:val="clear" w:color="000000" w:fill="FFFFFF"/>
            <w:noWrap/>
            <w:vAlign w:val="center"/>
            <w:hideMark/>
          </w:tcPr>
          <w:p w14:paraId="07C49E5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1,08 </w:t>
            </w:r>
          </w:p>
        </w:tc>
        <w:tc>
          <w:tcPr>
            <w:tcW w:w="195" w:type="dxa"/>
            <w:tcBorders>
              <w:top w:val="nil"/>
              <w:left w:val="nil"/>
              <w:bottom w:val="nil"/>
              <w:right w:val="nil"/>
            </w:tcBorders>
            <w:shd w:val="clear" w:color="000000" w:fill="FFFFFF"/>
            <w:noWrap/>
            <w:vAlign w:val="center"/>
            <w:hideMark/>
          </w:tcPr>
          <w:p w14:paraId="1CFA715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2E5B592" w14:textId="77777777" w:rsidTr="009E49BA">
        <w:trPr>
          <w:trHeight w:val="315"/>
          <w:jc w:val="center"/>
        </w:trPr>
        <w:tc>
          <w:tcPr>
            <w:tcW w:w="5814" w:type="dxa"/>
            <w:gridSpan w:val="2"/>
            <w:tcBorders>
              <w:top w:val="nil"/>
              <w:left w:val="nil"/>
              <w:bottom w:val="nil"/>
              <w:right w:val="nil"/>
            </w:tcBorders>
            <w:shd w:val="clear" w:color="000000" w:fill="FFFFFF"/>
            <w:noWrap/>
            <w:vAlign w:val="center"/>
            <w:hideMark/>
          </w:tcPr>
          <w:p w14:paraId="512774B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71B5320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4F4DDE9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30" w:type="dxa"/>
            <w:gridSpan w:val="3"/>
            <w:tcBorders>
              <w:top w:val="nil"/>
              <w:left w:val="nil"/>
              <w:bottom w:val="nil"/>
              <w:right w:val="nil"/>
            </w:tcBorders>
            <w:shd w:val="clear" w:color="000000" w:fill="FFFFFF"/>
            <w:noWrap/>
            <w:vAlign w:val="center"/>
            <w:hideMark/>
          </w:tcPr>
          <w:p w14:paraId="7960ED7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1681F6C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018C071E" w14:textId="77777777" w:rsidTr="009E49BA">
        <w:trPr>
          <w:trHeight w:val="315"/>
          <w:jc w:val="center"/>
        </w:trPr>
        <w:tc>
          <w:tcPr>
            <w:tcW w:w="5814"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173642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SOLVENCIA</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12D50169"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10A3CE32"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230" w:type="dxa"/>
            <w:gridSpan w:val="3"/>
            <w:tcBorders>
              <w:top w:val="single" w:sz="8" w:space="0" w:color="auto"/>
              <w:left w:val="nil"/>
              <w:bottom w:val="single" w:sz="8" w:space="0" w:color="auto"/>
              <w:right w:val="single" w:sz="8" w:space="0" w:color="auto"/>
            </w:tcBorders>
            <w:shd w:val="clear" w:color="000000" w:fill="FFFFFF"/>
            <w:noWrap/>
            <w:vAlign w:val="center"/>
            <w:hideMark/>
          </w:tcPr>
          <w:p w14:paraId="772A1EB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c>
          <w:tcPr>
            <w:tcW w:w="195" w:type="dxa"/>
            <w:tcBorders>
              <w:top w:val="nil"/>
              <w:left w:val="nil"/>
              <w:bottom w:val="nil"/>
              <w:right w:val="nil"/>
            </w:tcBorders>
            <w:shd w:val="clear" w:color="000000" w:fill="FFFFFF"/>
            <w:noWrap/>
            <w:vAlign w:val="center"/>
            <w:hideMark/>
          </w:tcPr>
          <w:p w14:paraId="25E9486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F127C09"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73F9BFF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Pasivo total</w:t>
            </w:r>
          </w:p>
        </w:tc>
        <w:tc>
          <w:tcPr>
            <w:tcW w:w="1530" w:type="dxa"/>
            <w:gridSpan w:val="2"/>
            <w:tcBorders>
              <w:top w:val="nil"/>
              <w:left w:val="nil"/>
              <w:bottom w:val="nil"/>
              <w:right w:val="nil"/>
            </w:tcBorders>
            <w:shd w:val="clear" w:color="000000" w:fill="FFFFFF"/>
            <w:noWrap/>
            <w:vAlign w:val="center"/>
            <w:hideMark/>
          </w:tcPr>
          <w:p w14:paraId="4F47790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10.220.695 </w:t>
            </w:r>
          </w:p>
        </w:tc>
        <w:tc>
          <w:tcPr>
            <w:tcW w:w="1530" w:type="dxa"/>
            <w:gridSpan w:val="2"/>
            <w:tcBorders>
              <w:top w:val="nil"/>
              <w:left w:val="nil"/>
              <w:bottom w:val="nil"/>
              <w:right w:val="nil"/>
            </w:tcBorders>
            <w:shd w:val="clear" w:color="000000" w:fill="FFFFFF"/>
            <w:noWrap/>
            <w:vAlign w:val="center"/>
            <w:hideMark/>
          </w:tcPr>
          <w:p w14:paraId="03FAA30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5.766.706 </w:t>
            </w:r>
          </w:p>
        </w:tc>
        <w:tc>
          <w:tcPr>
            <w:tcW w:w="1230" w:type="dxa"/>
            <w:gridSpan w:val="3"/>
            <w:tcBorders>
              <w:top w:val="nil"/>
              <w:left w:val="nil"/>
              <w:bottom w:val="nil"/>
              <w:right w:val="nil"/>
            </w:tcBorders>
            <w:shd w:val="clear" w:color="000000" w:fill="FFFFFF"/>
            <w:noWrap/>
            <w:vAlign w:val="center"/>
            <w:hideMark/>
          </w:tcPr>
          <w:p w14:paraId="414D718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4.907.944 </w:t>
            </w:r>
          </w:p>
        </w:tc>
        <w:tc>
          <w:tcPr>
            <w:tcW w:w="195" w:type="dxa"/>
            <w:tcBorders>
              <w:top w:val="nil"/>
              <w:left w:val="nil"/>
              <w:bottom w:val="nil"/>
              <w:right w:val="nil"/>
            </w:tcBorders>
            <w:shd w:val="clear" w:color="000000" w:fill="FFFFFF"/>
            <w:noWrap/>
            <w:vAlign w:val="center"/>
            <w:hideMark/>
          </w:tcPr>
          <w:p w14:paraId="5309190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04EAFE19"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232D323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Patrimonio Neto</w:t>
            </w:r>
          </w:p>
        </w:tc>
        <w:tc>
          <w:tcPr>
            <w:tcW w:w="1530" w:type="dxa"/>
            <w:gridSpan w:val="2"/>
            <w:tcBorders>
              <w:top w:val="nil"/>
              <w:left w:val="nil"/>
              <w:bottom w:val="nil"/>
              <w:right w:val="nil"/>
            </w:tcBorders>
            <w:shd w:val="clear" w:color="000000" w:fill="FFFFFF"/>
            <w:noWrap/>
            <w:vAlign w:val="center"/>
            <w:hideMark/>
          </w:tcPr>
          <w:p w14:paraId="17EC7D1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617.071 </w:t>
            </w:r>
          </w:p>
        </w:tc>
        <w:tc>
          <w:tcPr>
            <w:tcW w:w="1530" w:type="dxa"/>
            <w:gridSpan w:val="2"/>
            <w:tcBorders>
              <w:top w:val="nil"/>
              <w:left w:val="nil"/>
              <w:bottom w:val="nil"/>
              <w:right w:val="nil"/>
            </w:tcBorders>
            <w:shd w:val="clear" w:color="000000" w:fill="FFFFFF"/>
            <w:noWrap/>
            <w:vAlign w:val="center"/>
            <w:hideMark/>
          </w:tcPr>
          <w:p w14:paraId="6687A0A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137.395 </w:t>
            </w:r>
          </w:p>
        </w:tc>
        <w:tc>
          <w:tcPr>
            <w:tcW w:w="1230" w:type="dxa"/>
            <w:gridSpan w:val="3"/>
            <w:tcBorders>
              <w:top w:val="nil"/>
              <w:left w:val="nil"/>
              <w:bottom w:val="nil"/>
              <w:right w:val="nil"/>
            </w:tcBorders>
            <w:shd w:val="clear" w:color="000000" w:fill="FFFFFF"/>
            <w:noWrap/>
            <w:vAlign w:val="center"/>
            <w:hideMark/>
          </w:tcPr>
          <w:p w14:paraId="7C2B744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178.214 </w:t>
            </w:r>
          </w:p>
        </w:tc>
        <w:tc>
          <w:tcPr>
            <w:tcW w:w="195" w:type="dxa"/>
            <w:tcBorders>
              <w:top w:val="nil"/>
              <w:left w:val="nil"/>
              <w:bottom w:val="nil"/>
              <w:right w:val="nil"/>
            </w:tcBorders>
            <w:shd w:val="clear" w:color="000000" w:fill="FFFFFF"/>
            <w:noWrap/>
            <w:vAlign w:val="center"/>
            <w:hideMark/>
          </w:tcPr>
          <w:p w14:paraId="2A18651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3C716422"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4622B74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Solvencia = Patrimonio neto total/Pasivo total</w:t>
            </w:r>
          </w:p>
        </w:tc>
        <w:tc>
          <w:tcPr>
            <w:tcW w:w="1530" w:type="dxa"/>
            <w:gridSpan w:val="2"/>
            <w:tcBorders>
              <w:top w:val="nil"/>
              <w:left w:val="nil"/>
              <w:bottom w:val="nil"/>
              <w:right w:val="nil"/>
            </w:tcBorders>
            <w:shd w:val="clear" w:color="000000" w:fill="FFFFFF"/>
            <w:noWrap/>
            <w:vAlign w:val="center"/>
            <w:hideMark/>
          </w:tcPr>
          <w:p w14:paraId="3CDE39D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0,06 </w:t>
            </w:r>
          </w:p>
        </w:tc>
        <w:tc>
          <w:tcPr>
            <w:tcW w:w="1530" w:type="dxa"/>
            <w:gridSpan w:val="2"/>
            <w:tcBorders>
              <w:top w:val="nil"/>
              <w:left w:val="nil"/>
              <w:bottom w:val="nil"/>
              <w:right w:val="nil"/>
            </w:tcBorders>
            <w:shd w:val="clear" w:color="000000" w:fill="FFFFFF"/>
            <w:noWrap/>
            <w:vAlign w:val="center"/>
            <w:hideMark/>
          </w:tcPr>
          <w:p w14:paraId="345D000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0,02 </w:t>
            </w:r>
          </w:p>
        </w:tc>
        <w:tc>
          <w:tcPr>
            <w:tcW w:w="1230" w:type="dxa"/>
            <w:gridSpan w:val="3"/>
            <w:tcBorders>
              <w:top w:val="nil"/>
              <w:left w:val="nil"/>
              <w:bottom w:val="nil"/>
              <w:right w:val="nil"/>
            </w:tcBorders>
            <w:shd w:val="clear" w:color="000000" w:fill="FFFFFF"/>
            <w:noWrap/>
            <w:vAlign w:val="center"/>
            <w:hideMark/>
          </w:tcPr>
          <w:p w14:paraId="6ED63AF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0,04 </w:t>
            </w:r>
          </w:p>
        </w:tc>
        <w:tc>
          <w:tcPr>
            <w:tcW w:w="195" w:type="dxa"/>
            <w:tcBorders>
              <w:top w:val="nil"/>
              <w:left w:val="nil"/>
              <w:bottom w:val="nil"/>
              <w:right w:val="nil"/>
            </w:tcBorders>
            <w:shd w:val="clear" w:color="000000" w:fill="FFFFFF"/>
            <w:noWrap/>
            <w:vAlign w:val="center"/>
            <w:hideMark/>
          </w:tcPr>
          <w:p w14:paraId="2BA0372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238A06F0" w14:textId="77777777" w:rsidTr="009E49BA">
        <w:trPr>
          <w:trHeight w:val="315"/>
          <w:jc w:val="center"/>
        </w:trPr>
        <w:tc>
          <w:tcPr>
            <w:tcW w:w="5814" w:type="dxa"/>
            <w:gridSpan w:val="2"/>
            <w:tcBorders>
              <w:top w:val="nil"/>
              <w:left w:val="nil"/>
              <w:bottom w:val="nil"/>
              <w:right w:val="nil"/>
            </w:tcBorders>
            <w:shd w:val="clear" w:color="000000" w:fill="FFFFFF"/>
            <w:noWrap/>
            <w:vAlign w:val="center"/>
            <w:hideMark/>
          </w:tcPr>
          <w:p w14:paraId="651B3B5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60BFCA3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38BDDC3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30" w:type="dxa"/>
            <w:gridSpan w:val="3"/>
            <w:tcBorders>
              <w:top w:val="nil"/>
              <w:left w:val="nil"/>
              <w:bottom w:val="nil"/>
              <w:right w:val="nil"/>
            </w:tcBorders>
            <w:shd w:val="clear" w:color="000000" w:fill="FFFFFF"/>
            <w:noWrap/>
            <w:vAlign w:val="center"/>
            <w:hideMark/>
          </w:tcPr>
          <w:p w14:paraId="66B5752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5A5C573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7F2CEF97" w14:textId="77777777" w:rsidTr="009E49BA">
        <w:trPr>
          <w:trHeight w:val="315"/>
          <w:jc w:val="center"/>
        </w:trPr>
        <w:tc>
          <w:tcPr>
            <w:tcW w:w="5814"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0138DCA3"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INMOVILIZACIÓN DE CAPITAL</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7D751C92"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10D6188F"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230" w:type="dxa"/>
            <w:gridSpan w:val="3"/>
            <w:tcBorders>
              <w:top w:val="single" w:sz="8" w:space="0" w:color="auto"/>
              <w:left w:val="nil"/>
              <w:bottom w:val="single" w:sz="8" w:space="0" w:color="auto"/>
              <w:right w:val="single" w:sz="8" w:space="0" w:color="auto"/>
            </w:tcBorders>
            <w:shd w:val="clear" w:color="000000" w:fill="FFFFFF"/>
            <w:noWrap/>
            <w:vAlign w:val="center"/>
            <w:hideMark/>
          </w:tcPr>
          <w:p w14:paraId="0078ED36"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c>
          <w:tcPr>
            <w:tcW w:w="195" w:type="dxa"/>
            <w:tcBorders>
              <w:top w:val="nil"/>
              <w:left w:val="nil"/>
              <w:bottom w:val="nil"/>
              <w:right w:val="nil"/>
            </w:tcBorders>
            <w:shd w:val="clear" w:color="000000" w:fill="FFFFFF"/>
            <w:noWrap/>
            <w:vAlign w:val="center"/>
            <w:hideMark/>
          </w:tcPr>
          <w:p w14:paraId="3A30DA2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6A3C98DB"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79F063B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Activo no corriente</w:t>
            </w:r>
          </w:p>
        </w:tc>
        <w:tc>
          <w:tcPr>
            <w:tcW w:w="1530" w:type="dxa"/>
            <w:gridSpan w:val="2"/>
            <w:tcBorders>
              <w:top w:val="nil"/>
              <w:left w:val="nil"/>
              <w:bottom w:val="nil"/>
              <w:right w:val="nil"/>
            </w:tcBorders>
            <w:shd w:val="clear" w:color="000000" w:fill="FFFFFF"/>
            <w:noWrap/>
            <w:vAlign w:val="center"/>
            <w:hideMark/>
          </w:tcPr>
          <w:p w14:paraId="162E916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324.695 </w:t>
            </w:r>
          </w:p>
        </w:tc>
        <w:tc>
          <w:tcPr>
            <w:tcW w:w="1530" w:type="dxa"/>
            <w:gridSpan w:val="2"/>
            <w:tcBorders>
              <w:top w:val="nil"/>
              <w:left w:val="nil"/>
              <w:bottom w:val="nil"/>
              <w:right w:val="nil"/>
            </w:tcBorders>
            <w:shd w:val="clear" w:color="000000" w:fill="FFFFFF"/>
            <w:noWrap/>
            <w:vAlign w:val="center"/>
            <w:hideMark/>
          </w:tcPr>
          <w:p w14:paraId="138C736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176.285 </w:t>
            </w:r>
          </w:p>
        </w:tc>
        <w:tc>
          <w:tcPr>
            <w:tcW w:w="1230" w:type="dxa"/>
            <w:gridSpan w:val="3"/>
            <w:tcBorders>
              <w:top w:val="nil"/>
              <w:left w:val="nil"/>
              <w:bottom w:val="nil"/>
              <w:right w:val="nil"/>
            </w:tcBorders>
            <w:shd w:val="clear" w:color="000000" w:fill="FFFFFF"/>
            <w:noWrap/>
            <w:vAlign w:val="center"/>
            <w:hideMark/>
          </w:tcPr>
          <w:p w14:paraId="0E35357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75.731 </w:t>
            </w:r>
          </w:p>
        </w:tc>
        <w:tc>
          <w:tcPr>
            <w:tcW w:w="195" w:type="dxa"/>
            <w:tcBorders>
              <w:top w:val="nil"/>
              <w:left w:val="nil"/>
              <w:bottom w:val="nil"/>
              <w:right w:val="nil"/>
            </w:tcBorders>
            <w:shd w:val="clear" w:color="000000" w:fill="FFFFFF"/>
            <w:noWrap/>
            <w:vAlign w:val="center"/>
            <w:hideMark/>
          </w:tcPr>
          <w:p w14:paraId="2A506B9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53672CD6"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31C10651" w14:textId="77777777" w:rsidR="00F64523" w:rsidRPr="00092E33" w:rsidRDefault="00F64523" w:rsidP="00F64523">
            <w:pPr>
              <w:spacing w:after="0"/>
              <w:jc w:val="both"/>
              <w:rPr>
                <w:rFonts w:ascii="Times New Roman" w:hAnsi="Times New Roman" w:cs="Times New Roman"/>
                <w:color w:val="000000"/>
                <w:lang w:eastAsia="es-AR"/>
              </w:rPr>
            </w:pPr>
            <w:proofErr w:type="gramStart"/>
            <w:r w:rsidRPr="00092E33">
              <w:rPr>
                <w:rFonts w:ascii="Times New Roman" w:hAnsi="Times New Roman" w:cs="Times New Roman"/>
                <w:color w:val="000000"/>
                <w:lang w:eastAsia="es-AR"/>
              </w:rPr>
              <w:t>Total</w:t>
            </w:r>
            <w:proofErr w:type="gramEnd"/>
            <w:r w:rsidRPr="00092E33">
              <w:rPr>
                <w:rFonts w:ascii="Times New Roman" w:hAnsi="Times New Roman" w:cs="Times New Roman"/>
                <w:color w:val="000000"/>
                <w:lang w:eastAsia="es-AR"/>
              </w:rPr>
              <w:t xml:space="preserve"> del activo</w:t>
            </w:r>
          </w:p>
        </w:tc>
        <w:tc>
          <w:tcPr>
            <w:tcW w:w="1530" w:type="dxa"/>
            <w:gridSpan w:val="2"/>
            <w:tcBorders>
              <w:top w:val="nil"/>
              <w:left w:val="nil"/>
              <w:bottom w:val="nil"/>
              <w:right w:val="nil"/>
            </w:tcBorders>
            <w:shd w:val="clear" w:color="000000" w:fill="FFFFFF"/>
            <w:noWrap/>
            <w:vAlign w:val="center"/>
            <w:hideMark/>
          </w:tcPr>
          <w:p w14:paraId="551C157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10.837.766 </w:t>
            </w:r>
          </w:p>
        </w:tc>
        <w:tc>
          <w:tcPr>
            <w:tcW w:w="1530" w:type="dxa"/>
            <w:gridSpan w:val="2"/>
            <w:tcBorders>
              <w:top w:val="nil"/>
              <w:left w:val="nil"/>
              <w:bottom w:val="nil"/>
              <w:right w:val="nil"/>
            </w:tcBorders>
            <w:shd w:val="clear" w:color="000000" w:fill="FFFFFF"/>
            <w:noWrap/>
            <w:vAlign w:val="center"/>
            <w:hideMark/>
          </w:tcPr>
          <w:p w14:paraId="3170270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5.904.101 </w:t>
            </w:r>
          </w:p>
        </w:tc>
        <w:tc>
          <w:tcPr>
            <w:tcW w:w="1230" w:type="dxa"/>
            <w:gridSpan w:val="3"/>
            <w:tcBorders>
              <w:top w:val="nil"/>
              <w:left w:val="nil"/>
              <w:bottom w:val="nil"/>
              <w:right w:val="nil"/>
            </w:tcBorders>
            <w:shd w:val="clear" w:color="000000" w:fill="FFFFFF"/>
            <w:noWrap/>
            <w:vAlign w:val="center"/>
            <w:hideMark/>
          </w:tcPr>
          <w:p w14:paraId="36955B1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5.086.158 </w:t>
            </w:r>
          </w:p>
        </w:tc>
        <w:tc>
          <w:tcPr>
            <w:tcW w:w="195" w:type="dxa"/>
            <w:tcBorders>
              <w:top w:val="nil"/>
              <w:left w:val="nil"/>
              <w:bottom w:val="nil"/>
              <w:right w:val="nil"/>
            </w:tcBorders>
            <w:shd w:val="clear" w:color="000000" w:fill="FFFFFF"/>
            <w:noWrap/>
            <w:vAlign w:val="center"/>
            <w:hideMark/>
          </w:tcPr>
          <w:p w14:paraId="1AD408E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3F4468F1"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382FE52F" w14:textId="18161D8E" w:rsidR="00F64523" w:rsidRPr="00092E33" w:rsidRDefault="003827B1"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Inmovilización</w:t>
            </w:r>
            <w:r w:rsidR="00F64523" w:rsidRPr="00092E33">
              <w:rPr>
                <w:rFonts w:ascii="Times New Roman" w:hAnsi="Times New Roman" w:cs="Times New Roman"/>
                <w:color w:val="000000"/>
                <w:lang w:eastAsia="es-AR"/>
              </w:rPr>
              <w:t xml:space="preserve"> de capital = Activo no corriente/Total del activo</w:t>
            </w:r>
          </w:p>
        </w:tc>
        <w:tc>
          <w:tcPr>
            <w:tcW w:w="1530" w:type="dxa"/>
            <w:gridSpan w:val="2"/>
            <w:tcBorders>
              <w:top w:val="nil"/>
              <w:left w:val="nil"/>
              <w:bottom w:val="nil"/>
              <w:right w:val="nil"/>
            </w:tcBorders>
            <w:shd w:val="clear" w:color="000000" w:fill="FFFFFF"/>
            <w:noWrap/>
            <w:vAlign w:val="center"/>
            <w:hideMark/>
          </w:tcPr>
          <w:p w14:paraId="207814F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0,03 </w:t>
            </w:r>
          </w:p>
        </w:tc>
        <w:tc>
          <w:tcPr>
            <w:tcW w:w="1530" w:type="dxa"/>
            <w:gridSpan w:val="2"/>
            <w:tcBorders>
              <w:top w:val="nil"/>
              <w:left w:val="nil"/>
              <w:bottom w:val="nil"/>
              <w:right w:val="nil"/>
            </w:tcBorders>
            <w:shd w:val="clear" w:color="000000" w:fill="FFFFFF"/>
            <w:noWrap/>
            <w:vAlign w:val="center"/>
            <w:hideMark/>
          </w:tcPr>
          <w:p w14:paraId="39C8255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0,03 </w:t>
            </w:r>
          </w:p>
        </w:tc>
        <w:tc>
          <w:tcPr>
            <w:tcW w:w="1230" w:type="dxa"/>
            <w:gridSpan w:val="3"/>
            <w:tcBorders>
              <w:top w:val="nil"/>
              <w:left w:val="nil"/>
              <w:bottom w:val="nil"/>
              <w:right w:val="nil"/>
            </w:tcBorders>
            <w:shd w:val="clear" w:color="000000" w:fill="FFFFFF"/>
            <w:noWrap/>
            <w:vAlign w:val="center"/>
            <w:hideMark/>
          </w:tcPr>
          <w:p w14:paraId="4E4E230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0,01 </w:t>
            </w:r>
          </w:p>
        </w:tc>
        <w:tc>
          <w:tcPr>
            <w:tcW w:w="195" w:type="dxa"/>
            <w:tcBorders>
              <w:top w:val="nil"/>
              <w:left w:val="nil"/>
              <w:bottom w:val="nil"/>
              <w:right w:val="nil"/>
            </w:tcBorders>
            <w:shd w:val="clear" w:color="000000" w:fill="FFFFFF"/>
            <w:noWrap/>
            <w:vAlign w:val="center"/>
            <w:hideMark/>
          </w:tcPr>
          <w:p w14:paraId="26A2668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7605E0BB" w14:textId="77777777" w:rsidTr="009E49BA">
        <w:trPr>
          <w:trHeight w:val="315"/>
          <w:jc w:val="center"/>
        </w:trPr>
        <w:tc>
          <w:tcPr>
            <w:tcW w:w="5814" w:type="dxa"/>
            <w:gridSpan w:val="2"/>
            <w:tcBorders>
              <w:top w:val="nil"/>
              <w:left w:val="nil"/>
              <w:bottom w:val="nil"/>
              <w:right w:val="nil"/>
            </w:tcBorders>
            <w:shd w:val="clear" w:color="000000" w:fill="FFFFFF"/>
            <w:noWrap/>
            <w:vAlign w:val="center"/>
            <w:hideMark/>
          </w:tcPr>
          <w:p w14:paraId="3E7AB0D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03DF8A1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31C1679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30" w:type="dxa"/>
            <w:gridSpan w:val="3"/>
            <w:tcBorders>
              <w:top w:val="nil"/>
              <w:left w:val="nil"/>
              <w:bottom w:val="nil"/>
              <w:right w:val="nil"/>
            </w:tcBorders>
            <w:shd w:val="clear" w:color="000000" w:fill="FFFFFF"/>
            <w:noWrap/>
            <w:vAlign w:val="center"/>
            <w:hideMark/>
          </w:tcPr>
          <w:p w14:paraId="63B0513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7E2895C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09BA407F" w14:textId="77777777" w:rsidTr="009E49BA">
        <w:trPr>
          <w:trHeight w:val="315"/>
          <w:jc w:val="center"/>
        </w:trPr>
        <w:tc>
          <w:tcPr>
            <w:tcW w:w="5814"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A8B5B0C"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RENTABILIDAD SOBRE PATRIMONIO</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2F30B19A"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7A1A3D6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230" w:type="dxa"/>
            <w:gridSpan w:val="3"/>
            <w:tcBorders>
              <w:top w:val="single" w:sz="8" w:space="0" w:color="auto"/>
              <w:left w:val="nil"/>
              <w:bottom w:val="single" w:sz="8" w:space="0" w:color="auto"/>
              <w:right w:val="single" w:sz="8" w:space="0" w:color="auto"/>
            </w:tcBorders>
            <w:shd w:val="clear" w:color="000000" w:fill="FFFFFF"/>
            <w:noWrap/>
            <w:vAlign w:val="center"/>
            <w:hideMark/>
          </w:tcPr>
          <w:p w14:paraId="5BB29E2A"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c>
          <w:tcPr>
            <w:tcW w:w="195" w:type="dxa"/>
            <w:tcBorders>
              <w:top w:val="nil"/>
              <w:left w:val="nil"/>
              <w:bottom w:val="nil"/>
              <w:right w:val="nil"/>
            </w:tcBorders>
            <w:shd w:val="clear" w:color="000000" w:fill="FFFFFF"/>
            <w:noWrap/>
            <w:vAlign w:val="center"/>
            <w:hideMark/>
          </w:tcPr>
          <w:p w14:paraId="6E6A93F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70540261" w14:textId="77777777" w:rsidTr="009E49BA">
        <w:trPr>
          <w:trHeight w:val="510"/>
          <w:jc w:val="center"/>
        </w:trPr>
        <w:tc>
          <w:tcPr>
            <w:tcW w:w="5814" w:type="dxa"/>
            <w:gridSpan w:val="2"/>
            <w:tcBorders>
              <w:top w:val="nil"/>
              <w:left w:val="nil"/>
              <w:bottom w:val="nil"/>
              <w:right w:val="nil"/>
            </w:tcBorders>
            <w:shd w:val="clear" w:color="000000" w:fill="FFFFFF"/>
            <w:noWrap/>
            <w:vAlign w:val="center"/>
            <w:hideMark/>
          </w:tcPr>
          <w:p w14:paraId="4949079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Rentabilidad sobre patrimonio = Resultado del periodo/Patrimonio Neto</w:t>
            </w:r>
          </w:p>
        </w:tc>
        <w:tc>
          <w:tcPr>
            <w:tcW w:w="1530" w:type="dxa"/>
            <w:gridSpan w:val="2"/>
            <w:tcBorders>
              <w:top w:val="nil"/>
              <w:left w:val="nil"/>
              <w:bottom w:val="nil"/>
              <w:right w:val="nil"/>
            </w:tcBorders>
            <w:shd w:val="clear" w:color="000000" w:fill="FFFFFF"/>
            <w:noWrap/>
            <w:vAlign w:val="center"/>
            <w:hideMark/>
          </w:tcPr>
          <w:p w14:paraId="11B5730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0,34 </w:t>
            </w:r>
          </w:p>
        </w:tc>
        <w:tc>
          <w:tcPr>
            <w:tcW w:w="1530" w:type="dxa"/>
            <w:gridSpan w:val="2"/>
            <w:tcBorders>
              <w:top w:val="nil"/>
              <w:left w:val="nil"/>
              <w:bottom w:val="nil"/>
              <w:right w:val="nil"/>
            </w:tcBorders>
            <w:shd w:val="clear" w:color="000000" w:fill="FFFFFF"/>
            <w:noWrap/>
            <w:vAlign w:val="center"/>
            <w:hideMark/>
          </w:tcPr>
          <w:p w14:paraId="790A32A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(1,71) </w:t>
            </w:r>
          </w:p>
        </w:tc>
        <w:tc>
          <w:tcPr>
            <w:tcW w:w="1230" w:type="dxa"/>
            <w:gridSpan w:val="3"/>
            <w:tcBorders>
              <w:top w:val="nil"/>
              <w:left w:val="nil"/>
              <w:bottom w:val="nil"/>
              <w:right w:val="nil"/>
            </w:tcBorders>
            <w:shd w:val="clear" w:color="000000" w:fill="FFFFFF"/>
            <w:noWrap/>
            <w:vAlign w:val="center"/>
            <w:hideMark/>
          </w:tcPr>
          <w:p w14:paraId="1745EE1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(0,54) </w:t>
            </w:r>
          </w:p>
        </w:tc>
        <w:tc>
          <w:tcPr>
            <w:tcW w:w="195" w:type="dxa"/>
            <w:tcBorders>
              <w:top w:val="nil"/>
              <w:left w:val="nil"/>
              <w:bottom w:val="nil"/>
              <w:right w:val="nil"/>
            </w:tcBorders>
            <w:shd w:val="clear" w:color="000000" w:fill="FFFFFF"/>
            <w:noWrap/>
            <w:vAlign w:val="center"/>
            <w:hideMark/>
          </w:tcPr>
          <w:p w14:paraId="70CC7FE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50C37FD" w14:textId="77777777" w:rsidTr="009E49BA">
        <w:trPr>
          <w:trHeight w:val="315"/>
          <w:jc w:val="center"/>
        </w:trPr>
        <w:tc>
          <w:tcPr>
            <w:tcW w:w="5814" w:type="dxa"/>
            <w:gridSpan w:val="2"/>
            <w:tcBorders>
              <w:top w:val="nil"/>
              <w:left w:val="nil"/>
              <w:bottom w:val="nil"/>
              <w:right w:val="nil"/>
            </w:tcBorders>
            <w:shd w:val="clear" w:color="000000" w:fill="FFFFFF"/>
            <w:noWrap/>
            <w:vAlign w:val="center"/>
            <w:hideMark/>
          </w:tcPr>
          <w:p w14:paraId="61EC437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3FE417C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2C71CD78"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30" w:type="dxa"/>
            <w:gridSpan w:val="3"/>
            <w:tcBorders>
              <w:top w:val="nil"/>
              <w:left w:val="nil"/>
              <w:bottom w:val="nil"/>
              <w:right w:val="nil"/>
            </w:tcBorders>
            <w:shd w:val="clear" w:color="000000" w:fill="FFFFFF"/>
            <w:noWrap/>
            <w:vAlign w:val="center"/>
            <w:hideMark/>
          </w:tcPr>
          <w:p w14:paraId="24E43EB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6346252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7D303EB0" w14:textId="77777777" w:rsidTr="009E49BA">
        <w:trPr>
          <w:trHeight w:val="315"/>
          <w:jc w:val="center"/>
        </w:trPr>
        <w:tc>
          <w:tcPr>
            <w:tcW w:w="5814"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0CCB131"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lastRenderedPageBreak/>
              <w:t>ENDEUDAMIENTO</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17B654D5"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48E1336A"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230" w:type="dxa"/>
            <w:gridSpan w:val="3"/>
            <w:tcBorders>
              <w:top w:val="single" w:sz="8" w:space="0" w:color="auto"/>
              <w:left w:val="nil"/>
              <w:bottom w:val="single" w:sz="8" w:space="0" w:color="auto"/>
              <w:right w:val="single" w:sz="8" w:space="0" w:color="auto"/>
            </w:tcBorders>
            <w:shd w:val="clear" w:color="000000" w:fill="FFFFFF"/>
            <w:noWrap/>
            <w:vAlign w:val="center"/>
            <w:hideMark/>
          </w:tcPr>
          <w:p w14:paraId="027E40A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c>
          <w:tcPr>
            <w:tcW w:w="195" w:type="dxa"/>
            <w:tcBorders>
              <w:top w:val="nil"/>
              <w:left w:val="nil"/>
              <w:bottom w:val="nil"/>
              <w:right w:val="nil"/>
            </w:tcBorders>
            <w:shd w:val="clear" w:color="000000" w:fill="FFFFFF"/>
            <w:noWrap/>
            <w:vAlign w:val="center"/>
            <w:hideMark/>
          </w:tcPr>
          <w:p w14:paraId="408303A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01F6CE42"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3EE1E40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Pasivo total</w:t>
            </w:r>
          </w:p>
        </w:tc>
        <w:tc>
          <w:tcPr>
            <w:tcW w:w="1530" w:type="dxa"/>
            <w:gridSpan w:val="2"/>
            <w:tcBorders>
              <w:top w:val="nil"/>
              <w:left w:val="nil"/>
              <w:bottom w:val="nil"/>
              <w:right w:val="nil"/>
            </w:tcBorders>
            <w:shd w:val="clear" w:color="000000" w:fill="FFFFFF"/>
            <w:noWrap/>
            <w:vAlign w:val="center"/>
            <w:hideMark/>
          </w:tcPr>
          <w:p w14:paraId="7AF6487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10.220.695 </w:t>
            </w:r>
          </w:p>
        </w:tc>
        <w:tc>
          <w:tcPr>
            <w:tcW w:w="1530" w:type="dxa"/>
            <w:gridSpan w:val="2"/>
            <w:tcBorders>
              <w:top w:val="nil"/>
              <w:left w:val="nil"/>
              <w:bottom w:val="nil"/>
              <w:right w:val="nil"/>
            </w:tcBorders>
            <w:shd w:val="clear" w:color="000000" w:fill="FFFFFF"/>
            <w:noWrap/>
            <w:vAlign w:val="center"/>
            <w:hideMark/>
          </w:tcPr>
          <w:p w14:paraId="55461E1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5.766.706 </w:t>
            </w:r>
          </w:p>
        </w:tc>
        <w:tc>
          <w:tcPr>
            <w:tcW w:w="1230" w:type="dxa"/>
            <w:gridSpan w:val="3"/>
            <w:tcBorders>
              <w:top w:val="nil"/>
              <w:left w:val="nil"/>
              <w:bottom w:val="nil"/>
              <w:right w:val="nil"/>
            </w:tcBorders>
            <w:shd w:val="clear" w:color="000000" w:fill="FFFFFF"/>
            <w:noWrap/>
            <w:vAlign w:val="center"/>
            <w:hideMark/>
          </w:tcPr>
          <w:p w14:paraId="7DFC7EA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4.907.944 </w:t>
            </w:r>
          </w:p>
        </w:tc>
        <w:tc>
          <w:tcPr>
            <w:tcW w:w="195" w:type="dxa"/>
            <w:tcBorders>
              <w:top w:val="nil"/>
              <w:left w:val="nil"/>
              <w:bottom w:val="nil"/>
              <w:right w:val="nil"/>
            </w:tcBorders>
            <w:shd w:val="clear" w:color="000000" w:fill="FFFFFF"/>
            <w:noWrap/>
            <w:vAlign w:val="center"/>
            <w:hideMark/>
          </w:tcPr>
          <w:p w14:paraId="5A942FB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333A70D5"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7453607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Patrimonio Neto</w:t>
            </w:r>
          </w:p>
        </w:tc>
        <w:tc>
          <w:tcPr>
            <w:tcW w:w="1530" w:type="dxa"/>
            <w:gridSpan w:val="2"/>
            <w:tcBorders>
              <w:top w:val="nil"/>
              <w:left w:val="nil"/>
              <w:bottom w:val="nil"/>
              <w:right w:val="nil"/>
            </w:tcBorders>
            <w:shd w:val="clear" w:color="000000" w:fill="FFFFFF"/>
            <w:noWrap/>
            <w:vAlign w:val="center"/>
            <w:hideMark/>
          </w:tcPr>
          <w:p w14:paraId="3DA9833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617.071 </w:t>
            </w:r>
          </w:p>
        </w:tc>
        <w:tc>
          <w:tcPr>
            <w:tcW w:w="1530" w:type="dxa"/>
            <w:gridSpan w:val="2"/>
            <w:tcBorders>
              <w:top w:val="nil"/>
              <w:left w:val="nil"/>
              <w:bottom w:val="nil"/>
              <w:right w:val="nil"/>
            </w:tcBorders>
            <w:shd w:val="clear" w:color="000000" w:fill="FFFFFF"/>
            <w:noWrap/>
            <w:vAlign w:val="center"/>
            <w:hideMark/>
          </w:tcPr>
          <w:p w14:paraId="2B1AA8D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137.395 </w:t>
            </w:r>
          </w:p>
        </w:tc>
        <w:tc>
          <w:tcPr>
            <w:tcW w:w="1230" w:type="dxa"/>
            <w:gridSpan w:val="3"/>
            <w:tcBorders>
              <w:top w:val="nil"/>
              <w:left w:val="nil"/>
              <w:bottom w:val="nil"/>
              <w:right w:val="nil"/>
            </w:tcBorders>
            <w:shd w:val="clear" w:color="000000" w:fill="FFFFFF"/>
            <w:noWrap/>
            <w:vAlign w:val="center"/>
            <w:hideMark/>
          </w:tcPr>
          <w:p w14:paraId="38CD441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178.214 </w:t>
            </w:r>
          </w:p>
        </w:tc>
        <w:tc>
          <w:tcPr>
            <w:tcW w:w="195" w:type="dxa"/>
            <w:tcBorders>
              <w:top w:val="nil"/>
              <w:left w:val="nil"/>
              <w:bottom w:val="nil"/>
              <w:right w:val="nil"/>
            </w:tcBorders>
            <w:shd w:val="clear" w:color="000000" w:fill="FFFFFF"/>
            <w:noWrap/>
            <w:vAlign w:val="center"/>
            <w:hideMark/>
          </w:tcPr>
          <w:p w14:paraId="35B9C80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5B550341"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6407642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Endeudamiento = Pasivo total / Patrimonio Neto</w:t>
            </w:r>
          </w:p>
        </w:tc>
        <w:tc>
          <w:tcPr>
            <w:tcW w:w="1530" w:type="dxa"/>
            <w:gridSpan w:val="2"/>
            <w:tcBorders>
              <w:top w:val="nil"/>
              <w:left w:val="nil"/>
              <w:bottom w:val="nil"/>
              <w:right w:val="nil"/>
            </w:tcBorders>
            <w:shd w:val="clear" w:color="000000" w:fill="FFFFFF"/>
            <w:noWrap/>
            <w:vAlign w:val="center"/>
            <w:hideMark/>
          </w:tcPr>
          <w:p w14:paraId="0A995481"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16,56 </w:t>
            </w:r>
          </w:p>
        </w:tc>
        <w:tc>
          <w:tcPr>
            <w:tcW w:w="1530" w:type="dxa"/>
            <w:gridSpan w:val="2"/>
            <w:tcBorders>
              <w:top w:val="nil"/>
              <w:left w:val="nil"/>
              <w:bottom w:val="nil"/>
              <w:right w:val="nil"/>
            </w:tcBorders>
            <w:shd w:val="clear" w:color="000000" w:fill="FFFFFF"/>
            <w:noWrap/>
            <w:vAlign w:val="center"/>
            <w:hideMark/>
          </w:tcPr>
          <w:p w14:paraId="374B9EC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41,97 </w:t>
            </w:r>
          </w:p>
        </w:tc>
        <w:tc>
          <w:tcPr>
            <w:tcW w:w="1230" w:type="dxa"/>
            <w:gridSpan w:val="3"/>
            <w:tcBorders>
              <w:top w:val="nil"/>
              <w:left w:val="nil"/>
              <w:bottom w:val="nil"/>
              <w:right w:val="nil"/>
            </w:tcBorders>
            <w:shd w:val="clear" w:color="000000" w:fill="FFFFFF"/>
            <w:noWrap/>
            <w:vAlign w:val="center"/>
            <w:hideMark/>
          </w:tcPr>
          <w:p w14:paraId="6B16D77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27,54 </w:t>
            </w:r>
          </w:p>
        </w:tc>
        <w:tc>
          <w:tcPr>
            <w:tcW w:w="195" w:type="dxa"/>
            <w:tcBorders>
              <w:top w:val="nil"/>
              <w:left w:val="nil"/>
              <w:bottom w:val="nil"/>
              <w:right w:val="nil"/>
            </w:tcBorders>
            <w:shd w:val="clear" w:color="000000" w:fill="FFFFFF"/>
            <w:noWrap/>
            <w:vAlign w:val="center"/>
            <w:hideMark/>
          </w:tcPr>
          <w:p w14:paraId="6654B94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21A0A036" w14:textId="77777777" w:rsidTr="009E49BA">
        <w:trPr>
          <w:trHeight w:val="315"/>
          <w:jc w:val="center"/>
        </w:trPr>
        <w:tc>
          <w:tcPr>
            <w:tcW w:w="5814" w:type="dxa"/>
            <w:gridSpan w:val="2"/>
            <w:tcBorders>
              <w:top w:val="nil"/>
              <w:left w:val="nil"/>
              <w:bottom w:val="nil"/>
              <w:right w:val="nil"/>
            </w:tcBorders>
            <w:shd w:val="clear" w:color="000000" w:fill="FFFFFF"/>
            <w:noWrap/>
            <w:vAlign w:val="center"/>
            <w:hideMark/>
          </w:tcPr>
          <w:p w14:paraId="676AB75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04097A6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7AAA62F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30" w:type="dxa"/>
            <w:gridSpan w:val="3"/>
            <w:tcBorders>
              <w:top w:val="nil"/>
              <w:left w:val="nil"/>
              <w:bottom w:val="nil"/>
              <w:right w:val="nil"/>
            </w:tcBorders>
            <w:shd w:val="clear" w:color="000000" w:fill="FFFFFF"/>
            <w:noWrap/>
            <w:vAlign w:val="center"/>
            <w:hideMark/>
          </w:tcPr>
          <w:p w14:paraId="75A28BF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77E1846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7022A2DA" w14:textId="77777777" w:rsidTr="009E49BA">
        <w:trPr>
          <w:trHeight w:val="315"/>
          <w:jc w:val="center"/>
        </w:trPr>
        <w:tc>
          <w:tcPr>
            <w:tcW w:w="5814"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2A2EEDCB"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ENDEUDAMIENTO A CORTO PLAZO</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656544BC"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790ABEC7"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230" w:type="dxa"/>
            <w:gridSpan w:val="3"/>
            <w:tcBorders>
              <w:top w:val="single" w:sz="8" w:space="0" w:color="auto"/>
              <w:left w:val="nil"/>
              <w:bottom w:val="single" w:sz="8" w:space="0" w:color="auto"/>
              <w:right w:val="single" w:sz="8" w:space="0" w:color="auto"/>
            </w:tcBorders>
            <w:shd w:val="clear" w:color="000000" w:fill="FFFFFF"/>
            <w:noWrap/>
            <w:vAlign w:val="center"/>
            <w:hideMark/>
          </w:tcPr>
          <w:p w14:paraId="2C45DA5F"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c>
          <w:tcPr>
            <w:tcW w:w="195" w:type="dxa"/>
            <w:tcBorders>
              <w:top w:val="nil"/>
              <w:left w:val="nil"/>
              <w:bottom w:val="nil"/>
              <w:right w:val="nil"/>
            </w:tcBorders>
            <w:shd w:val="clear" w:color="000000" w:fill="FFFFFF"/>
            <w:noWrap/>
            <w:vAlign w:val="center"/>
            <w:hideMark/>
          </w:tcPr>
          <w:p w14:paraId="0ED72E9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44C9ACD0"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7BCE832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Pasivo corriente</w:t>
            </w:r>
          </w:p>
        </w:tc>
        <w:tc>
          <w:tcPr>
            <w:tcW w:w="1530" w:type="dxa"/>
            <w:gridSpan w:val="2"/>
            <w:tcBorders>
              <w:top w:val="nil"/>
              <w:left w:val="nil"/>
              <w:bottom w:val="nil"/>
              <w:right w:val="nil"/>
            </w:tcBorders>
            <w:shd w:val="clear" w:color="000000" w:fill="FFFFFF"/>
            <w:noWrap/>
            <w:vAlign w:val="center"/>
            <w:hideMark/>
          </w:tcPr>
          <w:p w14:paraId="3C8A2FA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9.816.783 </w:t>
            </w:r>
          </w:p>
        </w:tc>
        <w:tc>
          <w:tcPr>
            <w:tcW w:w="1530" w:type="dxa"/>
            <w:gridSpan w:val="2"/>
            <w:tcBorders>
              <w:top w:val="nil"/>
              <w:left w:val="nil"/>
              <w:bottom w:val="nil"/>
              <w:right w:val="nil"/>
            </w:tcBorders>
            <w:shd w:val="clear" w:color="000000" w:fill="FFFFFF"/>
            <w:noWrap/>
            <w:vAlign w:val="center"/>
            <w:hideMark/>
          </w:tcPr>
          <w:p w14:paraId="1C540F3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5.530.611 </w:t>
            </w:r>
          </w:p>
        </w:tc>
        <w:tc>
          <w:tcPr>
            <w:tcW w:w="1230" w:type="dxa"/>
            <w:gridSpan w:val="3"/>
            <w:tcBorders>
              <w:top w:val="nil"/>
              <w:left w:val="nil"/>
              <w:bottom w:val="nil"/>
              <w:right w:val="nil"/>
            </w:tcBorders>
            <w:shd w:val="clear" w:color="000000" w:fill="FFFFFF"/>
            <w:noWrap/>
            <w:vAlign w:val="center"/>
            <w:hideMark/>
          </w:tcPr>
          <w:p w14:paraId="5FD76A45"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4.633.182 </w:t>
            </w:r>
          </w:p>
        </w:tc>
        <w:tc>
          <w:tcPr>
            <w:tcW w:w="195" w:type="dxa"/>
            <w:tcBorders>
              <w:top w:val="nil"/>
              <w:left w:val="nil"/>
              <w:bottom w:val="nil"/>
              <w:right w:val="nil"/>
            </w:tcBorders>
            <w:shd w:val="clear" w:color="000000" w:fill="FFFFFF"/>
            <w:noWrap/>
            <w:vAlign w:val="center"/>
            <w:hideMark/>
          </w:tcPr>
          <w:p w14:paraId="6614BDF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1DE86B22"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07F784D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Patrimonio Neto</w:t>
            </w:r>
          </w:p>
        </w:tc>
        <w:tc>
          <w:tcPr>
            <w:tcW w:w="1530" w:type="dxa"/>
            <w:gridSpan w:val="2"/>
            <w:tcBorders>
              <w:top w:val="nil"/>
              <w:left w:val="nil"/>
              <w:bottom w:val="nil"/>
              <w:right w:val="nil"/>
            </w:tcBorders>
            <w:shd w:val="clear" w:color="000000" w:fill="FFFFFF"/>
            <w:noWrap/>
            <w:vAlign w:val="center"/>
            <w:hideMark/>
          </w:tcPr>
          <w:p w14:paraId="3DB0582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617.071 </w:t>
            </w:r>
          </w:p>
        </w:tc>
        <w:tc>
          <w:tcPr>
            <w:tcW w:w="1530" w:type="dxa"/>
            <w:gridSpan w:val="2"/>
            <w:tcBorders>
              <w:top w:val="nil"/>
              <w:left w:val="nil"/>
              <w:bottom w:val="nil"/>
              <w:right w:val="nil"/>
            </w:tcBorders>
            <w:shd w:val="clear" w:color="000000" w:fill="FFFFFF"/>
            <w:noWrap/>
            <w:vAlign w:val="center"/>
            <w:hideMark/>
          </w:tcPr>
          <w:p w14:paraId="313238B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137.395 </w:t>
            </w:r>
          </w:p>
        </w:tc>
        <w:tc>
          <w:tcPr>
            <w:tcW w:w="1230" w:type="dxa"/>
            <w:gridSpan w:val="3"/>
            <w:tcBorders>
              <w:top w:val="nil"/>
              <w:left w:val="nil"/>
              <w:bottom w:val="nil"/>
              <w:right w:val="nil"/>
            </w:tcBorders>
            <w:shd w:val="clear" w:color="000000" w:fill="FFFFFF"/>
            <w:noWrap/>
            <w:vAlign w:val="center"/>
            <w:hideMark/>
          </w:tcPr>
          <w:p w14:paraId="6EB6A3F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178.214 </w:t>
            </w:r>
          </w:p>
        </w:tc>
        <w:tc>
          <w:tcPr>
            <w:tcW w:w="195" w:type="dxa"/>
            <w:tcBorders>
              <w:top w:val="nil"/>
              <w:left w:val="nil"/>
              <w:bottom w:val="nil"/>
              <w:right w:val="nil"/>
            </w:tcBorders>
            <w:shd w:val="clear" w:color="000000" w:fill="FFFFFF"/>
            <w:noWrap/>
            <w:vAlign w:val="center"/>
            <w:hideMark/>
          </w:tcPr>
          <w:p w14:paraId="6FBC17C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71F445C8"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7862C25A"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Endeudamiento a corto plazo = Pasivo total / Patrimonio Neto</w:t>
            </w:r>
          </w:p>
        </w:tc>
        <w:tc>
          <w:tcPr>
            <w:tcW w:w="1530" w:type="dxa"/>
            <w:gridSpan w:val="2"/>
            <w:tcBorders>
              <w:top w:val="nil"/>
              <w:left w:val="nil"/>
              <w:bottom w:val="nil"/>
              <w:right w:val="nil"/>
            </w:tcBorders>
            <w:shd w:val="clear" w:color="000000" w:fill="FFFFFF"/>
            <w:noWrap/>
            <w:vAlign w:val="center"/>
            <w:hideMark/>
          </w:tcPr>
          <w:p w14:paraId="7FC6F01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15,91 </w:t>
            </w:r>
          </w:p>
        </w:tc>
        <w:tc>
          <w:tcPr>
            <w:tcW w:w="1530" w:type="dxa"/>
            <w:gridSpan w:val="2"/>
            <w:tcBorders>
              <w:top w:val="nil"/>
              <w:left w:val="nil"/>
              <w:bottom w:val="nil"/>
              <w:right w:val="nil"/>
            </w:tcBorders>
            <w:shd w:val="clear" w:color="000000" w:fill="FFFFFF"/>
            <w:noWrap/>
            <w:vAlign w:val="center"/>
            <w:hideMark/>
          </w:tcPr>
          <w:p w14:paraId="0DF5130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40,25 </w:t>
            </w:r>
          </w:p>
        </w:tc>
        <w:tc>
          <w:tcPr>
            <w:tcW w:w="1230" w:type="dxa"/>
            <w:gridSpan w:val="3"/>
            <w:tcBorders>
              <w:top w:val="nil"/>
              <w:left w:val="nil"/>
              <w:bottom w:val="nil"/>
              <w:right w:val="nil"/>
            </w:tcBorders>
            <w:shd w:val="clear" w:color="000000" w:fill="FFFFFF"/>
            <w:noWrap/>
            <w:vAlign w:val="center"/>
            <w:hideMark/>
          </w:tcPr>
          <w:p w14:paraId="0DE6917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26,00 </w:t>
            </w:r>
          </w:p>
        </w:tc>
        <w:tc>
          <w:tcPr>
            <w:tcW w:w="195" w:type="dxa"/>
            <w:tcBorders>
              <w:top w:val="nil"/>
              <w:left w:val="nil"/>
              <w:bottom w:val="nil"/>
              <w:right w:val="nil"/>
            </w:tcBorders>
            <w:shd w:val="clear" w:color="000000" w:fill="FFFFFF"/>
            <w:noWrap/>
            <w:vAlign w:val="center"/>
            <w:hideMark/>
          </w:tcPr>
          <w:p w14:paraId="61681B82"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4D472369" w14:textId="77777777" w:rsidTr="009E49BA">
        <w:trPr>
          <w:trHeight w:val="315"/>
          <w:jc w:val="center"/>
        </w:trPr>
        <w:tc>
          <w:tcPr>
            <w:tcW w:w="5814" w:type="dxa"/>
            <w:gridSpan w:val="2"/>
            <w:tcBorders>
              <w:top w:val="nil"/>
              <w:left w:val="nil"/>
              <w:bottom w:val="nil"/>
              <w:right w:val="nil"/>
            </w:tcBorders>
            <w:shd w:val="clear" w:color="000000" w:fill="FFFFFF"/>
            <w:noWrap/>
            <w:vAlign w:val="center"/>
            <w:hideMark/>
          </w:tcPr>
          <w:p w14:paraId="4325F7A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229A8E06"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530" w:type="dxa"/>
            <w:gridSpan w:val="2"/>
            <w:tcBorders>
              <w:top w:val="nil"/>
              <w:left w:val="nil"/>
              <w:bottom w:val="nil"/>
              <w:right w:val="nil"/>
            </w:tcBorders>
            <w:shd w:val="clear" w:color="000000" w:fill="FFFFFF"/>
            <w:noWrap/>
            <w:vAlign w:val="center"/>
            <w:hideMark/>
          </w:tcPr>
          <w:p w14:paraId="1E47332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230" w:type="dxa"/>
            <w:gridSpan w:val="3"/>
            <w:tcBorders>
              <w:top w:val="nil"/>
              <w:left w:val="nil"/>
              <w:bottom w:val="nil"/>
              <w:right w:val="nil"/>
            </w:tcBorders>
            <w:shd w:val="clear" w:color="000000" w:fill="FFFFFF"/>
            <w:noWrap/>
            <w:vAlign w:val="center"/>
            <w:hideMark/>
          </w:tcPr>
          <w:p w14:paraId="2C832BA0"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c>
          <w:tcPr>
            <w:tcW w:w="195" w:type="dxa"/>
            <w:tcBorders>
              <w:top w:val="nil"/>
              <w:left w:val="nil"/>
              <w:bottom w:val="nil"/>
              <w:right w:val="nil"/>
            </w:tcBorders>
            <w:shd w:val="clear" w:color="000000" w:fill="FFFFFF"/>
            <w:noWrap/>
            <w:vAlign w:val="center"/>
            <w:hideMark/>
          </w:tcPr>
          <w:p w14:paraId="3F2D70A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06315C5A" w14:textId="77777777" w:rsidTr="009E49BA">
        <w:trPr>
          <w:trHeight w:val="315"/>
          <w:jc w:val="center"/>
        </w:trPr>
        <w:tc>
          <w:tcPr>
            <w:tcW w:w="5814" w:type="dxa"/>
            <w:gridSpan w:val="2"/>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D265933"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APALANCAMIENTO</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0338BC25"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31/12/2019</w:t>
            </w:r>
          </w:p>
        </w:tc>
        <w:tc>
          <w:tcPr>
            <w:tcW w:w="1530" w:type="dxa"/>
            <w:gridSpan w:val="2"/>
            <w:tcBorders>
              <w:top w:val="single" w:sz="8" w:space="0" w:color="auto"/>
              <w:left w:val="nil"/>
              <w:bottom w:val="single" w:sz="8" w:space="0" w:color="auto"/>
              <w:right w:val="single" w:sz="8" w:space="0" w:color="auto"/>
            </w:tcBorders>
            <w:shd w:val="clear" w:color="000000" w:fill="FFFFFF"/>
            <w:noWrap/>
            <w:vAlign w:val="center"/>
            <w:hideMark/>
          </w:tcPr>
          <w:p w14:paraId="329676EA"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31/12/2018</w:t>
            </w:r>
          </w:p>
        </w:tc>
        <w:tc>
          <w:tcPr>
            <w:tcW w:w="1230" w:type="dxa"/>
            <w:gridSpan w:val="3"/>
            <w:tcBorders>
              <w:top w:val="single" w:sz="8" w:space="0" w:color="auto"/>
              <w:left w:val="nil"/>
              <w:bottom w:val="single" w:sz="8" w:space="0" w:color="auto"/>
              <w:right w:val="single" w:sz="8" w:space="0" w:color="auto"/>
            </w:tcBorders>
            <w:shd w:val="clear" w:color="000000" w:fill="FFFFFF"/>
            <w:noWrap/>
            <w:vAlign w:val="center"/>
            <w:hideMark/>
          </w:tcPr>
          <w:p w14:paraId="515CAD93" w14:textId="77777777" w:rsidR="00F64523" w:rsidRPr="00092E33" w:rsidRDefault="00F64523" w:rsidP="00F64523">
            <w:pPr>
              <w:spacing w:after="0"/>
              <w:jc w:val="both"/>
              <w:rPr>
                <w:rFonts w:ascii="Times New Roman" w:hAnsi="Times New Roman" w:cs="Times New Roman"/>
                <w:b/>
                <w:bCs/>
                <w:color w:val="000000"/>
                <w:lang w:eastAsia="es-AR"/>
              </w:rPr>
            </w:pPr>
            <w:r w:rsidRPr="00092E33">
              <w:rPr>
                <w:rFonts w:ascii="Times New Roman" w:hAnsi="Times New Roman" w:cs="Times New Roman"/>
                <w:b/>
                <w:bCs/>
                <w:color w:val="000000"/>
                <w:lang w:eastAsia="es-AR"/>
              </w:rPr>
              <w:t>31/12/2017</w:t>
            </w:r>
          </w:p>
        </w:tc>
        <w:tc>
          <w:tcPr>
            <w:tcW w:w="195" w:type="dxa"/>
            <w:tcBorders>
              <w:top w:val="nil"/>
              <w:left w:val="nil"/>
              <w:bottom w:val="nil"/>
              <w:right w:val="nil"/>
            </w:tcBorders>
            <w:shd w:val="clear" w:color="000000" w:fill="FFFFFF"/>
            <w:noWrap/>
            <w:vAlign w:val="center"/>
            <w:hideMark/>
          </w:tcPr>
          <w:p w14:paraId="6B7BC49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5D02CDE1"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2EB0A27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Activo total</w:t>
            </w:r>
          </w:p>
        </w:tc>
        <w:tc>
          <w:tcPr>
            <w:tcW w:w="1530" w:type="dxa"/>
            <w:gridSpan w:val="2"/>
            <w:tcBorders>
              <w:top w:val="nil"/>
              <w:left w:val="nil"/>
              <w:bottom w:val="nil"/>
              <w:right w:val="nil"/>
            </w:tcBorders>
            <w:shd w:val="clear" w:color="000000" w:fill="FFFFFF"/>
            <w:noWrap/>
            <w:vAlign w:val="center"/>
            <w:hideMark/>
          </w:tcPr>
          <w:p w14:paraId="49558ACB"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10.837.766 </w:t>
            </w:r>
          </w:p>
        </w:tc>
        <w:tc>
          <w:tcPr>
            <w:tcW w:w="1530" w:type="dxa"/>
            <w:gridSpan w:val="2"/>
            <w:tcBorders>
              <w:top w:val="nil"/>
              <w:left w:val="nil"/>
              <w:bottom w:val="nil"/>
              <w:right w:val="nil"/>
            </w:tcBorders>
            <w:shd w:val="clear" w:color="000000" w:fill="FFFFFF"/>
            <w:noWrap/>
            <w:vAlign w:val="center"/>
            <w:hideMark/>
          </w:tcPr>
          <w:p w14:paraId="71BA663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5.904.101 </w:t>
            </w:r>
          </w:p>
        </w:tc>
        <w:tc>
          <w:tcPr>
            <w:tcW w:w="1230" w:type="dxa"/>
            <w:gridSpan w:val="3"/>
            <w:tcBorders>
              <w:top w:val="nil"/>
              <w:left w:val="nil"/>
              <w:bottom w:val="nil"/>
              <w:right w:val="nil"/>
            </w:tcBorders>
            <w:shd w:val="clear" w:color="000000" w:fill="FFFFFF"/>
            <w:noWrap/>
            <w:vAlign w:val="center"/>
            <w:hideMark/>
          </w:tcPr>
          <w:p w14:paraId="16F0F97F"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5.086.158 </w:t>
            </w:r>
          </w:p>
        </w:tc>
        <w:tc>
          <w:tcPr>
            <w:tcW w:w="195" w:type="dxa"/>
            <w:tcBorders>
              <w:top w:val="nil"/>
              <w:left w:val="nil"/>
              <w:bottom w:val="nil"/>
              <w:right w:val="nil"/>
            </w:tcBorders>
            <w:shd w:val="clear" w:color="000000" w:fill="FFFFFF"/>
            <w:noWrap/>
            <w:vAlign w:val="center"/>
            <w:hideMark/>
          </w:tcPr>
          <w:p w14:paraId="35A02D9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566AE21F"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4FA1158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Patrimonio Neto</w:t>
            </w:r>
          </w:p>
        </w:tc>
        <w:tc>
          <w:tcPr>
            <w:tcW w:w="1530" w:type="dxa"/>
            <w:gridSpan w:val="2"/>
            <w:tcBorders>
              <w:top w:val="nil"/>
              <w:left w:val="nil"/>
              <w:bottom w:val="nil"/>
              <w:right w:val="nil"/>
            </w:tcBorders>
            <w:shd w:val="clear" w:color="000000" w:fill="FFFFFF"/>
            <w:noWrap/>
            <w:vAlign w:val="center"/>
            <w:hideMark/>
          </w:tcPr>
          <w:p w14:paraId="71C34E8E"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617.071 </w:t>
            </w:r>
          </w:p>
        </w:tc>
        <w:tc>
          <w:tcPr>
            <w:tcW w:w="1530" w:type="dxa"/>
            <w:gridSpan w:val="2"/>
            <w:tcBorders>
              <w:top w:val="nil"/>
              <w:left w:val="nil"/>
              <w:bottom w:val="nil"/>
              <w:right w:val="nil"/>
            </w:tcBorders>
            <w:shd w:val="clear" w:color="000000" w:fill="FFFFFF"/>
            <w:noWrap/>
            <w:vAlign w:val="center"/>
            <w:hideMark/>
          </w:tcPr>
          <w:p w14:paraId="6CA9831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137.395 </w:t>
            </w:r>
          </w:p>
        </w:tc>
        <w:tc>
          <w:tcPr>
            <w:tcW w:w="1230" w:type="dxa"/>
            <w:gridSpan w:val="3"/>
            <w:tcBorders>
              <w:top w:val="nil"/>
              <w:left w:val="nil"/>
              <w:bottom w:val="nil"/>
              <w:right w:val="nil"/>
            </w:tcBorders>
            <w:shd w:val="clear" w:color="000000" w:fill="FFFFFF"/>
            <w:noWrap/>
            <w:vAlign w:val="center"/>
            <w:hideMark/>
          </w:tcPr>
          <w:p w14:paraId="3E17CE2C"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178.214 </w:t>
            </w:r>
          </w:p>
        </w:tc>
        <w:tc>
          <w:tcPr>
            <w:tcW w:w="195" w:type="dxa"/>
            <w:tcBorders>
              <w:top w:val="nil"/>
              <w:left w:val="nil"/>
              <w:bottom w:val="nil"/>
              <w:right w:val="nil"/>
            </w:tcBorders>
            <w:shd w:val="clear" w:color="000000" w:fill="FFFFFF"/>
            <w:noWrap/>
            <w:vAlign w:val="center"/>
            <w:hideMark/>
          </w:tcPr>
          <w:p w14:paraId="324D3159"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tr w:rsidR="00F64523" w:rsidRPr="00092E33" w14:paraId="7FD8F3AC" w14:textId="77777777" w:rsidTr="009E49BA">
        <w:trPr>
          <w:trHeight w:val="255"/>
          <w:jc w:val="center"/>
        </w:trPr>
        <w:tc>
          <w:tcPr>
            <w:tcW w:w="5814" w:type="dxa"/>
            <w:gridSpan w:val="2"/>
            <w:tcBorders>
              <w:top w:val="nil"/>
              <w:left w:val="nil"/>
              <w:bottom w:val="nil"/>
              <w:right w:val="nil"/>
            </w:tcBorders>
            <w:shd w:val="clear" w:color="000000" w:fill="FFFFFF"/>
            <w:noWrap/>
            <w:vAlign w:val="center"/>
            <w:hideMark/>
          </w:tcPr>
          <w:p w14:paraId="5D71A157"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Apalancamiento = Activo total / Patrimonio Neto</w:t>
            </w:r>
          </w:p>
        </w:tc>
        <w:tc>
          <w:tcPr>
            <w:tcW w:w="1530" w:type="dxa"/>
            <w:gridSpan w:val="2"/>
            <w:tcBorders>
              <w:top w:val="nil"/>
              <w:left w:val="nil"/>
              <w:bottom w:val="nil"/>
              <w:right w:val="nil"/>
            </w:tcBorders>
            <w:shd w:val="clear" w:color="000000" w:fill="FFFFFF"/>
            <w:noWrap/>
            <w:vAlign w:val="center"/>
            <w:hideMark/>
          </w:tcPr>
          <w:p w14:paraId="6B477DE4"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17,56 </w:t>
            </w:r>
          </w:p>
        </w:tc>
        <w:tc>
          <w:tcPr>
            <w:tcW w:w="1530" w:type="dxa"/>
            <w:gridSpan w:val="2"/>
            <w:tcBorders>
              <w:top w:val="nil"/>
              <w:left w:val="nil"/>
              <w:bottom w:val="nil"/>
              <w:right w:val="nil"/>
            </w:tcBorders>
            <w:shd w:val="clear" w:color="000000" w:fill="FFFFFF"/>
            <w:noWrap/>
            <w:vAlign w:val="center"/>
            <w:hideMark/>
          </w:tcPr>
          <w:p w14:paraId="30B5744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42,97 </w:t>
            </w:r>
          </w:p>
        </w:tc>
        <w:tc>
          <w:tcPr>
            <w:tcW w:w="1230" w:type="dxa"/>
            <w:gridSpan w:val="3"/>
            <w:tcBorders>
              <w:top w:val="nil"/>
              <w:left w:val="nil"/>
              <w:bottom w:val="nil"/>
              <w:right w:val="nil"/>
            </w:tcBorders>
            <w:shd w:val="clear" w:color="000000" w:fill="FFFFFF"/>
            <w:noWrap/>
            <w:vAlign w:val="center"/>
            <w:hideMark/>
          </w:tcPr>
          <w:p w14:paraId="3C39FF7D"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xml:space="preserve">               28,54 </w:t>
            </w:r>
          </w:p>
        </w:tc>
        <w:tc>
          <w:tcPr>
            <w:tcW w:w="195" w:type="dxa"/>
            <w:tcBorders>
              <w:top w:val="nil"/>
              <w:left w:val="nil"/>
              <w:bottom w:val="nil"/>
              <w:right w:val="nil"/>
            </w:tcBorders>
            <w:shd w:val="clear" w:color="000000" w:fill="FFFFFF"/>
            <w:noWrap/>
            <w:vAlign w:val="center"/>
            <w:hideMark/>
          </w:tcPr>
          <w:p w14:paraId="180B2D63" w14:textId="77777777" w:rsidR="00F64523" w:rsidRPr="00092E33" w:rsidRDefault="00F64523" w:rsidP="00F64523">
            <w:pPr>
              <w:spacing w:after="0"/>
              <w:jc w:val="both"/>
              <w:rPr>
                <w:rFonts w:ascii="Times New Roman" w:hAnsi="Times New Roman" w:cs="Times New Roman"/>
                <w:color w:val="000000"/>
                <w:lang w:eastAsia="es-AR"/>
              </w:rPr>
            </w:pPr>
            <w:r w:rsidRPr="00092E33">
              <w:rPr>
                <w:rFonts w:ascii="Times New Roman" w:hAnsi="Times New Roman" w:cs="Times New Roman"/>
                <w:color w:val="000000"/>
                <w:lang w:eastAsia="es-AR"/>
              </w:rPr>
              <w:t> </w:t>
            </w:r>
          </w:p>
        </w:tc>
      </w:tr>
      <w:bookmarkEnd w:id="13"/>
    </w:tbl>
    <w:p w14:paraId="4108FCFA" w14:textId="77777777" w:rsidR="00F64523" w:rsidRPr="00092E33" w:rsidRDefault="00F64523" w:rsidP="00F64523">
      <w:pPr>
        <w:spacing w:after="0" w:line="220" w:lineRule="exact"/>
        <w:jc w:val="both"/>
        <w:rPr>
          <w:rFonts w:ascii="Times New Roman" w:hAnsi="Times New Roman" w:cs="Times New Roman"/>
          <w:b/>
          <w:u w:val="single"/>
        </w:rPr>
      </w:pPr>
    </w:p>
    <w:p w14:paraId="10DDE774" w14:textId="77777777" w:rsidR="00F64523" w:rsidRPr="00092E33" w:rsidRDefault="00F64523" w:rsidP="00F64523">
      <w:pPr>
        <w:spacing w:after="0" w:line="220" w:lineRule="exact"/>
        <w:jc w:val="both"/>
        <w:rPr>
          <w:rFonts w:ascii="Times New Roman" w:hAnsi="Times New Roman" w:cs="Times New Roman"/>
          <w:b/>
          <w:u w:val="single"/>
        </w:rPr>
      </w:pPr>
    </w:p>
    <w:p w14:paraId="2C04FE72" w14:textId="77777777" w:rsidR="00F64523" w:rsidRPr="00092E33" w:rsidRDefault="00F64523" w:rsidP="00F64523">
      <w:pPr>
        <w:spacing w:after="0" w:line="220" w:lineRule="exact"/>
        <w:jc w:val="both"/>
        <w:rPr>
          <w:rFonts w:ascii="Times New Roman" w:hAnsi="Times New Roman" w:cs="Times New Roman"/>
          <w:b/>
          <w:u w:val="single"/>
        </w:rPr>
      </w:pPr>
    </w:p>
    <w:p w14:paraId="56A222D2"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b/>
        </w:rPr>
      </w:pPr>
      <w:r w:rsidRPr="00092E33">
        <w:rPr>
          <w:rFonts w:ascii="Times New Roman" w:hAnsi="Times New Roman" w:cs="Times New Roman"/>
          <w:b/>
        </w:rPr>
        <w:t>6 – OBJETIVOS Y PERSPECTIVAS DEL SIGUIENTE EJERCICIO</w:t>
      </w:r>
    </w:p>
    <w:p w14:paraId="251EB01A"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b/>
        </w:rPr>
      </w:pPr>
    </w:p>
    <w:p w14:paraId="255698CF"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La Sociedad tiene como objetivo del siguiente ejercicio, mantener sus inversiones en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xml:space="preserve"> y analizar la posibilidad de nuevas inversiones o negocios financieros de corto plazo.</w:t>
      </w:r>
    </w:p>
    <w:p w14:paraId="0630FBFE"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203FFAFE"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518CB332" w14:textId="77777777" w:rsidR="00F64523" w:rsidRPr="00092E33" w:rsidRDefault="00F64523" w:rsidP="00F64523">
      <w:pPr>
        <w:spacing w:after="0"/>
        <w:jc w:val="both"/>
        <w:rPr>
          <w:rFonts w:ascii="Times New Roman" w:hAnsi="Times New Roman" w:cs="Times New Roman"/>
          <w:b/>
        </w:rPr>
      </w:pPr>
      <w:r w:rsidRPr="00092E33">
        <w:rPr>
          <w:rFonts w:ascii="Times New Roman" w:hAnsi="Times New Roman" w:cs="Times New Roman"/>
          <w:b/>
        </w:rPr>
        <w:t>7 – ESTRUCTURA Y ORGANIZACION</w:t>
      </w:r>
    </w:p>
    <w:p w14:paraId="1DC36599" w14:textId="77777777" w:rsidR="00F64523" w:rsidRPr="00092E33" w:rsidRDefault="00F64523" w:rsidP="00F64523">
      <w:pPr>
        <w:spacing w:after="0" w:line="200" w:lineRule="exact"/>
        <w:jc w:val="both"/>
        <w:rPr>
          <w:rFonts w:ascii="Times New Roman" w:hAnsi="Times New Roman" w:cs="Times New Roman"/>
        </w:rPr>
      </w:pPr>
    </w:p>
    <w:p w14:paraId="6C1D6FA7" w14:textId="77777777" w:rsidR="00F64523" w:rsidRPr="00092E33" w:rsidRDefault="00F64523" w:rsidP="00F64523">
      <w:pPr>
        <w:spacing w:after="0" w:line="200" w:lineRule="exact"/>
        <w:jc w:val="both"/>
        <w:rPr>
          <w:rFonts w:ascii="Times New Roman" w:hAnsi="Times New Roman" w:cs="Times New Roman"/>
          <w:b/>
          <w:i/>
        </w:rPr>
      </w:pPr>
      <w:r w:rsidRPr="00092E33">
        <w:rPr>
          <w:rFonts w:ascii="Times New Roman" w:hAnsi="Times New Roman" w:cs="Times New Roman"/>
          <w:b/>
          <w:i/>
        </w:rPr>
        <w:t>7.1. – Aspectos Generales</w:t>
      </w:r>
    </w:p>
    <w:p w14:paraId="4051480A"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0945708B"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La Sociedad como tal, a partir del ejercicio 2014 cuenta con una estructura administrativa reducida, atendiendo las actividades de inversión de acuerdo con los lineamientos establecidos por la Dirección de la Sociedad.</w:t>
      </w:r>
    </w:p>
    <w:p w14:paraId="47FB2DDB" w14:textId="77777777" w:rsidR="00F64523" w:rsidRPr="00092E33" w:rsidRDefault="00F64523" w:rsidP="00F64523">
      <w:pPr>
        <w:spacing w:after="0" w:line="200" w:lineRule="exact"/>
        <w:jc w:val="both"/>
        <w:rPr>
          <w:rFonts w:ascii="Times New Roman" w:hAnsi="Times New Roman" w:cs="Times New Roman"/>
          <w:lang w:eastAsia="es-ES"/>
        </w:rPr>
      </w:pPr>
    </w:p>
    <w:p w14:paraId="0A1B0E97" w14:textId="77777777" w:rsidR="00F64523" w:rsidRPr="00092E33" w:rsidRDefault="00F64523" w:rsidP="00F64523">
      <w:pPr>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El grupo económico del cual forma parte la Sociedad ha iniciado, durante el año 2017, un proceso de consolidación de la operación de las sociedades vinculadas y relacionadas que lo integran. </w:t>
      </w:r>
      <w:r w:rsidRPr="00092E33">
        <w:rPr>
          <w:rFonts w:ascii="Times New Roman" w:hAnsi="Times New Roman" w:cs="Times New Roman"/>
          <w:lang w:eastAsia="es-ES"/>
        </w:rPr>
        <w:br/>
      </w:r>
      <w:r w:rsidRPr="00092E33">
        <w:rPr>
          <w:rFonts w:ascii="Times New Roman" w:hAnsi="Times New Roman" w:cs="Times New Roman"/>
          <w:lang w:eastAsia="es-ES"/>
        </w:rPr>
        <w:br/>
        <w:t xml:space="preserve">El proceso en el cual se está avanzando es liderado por </w:t>
      </w:r>
      <w:proofErr w:type="spellStart"/>
      <w:r w:rsidRPr="00092E33">
        <w:rPr>
          <w:rFonts w:ascii="Times New Roman" w:hAnsi="Times New Roman" w:cs="Times New Roman"/>
          <w:lang w:eastAsia="es-ES"/>
        </w:rPr>
        <w:t>gST</w:t>
      </w:r>
      <w:proofErr w:type="spellEnd"/>
      <w:r w:rsidRPr="00092E33">
        <w:rPr>
          <w:rFonts w:ascii="Times New Roman" w:hAnsi="Times New Roman" w:cs="Times New Roman"/>
          <w:lang w:eastAsia="es-ES"/>
        </w:rPr>
        <w:t xml:space="preserve">, y tiene como finalidad el reordenamiento societario y la profundización de los planes de negocios de las compañías que forman parte del grupo económico y que desarrollan actividades financieras y de seguros. </w:t>
      </w:r>
    </w:p>
    <w:p w14:paraId="4B0B7D23" w14:textId="77777777" w:rsidR="00F64523" w:rsidRPr="00092E33" w:rsidRDefault="00F64523" w:rsidP="00F64523">
      <w:pPr>
        <w:spacing w:after="0" w:line="200" w:lineRule="exact"/>
        <w:jc w:val="both"/>
        <w:rPr>
          <w:rFonts w:ascii="Times New Roman" w:hAnsi="Times New Roman" w:cs="Times New Roman"/>
          <w:lang w:eastAsia="es-ES"/>
        </w:rPr>
      </w:pPr>
    </w:p>
    <w:p w14:paraId="12CC9018" w14:textId="77777777" w:rsidR="00F64523" w:rsidRPr="00092E33" w:rsidRDefault="00F64523" w:rsidP="00F64523">
      <w:pPr>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Con fecha 29 de junio de 2017 el Directorio de la Sociedad ha designado a la Sra. Isela Angélica Costantini en el cargo de Gerente General a fin de liderar un proceso de reordenamiento societario de las compañías que forman parte del grupo económico. </w:t>
      </w:r>
    </w:p>
    <w:p w14:paraId="4CC09D2B"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rPr>
      </w:pPr>
    </w:p>
    <w:p w14:paraId="145A5A28" w14:textId="77777777" w:rsidR="00F64523" w:rsidRPr="00092E33" w:rsidRDefault="00F64523" w:rsidP="00F64523">
      <w:pPr>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Al 31 de diciembre de 2019 la Sociedad contaba con un total de 3 (tres) personas en relación de dependencia.</w:t>
      </w:r>
    </w:p>
    <w:p w14:paraId="69417AB5"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b/>
          <w:i/>
        </w:rPr>
      </w:pPr>
    </w:p>
    <w:p w14:paraId="100D6B37" w14:textId="77777777" w:rsidR="00F64523" w:rsidRPr="00092E33" w:rsidRDefault="00F64523" w:rsidP="00F64523">
      <w:pPr>
        <w:spacing w:after="0" w:line="200" w:lineRule="exact"/>
        <w:jc w:val="both"/>
        <w:rPr>
          <w:rFonts w:ascii="Times New Roman" w:hAnsi="Times New Roman" w:cs="Times New Roman"/>
          <w:b/>
          <w:i/>
        </w:rPr>
      </w:pPr>
      <w:r w:rsidRPr="00092E33">
        <w:rPr>
          <w:rFonts w:ascii="Times New Roman" w:hAnsi="Times New Roman" w:cs="Times New Roman"/>
          <w:b/>
          <w:i/>
        </w:rPr>
        <w:t>7.2. Política ambiental</w:t>
      </w:r>
    </w:p>
    <w:p w14:paraId="6DD6E150"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678EAD13"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Respecto de la política ambiental o de sustentabilidad, la Sociedad no cuenta con políticas y/o indicadores de desempeño en dicha materia.  Sin perjuicio de ello, y en el marco del desarrollo de políticas tendientes a implementar acciones de Responsabilidad Social y Ambiental, </w:t>
      </w:r>
      <w:proofErr w:type="spellStart"/>
      <w:r w:rsidRPr="00092E33">
        <w:rPr>
          <w:rFonts w:ascii="Times New Roman" w:hAnsi="Times New Roman" w:cs="Times New Roman"/>
          <w:lang w:eastAsia="es-ES"/>
        </w:rPr>
        <w:t>gST</w:t>
      </w:r>
      <w:proofErr w:type="spellEnd"/>
      <w:r w:rsidRPr="00092E33">
        <w:rPr>
          <w:rFonts w:ascii="Times New Roman" w:hAnsi="Times New Roman" w:cs="Times New Roman"/>
          <w:lang w:eastAsia="es-ES"/>
        </w:rPr>
        <w:t xml:space="preserve"> adhiere, al igual que su subsidiaria </w:t>
      </w:r>
      <w:proofErr w:type="spellStart"/>
      <w:r w:rsidRPr="00092E33">
        <w:rPr>
          <w:rFonts w:ascii="Times New Roman" w:hAnsi="Times New Roman" w:cs="Times New Roman"/>
          <w:lang w:eastAsia="es-ES"/>
        </w:rPr>
        <w:t>bST</w:t>
      </w:r>
      <w:proofErr w:type="spellEnd"/>
      <w:r w:rsidRPr="00092E33">
        <w:rPr>
          <w:rFonts w:ascii="Times New Roman" w:hAnsi="Times New Roman" w:cs="Times New Roman"/>
          <w:lang w:eastAsia="es-ES"/>
        </w:rPr>
        <w:t>, a pautas para la reducción del consumo de papel y energías no renovables, así como también a edificios libres de humo.</w:t>
      </w:r>
    </w:p>
    <w:p w14:paraId="6792AB36" w14:textId="77777777" w:rsidR="00F64523" w:rsidRPr="00092E33" w:rsidRDefault="00F64523" w:rsidP="00F64523">
      <w:pPr>
        <w:spacing w:after="0" w:line="200" w:lineRule="exact"/>
        <w:jc w:val="both"/>
        <w:rPr>
          <w:rFonts w:ascii="Times New Roman" w:hAnsi="Times New Roman" w:cs="Times New Roman"/>
          <w:b/>
          <w:i/>
        </w:rPr>
      </w:pPr>
    </w:p>
    <w:p w14:paraId="00BF1362" w14:textId="77777777" w:rsidR="00F64523" w:rsidRPr="00092E33" w:rsidRDefault="00F64523" w:rsidP="00F64523">
      <w:pPr>
        <w:spacing w:after="0" w:line="200" w:lineRule="exact"/>
        <w:jc w:val="both"/>
        <w:rPr>
          <w:rFonts w:ascii="Times New Roman" w:hAnsi="Times New Roman" w:cs="Times New Roman"/>
          <w:b/>
          <w:i/>
        </w:rPr>
      </w:pPr>
      <w:r w:rsidRPr="00092E33">
        <w:rPr>
          <w:rFonts w:ascii="Times New Roman" w:hAnsi="Times New Roman" w:cs="Times New Roman"/>
          <w:b/>
          <w:i/>
        </w:rPr>
        <w:t>7.3. Sociedades Vinculadas</w:t>
      </w:r>
    </w:p>
    <w:p w14:paraId="3D574522"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5803FB79"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Dentro del conjunto económico, es decir las sociedades controladas y vinculadas, se encuentran las siguientes sociedades con estructura propia:</w:t>
      </w:r>
    </w:p>
    <w:p w14:paraId="2BD33942"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61486CD2"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Vinculadas como Accionistas de esta Sociedad:</w:t>
      </w:r>
    </w:p>
    <w:p w14:paraId="328397F2"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7D68E8B7" w14:textId="77777777" w:rsidR="00F64523" w:rsidRPr="00092E33" w:rsidRDefault="00F64523" w:rsidP="00F64523">
      <w:pPr>
        <w:pStyle w:val="Prrafodelista"/>
        <w:tabs>
          <w:tab w:val="clear" w:pos="7920"/>
          <w:tab w:val="clear" w:pos="9720"/>
        </w:tabs>
        <w:spacing w:line="200" w:lineRule="exact"/>
        <w:ind w:left="1004"/>
        <w:rPr>
          <w:rFonts w:ascii="Times New Roman" w:hAnsi="Times New Roman" w:cs="Times New Roman"/>
          <w:sz w:val="22"/>
          <w:szCs w:val="22"/>
        </w:rPr>
      </w:pPr>
    </w:p>
    <w:p w14:paraId="3CB4B176" w14:textId="77777777" w:rsidR="00F64523" w:rsidRPr="00092E33" w:rsidRDefault="00F64523" w:rsidP="00F64523">
      <w:pPr>
        <w:pStyle w:val="Prrafodelista"/>
        <w:numPr>
          <w:ilvl w:val="0"/>
          <w:numId w:val="2"/>
        </w:numPr>
        <w:tabs>
          <w:tab w:val="clear" w:pos="7920"/>
          <w:tab w:val="clear" w:pos="9720"/>
        </w:tabs>
        <w:spacing w:line="200" w:lineRule="exact"/>
        <w:rPr>
          <w:rFonts w:ascii="Times New Roman" w:hAnsi="Times New Roman" w:cs="Times New Roman"/>
          <w:sz w:val="22"/>
          <w:szCs w:val="22"/>
          <w:lang w:val="en-US"/>
        </w:rPr>
      </w:pPr>
      <w:r w:rsidRPr="00092E33">
        <w:rPr>
          <w:rFonts w:ascii="Times New Roman" w:hAnsi="Times New Roman" w:cs="Times New Roman"/>
          <w:sz w:val="22"/>
          <w:szCs w:val="22"/>
          <w:lang w:val="en-US"/>
        </w:rPr>
        <w:t xml:space="preserve">ST </w:t>
      </w:r>
      <w:proofErr w:type="spellStart"/>
      <w:r w:rsidRPr="00092E33">
        <w:rPr>
          <w:rFonts w:ascii="Times New Roman" w:hAnsi="Times New Roman" w:cs="Times New Roman"/>
          <w:sz w:val="22"/>
          <w:szCs w:val="22"/>
          <w:lang w:val="en-US"/>
        </w:rPr>
        <w:t>Inversiones</w:t>
      </w:r>
      <w:proofErr w:type="spellEnd"/>
      <w:r w:rsidRPr="00092E33">
        <w:rPr>
          <w:rFonts w:ascii="Times New Roman" w:hAnsi="Times New Roman" w:cs="Times New Roman"/>
          <w:sz w:val="22"/>
          <w:szCs w:val="22"/>
          <w:lang w:val="en-US"/>
        </w:rPr>
        <w:t xml:space="preserve"> S.A. </w:t>
      </w:r>
      <w:r w:rsidRPr="00092E33">
        <w:rPr>
          <w:rFonts w:ascii="Times New Roman" w:hAnsi="Times New Roman" w:cs="Times New Roman"/>
          <w:b/>
          <w:i/>
          <w:sz w:val="22"/>
          <w:szCs w:val="22"/>
          <w:lang w:val="en-US"/>
        </w:rPr>
        <w:t>(</w:t>
      </w:r>
      <w:proofErr w:type="spellStart"/>
      <w:r w:rsidRPr="00092E33">
        <w:rPr>
          <w:rFonts w:ascii="Times New Roman" w:hAnsi="Times New Roman" w:cs="Times New Roman"/>
          <w:b/>
          <w:i/>
          <w:sz w:val="22"/>
          <w:szCs w:val="22"/>
          <w:lang w:val="en-US"/>
        </w:rPr>
        <w:t>i</w:t>
      </w:r>
      <w:proofErr w:type="spellEnd"/>
      <w:r w:rsidRPr="00092E33">
        <w:rPr>
          <w:rFonts w:ascii="Times New Roman" w:hAnsi="Times New Roman" w:cs="Times New Roman"/>
          <w:b/>
          <w:i/>
          <w:sz w:val="22"/>
          <w:szCs w:val="22"/>
          <w:lang w:val="en-US"/>
        </w:rPr>
        <w:t>)</w:t>
      </w:r>
    </w:p>
    <w:p w14:paraId="7B08D4CE" w14:textId="77777777" w:rsidR="00F64523" w:rsidRPr="00092E33" w:rsidRDefault="00F64523" w:rsidP="00F64523">
      <w:pPr>
        <w:spacing w:after="0" w:line="200" w:lineRule="exact"/>
        <w:jc w:val="both"/>
        <w:rPr>
          <w:rFonts w:ascii="Times New Roman" w:hAnsi="Times New Roman" w:cs="Times New Roman"/>
          <w:lang w:val="en-US"/>
        </w:rPr>
      </w:pPr>
    </w:p>
    <w:p w14:paraId="1CD8D3FB" w14:textId="77777777" w:rsidR="00F64523" w:rsidRPr="00092E33" w:rsidRDefault="00F64523" w:rsidP="00F64523">
      <w:pPr>
        <w:pStyle w:val="Prrafodelista"/>
        <w:numPr>
          <w:ilvl w:val="0"/>
          <w:numId w:val="2"/>
        </w:numPr>
        <w:tabs>
          <w:tab w:val="clear" w:pos="7920"/>
          <w:tab w:val="clear" w:pos="9720"/>
        </w:tabs>
        <w:spacing w:line="200" w:lineRule="exact"/>
        <w:rPr>
          <w:rFonts w:ascii="Times New Roman" w:hAnsi="Times New Roman" w:cs="Times New Roman"/>
          <w:sz w:val="22"/>
          <w:szCs w:val="22"/>
        </w:rPr>
      </w:pPr>
      <w:proofErr w:type="spellStart"/>
      <w:r w:rsidRPr="00092E33">
        <w:rPr>
          <w:rFonts w:ascii="Times New Roman" w:hAnsi="Times New Roman" w:cs="Times New Roman"/>
          <w:sz w:val="22"/>
          <w:szCs w:val="22"/>
        </w:rPr>
        <w:t>Abus</w:t>
      </w:r>
      <w:proofErr w:type="spellEnd"/>
      <w:r w:rsidRPr="00092E33">
        <w:rPr>
          <w:rFonts w:ascii="Times New Roman" w:hAnsi="Times New Roman" w:cs="Times New Roman"/>
          <w:sz w:val="22"/>
          <w:szCs w:val="22"/>
        </w:rPr>
        <w:t xml:space="preserve"> Las Américas I S.A. </w:t>
      </w:r>
      <w:r w:rsidRPr="00092E33">
        <w:rPr>
          <w:rFonts w:ascii="Times New Roman" w:hAnsi="Times New Roman" w:cs="Times New Roman"/>
          <w:b/>
          <w:i/>
          <w:sz w:val="22"/>
          <w:szCs w:val="22"/>
        </w:rPr>
        <w:t>(</w:t>
      </w:r>
      <w:proofErr w:type="spellStart"/>
      <w:r w:rsidRPr="00092E33">
        <w:rPr>
          <w:rFonts w:ascii="Times New Roman" w:hAnsi="Times New Roman" w:cs="Times New Roman"/>
          <w:b/>
          <w:i/>
          <w:sz w:val="22"/>
          <w:szCs w:val="22"/>
        </w:rPr>
        <w:t>ii</w:t>
      </w:r>
      <w:proofErr w:type="spellEnd"/>
      <w:r w:rsidRPr="00092E33">
        <w:rPr>
          <w:rFonts w:ascii="Times New Roman" w:hAnsi="Times New Roman" w:cs="Times New Roman"/>
          <w:b/>
          <w:i/>
          <w:sz w:val="22"/>
          <w:szCs w:val="22"/>
        </w:rPr>
        <w:t>)</w:t>
      </w:r>
    </w:p>
    <w:p w14:paraId="45490273" w14:textId="77777777" w:rsidR="00F64523" w:rsidRPr="00092E33" w:rsidRDefault="00F64523" w:rsidP="00F64523">
      <w:pPr>
        <w:spacing w:after="0" w:line="200" w:lineRule="exact"/>
        <w:jc w:val="both"/>
        <w:rPr>
          <w:rFonts w:ascii="Times New Roman" w:hAnsi="Times New Roman" w:cs="Times New Roman"/>
        </w:rPr>
      </w:pPr>
    </w:p>
    <w:p w14:paraId="1CEFCD72" w14:textId="77777777" w:rsidR="00F64523" w:rsidRPr="00092E33" w:rsidRDefault="00F64523" w:rsidP="00F64523">
      <w:pPr>
        <w:spacing w:after="0" w:line="200" w:lineRule="exact"/>
        <w:jc w:val="both"/>
        <w:rPr>
          <w:rFonts w:ascii="Times New Roman" w:hAnsi="Times New Roman" w:cs="Times New Roman"/>
        </w:rPr>
      </w:pPr>
    </w:p>
    <w:p w14:paraId="36A955D2" w14:textId="77777777" w:rsidR="00F64523" w:rsidRPr="00092E33" w:rsidRDefault="00F64523" w:rsidP="00F64523">
      <w:pPr>
        <w:spacing w:after="0" w:line="200" w:lineRule="exact"/>
        <w:jc w:val="both"/>
        <w:rPr>
          <w:rFonts w:ascii="Times New Roman" w:hAnsi="Times New Roman" w:cs="Times New Roman"/>
        </w:rPr>
      </w:pPr>
      <w:r w:rsidRPr="00092E33">
        <w:rPr>
          <w:rFonts w:ascii="Times New Roman" w:hAnsi="Times New Roman" w:cs="Times New Roman"/>
        </w:rPr>
        <w:lastRenderedPageBreak/>
        <w:t>Sociedades controladas:</w:t>
      </w:r>
    </w:p>
    <w:p w14:paraId="194E371A" w14:textId="77777777" w:rsidR="00F64523" w:rsidRPr="00092E33" w:rsidRDefault="00F64523" w:rsidP="00F64523">
      <w:pPr>
        <w:spacing w:after="0" w:line="200" w:lineRule="exact"/>
        <w:jc w:val="both"/>
        <w:rPr>
          <w:rFonts w:ascii="Times New Roman" w:hAnsi="Times New Roman" w:cs="Times New Roman"/>
        </w:rPr>
      </w:pPr>
    </w:p>
    <w:p w14:paraId="68A4A3CE" w14:textId="77777777" w:rsidR="00F64523" w:rsidRPr="00092E33" w:rsidRDefault="00F64523" w:rsidP="00F64523">
      <w:pPr>
        <w:pStyle w:val="Prrafodelista"/>
        <w:numPr>
          <w:ilvl w:val="0"/>
          <w:numId w:val="3"/>
        </w:numPr>
        <w:tabs>
          <w:tab w:val="clear" w:pos="7920"/>
          <w:tab w:val="clear" w:pos="9720"/>
        </w:tabs>
        <w:spacing w:line="200" w:lineRule="exact"/>
        <w:rPr>
          <w:rFonts w:ascii="Times New Roman" w:hAnsi="Times New Roman" w:cs="Times New Roman"/>
          <w:sz w:val="22"/>
          <w:szCs w:val="22"/>
        </w:rPr>
      </w:pPr>
      <w:r w:rsidRPr="00092E33">
        <w:rPr>
          <w:rFonts w:ascii="Times New Roman" w:hAnsi="Times New Roman" w:cs="Times New Roman"/>
          <w:sz w:val="22"/>
          <w:szCs w:val="22"/>
        </w:rPr>
        <w:t>Banco de Servicios y Transacciones S.A.</w:t>
      </w:r>
    </w:p>
    <w:p w14:paraId="0F2CFAFE" w14:textId="77777777" w:rsidR="00F64523" w:rsidRPr="00092E33" w:rsidRDefault="00F64523" w:rsidP="00F64523">
      <w:pPr>
        <w:pStyle w:val="Prrafodelista"/>
        <w:tabs>
          <w:tab w:val="clear" w:pos="7920"/>
          <w:tab w:val="clear" w:pos="9720"/>
        </w:tabs>
        <w:spacing w:line="200" w:lineRule="exact"/>
        <w:ind w:left="1004"/>
        <w:rPr>
          <w:rFonts w:ascii="Times New Roman" w:hAnsi="Times New Roman" w:cs="Times New Roman"/>
          <w:sz w:val="22"/>
          <w:szCs w:val="22"/>
        </w:rPr>
      </w:pPr>
    </w:p>
    <w:p w14:paraId="4BA59DFE" w14:textId="77777777" w:rsidR="00F64523" w:rsidRPr="00092E33" w:rsidRDefault="00F64523" w:rsidP="00F64523">
      <w:pPr>
        <w:pStyle w:val="Prrafodelista"/>
        <w:numPr>
          <w:ilvl w:val="0"/>
          <w:numId w:val="3"/>
        </w:numPr>
        <w:tabs>
          <w:tab w:val="clear" w:pos="7920"/>
          <w:tab w:val="clear" w:pos="9720"/>
        </w:tabs>
        <w:spacing w:line="200" w:lineRule="exact"/>
        <w:rPr>
          <w:rFonts w:ascii="Times New Roman" w:hAnsi="Times New Roman" w:cs="Times New Roman"/>
          <w:sz w:val="22"/>
          <w:szCs w:val="22"/>
        </w:rPr>
      </w:pPr>
      <w:r w:rsidRPr="00092E33">
        <w:rPr>
          <w:rFonts w:ascii="Times New Roman" w:hAnsi="Times New Roman" w:cs="Times New Roman"/>
          <w:sz w:val="22"/>
          <w:szCs w:val="22"/>
        </w:rPr>
        <w:t xml:space="preserve">Tecevall S.A. (Antes Tecevall Agente de Valores S.A.) </w:t>
      </w:r>
      <w:r w:rsidRPr="00092E33">
        <w:rPr>
          <w:rFonts w:ascii="Times New Roman" w:hAnsi="Times New Roman" w:cs="Times New Roman"/>
          <w:b/>
          <w:i/>
          <w:sz w:val="22"/>
          <w:szCs w:val="22"/>
        </w:rPr>
        <w:t>(</w:t>
      </w:r>
      <w:proofErr w:type="spellStart"/>
      <w:r w:rsidRPr="00092E33">
        <w:rPr>
          <w:rFonts w:ascii="Times New Roman" w:hAnsi="Times New Roman" w:cs="Times New Roman"/>
          <w:b/>
          <w:i/>
          <w:sz w:val="22"/>
          <w:szCs w:val="22"/>
        </w:rPr>
        <w:t>iii</w:t>
      </w:r>
      <w:proofErr w:type="spellEnd"/>
      <w:r w:rsidRPr="00092E33">
        <w:rPr>
          <w:rFonts w:ascii="Times New Roman" w:hAnsi="Times New Roman" w:cs="Times New Roman"/>
          <w:b/>
          <w:i/>
          <w:sz w:val="22"/>
          <w:szCs w:val="22"/>
        </w:rPr>
        <w:t>)</w:t>
      </w:r>
    </w:p>
    <w:p w14:paraId="2BAAEA33" w14:textId="77777777" w:rsidR="00F64523" w:rsidRPr="00092E33" w:rsidRDefault="00F64523" w:rsidP="00F64523">
      <w:pPr>
        <w:spacing w:after="0" w:line="200" w:lineRule="exact"/>
        <w:ind w:left="284"/>
        <w:jc w:val="both"/>
        <w:rPr>
          <w:rFonts w:ascii="Times New Roman" w:hAnsi="Times New Roman" w:cs="Times New Roman"/>
        </w:rPr>
      </w:pPr>
    </w:p>
    <w:p w14:paraId="56E76098" w14:textId="77777777" w:rsidR="00F64523" w:rsidRPr="00092E33" w:rsidRDefault="00F64523" w:rsidP="00F64523">
      <w:pPr>
        <w:spacing w:after="0" w:line="200" w:lineRule="exact"/>
        <w:jc w:val="both"/>
        <w:rPr>
          <w:rFonts w:ascii="Times New Roman" w:hAnsi="Times New Roman" w:cs="Times New Roman"/>
        </w:rPr>
      </w:pPr>
    </w:p>
    <w:p w14:paraId="05719EA9" w14:textId="77777777" w:rsidR="00F64523" w:rsidRPr="00092E33" w:rsidRDefault="00F64523" w:rsidP="00F64523">
      <w:pPr>
        <w:spacing w:after="0" w:line="200" w:lineRule="exact"/>
        <w:jc w:val="both"/>
        <w:rPr>
          <w:rFonts w:ascii="Times New Roman" w:hAnsi="Times New Roman" w:cs="Times New Roman"/>
        </w:rPr>
      </w:pPr>
      <w:r w:rsidRPr="00092E33">
        <w:rPr>
          <w:rFonts w:ascii="Times New Roman" w:hAnsi="Times New Roman" w:cs="Times New Roman"/>
          <w:b/>
          <w:i/>
        </w:rPr>
        <w:t>(i)</w:t>
      </w:r>
      <w:r w:rsidRPr="00092E33">
        <w:rPr>
          <w:rFonts w:ascii="Times New Roman" w:hAnsi="Times New Roman" w:cs="Times New Roman"/>
          <w:i/>
        </w:rPr>
        <w:t xml:space="preserve"> El </w:t>
      </w:r>
      <w:r w:rsidRPr="00092E33">
        <w:rPr>
          <w:rFonts w:ascii="Times New Roman" w:hAnsi="Times New Roman" w:cs="Times New Roman"/>
        </w:rPr>
        <w:t xml:space="preserve">24 de noviembre de 2016 la Sociedad fue notificada de la transferencia de 3.829.298 acciones ordinarias, escriturales, Clase B, de valor nominal $1 cada una y cinco votos por acción y que representan el 2,23% del Capital Social y los votos de la Sociedad en poder de Emes </w:t>
      </w:r>
      <w:proofErr w:type="spellStart"/>
      <w:r w:rsidRPr="00092E33">
        <w:rPr>
          <w:rFonts w:ascii="Times New Roman" w:hAnsi="Times New Roman" w:cs="Times New Roman"/>
        </w:rPr>
        <w:t>Finance</w:t>
      </w:r>
      <w:proofErr w:type="spellEnd"/>
      <w:r w:rsidRPr="00092E33">
        <w:rPr>
          <w:rFonts w:ascii="Times New Roman" w:hAnsi="Times New Roman" w:cs="Times New Roman"/>
        </w:rPr>
        <w:t xml:space="preserve"> S.A (antes denominada Dolphin Créditos S.A.) a favor de ST Inversiones S.A.</w:t>
      </w:r>
    </w:p>
    <w:p w14:paraId="72E05B09" w14:textId="77777777" w:rsidR="00F64523" w:rsidRPr="00092E33" w:rsidRDefault="00F64523" w:rsidP="00F64523">
      <w:pPr>
        <w:spacing w:after="0" w:line="200" w:lineRule="exact"/>
        <w:jc w:val="both"/>
        <w:rPr>
          <w:rFonts w:ascii="Times New Roman" w:hAnsi="Times New Roman" w:cs="Times New Roman"/>
          <w:i/>
        </w:rPr>
      </w:pPr>
    </w:p>
    <w:p w14:paraId="24115777" w14:textId="77777777" w:rsidR="00F64523" w:rsidRPr="00092E33" w:rsidRDefault="00F64523" w:rsidP="00F64523">
      <w:pPr>
        <w:spacing w:after="0" w:line="200" w:lineRule="exact"/>
        <w:jc w:val="both"/>
        <w:rPr>
          <w:rFonts w:ascii="Times New Roman" w:hAnsi="Times New Roman" w:cs="Times New Roman"/>
        </w:rPr>
      </w:pPr>
      <w:r w:rsidRPr="00092E33">
        <w:rPr>
          <w:rFonts w:ascii="Times New Roman" w:hAnsi="Times New Roman" w:cs="Times New Roman"/>
        </w:rPr>
        <w:t>El 4 de septiembre de 2018 la Sociedad aceptó, “ad-referéndum” de la aprobación de la Asamblea de Accionistas de la Sociedad, aportes irrevocables por la suma total de $134.528 realizada por ST Inversiones SA.</w:t>
      </w:r>
    </w:p>
    <w:p w14:paraId="485538FC" w14:textId="77777777" w:rsidR="00F64523" w:rsidRPr="00092E33" w:rsidRDefault="00F64523" w:rsidP="00F64523">
      <w:pPr>
        <w:spacing w:after="0" w:line="200" w:lineRule="exact"/>
        <w:jc w:val="both"/>
        <w:rPr>
          <w:rFonts w:ascii="Times New Roman" w:hAnsi="Times New Roman" w:cs="Times New Roman"/>
        </w:rPr>
      </w:pPr>
    </w:p>
    <w:p w14:paraId="087803B3" w14:textId="77777777" w:rsidR="00F64523" w:rsidRPr="00092E33" w:rsidRDefault="00F64523" w:rsidP="00F64523">
      <w:pPr>
        <w:spacing w:after="0" w:line="200" w:lineRule="exact"/>
        <w:jc w:val="both"/>
        <w:rPr>
          <w:rFonts w:ascii="Times New Roman" w:hAnsi="Times New Roman" w:cs="Times New Roman"/>
        </w:rPr>
      </w:pPr>
      <w:r w:rsidRPr="00092E33">
        <w:rPr>
          <w:rFonts w:ascii="Times New Roman" w:hAnsi="Times New Roman" w:cs="Times New Roman"/>
        </w:rPr>
        <w:t>El 21 de diciembre de 2018 en Asamblea General Extraordinaria de la Sociedad se capitalizaron los aportes irrevocables mencionados en el párrafo anterior, suscribiendo ST Inversiones 134.528.304 acciones ordinarias escriturales clase B de $1 valor nominal cada una y con derecho a 5 votos por acción. En esa misma oportunidad se resolvió, adicionalmente, un aumento de capital social por $ 80.000, suscribiendo ST Inversiones S.A. 80.000.000 de acciones ordinarias escriturales clase B de $1valor nominal cada una y con derecho a 5 votos por acción.</w:t>
      </w:r>
    </w:p>
    <w:p w14:paraId="7F32AFEF" w14:textId="77777777" w:rsidR="00F64523" w:rsidRPr="00092E33" w:rsidRDefault="00F64523" w:rsidP="00F64523">
      <w:pPr>
        <w:spacing w:after="0" w:line="200" w:lineRule="exact"/>
        <w:jc w:val="both"/>
        <w:rPr>
          <w:rFonts w:ascii="Times New Roman" w:hAnsi="Times New Roman" w:cs="Times New Roman"/>
        </w:rPr>
      </w:pPr>
    </w:p>
    <w:p w14:paraId="56944FB8" w14:textId="77777777" w:rsidR="00F64523" w:rsidRPr="00092E33" w:rsidRDefault="00F64523" w:rsidP="00F64523">
      <w:pPr>
        <w:spacing w:after="0" w:line="200" w:lineRule="exact"/>
        <w:jc w:val="both"/>
        <w:rPr>
          <w:rFonts w:ascii="Times New Roman" w:hAnsi="Times New Roman" w:cs="Times New Roman"/>
        </w:rPr>
      </w:pPr>
      <w:r w:rsidRPr="00092E33">
        <w:rPr>
          <w:rFonts w:ascii="Times New Roman" w:hAnsi="Times New Roman" w:cs="Times New Roman"/>
        </w:rPr>
        <w:t>Con fechas 28 de diciembre de 2018 y 10 de enero de 2019 la Sociedad aceptó nuevos aportes irrevocables de ST Inversiones S.A. por las sumas de $ 5.000- y $ 28.858- respectivamente, “ad-referéndum” de la aprobación de la Asamblea de Accionistas de la Sociedad, la cual será convocada oportunamente y dentro del plazo legal establecido a tal fin.</w:t>
      </w:r>
    </w:p>
    <w:p w14:paraId="12C33544" w14:textId="77777777" w:rsidR="00F64523" w:rsidRPr="00092E33" w:rsidRDefault="00F64523" w:rsidP="00F64523">
      <w:pPr>
        <w:spacing w:after="0" w:line="200" w:lineRule="exact"/>
        <w:jc w:val="both"/>
        <w:rPr>
          <w:rFonts w:ascii="Times New Roman" w:hAnsi="Times New Roman" w:cs="Times New Roman"/>
        </w:rPr>
      </w:pPr>
    </w:p>
    <w:p w14:paraId="65DF2900" w14:textId="77777777" w:rsidR="00F64523" w:rsidRPr="00092E33" w:rsidRDefault="00F64523" w:rsidP="00F64523">
      <w:pPr>
        <w:spacing w:after="0" w:line="200" w:lineRule="exact"/>
        <w:jc w:val="both"/>
        <w:rPr>
          <w:rFonts w:ascii="Times New Roman" w:hAnsi="Times New Roman" w:cs="Times New Roman"/>
        </w:rPr>
      </w:pPr>
      <w:r w:rsidRPr="00092E33">
        <w:rPr>
          <w:rFonts w:ascii="Times New Roman" w:hAnsi="Times New Roman" w:cs="Times New Roman"/>
        </w:rPr>
        <w:t>El 30 de abril de 2019, la Asamblea General Ordinaria y Extraordinaria de accionistas resolvió desafectar las reservas legales y voluntarias que registra la Sociedad, a fin de absorber parcialmente las pérdidas del ejercicio. Por el remanente de $286.850 se resolvió realizar una reducción del capital social de la Sociedad por esa suma, pasando de $386.200.408 a $99.349.558.</w:t>
      </w:r>
    </w:p>
    <w:p w14:paraId="3D34C0CA" w14:textId="77777777" w:rsidR="00F64523" w:rsidRPr="00092E33" w:rsidRDefault="00F64523" w:rsidP="00F64523">
      <w:pPr>
        <w:spacing w:after="0" w:line="200" w:lineRule="exact"/>
        <w:jc w:val="both"/>
        <w:rPr>
          <w:rFonts w:ascii="Times New Roman" w:hAnsi="Times New Roman" w:cs="Times New Roman"/>
        </w:rPr>
      </w:pPr>
    </w:p>
    <w:p w14:paraId="2BD4CC6B" w14:textId="77777777" w:rsidR="00F64523" w:rsidRPr="00092E33" w:rsidRDefault="00F64523" w:rsidP="00F64523">
      <w:pPr>
        <w:spacing w:after="0" w:line="200" w:lineRule="exact"/>
        <w:jc w:val="both"/>
        <w:rPr>
          <w:rFonts w:ascii="Times New Roman" w:hAnsi="Times New Roman" w:cs="Times New Roman"/>
        </w:rPr>
      </w:pPr>
      <w:r w:rsidRPr="00092E33">
        <w:rPr>
          <w:rFonts w:ascii="Times New Roman" w:hAnsi="Times New Roman" w:cs="Times New Roman"/>
        </w:rPr>
        <w:t>Asimismo, dicha Asamblea aprobó por unanimidad la capitalización de los aportes irrevocables por $ 58.208, efectuados el 21 de diciembre de 2018, 10 de enero de 2019 y 27 de marzo de 2019 de $ 5.000, $ 28.858 y $ 24.350, respectivamente, y la realización de un aumento de capital adicional por hasta la suma de $ 100.000.</w:t>
      </w:r>
    </w:p>
    <w:p w14:paraId="1DB2DFD8" w14:textId="77777777" w:rsidR="00F64523" w:rsidRPr="00092E33" w:rsidRDefault="00F64523" w:rsidP="00F64523">
      <w:pPr>
        <w:spacing w:after="0" w:line="200" w:lineRule="exact"/>
        <w:jc w:val="both"/>
        <w:rPr>
          <w:rFonts w:ascii="Times New Roman" w:hAnsi="Times New Roman" w:cs="Times New Roman"/>
        </w:rPr>
      </w:pPr>
    </w:p>
    <w:p w14:paraId="72421312" w14:textId="77777777" w:rsidR="00F64523" w:rsidRPr="00092E33" w:rsidRDefault="00F64523" w:rsidP="00F64523">
      <w:pPr>
        <w:spacing w:after="0" w:line="200" w:lineRule="exact"/>
        <w:jc w:val="both"/>
        <w:rPr>
          <w:rFonts w:ascii="Times New Roman" w:hAnsi="Times New Roman" w:cs="Times New Roman"/>
        </w:rPr>
      </w:pPr>
      <w:r w:rsidRPr="00092E33">
        <w:rPr>
          <w:rFonts w:ascii="Times New Roman" w:hAnsi="Times New Roman" w:cs="Times New Roman"/>
        </w:rPr>
        <w:t>Aumentando, de esta manera, el capital social en la suma total de $158.208 pasando de $99.349 a $257.557, quedando así constituido el capital social de la Sociedad por 257.557.442 acciones ordinarias, escriturales, de $1 valor nominal cada una y con derecho a 5 votos por acción</w:t>
      </w:r>
    </w:p>
    <w:p w14:paraId="6BE27CD1" w14:textId="77777777" w:rsidR="00F64523" w:rsidRPr="00092E33" w:rsidRDefault="00F64523" w:rsidP="00F64523">
      <w:pPr>
        <w:spacing w:after="0" w:line="200" w:lineRule="exact"/>
        <w:jc w:val="both"/>
        <w:rPr>
          <w:rFonts w:ascii="Times New Roman" w:hAnsi="Times New Roman" w:cs="Times New Roman"/>
        </w:rPr>
      </w:pPr>
    </w:p>
    <w:p w14:paraId="6ADB51B0" w14:textId="77777777" w:rsidR="00F64523" w:rsidRPr="00092E33" w:rsidRDefault="00F64523" w:rsidP="00F64523">
      <w:pPr>
        <w:spacing w:after="0" w:line="200" w:lineRule="exact"/>
        <w:jc w:val="both"/>
        <w:rPr>
          <w:rFonts w:ascii="Times New Roman" w:hAnsi="Times New Roman" w:cs="Times New Roman"/>
        </w:rPr>
      </w:pPr>
      <w:r w:rsidRPr="00092E33">
        <w:rPr>
          <w:rFonts w:ascii="Times New Roman" w:hAnsi="Times New Roman" w:cs="Times New Roman"/>
        </w:rPr>
        <w:t>La totalidad de las acciones fueron suscriptas por ST Inversiones S.A, las cuales fueron integradas conforme el siguiente detalle: (a) la suma de $58.208, mediante la capitalización de los aportes irrevocables; (b) la suma de $100.000 mediante la capitalización de una deuda que registra la Sociedad a favor de ST Inversiones S.A. por la suma de $ 44.386, y el saldo de $ 55.614, será integrado dentro del plazo de 2 años autorizado por la LGS.</w:t>
      </w:r>
    </w:p>
    <w:p w14:paraId="7AD9BF33" w14:textId="77777777" w:rsidR="00F64523" w:rsidRPr="00092E33" w:rsidRDefault="00F64523" w:rsidP="00F64523">
      <w:pPr>
        <w:spacing w:after="0" w:line="200" w:lineRule="exact"/>
        <w:jc w:val="both"/>
        <w:rPr>
          <w:rFonts w:ascii="Times New Roman" w:hAnsi="Times New Roman" w:cs="Times New Roman"/>
        </w:rPr>
      </w:pPr>
    </w:p>
    <w:p w14:paraId="0E8907E2" w14:textId="77777777" w:rsidR="00F64523" w:rsidRPr="00092E33" w:rsidRDefault="00F64523" w:rsidP="00F64523">
      <w:pPr>
        <w:spacing w:after="0" w:line="200" w:lineRule="exact"/>
        <w:jc w:val="both"/>
        <w:rPr>
          <w:rFonts w:ascii="Times New Roman" w:hAnsi="Times New Roman" w:cs="Times New Roman"/>
        </w:rPr>
      </w:pPr>
      <w:r w:rsidRPr="00092E33">
        <w:rPr>
          <w:rFonts w:ascii="Times New Roman" w:hAnsi="Times New Roman" w:cs="Times New Roman"/>
        </w:rPr>
        <w:t xml:space="preserve">El 3 de mayo de 2019 la Sociedad recibió una notificación del accionista Emes </w:t>
      </w:r>
      <w:proofErr w:type="spellStart"/>
      <w:r w:rsidRPr="00092E33">
        <w:rPr>
          <w:rFonts w:ascii="Times New Roman" w:hAnsi="Times New Roman" w:cs="Times New Roman"/>
        </w:rPr>
        <w:t>Finance</w:t>
      </w:r>
      <w:proofErr w:type="spellEnd"/>
      <w:r w:rsidRPr="00092E33">
        <w:rPr>
          <w:rFonts w:ascii="Times New Roman" w:hAnsi="Times New Roman" w:cs="Times New Roman"/>
        </w:rPr>
        <w:t xml:space="preserve"> S.A. (antes denominada Dolphin Créditos S.A.) informando que transfirió a favor de ST Inversiones S.A. la totalidad de su tenencia accionaria, a saber, la cantidad de 4.986.480 acciones ordinarias escriturales Clase B, de $ 1 valor nómina c/u, y con derecho a 5 votos por acción emitidas y registradas por GST y que representan un total del 1,94% del capital social y los votos de la Sociedad.</w:t>
      </w:r>
    </w:p>
    <w:p w14:paraId="3A00226C" w14:textId="77777777" w:rsidR="00F64523" w:rsidRPr="00092E33" w:rsidRDefault="00F64523" w:rsidP="00F64523">
      <w:pPr>
        <w:spacing w:after="0" w:line="200" w:lineRule="exact"/>
        <w:jc w:val="both"/>
        <w:rPr>
          <w:rFonts w:ascii="Times New Roman" w:hAnsi="Times New Roman" w:cs="Times New Roman"/>
        </w:rPr>
      </w:pPr>
    </w:p>
    <w:p w14:paraId="3235615A" w14:textId="58B81CFB" w:rsidR="00F64523" w:rsidRPr="00092E33" w:rsidRDefault="00F64523" w:rsidP="00F64523">
      <w:pPr>
        <w:spacing w:after="0" w:line="200" w:lineRule="exact"/>
        <w:jc w:val="both"/>
        <w:rPr>
          <w:rFonts w:ascii="Times New Roman" w:hAnsi="Times New Roman" w:cs="Times New Roman"/>
        </w:rPr>
      </w:pPr>
      <w:r w:rsidRPr="00092E33">
        <w:rPr>
          <w:rFonts w:ascii="Times New Roman" w:hAnsi="Times New Roman" w:cs="Times New Roman"/>
        </w:rPr>
        <w:t xml:space="preserve">El 27 de diciembre de 2019, la Asamblea General Extraordinaria aprobó por unanimidad aceptar el aporte en especie consistente en Obligaciones Negociables Clase 11 especie BVBO y Clase 12 BVCDO efectuado por ST Inversiones SA por un </w:t>
      </w:r>
      <w:r w:rsidR="009E49BA" w:rsidRPr="00092E33">
        <w:rPr>
          <w:rFonts w:ascii="Times New Roman" w:hAnsi="Times New Roman" w:cs="Times New Roman"/>
        </w:rPr>
        <w:t>valor $</w:t>
      </w:r>
      <w:r w:rsidRPr="00092E33">
        <w:rPr>
          <w:rFonts w:ascii="Times New Roman" w:hAnsi="Times New Roman" w:cs="Times New Roman"/>
        </w:rPr>
        <w:t xml:space="preserve"> 112.775.398, sumando, de esta manera, 112.775.398 acciones ordinarias escriturales Clase B de $ 1 valor nominal c/u y con derecho a 5 votos por acción.</w:t>
      </w:r>
    </w:p>
    <w:p w14:paraId="44E4848C" w14:textId="77777777" w:rsidR="00F64523" w:rsidRPr="00092E33" w:rsidRDefault="00F64523" w:rsidP="00F64523">
      <w:pPr>
        <w:spacing w:after="0" w:line="200" w:lineRule="exact"/>
        <w:jc w:val="both"/>
        <w:rPr>
          <w:rFonts w:ascii="Times New Roman" w:hAnsi="Times New Roman" w:cs="Times New Roman"/>
        </w:rPr>
      </w:pPr>
    </w:p>
    <w:p w14:paraId="0DBDDA4F" w14:textId="77777777" w:rsidR="00F64523" w:rsidRPr="00092E33" w:rsidRDefault="00F64523" w:rsidP="00F64523">
      <w:pPr>
        <w:spacing w:after="0" w:line="200" w:lineRule="exact"/>
        <w:jc w:val="both"/>
        <w:rPr>
          <w:rFonts w:ascii="Times New Roman" w:hAnsi="Times New Roman" w:cs="Times New Roman"/>
        </w:rPr>
      </w:pPr>
      <w:r w:rsidRPr="00092E33">
        <w:rPr>
          <w:rFonts w:ascii="Times New Roman" w:hAnsi="Times New Roman" w:cs="Times New Roman"/>
        </w:rPr>
        <w:t>Al cierre del ejercicio 2019 ST Inversiones tenía 332.141.974 acciones ordinarias escriturales Clase B de $ 1 valor nominal c/u y con derecho a 5 votos por acción, que representaban el 89,15% del paquete accionario.</w:t>
      </w:r>
    </w:p>
    <w:p w14:paraId="476CCE4F" w14:textId="77777777" w:rsidR="00F64523" w:rsidRPr="00092E33" w:rsidRDefault="00F64523" w:rsidP="00F64523">
      <w:pPr>
        <w:spacing w:after="0" w:line="200" w:lineRule="exact"/>
        <w:jc w:val="both"/>
        <w:rPr>
          <w:rFonts w:ascii="Times New Roman" w:hAnsi="Times New Roman" w:cs="Times New Roman"/>
        </w:rPr>
      </w:pPr>
    </w:p>
    <w:p w14:paraId="34337CB9" w14:textId="77777777" w:rsidR="00F64523" w:rsidRPr="00092E33" w:rsidRDefault="00F64523" w:rsidP="00F64523">
      <w:pPr>
        <w:spacing w:after="0" w:line="200" w:lineRule="exact"/>
        <w:jc w:val="both"/>
        <w:rPr>
          <w:rFonts w:ascii="Times New Roman" w:hAnsi="Times New Roman" w:cs="Times New Roman"/>
        </w:rPr>
      </w:pPr>
    </w:p>
    <w:p w14:paraId="36449EBF"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b/>
          <w:i/>
        </w:rPr>
        <w:t>(</w:t>
      </w:r>
      <w:proofErr w:type="spellStart"/>
      <w:r w:rsidRPr="00092E33">
        <w:rPr>
          <w:rFonts w:ascii="Times New Roman" w:hAnsi="Times New Roman" w:cs="Times New Roman"/>
          <w:b/>
          <w:i/>
        </w:rPr>
        <w:t>ii</w:t>
      </w:r>
      <w:proofErr w:type="spellEnd"/>
      <w:r w:rsidRPr="00092E33">
        <w:rPr>
          <w:rFonts w:ascii="Times New Roman" w:hAnsi="Times New Roman" w:cs="Times New Roman"/>
          <w:b/>
          <w:i/>
        </w:rPr>
        <w:t>)</w:t>
      </w:r>
      <w:r w:rsidRPr="00092E33">
        <w:rPr>
          <w:rFonts w:ascii="Times New Roman" w:hAnsi="Times New Roman" w:cs="Times New Roman"/>
        </w:rPr>
        <w:t xml:space="preserve"> Con fecha 6 de mayo de 2016, el Directorio de la Sociedad aprobó por unanimidad aceptar como aporte de capital de </w:t>
      </w:r>
      <w:proofErr w:type="spellStart"/>
      <w:r w:rsidRPr="00092E33">
        <w:rPr>
          <w:rFonts w:ascii="Times New Roman" w:hAnsi="Times New Roman" w:cs="Times New Roman"/>
        </w:rPr>
        <w:t>Abus</w:t>
      </w:r>
      <w:proofErr w:type="spellEnd"/>
      <w:r w:rsidRPr="00092E33">
        <w:rPr>
          <w:rFonts w:ascii="Times New Roman" w:hAnsi="Times New Roman" w:cs="Times New Roman"/>
        </w:rPr>
        <w:t xml:space="preserve"> las Américas I S.A. la suma de miles de $ 18.000, ad-referéndum de la aprobación de la Asamblea de Accionistas de la Sociedad.</w:t>
      </w:r>
    </w:p>
    <w:p w14:paraId="018AE18D"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47FBA1BC"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Posteriormente, con fecha 26 de enero de 2017, la Asamblea General Extraordinaria de Accionistas aprobó aceptar el aporte irrevocable efectuado por </w:t>
      </w:r>
      <w:proofErr w:type="spellStart"/>
      <w:r w:rsidRPr="00092E33">
        <w:rPr>
          <w:rFonts w:ascii="Times New Roman" w:hAnsi="Times New Roman" w:cs="Times New Roman"/>
          <w:lang w:eastAsia="es-ES"/>
        </w:rPr>
        <w:t>Abus</w:t>
      </w:r>
      <w:proofErr w:type="spellEnd"/>
      <w:r w:rsidRPr="00092E33">
        <w:rPr>
          <w:rFonts w:ascii="Times New Roman" w:hAnsi="Times New Roman" w:cs="Times New Roman"/>
          <w:lang w:eastAsia="es-ES"/>
        </w:rPr>
        <w:t xml:space="preserve"> las Américas I S.A. de $ 18.000 y capitalizar la deuda que la Sociedad mantenía con dicho accionista por $ 18.500 y aumentar el Capital Social con una prima de emisión de $ 2,614448644577 por acción, en la suma de $ 10.098.</w:t>
      </w:r>
    </w:p>
    <w:p w14:paraId="1B787607"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7754A97B"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En consecuencia, </w:t>
      </w:r>
      <w:proofErr w:type="spellStart"/>
      <w:r w:rsidRPr="00092E33">
        <w:rPr>
          <w:rFonts w:ascii="Times New Roman" w:hAnsi="Times New Roman" w:cs="Times New Roman"/>
          <w:lang w:eastAsia="es-ES"/>
        </w:rPr>
        <w:t>Abus</w:t>
      </w:r>
      <w:proofErr w:type="spellEnd"/>
      <w:r w:rsidRPr="00092E33">
        <w:rPr>
          <w:rFonts w:ascii="Times New Roman" w:hAnsi="Times New Roman" w:cs="Times New Roman"/>
          <w:lang w:eastAsia="es-ES"/>
        </w:rPr>
        <w:t xml:space="preserve"> las Américas I S.A. suscribió 10.098.359 acciones ordinarias, escriturales, Clase A de $ 1 valor nominal cada una y con derecho a cinco votos por acción y pagó una prima de emisión de miles de $ 26.402. Asimismo, se aprobó la reforma del Estatuto Social para reflejar dicho aumento quedando el Capital Social conformado por 171.672.104 acciones ordinarias, escriturales, de $ 1 valor nominal cada una y cinco votos por acción, de las cuales 98.963.918 son acciones ordinarias Clase “A” y 72.708.186 acciones ordinarias clase “B”.</w:t>
      </w:r>
    </w:p>
    <w:p w14:paraId="05F6C3B5"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66BE9925"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En Asamblea General Extraordinaria de Accionistas celebrada el 12 de octubre de 2017 se rectificó parcialmente el punto tercero del orden del día de la Asamblea General Extraordinaria del 26 de enero de 2017 indicando que en virtud de la emisión de las acción indicadas más arriba el accionista </w:t>
      </w:r>
      <w:proofErr w:type="spellStart"/>
      <w:r w:rsidRPr="00092E33">
        <w:rPr>
          <w:rFonts w:ascii="Times New Roman" w:hAnsi="Times New Roman" w:cs="Times New Roman"/>
          <w:lang w:eastAsia="es-ES"/>
        </w:rPr>
        <w:t>Abus</w:t>
      </w:r>
      <w:proofErr w:type="spellEnd"/>
      <w:r w:rsidRPr="00092E33">
        <w:rPr>
          <w:rFonts w:ascii="Times New Roman" w:hAnsi="Times New Roman" w:cs="Times New Roman"/>
          <w:lang w:eastAsia="es-ES"/>
        </w:rPr>
        <w:t xml:space="preserve"> Las </w:t>
      </w:r>
      <w:proofErr w:type="spellStart"/>
      <w:r w:rsidRPr="00092E33">
        <w:rPr>
          <w:rFonts w:ascii="Times New Roman" w:hAnsi="Times New Roman" w:cs="Times New Roman"/>
          <w:lang w:eastAsia="es-ES"/>
        </w:rPr>
        <w:t>Americas</w:t>
      </w:r>
      <w:proofErr w:type="spellEnd"/>
      <w:r w:rsidRPr="00092E33">
        <w:rPr>
          <w:rFonts w:ascii="Times New Roman" w:hAnsi="Times New Roman" w:cs="Times New Roman"/>
          <w:lang w:eastAsia="es-ES"/>
        </w:rPr>
        <w:t xml:space="preserve"> I resulta tenedor de 29.238.170  acciones ordinarias escriturales Clase A, de un (1) Peso valor nominal cada una y con derecho a cinco (5) votos por acción; y 5.096.251 acciones ordinarias </w:t>
      </w:r>
      <w:r w:rsidRPr="00092E33">
        <w:rPr>
          <w:rFonts w:ascii="Times New Roman" w:hAnsi="Times New Roman" w:cs="Times New Roman"/>
          <w:lang w:eastAsia="es-ES"/>
        </w:rPr>
        <w:lastRenderedPageBreak/>
        <w:t xml:space="preserve">escriturales Clase B, de un (1) Peso valor nominal cada una y con derecho a cinco (5) votos por acción. </w:t>
      </w:r>
    </w:p>
    <w:p w14:paraId="39060898"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rPr>
      </w:pPr>
    </w:p>
    <w:p w14:paraId="37847521"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rPr>
      </w:pPr>
      <w:r w:rsidRPr="00092E33">
        <w:rPr>
          <w:rFonts w:ascii="Times New Roman" w:hAnsi="Times New Roman" w:cs="Times New Roman"/>
          <w:b/>
          <w:i/>
          <w:lang w:eastAsia="es-ES"/>
        </w:rPr>
        <w:t>(</w:t>
      </w:r>
      <w:proofErr w:type="spellStart"/>
      <w:r w:rsidRPr="00092E33">
        <w:rPr>
          <w:rFonts w:ascii="Times New Roman" w:hAnsi="Times New Roman" w:cs="Times New Roman"/>
          <w:b/>
          <w:i/>
          <w:lang w:eastAsia="es-ES"/>
        </w:rPr>
        <w:t>iii</w:t>
      </w:r>
      <w:proofErr w:type="spellEnd"/>
      <w:r w:rsidRPr="00092E33">
        <w:rPr>
          <w:rFonts w:ascii="Times New Roman" w:hAnsi="Times New Roman" w:cs="Times New Roman"/>
          <w:b/>
          <w:i/>
          <w:lang w:eastAsia="es-ES"/>
        </w:rPr>
        <w:t xml:space="preserve">) </w:t>
      </w:r>
      <w:r w:rsidRPr="00092E33">
        <w:rPr>
          <w:rFonts w:ascii="Times New Roman" w:hAnsi="Times New Roman" w:cs="Times New Roman"/>
          <w:lang w:eastAsia="es-ES"/>
        </w:rPr>
        <w:t>Con fecha 2 de abril de 2018, la Asamblea General Extraordinaria de Accionistas Tecevall S.A. (antes denominada Tecevall Agente de Valores S.A.) resolvió la reforma de su estatuto, modificando su denominación por el de Tecevall S.A.</w:t>
      </w:r>
    </w:p>
    <w:p w14:paraId="6F8E3885"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rPr>
      </w:pPr>
    </w:p>
    <w:p w14:paraId="3E1B35BC" w14:textId="77777777" w:rsidR="00F64523" w:rsidRPr="00092E33" w:rsidRDefault="00F64523" w:rsidP="00F64523">
      <w:pPr>
        <w:spacing w:after="0" w:line="200" w:lineRule="exact"/>
        <w:jc w:val="both"/>
        <w:rPr>
          <w:rFonts w:ascii="Times New Roman" w:hAnsi="Times New Roman" w:cs="Times New Roman"/>
          <w:b/>
          <w:i/>
        </w:rPr>
      </w:pPr>
      <w:r w:rsidRPr="00092E33">
        <w:rPr>
          <w:rFonts w:ascii="Times New Roman" w:hAnsi="Times New Roman" w:cs="Times New Roman"/>
          <w:b/>
          <w:i/>
        </w:rPr>
        <w:t>7.4. Gobierno societario y lineamientos para la gestión de riesgos.</w:t>
      </w:r>
    </w:p>
    <w:p w14:paraId="34E94B08"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74F054A9" w14:textId="77AADC48"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 xml:space="preserve">La Sociedad, de conformidad con lo establecido en la Resolución 622/2013 (TO 2013 y </w:t>
      </w:r>
      <w:r w:rsidR="009E49BA" w:rsidRPr="00092E33">
        <w:rPr>
          <w:rFonts w:ascii="Times New Roman" w:hAnsi="Times New Roman" w:cs="Times New Roman"/>
          <w:lang w:eastAsia="es-ES"/>
        </w:rPr>
        <w:t>modificatorias) de</w:t>
      </w:r>
      <w:r w:rsidRPr="00092E33">
        <w:rPr>
          <w:rFonts w:ascii="Times New Roman" w:hAnsi="Times New Roman" w:cs="Times New Roman"/>
          <w:lang w:eastAsia="es-ES"/>
        </w:rPr>
        <w:t xml:space="preserve"> la Comisión Nacional de Valores, adjunta como Anexo I a la presente Memoria el Informe Anual sobre el grado de cumplimiento del Código de Gobierno Societario.</w:t>
      </w:r>
    </w:p>
    <w:p w14:paraId="0FA841E8"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b/>
        </w:rPr>
      </w:pPr>
    </w:p>
    <w:p w14:paraId="44F51655"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b/>
        </w:rPr>
      </w:pPr>
      <w:r w:rsidRPr="00092E33">
        <w:rPr>
          <w:rFonts w:ascii="Times New Roman" w:hAnsi="Times New Roman" w:cs="Times New Roman"/>
          <w:b/>
        </w:rPr>
        <w:t>8 – CONTRATOS SIGNIFICATIVOS</w:t>
      </w:r>
    </w:p>
    <w:p w14:paraId="09668570"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rPr>
      </w:pPr>
    </w:p>
    <w:p w14:paraId="3D19C2E6"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rPr>
      </w:pPr>
      <w:r w:rsidRPr="00092E33">
        <w:rPr>
          <w:rFonts w:ascii="Times New Roman" w:hAnsi="Times New Roman" w:cs="Times New Roman"/>
        </w:rPr>
        <w:t xml:space="preserve">Con fecha 7 de julio de 2017 GST ha firmado un contrato de Locación por 36 meses por el alquiler de las unidades funcionales Nro. 11 y 13, y las unidades complementarias de cocheras Nro. 27, 28 y 32 del edificio denominado “Blue </w:t>
      </w:r>
      <w:proofErr w:type="spellStart"/>
      <w:r w:rsidRPr="00092E33">
        <w:rPr>
          <w:rFonts w:ascii="Times New Roman" w:hAnsi="Times New Roman" w:cs="Times New Roman"/>
        </w:rPr>
        <w:t>Sky</w:t>
      </w:r>
      <w:proofErr w:type="spellEnd"/>
      <w:r w:rsidRPr="00092E33">
        <w:rPr>
          <w:rFonts w:ascii="Times New Roman" w:hAnsi="Times New Roman" w:cs="Times New Roman"/>
        </w:rPr>
        <w:t>” ubicado en Av. Del Libertador 1062/1066 en el cual se ha instalado el directorio de la Compañía.</w:t>
      </w:r>
    </w:p>
    <w:p w14:paraId="2056C7A6"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rPr>
      </w:pPr>
    </w:p>
    <w:p w14:paraId="3C35F9D5"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rPr>
      </w:pPr>
      <w:r w:rsidRPr="00092E33">
        <w:rPr>
          <w:rFonts w:ascii="Times New Roman" w:hAnsi="Times New Roman" w:cs="Times New Roman"/>
        </w:rPr>
        <w:t>Durante el ejercicio 2019 el Directorio de la Sociedad ha decidido mudarse a Av. Corrientes 1174 Piso 10° por tal motivo con fecha 30 de agosto de 2019 se ha firmado el acta de rescisión del contrato de locación mencionado en párrafo anterior.</w:t>
      </w:r>
    </w:p>
    <w:p w14:paraId="021D7270"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3EBBEEDB"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b/>
        </w:rPr>
      </w:pPr>
      <w:r w:rsidRPr="00092E33">
        <w:rPr>
          <w:rFonts w:ascii="Times New Roman" w:hAnsi="Times New Roman" w:cs="Times New Roman"/>
          <w:b/>
        </w:rPr>
        <w:t>9 – PROYECTOS ESPECIALES</w:t>
      </w:r>
    </w:p>
    <w:p w14:paraId="4AC71BEE"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b/>
        </w:rPr>
      </w:pPr>
    </w:p>
    <w:p w14:paraId="5387582B"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No existe a la fecha de la presente memoria proyectos especiales.</w:t>
      </w:r>
    </w:p>
    <w:p w14:paraId="0A4E5A3E"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4BBD6149"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b/>
        </w:rPr>
      </w:pPr>
      <w:r w:rsidRPr="00092E33">
        <w:rPr>
          <w:rFonts w:ascii="Times New Roman" w:hAnsi="Times New Roman" w:cs="Times New Roman"/>
          <w:b/>
        </w:rPr>
        <w:t>10 – NEGOCIOS CON PARTES RELACIONADAS</w:t>
      </w:r>
    </w:p>
    <w:p w14:paraId="3B49FA9F"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b/>
        </w:rPr>
      </w:pPr>
    </w:p>
    <w:p w14:paraId="20207C15"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Los negocios con partes relacionadas se circunscriben a operaciones financieras que se realizaron a través de Banco de Servicios y Transacciones S.A., en las mismas condiciones que partes independientes, cuyas transacciones en el ejercicio y saldos al cierre se exponen, respectivamente, en la Nota 26 a los estados contables individuales.</w:t>
      </w:r>
    </w:p>
    <w:p w14:paraId="0485FDEE"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236B5014" w14:textId="77777777" w:rsidR="00F64523" w:rsidRPr="00092E33" w:rsidRDefault="00F64523" w:rsidP="00F64523">
      <w:pPr>
        <w:tabs>
          <w:tab w:val="left" w:pos="1080"/>
          <w:tab w:val="left" w:pos="2340"/>
        </w:tabs>
        <w:spacing w:after="0" w:line="200" w:lineRule="exact"/>
        <w:ind w:right="-5"/>
        <w:jc w:val="both"/>
        <w:rPr>
          <w:rFonts w:ascii="Times New Roman" w:hAnsi="Times New Roman" w:cs="Times New Roman"/>
          <w:b/>
        </w:rPr>
      </w:pPr>
      <w:r w:rsidRPr="00092E33">
        <w:rPr>
          <w:rFonts w:ascii="Times New Roman" w:hAnsi="Times New Roman" w:cs="Times New Roman"/>
          <w:b/>
        </w:rPr>
        <w:t>11 – RESULTADO DEL EJERCICIO</w:t>
      </w:r>
    </w:p>
    <w:p w14:paraId="66EBE714" w14:textId="77777777" w:rsidR="00F64523" w:rsidRPr="00092E33" w:rsidRDefault="00F64523" w:rsidP="00F64523">
      <w:pPr>
        <w:spacing w:after="0" w:line="200" w:lineRule="exact"/>
        <w:jc w:val="both"/>
        <w:rPr>
          <w:rFonts w:ascii="Times New Roman" w:hAnsi="Times New Roman" w:cs="Times New Roman"/>
          <w:lang w:val="es-ES"/>
        </w:rPr>
      </w:pPr>
    </w:p>
    <w:p w14:paraId="030CE5FA"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El Estado de Resultados Separado arroja una ganancia neta del ejercicio $ 101.485.174, para la cual proponemos el siguiente tratamiento:</w:t>
      </w:r>
    </w:p>
    <w:p w14:paraId="20DF5707"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p>
    <w:p w14:paraId="331A6BA8"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val="es-ES" w:eastAsia="es-ES"/>
        </w:rPr>
      </w:pPr>
      <w:r w:rsidRPr="00092E33">
        <w:rPr>
          <w:rFonts w:ascii="Times New Roman" w:hAnsi="Times New Roman" w:cs="Times New Roman"/>
          <w:lang w:val="es-ES" w:eastAsia="es-ES"/>
        </w:rPr>
        <w:t>- A Reserva Legal $   5.074.259</w:t>
      </w:r>
    </w:p>
    <w:p w14:paraId="17A0DAC9" w14:textId="77777777" w:rsidR="00F64523" w:rsidRPr="00092E33" w:rsidRDefault="00F64523" w:rsidP="00F64523">
      <w:pPr>
        <w:tabs>
          <w:tab w:val="left" w:pos="1240"/>
          <w:tab w:val="right" w:pos="7880"/>
          <w:tab w:val="right" w:pos="9680"/>
        </w:tabs>
        <w:spacing w:after="0" w:line="200" w:lineRule="exact"/>
        <w:ind w:left="780"/>
        <w:jc w:val="both"/>
        <w:rPr>
          <w:rFonts w:ascii="Times New Roman" w:hAnsi="Times New Roman" w:cs="Times New Roman"/>
          <w:lang w:val="es-ES" w:eastAsia="es-ES"/>
        </w:rPr>
      </w:pPr>
    </w:p>
    <w:p w14:paraId="10F600D4"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val="es-ES" w:eastAsia="es-ES"/>
        </w:rPr>
      </w:pPr>
      <w:r w:rsidRPr="00092E33">
        <w:rPr>
          <w:rFonts w:ascii="Times New Roman" w:hAnsi="Times New Roman" w:cs="Times New Roman"/>
          <w:lang w:val="es-ES" w:eastAsia="es-ES"/>
        </w:rPr>
        <w:t>- A Reserva Facultativa (para futura distribución de dividendos en acciones) $ 96.410.915</w:t>
      </w:r>
    </w:p>
    <w:p w14:paraId="488A7425"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val="es-ES" w:eastAsia="es-ES"/>
        </w:rPr>
      </w:pPr>
    </w:p>
    <w:p w14:paraId="029692F3"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val="es-ES" w:eastAsia="es-ES"/>
        </w:rPr>
      </w:pPr>
    </w:p>
    <w:p w14:paraId="65903025"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val="es-ES" w:eastAsia="es-ES"/>
        </w:rPr>
      </w:pPr>
      <w:r w:rsidRPr="00092E33">
        <w:rPr>
          <w:rFonts w:ascii="Times New Roman" w:hAnsi="Times New Roman" w:cs="Times New Roman"/>
          <w:lang w:val="es-ES" w:eastAsia="es-ES"/>
        </w:rPr>
        <w:t xml:space="preserve">En el resultado del ejercicio informado se encuentran deducidos Honorarios al Directorio por la suma de $ 3.299.000-, los cual serán puestos a consideración de la correspondiente Asamblea de Accionistas. </w:t>
      </w:r>
    </w:p>
    <w:p w14:paraId="6793DA4D"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val="es-ES" w:eastAsia="es-ES"/>
        </w:rPr>
      </w:pPr>
    </w:p>
    <w:p w14:paraId="2E2AAB2B" w14:textId="77777777" w:rsidR="00F64523" w:rsidRPr="00092E33" w:rsidRDefault="00F64523" w:rsidP="00F64523">
      <w:pPr>
        <w:tabs>
          <w:tab w:val="left" w:pos="1240"/>
          <w:tab w:val="right" w:pos="7880"/>
          <w:tab w:val="right" w:pos="9680"/>
        </w:tabs>
        <w:spacing w:after="0" w:line="200" w:lineRule="exact"/>
        <w:jc w:val="both"/>
        <w:rPr>
          <w:rFonts w:ascii="Times New Roman" w:hAnsi="Times New Roman" w:cs="Times New Roman"/>
          <w:lang w:eastAsia="es-ES"/>
        </w:rPr>
      </w:pPr>
      <w:r w:rsidRPr="00092E33">
        <w:rPr>
          <w:rFonts w:ascii="Times New Roman" w:hAnsi="Times New Roman" w:cs="Times New Roman"/>
          <w:lang w:eastAsia="es-ES"/>
        </w:rPr>
        <w:t>Aprovechando la oportunidad para agradecer de antemano a los Sres. Accionistas la consideración que dispensarán a la presente memoria, les saludamos con nuestra consideración más distinguida.</w:t>
      </w:r>
    </w:p>
    <w:p w14:paraId="35F55961"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rPr>
      </w:pPr>
    </w:p>
    <w:p w14:paraId="2072A007" w14:textId="77777777" w:rsidR="00F64523" w:rsidRPr="00092E33" w:rsidRDefault="00F64523" w:rsidP="00F64523">
      <w:pPr>
        <w:tabs>
          <w:tab w:val="left" w:pos="1080"/>
          <w:tab w:val="left" w:pos="2340"/>
        </w:tabs>
        <w:spacing w:after="0" w:line="200" w:lineRule="exact"/>
        <w:jc w:val="both"/>
        <w:rPr>
          <w:rFonts w:ascii="Times New Roman" w:hAnsi="Times New Roman" w:cs="Times New Roman"/>
        </w:rPr>
      </w:pPr>
      <w:r w:rsidRPr="00092E33">
        <w:rPr>
          <w:rFonts w:ascii="Times New Roman" w:hAnsi="Times New Roman" w:cs="Times New Roman"/>
        </w:rPr>
        <w:t>Ciudad Autónoma de Buenos Aires, 09 de marzo de 2020.</w:t>
      </w:r>
    </w:p>
    <w:p w14:paraId="3F9A56AC" w14:textId="77777777" w:rsidR="00092E33" w:rsidRPr="00092E33" w:rsidRDefault="00092E33" w:rsidP="009E49BA">
      <w:pPr>
        <w:tabs>
          <w:tab w:val="center" w:pos="7371"/>
        </w:tabs>
        <w:spacing w:after="0" w:line="240" w:lineRule="auto"/>
        <w:jc w:val="both"/>
        <w:rPr>
          <w:rFonts w:ascii="Times New Roman" w:hAnsi="Times New Roman" w:cs="Times New Roman"/>
        </w:rPr>
      </w:pPr>
    </w:p>
    <w:p w14:paraId="1E05E2E8" w14:textId="1EFBCD18" w:rsidR="00F64523" w:rsidRPr="00092E33" w:rsidRDefault="00F64523" w:rsidP="009E49BA">
      <w:pPr>
        <w:tabs>
          <w:tab w:val="center" w:pos="7371"/>
        </w:tabs>
        <w:spacing w:after="0" w:line="240" w:lineRule="auto"/>
        <w:jc w:val="both"/>
        <w:rPr>
          <w:rFonts w:ascii="Times New Roman" w:hAnsi="Times New Roman" w:cs="Times New Roman"/>
        </w:rPr>
      </w:pPr>
      <w:r w:rsidRPr="00092E33">
        <w:rPr>
          <w:rFonts w:ascii="Times New Roman" w:hAnsi="Times New Roman" w:cs="Times New Roman"/>
        </w:rPr>
        <w:tab/>
        <w:t>Pablo B. Peralta</w:t>
      </w:r>
    </w:p>
    <w:p w14:paraId="62DE95A7" w14:textId="77777777" w:rsidR="00F64523" w:rsidRPr="00092E33" w:rsidRDefault="00F64523" w:rsidP="009E49BA">
      <w:pPr>
        <w:tabs>
          <w:tab w:val="center" w:pos="7371"/>
        </w:tabs>
        <w:spacing w:after="0" w:line="240" w:lineRule="auto"/>
        <w:jc w:val="both"/>
        <w:rPr>
          <w:rFonts w:ascii="Times New Roman" w:hAnsi="Times New Roman" w:cs="Times New Roman"/>
          <w:b/>
          <w:bCs/>
          <w:sz w:val="24"/>
          <w:szCs w:val="24"/>
        </w:rPr>
      </w:pPr>
      <w:r w:rsidRPr="00092E33">
        <w:rPr>
          <w:rFonts w:ascii="Times New Roman" w:hAnsi="Times New Roman" w:cs="Times New Roman"/>
        </w:rPr>
        <w:tab/>
        <w:t>Presidente</w:t>
      </w:r>
    </w:p>
    <w:p w14:paraId="68474BBA" w14:textId="77777777" w:rsidR="00092E33" w:rsidRPr="00092E33" w:rsidRDefault="00092E33" w:rsidP="00092E33">
      <w:pPr>
        <w:tabs>
          <w:tab w:val="center" w:pos="4419"/>
          <w:tab w:val="right" w:pos="8838"/>
        </w:tabs>
        <w:spacing w:after="0" w:line="240" w:lineRule="auto"/>
        <w:jc w:val="center"/>
        <w:rPr>
          <w:rFonts w:ascii="Times New Roman" w:eastAsia="SimSun" w:hAnsi="Times New Roman" w:cs="Times New Roman"/>
          <w:b/>
          <w:lang w:val="es-ES_tradnl" w:eastAsia="es-ES"/>
        </w:rPr>
      </w:pPr>
      <w:r w:rsidRPr="00092E33">
        <w:rPr>
          <w:rFonts w:ascii="Times New Roman" w:eastAsia="SimSun" w:hAnsi="Times New Roman" w:cs="Times New Roman"/>
          <w:b/>
          <w:lang w:val="es-ES_tradnl" w:eastAsia="es-ES"/>
        </w:rPr>
        <w:t>ANEXO I</w:t>
      </w:r>
    </w:p>
    <w:p w14:paraId="7E37A8F9" w14:textId="77777777" w:rsidR="00092E33" w:rsidRPr="00092E33" w:rsidRDefault="00092E33" w:rsidP="00092E33">
      <w:pPr>
        <w:tabs>
          <w:tab w:val="left" w:pos="760"/>
        </w:tabs>
        <w:jc w:val="center"/>
        <w:rPr>
          <w:rFonts w:ascii="Times New Roman" w:hAnsi="Times New Roman" w:cs="Times New Roman"/>
          <w:b/>
          <w:u w:val="single"/>
        </w:rPr>
      </w:pPr>
      <w:r w:rsidRPr="00092E33">
        <w:rPr>
          <w:rFonts w:ascii="Times New Roman" w:hAnsi="Times New Roman" w:cs="Times New Roman"/>
          <w:b/>
          <w:u w:val="single"/>
        </w:rPr>
        <w:t>CODIGO DE GOBIERNO SOCIETARIO</w:t>
      </w:r>
    </w:p>
    <w:p w14:paraId="385A59EF" w14:textId="77777777" w:rsidR="00092E33" w:rsidRPr="00092E33" w:rsidRDefault="00092E33" w:rsidP="00092E33">
      <w:pPr>
        <w:ind w:right="49"/>
        <w:rPr>
          <w:rFonts w:ascii="Times New Roman" w:hAnsi="Times New Roman" w:cs="Times New Roman"/>
          <w:b/>
        </w:rPr>
      </w:pPr>
      <w:r w:rsidRPr="00092E33">
        <w:rPr>
          <w:rFonts w:ascii="Times New Roman" w:hAnsi="Times New Roman" w:cs="Times New Roman"/>
          <w:b/>
        </w:rPr>
        <w:t>A) LA FUNCIÓN DEL DIRECTORIO</w:t>
      </w:r>
    </w:p>
    <w:p w14:paraId="7D38FADD"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Principios</w:t>
      </w:r>
    </w:p>
    <w:p w14:paraId="0DFCF6B6"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I. La compañía debe ser liderada por un Directorio profesional y capacitado que será el encargado de sentar las bases necesarias para asegurar el éxito sostenible de la compañía. El Directorio es el guardián de la compañía y de los derechos de todos sus Accionistas.</w:t>
      </w:r>
    </w:p>
    <w:p w14:paraId="3C915280"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II. El Directorio deberá ser el encargado de determinar y promover la cultura y valores corporativos. En su actuación, el Directorio deberá garantizar la observancia de los más altos estándares de ética e integridad en función del mejor interés de la compañía.</w:t>
      </w:r>
    </w:p>
    <w:p w14:paraId="2E16BCB0"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 xml:space="preserve">III. El Directorio deberá ser el encargado de asegurar una estrategia inspirada en la visión y misión de la compañía, que se encuentre alineada a los valores y la cultura de </w:t>
      </w:r>
      <w:proofErr w:type="gramStart"/>
      <w:r w:rsidRPr="00092E33">
        <w:rPr>
          <w:rFonts w:ascii="Times New Roman" w:hAnsi="Times New Roman" w:cs="Times New Roman"/>
        </w:rPr>
        <w:t>la misma</w:t>
      </w:r>
      <w:proofErr w:type="gramEnd"/>
      <w:r w:rsidRPr="00092E33">
        <w:rPr>
          <w:rFonts w:ascii="Times New Roman" w:hAnsi="Times New Roman" w:cs="Times New Roman"/>
        </w:rPr>
        <w:t>. El Directorio deberá involucrarse constructivamente con la gerencia para asegurar el correcto desarrollo, ejecución, monitoreo y modificación de la estrategia de la compañía.</w:t>
      </w:r>
    </w:p>
    <w:p w14:paraId="39516AA7"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IV. El Directorio ejercerá control y supervisión permanente de la gestión de la compañía, asegurando que la gerencia tome acciones dirigidas a la implementación de la estrategia y al plan de negocios aprobado por el directorio.</w:t>
      </w:r>
    </w:p>
    <w:p w14:paraId="037563C9"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V. El Directorio deberá contar con mecanismos y políticas necesarias para ejercer su función y la de cada uno de sus miembros de forma eficiente y efectiva.</w:t>
      </w:r>
    </w:p>
    <w:p w14:paraId="4981C4B3" w14:textId="77777777" w:rsidR="00092E33" w:rsidRPr="00092E33" w:rsidRDefault="00092E33" w:rsidP="00092E33">
      <w:pPr>
        <w:spacing w:after="0" w:line="240" w:lineRule="auto"/>
        <w:ind w:right="49"/>
        <w:jc w:val="both"/>
        <w:rPr>
          <w:rFonts w:ascii="Times New Roman" w:hAnsi="Times New Roman" w:cs="Times New Roman"/>
        </w:rPr>
      </w:pPr>
    </w:p>
    <w:p w14:paraId="1263E717"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1. El Directorio genera una cultura ética de trabajo y establece la visión, misión y valores de la compañía.</w:t>
      </w:r>
    </w:p>
    <w:p w14:paraId="1DA50B97" w14:textId="77777777" w:rsidR="00092E33" w:rsidRPr="00092E33" w:rsidRDefault="00092E33" w:rsidP="00092E33">
      <w:pPr>
        <w:spacing w:after="0" w:line="240" w:lineRule="auto"/>
        <w:ind w:right="49"/>
        <w:jc w:val="both"/>
        <w:rPr>
          <w:rFonts w:ascii="Times New Roman" w:hAnsi="Times New Roman" w:cs="Times New Roman"/>
        </w:rPr>
      </w:pPr>
    </w:p>
    <w:p w14:paraId="5FBA561A"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i/>
          <w:iCs/>
        </w:rPr>
        <w:t xml:space="preserve">Los valores y políticas de trabajo se encuentran plasmados en el Código de Ética y Conducta aprobado por el Directorio, determinadas en función a la estructura de la Sociedad. </w:t>
      </w:r>
    </w:p>
    <w:p w14:paraId="0A8610C5" w14:textId="77777777" w:rsidR="00092E33" w:rsidRPr="00092E33" w:rsidRDefault="00092E33" w:rsidP="00092E33">
      <w:pPr>
        <w:spacing w:after="0" w:line="240" w:lineRule="auto"/>
        <w:ind w:right="49"/>
        <w:jc w:val="both"/>
        <w:rPr>
          <w:rFonts w:ascii="Times New Roman" w:hAnsi="Times New Roman" w:cs="Times New Roman"/>
        </w:rPr>
      </w:pPr>
    </w:p>
    <w:p w14:paraId="543E0991"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2. El Directorio fija la estrategia general de la compañía y aprueba el plan estratégico que desarrolla la gerencia. Al hacerlo, el Directorio tiene en consideración factores ambientales, sociales y de gobierno societario. El Directorio supervisa su implementación mediante la utilización de indicadores clave de desempeño y teniendo en consideración el mejor interés de la compañía y todos sus accionistas.</w:t>
      </w:r>
    </w:p>
    <w:p w14:paraId="6B01DBC3" w14:textId="77777777" w:rsidR="00092E33" w:rsidRPr="00092E33" w:rsidRDefault="00092E33" w:rsidP="00092E33">
      <w:pPr>
        <w:spacing w:after="0" w:line="240" w:lineRule="auto"/>
        <w:ind w:right="49"/>
        <w:jc w:val="both"/>
        <w:rPr>
          <w:rFonts w:ascii="Times New Roman" w:hAnsi="Times New Roman" w:cs="Times New Roman"/>
        </w:rPr>
      </w:pPr>
    </w:p>
    <w:p w14:paraId="4158AABF"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GST en su carácter de sociedad holding se encuentra en continuo análisis de posibles inversiones y negocios financieros, principalmente de corto plazo. Es competencia del Comité Ejecutivo, supervisar la implementación del presupuesto y del plan anual de negocios de la Sociedad. Los directorios de sus subsidiarias aprueban y controlan el cumplimiento de sus respectivos presupuestos anuales.</w:t>
      </w:r>
    </w:p>
    <w:p w14:paraId="019B323D" w14:textId="77777777" w:rsidR="00092E33" w:rsidRPr="00092E33" w:rsidRDefault="00092E33" w:rsidP="00092E33">
      <w:pPr>
        <w:spacing w:after="0" w:line="240" w:lineRule="auto"/>
        <w:ind w:right="49"/>
        <w:jc w:val="both"/>
        <w:rPr>
          <w:rFonts w:ascii="Times New Roman" w:hAnsi="Times New Roman" w:cs="Times New Roman"/>
        </w:rPr>
      </w:pPr>
    </w:p>
    <w:p w14:paraId="39E30143"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3. El Directorio supervisa a la gerencia y asegura que ésta desarrolle, implemente y mantenga un sistema adecuado de control interno con líneas de reporte claras.</w:t>
      </w:r>
    </w:p>
    <w:p w14:paraId="54B43C89" w14:textId="77777777" w:rsidR="00092E33" w:rsidRPr="00092E33" w:rsidRDefault="00092E33" w:rsidP="00092E33">
      <w:pPr>
        <w:spacing w:after="0" w:line="240" w:lineRule="auto"/>
        <w:ind w:right="49"/>
        <w:jc w:val="both"/>
        <w:rPr>
          <w:rFonts w:ascii="Times New Roman" w:hAnsi="Times New Roman" w:cs="Times New Roman"/>
        </w:rPr>
      </w:pPr>
    </w:p>
    <w:p w14:paraId="218326DE"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Si bien, en virtud de la estructura y dimensión de la Sociedad, no cuenta con una línea gerencial, el Directorio de la Sociedad ha designado un Gerente General, y es el Directorio quien supervisa la Gerencia y determina las políticas a implementar y los lineamientos de </w:t>
      </w:r>
      <w:proofErr w:type="gramStart"/>
      <w:r w:rsidRPr="00092E33">
        <w:rPr>
          <w:rFonts w:ascii="Times New Roman" w:hAnsi="Times New Roman" w:cs="Times New Roman"/>
          <w:i/>
          <w:iCs/>
        </w:rPr>
        <w:t>la misma</w:t>
      </w:r>
      <w:proofErr w:type="gramEnd"/>
      <w:r w:rsidRPr="00092E33">
        <w:rPr>
          <w:rFonts w:ascii="Times New Roman" w:hAnsi="Times New Roman" w:cs="Times New Roman"/>
          <w:i/>
          <w:iCs/>
        </w:rPr>
        <w:t xml:space="preserve">.  </w:t>
      </w:r>
    </w:p>
    <w:p w14:paraId="3F76D6FC" w14:textId="77777777" w:rsidR="00092E33" w:rsidRPr="00092E33" w:rsidRDefault="00092E33" w:rsidP="00092E33">
      <w:pPr>
        <w:spacing w:after="0" w:line="240" w:lineRule="auto"/>
        <w:ind w:right="49"/>
        <w:jc w:val="both"/>
        <w:rPr>
          <w:rFonts w:ascii="Times New Roman" w:hAnsi="Times New Roman" w:cs="Times New Roman"/>
          <w:i/>
          <w:iCs/>
        </w:rPr>
      </w:pPr>
    </w:p>
    <w:p w14:paraId="4D224E33"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 xml:space="preserve">4. El Directorio diseña las estructuras y prácticas de gobierno societario, designa al responsable de su implementación, monitorea la efectividad de </w:t>
      </w:r>
      <w:proofErr w:type="gramStart"/>
      <w:r w:rsidRPr="00092E33">
        <w:rPr>
          <w:rFonts w:ascii="Times New Roman" w:hAnsi="Times New Roman" w:cs="Times New Roman"/>
        </w:rPr>
        <w:t>las mismas</w:t>
      </w:r>
      <w:proofErr w:type="gramEnd"/>
      <w:r w:rsidRPr="00092E33">
        <w:rPr>
          <w:rFonts w:ascii="Times New Roman" w:hAnsi="Times New Roman" w:cs="Times New Roman"/>
        </w:rPr>
        <w:t xml:space="preserve"> y sugiere cambios en caso de ser necesarios.</w:t>
      </w:r>
    </w:p>
    <w:p w14:paraId="381ECD66" w14:textId="77777777" w:rsidR="00092E33" w:rsidRPr="00092E33" w:rsidRDefault="00092E33" w:rsidP="00092E33">
      <w:pPr>
        <w:spacing w:after="0" w:line="240" w:lineRule="auto"/>
        <w:ind w:right="49"/>
        <w:jc w:val="both"/>
        <w:rPr>
          <w:rFonts w:ascii="Times New Roman" w:hAnsi="Times New Roman" w:cs="Times New Roman"/>
        </w:rPr>
      </w:pPr>
    </w:p>
    <w:p w14:paraId="10BA97DA"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GST efectúa controles sobre la aplicación de las políticas de gobierno corporativo definidas por las regulaciones vigentes, a través del Directorio.</w:t>
      </w:r>
    </w:p>
    <w:p w14:paraId="616038D8" w14:textId="77777777" w:rsidR="00092E33" w:rsidRPr="00092E33" w:rsidRDefault="00092E33" w:rsidP="00092E33">
      <w:pPr>
        <w:spacing w:after="0" w:line="240" w:lineRule="auto"/>
        <w:ind w:right="49"/>
        <w:jc w:val="both"/>
        <w:rPr>
          <w:rFonts w:ascii="Times New Roman" w:hAnsi="Times New Roman" w:cs="Times New Roman"/>
        </w:rPr>
      </w:pPr>
    </w:p>
    <w:p w14:paraId="4371AE94"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5. Los miembros del Directorio tienen suficiente tiempo para ejercer sus funciones de forma profesional y eficiente. El Directorio y sus comités tienen reglas claras y formalizadas para su funcionamiento y organización, las cuales son divulgadas a través de la página web de la compañía.</w:t>
      </w:r>
    </w:p>
    <w:p w14:paraId="7B43441F" w14:textId="77777777" w:rsidR="00092E33" w:rsidRPr="00092E33" w:rsidRDefault="00092E33" w:rsidP="00092E33">
      <w:pPr>
        <w:spacing w:after="0" w:line="240" w:lineRule="auto"/>
        <w:ind w:right="49"/>
        <w:jc w:val="both"/>
        <w:rPr>
          <w:rFonts w:ascii="Times New Roman" w:hAnsi="Times New Roman" w:cs="Times New Roman"/>
        </w:rPr>
      </w:pPr>
    </w:p>
    <w:p w14:paraId="5E9949BA"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Los </w:t>
      </w:r>
      <w:proofErr w:type="gramStart"/>
      <w:r w:rsidRPr="00092E33">
        <w:rPr>
          <w:rFonts w:ascii="Times New Roman" w:hAnsi="Times New Roman" w:cs="Times New Roman"/>
          <w:i/>
          <w:iCs/>
        </w:rPr>
        <w:t>Directores</w:t>
      </w:r>
      <w:proofErr w:type="gramEnd"/>
      <w:r w:rsidRPr="00092E33">
        <w:rPr>
          <w:rFonts w:ascii="Times New Roman" w:hAnsi="Times New Roman" w:cs="Times New Roman"/>
          <w:i/>
          <w:iCs/>
        </w:rPr>
        <w:t xml:space="preserve"> de GST ejercen sus funciones conforme los deberes y facultades que les asigna el Estatuto Social y la Ley General de Sociedades, en donde se detallan los lineamientos del funcionamiento del órgano de administración. El Estatuto Social se encuentra publicado en la página web de la Comisión Nacional de Valores y de la página web institucional de la Sociedad.</w:t>
      </w:r>
    </w:p>
    <w:p w14:paraId="39AE5723" w14:textId="77777777" w:rsidR="00092E33" w:rsidRPr="00092E33" w:rsidRDefault="00092E33" w:rsidP="00092E33">
      <w:pPr>
        <w:spacing w:after="0" w:line="240" w:lineRule="auto"/>
        <w:ind w:right="49"/>
        <w:jc w:val="both"/>
        <w:rPr>
          <w:rFonts w:ascii="Times New Roman" w:hAnsi="Times New Roman" w:cs="Times New Roman"/>
        </w:rPr>
      </w:pPr>
    </w:p>
    <w:p w14:paraId="7051A923" w14:textId="77777777" w:rsidR="00092E33" w:rsidRPr="00092E33" w:rsidRDefault="00092E33" w:rsidP="00092E33">
      <w:pPr>
        <w:spacing w:after="0" w:line="240" w:lineRule="auto"/>
        <w:ind w:right="49"/>
        <w:jc w:val="both"/>
        <w:rPr>
          <w:rFonts w:ascii="Times New Roman" w:hAnsi="Times New Roman" w:cs="Times New Roman"/>
          <w:b/>
        </w:rPr>
      </w:pPr>
      <w:r w:rsidRPr="00092E33">
        <w:rPr>
          <w:rFonts w:ascii="Times New Roman" w:hAnsi="Times New Roman" w:cs="Times New Roman"/>
          <w:b/>
        </w:rPr>
        <w:t>B) LA PRESIDENCIA EN EL DIRECTORIO Y LA SECRETARÍA CORPORATIVA</w:t>
      </w:r>
    </w:p>
    <w:p w14:paraId="07D2923D"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Principios</w:t>
      </w:r>
    </w:p>
    <w:p w14:paraId="3440DEA4"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 xml:space="preserve">VI. El Presidente del Directorio es el encargado de velar por el cumplimiento efectivo de las funciones del Directorio y de liderar a sus miembros. Deberá generar una dinámica positiva de trabajo y promover la participación constructiva de sus miembros, así como garantizar que los miembros cuenten con los elementos e información necesaria para la toma de decisiones. Ello también aplica a los </w:t>
      </w:r>
      <w:proofErr w:type="gramStart"/>
      <w:r w:rsidRPr="00092E33">
        <w:rPr>
          <w:rFonts w:ascii="Times New Roman" w:hAnsi="Times New Roman" w:cs="Times New Roman"/>
        </w:rPr>
        <w:t>Presidentes</w:t>
      </w:r>
      <w:proofErr w:type="gramEnd"/>
      <w:r w:rsidRPr="00092E33">
        <w:rPr>
          <w:rFonts w:ascii="Times New Roman" w:hAnsi="Times New Roman" w:cs="Times New Roman"/>
        </w:rPr>
        <w:t xml:space="preserve"> de cada comité del Directorio en cuanto a la labor que les corresponde.</w:t>
      </w:r>
    </w:p>
    <w:p w14:paraId="37AA0110"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VII. El Presidente del Directorio deberá liderar procesos y establecer estructuras buscando el compromiso, objetividad y competencia de los miembros del Directorio, así como el mejor funcionamiento del órgano en su conjunto y su evolución conforme a las necesidades de la compañía.</w:t>
      </w:r>
    </w:p>
    <w:p w14:paraId="0FF7813B"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VIII. El Presidente del Directorio deberá velar por que el Directorio en su totalidad esté involucrado y sea responsable por la sucesión del gerente general.</w:t>
      </w:r>
    </w:p>
    <w:p w14:paraId="252573AD" w14:textId="77777777" w:rsidR="00092E33" w:rsidRPr="00092E33" w:rsidRDefault="00092E33" w:rsidP="00092E33">
      <w:pPr>
        <w:spacing w:after="0" w:line="240" w:lineRule="auto"/>
        <w:ind w:right="49"/>
        <w:jc w:val="both"/>
        <w:rPr>
          <w:rFonts w:ascii="Times New Roman" w:hAnsi="Times New Roman" w:cs="Times New Roman"/>
        </w:rPr>
      </w:pPr>
    </w:p>
    <w:p w14:paraId="28D37304"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 xml:space="preserve">6. El Presidente del Directorio es responsable de la buena organización de las reuniones del Directorio, prepara el orden del día asegurando la colaboración de los demás miembros y asegura que estos reciban los materiales necesarios con tiempo suficiente para participar de manera eficiente e informada en las reuniones. Los </w:t>
      </w:r>
      <w:proofErr w:type="gramStart"/>
      <w:r w:rsidRPr="00092E33">
        <w:rPr>
          <w:rFonts w:ascii="Times New Roman" w:hAnsi="Times New Roman" w:cs="Times New Roman"/>
        </w:rPr>
        <w:t>Presidentes</w:t>
      </w:r>
      <w:proofErr w:type="gramEnd"/>
      <w:r w:rsidRPr="00092E33">
        <w:rPr>
          <w:rFonts w:ascii="Times New Roman" w:hAnsi="Times New Roman" w:cs="Times New Roman"/>
        </w:rPr>
        <w:t xml:space="preserve"> de los comités tienen las mismas responsabilidades para sus reuniones.</w:t>
      </w:r>
    </w:p>
    <w:p w14:paraId="52F018A6" w14:textId="77777777" w:rsidR="00092E33" w:rsidRPr="00092E33" w:rsidRDefault="00092E33" w:rsidP="00092E33">
      <w:pPr>
        <w:spacing w:after="0" w:line="240" w:lineRule="auto"/>
        <w:ind w:right="49"/>
        <w:jc w:val="both"/>
        <w:rPr>
          <w:rFonts w:ascii="Times New Roman" w:hAnsi="Times New Roman" w:cs="Times New Roman"/>
        </w:rPr>
      </w:pPr>
    </w:p>
    <w:p w14:paraId="5FEE7AFC"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i/>
          <w:iCs/>
        </w:rPr>
        <w:t xml:space="preserve">El </w:t>
      </w:r>
      <w:proofErr w:type="gramStart"/>
      <w:r w:rsidRPr="00092E33">
        <w:rPr>
          <w:rFonts w:ascii="Times New Roman" w:hAnsi="Times New Roman" w:cs="Times New Roman"/>
          <w:i/>
          <w:iCs/>
        </w:rPr>
        <w:t>Presidente</w:t>
      </w:r>
      <w:proofErr w:type="gramEnd"/>
      <w:r w:rsidRPr="00092E33">
        <w:rPr>
          <w:rFonts w:ascii="Times New Roman" w:hAnsi="Times New Roman" w:cs="Times New Roman"/>
          <w:i/>
          <w:iCs/>
        </w:rPr>
        <w:t xml:space="preserve"> del Directorio es quien garantiza el efectivo funcionamiento del Directorio y la organización de las distintas reuniones. Debido al reducido tamaño de la organización, únicamente se ha creado un Comité Ejecutivo que tiene las mismas responsabilidades en cuanto a la organización de sus reuniones. </w:t>
      </w:r>
    </w:p>
    <w:p w14:paraId="5AF0F7DA" w14:textId="77777777" w:rsidR="00092E33" w:rsidRPr="00092E33" w:rsidRDefault="00092E33" w:rsidP="00092E33">
      <w:pPr>
        <w:spacing w:after="0" w:line="240" w:lineRule="auto"/>
        <w:ind w:right="49"/>
        <w:jc w:val="both"/>
        <w:rPr>
          <w:rFonts w:ascii="Times New Roman" w:hAnsi="Times New Roman" w:cs="Times New Roman"/>
          <w:i/>
          <w:iCs/>
        </w:rPr>
      </w:pPr>
    </w:p>
    <w:p w14:paraId="69614C05"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7. El Presidente del Directorio vela por el correcto funcionamiento interno del Directorio mediante la implementación de procesos formales de evaluación anual.</w:t>
      </w:r>
    </w:p>
    <w:p w14:paraId="54AE5640" w14:textId="77777777" w:rsidR="00092E33" w:rsidRPr="00092E33" w:rsidRDefault="00092E33" w:rsidP="00092E33">
      <w:pPr>
        <w:spacing w:after="0" w:line="240" w:lineRule="auto"/>
        <w:ind w:right="49"/>
        <w:jc w:val="both"/>
        <w:rPr>
          <w:rFonts w:ascii="Times New Roman" w:hAnsi="Times New Roman" w:cs="Times New Roman"/>
        </w:rPr>
      </w:pPr>
    </w:p>
    <w:p w14:paraId="3F2FA772"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El funcionamiento interno del Directorio y de cada uno de sus miembros se evalúa anualmente, en oportunidad de la celebración de la asamblea general ordinaria. </w:t>
      </w:r>
    </w:p>
    <w:p w14:paraId="2237A438" w14:textId="77777777" w:rsidR="00092E33" w:rsidRPr="00092E33" w:rsidRDefault="00092E33" w:rsidP="00092E33">
      <w:pPr>
        <w:spacing w:after="0" w:line="240" w:lineRule="auto"/>
        <w:ind w:right="49"/>
        <w:jc w:val="both"/>
        <w:rPr>
          <w:rFonts w:ascii="Times New Roman" w:hAnsi="Times New Roman" w:cs="Times New Roman"/>
        </w:rPr>
      </w:pPr>
    </w:p>
    <w:p w14:paraId="4BA3D016"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8. El Presidente genera un espacio de trabajo positivo y constructivo para todos los miembros del Directorio y asegura que reciban capacitación continua para mantenerse actualizados y poder cumplir correctamente sus funciones.</w:t>
      </w:r>
    </w:p>
    <w:p w14:paraId="6672AA5D" w14:textId="77777777" w:rsidR="00092E33" w:rsidRPr="00092E33" w:rsidRDefault="00092E33" w:rsidP="00092E33">
      <w:pPr>
        <w:spacing w:after="0" w:line="240" w:lineRule="auto"/>
        <w:ind w:right="49"/>
        <w:jc w:val="both"/>
        <w:rPr>
          <w:rFonts w:ascii="Times New Roman" w:hAnsi="Times New Roman" w:cs="Times New Roman"/>
        </w:rPr>
      </w:pPr>
    </w:p>
    <w:p w14:paraId="57FEB1D6"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La capacitación de los </w:t>
      </w:r>
      <w:proofErr w:type="gramStart"/>
      <w:r w:rsidRPr="00092E33">
        <w:rPr>
          <w:rFonts w:ascii="Times New Roman" w:hAnsi="Times New Roman" w:cs="Times New Roman"/>
          <w:i/>
          <w:iCs/>
        </w:rPr>
        <w:t>Directores</w:t>
      </w:r>
      <w:proofErr w:type="gramEnd"/>
      <w:r w:rsidRPr="00092E33">
        <w:rPr>
          <w:rFonts w:ascii="Times New Roman" w:hAnsi="Times New Roman" w:cs="Times New Roman"/>
          <w:i/>
          <w:iCs/>
        </w:rPr>
        <w:t>, por lógica de magnitud no comparable a lo requerido en empresas operativas, se realiza de acuerdo con las necesidades que analiza el propio Directorio, sin perjuicio de ello, los Directores de la Emisora se mantienen actualizados en temas vinculados con la política, economía, aspectos regulatorios, etc. que son relevantes para la Emisora, lo cual se encuentra reflejado en los antecedentes profesionales y académicos.</w:t>
      </w:r>
    </w:p>
    <w:p w14:paraId="60F948D7" w14:textId="77777777" w:rsidR="00092E33" w:rsidRPr="00092E33" w:rsidRDefault="00092E33" w:rsidP="00092E33">
      <w:pPr>
        <w:spacing w:after="0" w:line="240" w:lineRule="auto"/>
        <w:ind w:right="49"/>
        <w:jc w:val="both"/>
        <w:rPr>
          <w:rFonts w:ascii="Times New Roman" w:hAnsi="Times New Roman" w:cs="Times New Roman"/>
        </w:rPr>
      </w:pPr>
    </w:p>
    <w:p w14:paraId="566C41BC"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 xml:space="preserve">9. La Secretaría Corporativa apoya al </w:t>
      </w:r>
      <w:proofErr w:type="gramStart"/>
      <w:r w:rsidRPr="00092E33">
        <w:rPr>
          <w:rFonts w:ascii="Times New Roman" w:hAnsi="Times New Roman" w:cs="Times New Roman"/>
        </w:rPr>
        <w:t>Presidente</w:t>
      </w:r>
      <w:proofErr w:type="gramEnd"/>
      <w:r w:rsidRPr="00092E33">
        <w:rPr>
          <w:rFonts w:ascii="Times New Roman" w:hAnsi="Times New Roman" w:cs="Times New Roman"/>
        </w:rPr>
        <w:t xml:space="preserve"> del Directorio en la administración efectiva del Directorio y colabora en la comunicación entre accionistas, Directorio y gerencia.</w:t>
      </w:r>
    </w:p>
    <w:p w14:paraId="1222BD24" w14:textId="77777777" w:rsidR="00092E33" w:rsidRPr="00092E33" w:rsidRDefault="00092E33" w:rsidP="00092E33">
      <w:pPr>
        <w:spacing w:after="0" w:line="240" w:lineRule="auto"/>
        <w:ind w:right="49"/>
        <w:jc w:val="both"/>
        <w:rPr>
          <w:rFonts w:ascii="Times New Roman" w:hAnsi="Times New Roman" w:cs="Times New Roman"/>
        </w:rPr>
      </w:pPr>
    </w:p>
    <w:p w14:paraId="59BEBA82"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La Entidad cuenta con una infraestructura acorde a su estructura y necesidades que permiten al presidente del Directorio llevar la administración efectiva del directorio y una fluida comunicación entre accionistas, directores y gerentes. </w:t>
      </w:r>
    </w:p>
    <w:p w14:paraId="0506026B" w14:textId="77777777" w:rsidR="00092E33" w:rsidRPr="00092E33" w:rsidRDefault="00092E33" w:rsidP="00092E33">
      <w:pPr>
        <w:spacing w:after="0" w:line="240" w:lineRule="auto"/>
        <w:ind w:right="49"/>
        <w:jc w:val="both"/>
        <w:rPr>
          <w:rFonts w:ascii="Times New Roman" w:hAnsi="Times New Roman" w:cs="Times New Roman"/>
        </w:rPr>
      </w:pPr>
    </w:p>
    <w:p w14:paraId="529779A5"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 xml:space="preserve">10. El Presidente del Directorio asegura la participación de todos sus miembros en el desarrollo y aprobación de un de un plan de sucesión para el gerente general de la compañía. </w:t>
      </w:r>
    </w:p>
    <w:p w14:paraId="18228051" w14:textId="77777777" w:rsidR="00092E33" w:rsidRPr="00092E33" w:rsidRDefault="00092E33" w:rsidP="00092E33">
      <w:pPr>
        <w:spacing w:after="0" w:line="240" w:lineRule="auto"/>
        <w:ind w:right="49"/>
        <w:jc w:val="both"/>
        <w:rPr>
          <w:rFonts w:ascii="Times New Roman" w:hAnsi="Times New Roman" w:cs="Times New Roman"/>
        </w:rPr>
      </w:pPr>
    </w:p>
    <w:p w14:paraId="7EA160F0"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No se constata la existencia de un plan de sucesión del Órgano de Administración y de gerentes de primera línea, en virtud de la estructura y dimensión de la Sociedad.</w:t>
      </w:r>
    </w:p>
    <w:p w14:paraId="1010DC43" w14:textId="77777777" w:rsidR="00092E33" w:rsidRPr="00092E33" w:rsidRDefault="00092E33" w:rsidP="00092E33">
      <w:pPr>
        <w:spacing w:after="0" w:line="240" w:lineRule="auto"/>
        <w:ind w:right="49"/>
        <w:jc w:val="both"/>
        <w:rPr>
          <w:rFonts w:ascii="Times New Roman" w:hAnsi="Times New Roman" w:cs="Times New Roman"/>
          <w:i/>
          <w:iCs/>
        </w:rPr>
      </w:pPr>
    </w:p>
    <w:p w14:paraId="71DEC097" w14:textId="77777777" w:rsidR="00092E33" w:rsidRPr="00092E33" w:rsidRDefault="00092E33" w:rsidP="00092E33">
      <w:pPr>
        <w:spacing w:after="0" w:line="240" w:lineRule="auto"/>
        <w:ind w:right="49"/>
        <w:jc w:val="both"/>
        <w:rPr>
          <w:rFonts w:ascii="Times New Roman" w:hAnsi="Times New Roman" w:cs="Times New Roman"/>
          <w:b/>
        </w:rPr>
      </w:pPr>
      <w:r w:rsidRPr="00092E33">
        <w:rPr>
          <w:rFonts w:ascii="Times New Roman" w:hAnsi="Times New Roman" w:cs="Times New Roman"/>
          <w:b/>
        </w:rPr>
        <w:t>C) COMPOSICIÓN, NOMINACIÓN Y SUCESIÓN DEL DIRECTORIO</w:t>
      </w:r>
    </w:p>
    <w:p w14:paraId="098F6149"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Principios</w:t>
      </w:r>
    </w:p>
    <w:p w14:paraId="5C93EDE2"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 xml:space="preserve">IX. El Directorio deberá contar con niveles adecuados de independencia y diversidad que le permitan tomar decisiones en </w:t>
      </w:r>
      <w:proofErr w:type="spellStart"/>
      <w:r w:rsidRPr="00092E33">
        <w:rPr>
          <w:rFonts w:ascii="Times New Roman" w:hAnsi="Times New Roman" w:cs="Times New Roman"/>
        </w:rPr>
        <w:t>pos</w:t>
      </w:r>
      <w:proofErr w:type="spellEnd"/>
      <w:r w:rsidRPr="00092E33">
        <w:rPr>
          <w:rFonts w:ascii="Times New Roman" w:hAnsi="Times New Roman" w:cs="Times New Roman"/>
        </w:rPr>
        <w:t xml:space="preserve"> del mejor interés de la compañía, evitando el pensamiento de grupo y la toma de decisiones por individuos o grupos dominantes dentro del Directorio.</w:t>
      </w:r>
    </w:p>
    <w:p w14:paraId="3219D211"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X. El Directorio deberá asegurar que la compañía cuenta con procedimientos formales para la propuesta y nominación de candidatos para ocupar cargos en el Directorio en el marco de un plan de sucesión.</w:t>
      </w:r>
    </w:p>
    <w:p w14:paraId="239C9D49" w14:textId="77777777" w:rsidR="00092E33" w:rsidRPr="00092E33" w:rsidRDefault="00092E33" w:rsidP="00092E33">
      <w:pPr>
        <w:spacing w:after="0" w:line="240" w:lineRule="auto"/>
        <w:ind w:right="49"/>
        <w:jc w:val="both"/>
        <w:rPr>
          <w:rFonts w:ascii="Times New Roman" w:hAnsi="Times New Roman" w:cs="Times New Roman"/>
        </w:rPr>
      </w:pPr>
    </w:p>
    <w:p w14:paraId="4A4ABB75"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11. El Directorio tiene al menos dos miembros que poseen el carácter de independientes de acuerdo con los criterios vigentes establecidos por la Comisión Nacional de Valores.</w:t>
      </w:r>
    </w:p>
    <w:p w14:paraId="30064B5A" w14:textId="77777777" w:rsidR="00092E33" w:rsidRPr="00092E33" w:rsidRDefault="00092E33" w:rsidP="00092E33">
      <w:pPr>
        <w:spacing w:after="0" w:line="240" w:lineRule="auto"/>
        <w:ind w:right="49"/>
        <w:jc w:val="both"/>
        <w:rPr>
          <w:rFonts w:ascii="Times New Roman" w:hAnsi="Times New Roman" w:cs="Times New Roman"/>
        </w:rPr>
      </w:pPr>
    </w:p>
    <w:p w14:paraId="7C8578FC"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Actualmente, la Entidad no cuenta con directores independientes, basado en la dimensión, complejidad, importancia económica y perfil de riesgo de la Entidad. La Asamblea de Accionistas no ha considerado necesario establecer una política dirigida a mantener una proporción mínima de miembros independientes en el Directorio de la Emisora, en virtud de la reducida estructura de la Sociedad. Sin perjuicio de ello, en las reuniones de este órgano, se deja expresamente indicado el carácter de independiente o no de las personas propuestas para desempeñarse como </w:t>
      </w:r>
      <w:proofErr w:type="gramStart"/>
      <w:r w:rsidRPr="00092E33">
        <w:rPr>
          <w:rFonts w:ascii="Times New Roman" w:hAnsi="Times New Roman" w:cs="Times New Roman"/>
          <w:i/>
          <w:iCs/>
        </w:rPr>
        <w:t>Directores</w:t>
      </w:r>
      <w:proofErr w:type="gramEnd"/>
      <w:r w:rsidRPr="00092E33">
        <w:rPr>
          <w:rFonts w:ascii="Times New Roman" w:hAnsi="Times New Roman" w:cs="Times New Roman"/>
          <w:i/>
          <w:iCs/>
        </w:rPr>
        <w:t xml:space="preserve"> o Síndicos. Con relación al carácter de independiente de los miembros del Directorio no han existido observaciones o cuestionamiento al presente.</w:t>
      </w:r>
    </w:p>
    <w:p w14:paraId="277F4BB7" w14:textId="77777777" w:rsidR="00092E33" w:rsidRPr="00092E33" w:rsidRDefault="00092E33" w:rsidP="00092E33">
      <w:pPr>
        <w:spacing w:after="0" w:line="240" w:lineRule="auto"/>
        <w:ind w:right="49"/>
        <w:jc w:val="both"/>
        <w:rPr>
          <w:rFonts w:ascii="Times New Roman" w:hAnsi="Times New Roman" w:cs="Times New Roman"/>
          <w:i/>
          <w:iCs/>
        </w:rPr>
      </w:pPr>
    </w:p>
    <w:p w14:paraId="5988822C"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 xml:space="preserve">12. La compañía cuenta con un Comité de Nominaciones que está compuesto por al menos tres (3) miembros y es presidido por un director independiente. De presidir el Comité de Nominaciones, el </w:t>
      </w:r>
      <w:proofErr w:type="gramStart"/>
      <w:r w:rsidRPr="00092E33">
        <w:rPr>
          <w:rFonts w:ascii="Times New Roman" w:hAnsi="Times New Roman" w:cs="Times New Roman"/>
        </w:rPr>
        <w:t>Presidente</w:t>
      </w:r>
      <w:proofErr w:type="gramEnd"/>
      <w:r w:rsidRPr="00092E33">
        <w:rPr>
          <w:rFonts w:ascii="Times New Roman" w:hAnsi="Times New Roman" w:cs="Times New Roman"/>
        </w:rPr>
        <w:t xml:space="preserve"> del Directorio se abstendrá de participar frente al tratamiento de la designación de su propio sucesor.</w:t>
      </w:r>
    </w:p>
    <w:p w14:paraId="64F6B1E4" w14:textId="77777777" w:rsidR="00092E33" w:rsidRPr="00092E33" w:rsidRDefault="00092E33" w:rsidP="00092E33">
      <w:pPr>
        <w:spacing w:after="0" w:line="240" w:lineRule="auto"/>
        <w:ind w:right="49"/>
        <w:jc w:val="both"/>
        <w:rPr>
          <w:rFonts w:ascii="Times New Roman" w:hAnsi="Times New Roman" w:cs="Times New Roman"/>
        </w:rPr>
      </w:pPr>
    </w:p>
    <w:p w14:paraId="671364D9"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La Sociedad entiende </w:t>
      </w:r>
      <w:proofErr w:type="gramStart"/>
      <w:r w:rsidRPr="00092E33">
        <w:rPr>
          <w:rFonts w:ascii="Times New Roman" w:hAnsi="Times New Roman" w:cs="Times New Roman"/>
          <w:i/>
          <w:iCs/>
        </w:rPr>
        <w:t>que</w:t>
      </w:r>
      <w:proofErr w:type="gramEnd"/>
      <w:r w:rsidRPr="00092E33">
        <w:rPr>
          <w:rFonts w:ascii="Times New Roman" w:hAnsi="Times New Roman" w:cs="Times New Roman"/>
          <w:i/>
          <w:iCs/>
        </w:rPr>
        <w:t xml:space="preserve"> en el marco de la estructura legal argentina y la realidad del mercado, no resulta adecuado estructurar un comité de ese tipo para la designación de directores. Debe tenerse presente que, a diferencia de otros ordenamientos, en el derecho argentino es de competencia exclusiva de la Asamblea de Accionistas la designación de </w:t>
      </w:r>
      <w:proofErr w:type="gramStart"/>
      <w:r w:rsidRPr="00092E33">
        <w:rPr>
          <w:rFonts w:ascii="Times New Roman" w:hAnsi="Times New Roman" w:cs="Times New Roman"/>
          <w:i/>
          <w:iCs/>
        </w:rPr>
        <w:t>Directores</w:t>
      </w:r>
      <w:proofErr w:type="gramEnd"/>
      <w:r w:rsidRPr="00092E33">
        <w:rPr>
          <w:rFonts w:ascii="Times New Roman" w:hAnsi="Times New Roman" w:cs="Times New Roman"/>
          <w:i/>
          <w:iCs/>
        </w:rPr>
        <w:t>, por lo que las recomendaciones de un Comité de este tipo no serían vinculantes y podrían resultar abstractas y hasta contraproducentes.</w:t>
      </w:r>
    </w:p>
    <w:p w14:paraId="6E10BDAF" w14:textId="77777777" w:rsidR="00092E33" w:rsidRPr="00092E33" w:rsidRDefault="00092E33" w:rsidP="00092E33">
      <w:pPr>
        <w:spacing w:after="0" w:line="240" w:lineRule="auto"/>
        <w:ind w:right="49"/>
        <w:jc w:val="both"/>
        <w:rPr>
          <w:rFonts w:ascii="Times New Roman" w:hAnsi="Times New Roman" w:cs="Times New Roman"/>
          <w:i/>
          <w:iCs/>
        </w:rPr>
      </w:pPr>
    </w:p>
    <w:p w14:paraId="1349CF26" w14:textId="77777777" w:rsidR="00092E33" w:rsidRPr="00092E33" w:rsidRDefault="00092E33" w:rsidP="00092E33">
      <w:pPr>
        <w:spacing w:after="0" w:line="240" w:lineRule="auto"/>
        <w:ind w:right="49"/>
        <w:jc w:val="both"/>
        <w:rPr>
          <w:rFonts w:ascii="Times New Roman" w:hAnsi="Times New Roman" w:cs="Times New Roman"/>
          <w:i/>
          <w:iCs/>
        </w:rPr>
      </w:pPr>
    </w:p>
    <w:p w14:paraId="119C9FED"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13. El Directorio, a través del Comité de Nominaciones, desarrolla un plan de sucesión para sus miembros que guía el proceso de preselección de candidatos para ocupar vacantes y tiene en consideración las recomendaciones no vinculantes realizadas por sus miembros, el Gerente General y los Accionistas.</w:t>
      </w:r>
    </w:p>
    <w:p w14:paraId="40B006A3" w14:textId="77777777" w:rsidR="00092E33" w:rsidRPr="00092E33" w:rsidRDefault="00092E33" w:rsidP="00092E33">
      <w:pPr>
        <w:spacing w:after="0" w:line="240" w:lineRule="auto"/>
        <w:ind w:right="49"/>
        <w:jc w:val="both"/>
        <w:rPr>
          <w:rFonts w:ascii="Times New Roman" w:hAnsi="Times New Roman" w:cs="Times New Roman"/>
        </w:rPr>
      </w:pPr>
    </w:p>
    <w:p w14:paraId="3BFB7641"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Se remite a lo indicado en los puntos 10 y 12. </w:t>
      </w:r>
    </w:p>
    <w:p w14:paraId="38F469B0" w14:textId="77777777" w:rsidR="00092E33" w:rsidRPr="00092E33" w:rsidRDefault="00092E33" w:rsidP="00092E33">
      <w:pPr>
        <w:spacing w:after="0" w:line="240" w:lineRule="auto"/>
        <w:ind w:right="49"/>
        <w:jc w:val="both"/>
        <w:rPr>
          <w:rFonts w:ascii="Times New Roman" w:hAnsi="Times New Roman" w:cs="Times New Roman"/>
        </w:rPr>
      </w:pPr>
    </w:p>
    <w:p w14:paraId="1387691F"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14. El Directorio implementa un programa de orientación para sus nuevos miembros electos.</w:t>
      </w:r>
    </w:p>
    <w:p w14:paraId="4CD8781E" w14:textId="77777777" w:rsidR="00092E33" w:rsidRPr="00092E33" w:rsidRDefault="00092E33" w:rsidP="00092E33">
      <w:pPr>
        <w:spacing w:after="0" w:line="240" w:lineRule="auto"/>
        <w:ind w:right="49"/>
        <w:jc w:val="both"/>
        <w:rPr>
          <w:rFonts w:ascii="Times New Roman" w:hAnsi="Times New Roman" w:cs="Times New Roman"/>
        </w:rPr>
      </w:pPr>
    </w:p>
    <w:p w14:paraId="2784F709"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lastRenderedPageBreak/>
        <w:t>La Sociedad no cuenta con un programa de orientación para sus nuevos miembros. Ello en el entendimiento que, en base a su estructura y dimensión, todo lo relativo al funcionamiento y responsabilidades del Directorio se encuentra plasmado en el Estatuto de la Sociedad.</w:t>
      </w:r>
    </w:p>
    <w:p w14:paraId="3305C978" w14:textId="77777777" w:rsidR="00092E33" w:rsidRPr="00092E33" w:rsidRDefault="00092E33" w:rsidP="00092E33">
      <w:pPr>
        <w:spacing w:after="0" w:line="240" w:lineRule="auto"/>
        <w:ind w:right="49"/>
        <w:jc w:val="both"/>
        <w:rPr>
          <w:rFonts w:ascii="Times New Roman" w:hAnsi="Times New Roman" w:cs="Times New Roman"/>
        </w:rPr>
      </w:pPr>
    </w:p>
    <w:p w14:paraId="000ED917" w14:textId="77777777" w:rsidR="00092E33" w:rsidRPr="00092E33" w:rsidRDefault="00092E33" w:rsidP="00092E33">
      <w:pPr>
        <w:spacing w:after="0" w:line="240" w:lineRule="auto"/>
        <w:ind w:right="49"/>
        <w:jc w:val="both"/>
        <w:rPr>
          <w:rFonts w:ascii="Times New Roman" w:hAnsi="Times New Roman" w:cs="Times New Roman"/>
          <w:b/>
        </w:rPr>
      </w:pPr>
      <w:r w:rsidRPr="00092E33">
        <w:rPr>
          <w:rFonts w:ascii="Times New Roman" w:hAnsi="Times New Roman" w:cs="Times New Roman"/>
          <w:b/>
        </w:rPr>
        <w:t>D) REMUNERACIÓN</w:t>
      </w:r>
    </w:p>
    <w:p w14:paraId="54AAE853"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Principios</w:t>
      </w:r>
    </w:p>
    <w:p w14:paraId="3B9F8EFF"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XI. El Directorio deberá generar incentivos a través de la remuneración para alinear a la gerencia – liderada por el gerente general- y al mismo Directorio con los intereses de largo plazo de la compañía de manera tal que todos los directores cumplan con sus obligaciones respecto a todos sus accionistas de forma equitativa.</w:t>
      </w:r>
    </w:p>
    <w:p w14:paraId="733DA1C1" w14:textId="77777777" w:rsidR="00092E33" w:rsidRPr="00092E33" w:rsidRDefault="00092E33" w:rsidP="00092E33">
      <w:pPr>
        <w:spacing w:after="0" w:line="240" w:lineRule="auto"/>
        <w:ind w:right="49"/>
        <w:jc w:val="both"/>
        <w:rPr>
          <w:rFonts w:ascii="Times New Roman" w:hAnsi="Times New Roman" w:cs="Times New Roman"/>
        </w:rPr>
      </w:pPr>
    </w:p>
    <w:p w14:paraId="1E735024"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15. La compañía cuenta con un Comité de Remuneraciones que está compuesto por al menos tres (3) miembros. Los miembros son en su totalidad independientes o no ejecutivos.</w:t>
      </w:r>
    </w:p>
    <w:p w14:paraId="48D645A0" w14:textId="77777777" w:rsidR="00092E33" w:rsidRPr="00092E33" w:rsidRDefault="00092E33" w:rsidP="00092E33">
      <w:pPr>
        <w:spacing w:after="0" w:line="240" w:lineRule="auto"/>
        <w:ind w:right="49"/>
        <w:jc w:val="both"/>
        <w:rPr>
          <w:rFonts w:ascii="Times New Roman" w:hAnsi="Times New Roman" w:cs="Times New Roman"/>
        </w:rPr>
      </w:pPr>
    </w:p>
    <w:p w14:paraId="5F39EF14"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GST entiende que en el marco de la estructura legal argentina y de la realidad del mercado, no resulta adecuado estructurar un comité de ese tipo dado que es de competencia exclusiva de la Asamblea de Accionistas considerar la remuneración de </w:t>
      </w:r>
      <w:proofErr w:type="gramStart"/>
      <w:r w:rsidRPr="00092E33">
        <w:rPr>
          <w:rFonts w:ascii="Times New Roman" w:hAnsi="Times New Roman" w:cs="Times New Roman"/>
          <w:i/>
          <w:iCs/>
        </w:rPr>
        <w:t>Directores</w:t>
      </w:r>
      <w:proofErr w:type="gramEnd"/>
      <w:r w:rsidRPr="00092E33">
        <w:rPr>
          <w:rFonts w:ascii="Times New Roman" w:hAnsi="Times New Roman" w:cs="Times New Roman"/>
          <w:i/>
          <w:iCs/>
        </w:rPr>
        <w:t xml:space="preserve"> y por el hecho de que posee un número reducido de empleados.</w:t>
      </w:r>
    </w:p>
    <w:p w14:paraId="4C95B7F1" w14:textId="77777777" w:rsidR="00092E33" w:rsidRPr="00092E33" w:rsidRDefault="00092E33" w:rsidP="00092E33">
      <w:pPr>
        <w:spacing w:after="0" w:line="240" w:lineRule="auto"/>
        <w:ind w:right="49"/>
        <w:jc w:val="both"/>
        <w:rPr>
          <w:rFonts w:ascii="Times New Roman" w:hAnsi="Times New Roman" w:cs="Times New Roman"/>
        </w:rPr>
      </w:pPr>
    </w:p>
    <w:p w14:paraId="26BE850C"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16. El Directorio, a través del Comité de Remuneraciones, establece una política de remuneración para el gerente general y miembros del Directorio.</w:t>
      </w:r>
    </w:p>
    <w:p w14:paraId="7602F7CB" w14:textId="77777777" w:rsidR="00092E33" w:rsidRPr="00092E33" w:rsidRDefault="00092E33" w:rsidP="00092E33">
      <w:pPr>
        <w:spacing w:after="0" w:line="240" w:lineRule="auto"/>
        <w:ind w:right="49"/>
        <w:jc w:val="both"/>
        <w:rPr>
          <w:rFonts w:ascii="Times New Roman" w:hAnsi="Times New Roman" w:cs="Times New Roman"/>
        </w:rPr>
      </w:pPr>
    </w:p>
    <w:p w14:paraId="6AE9302A"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La Sociedad entiende que, a diferencia de otros ordenamientos, en el derecho argentino es de competencia exclusiva de la Asamblea de Accionistas la designación y la remuneración de los </w:t>
      </w:r>
      <w:proofErr w:type="gramStart"/>
      <w:r w:rsidRPr="00092E33">
        <w:rPr>
          <w:rFonts w:ascii="Times New Roman" w:hAnsi="Times New Roman" w:cs="Times New Roman"/>
          <w:i/>
          <w:iCs/>
        </w:rPr>
        <w:t>Directores</w:t>
      </w:r>
      <w:proofErr w:type="gramEnd"/>
      <w:r w:rsidRPr="00092E33">
        <w:rPr>
          <w:rFonts w:ascii="Times New Roman" w:hAnsi="Times New Roman" w:cs="Times New Roman"/>
          <w:i/>
          <w:iCs/>
        </w:rPr>
        <w:t>, por lo que una política de remuneración para los miembros del directorio no serían vinculantes y podrían resultar abstractas y hasta contraproducentes.</w:t>
      </w:r>
    </w:p>
    <w:p w14:paraId="0EE99A32" w14:textId="77777777" w:rsidR="00092E33" w:rsidRPr="00092E33" w:rsidRDefault="00092E33" w:rsidP="00092E33">
      <w:pPr>
        <w:spacing w:after="0" w:line="240" w:lineRule="auto"/>
        <w:ind w:right="49"/>
        <w:jc w:val="both"/>
        <w:rPr>
          <w:rFonts w:ascii="Times New Roman" w:hAnsi="Times New Roman" w:cs="Times New Roman"/>
          <w:i/>
          <w:iCs/>
        </w:rPr>
      </w:pPr>
    </w:p>
    <w:p w14:paraId="32CD2909"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Respecto a la política de remuneración del gerente general, es el Directorio de la Entidad quien tiene a cargo la determinación de </w:t>
      </w:r>
      <w:proofErr w:type="gramStart"/>
      <w:r w:rsidRPr="00092E33">
        <w:rPr>
          <w:rFonts w:ascii="Times New Roman" w:hAnsi="Times New Roman" w:cs="Times New Roman"/>
          <w:i/>
          <w:iCs/>
        </w:rPr>
        <w:t>la misma</w:t>
      </w:r>
      <w:proofErr w:type="gramEnd"/>
      <w:r w:rsidRPr="00092E33">
        <w:rPr>
          <w:rFonts w:ascii="Times New Roman" w:hAnsi="Times New Roman" w:cs="Times New Roman"/>
          <w:i/>
          <w:iCs/>
        </w:rPr>
        <w:t xml:space="preserve">. </w:t>
      </w:r>
    </w:p>
    <w:p w14:paraId="03AC12F1" w14:textId="77777777" w:rsidR="00092E33" w:rsidRPr="00092E33" w:rsidRDefault="00092E33" w:rsidP="00092E33">
      <w:pPr>
        <w:spacing w:after="0" w:line="240" w:lineRule="auto"/>
        <w:ind w:right="49"/>
        <w:jc w:val="both"/>
        <w:rPr>
          <w:rFonts w:ascii="Times New Roman" w:hAnsi="Times New Roman" w:cs="Times New Roman"/>
          <w:i/>
          <w:iCs/>
          <w:highlight w:val="cyan"/>
        </w:rPr>
      </w:pPr>
    </w:p>
    <w:p w14:paraId="7B5F64C4"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Sin perjuicio de lo expuesto, se analizará las ventajas de establecer una política de remuneración para el gerente general y miembros del Directorio.</w:t>
      </w:r>
    </w:p>
    <w:p w14:paraId="15A99C68" w14:textId="77777777" w:rsidR="00092E33" w:rsidRPr="00092E33" w:rsidRDefault="00092E33" w:rsidP="00092E33">
      <w:pPr>
        <w:spacing w:after="0" w:line="240" w:lineRule="auto"/>
        <w:ind w:right="49"/>
        <w:jc w:val="both"/>
        <w:rPr>
          <w:rFonts w:ascii="Times New Roman" w:hAnsi="Times New Roman" w:cs="Times New Roman"/>
          <w:i/>
          <w:iCs/>
        </w:rPr>
      </w:pPr>
    </w:p>
    <w:p w14:paraId="26E1F628" w14:textId="77777777" w:rsidR="00092E33" w:rsidRPr="00092E33" w:rsidRDefault="00092E33" w:rsidP="00092E33">
      <w:pPr>
        <w:spacing w:after="0" w:line="240" w:lineRule="auto"/>
        <w:ind w:right="49"/>
        <w:jc w:val="both"/>
        <w:rPr>
          <w:rFonts w:ascii="Times New Roman" w:hAnsi="Times New Roman" w:cs="Times New Roman"/>
          <w:b/>
        </w:rPr>
      </w:pPr>
      <w:r w:rsidRPr="00092E33">
        <w:rPr>
          <w:rFonts w:ascii="Times New Roman" w:hAnsi="Times New Roman" w:cs="Times New Roman"/>
          <w:b/>
        </w:rPr>
        <w:t>E) AMBIENTE DE CONTROL</w:t>
      </w:r>
    </w:p>
    <w:p w14:paraId="45AD3519"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Principios</w:t>
      </w:r>
    </w:p>
    <w:p w14:paraId="20DACE62"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XII. El Directorio debe asegurar la existencia de un ambiente de control, compuesto por controles internos desarrollados por la gerencia, la auditoría interna, la gestión de riesgos, el cumplimiento regulatorio y la auditoría externa, que establezca las líneas de defensa necesarias para asegurar la integridad en las operaciones de la compañía y de sus reportes financieros.</w:t>
      </w:r>
    </w:p>
    <w:p w14:paraId="052C5854"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XIII. El Directorio deberá asegurar la existencia de un sistema de gestión integral de riesgos que permita a la gerencia y al Directorio dirigir eficientemente a la compañía hacia sus objetivos estratégicos.</w:t>
      </w:r>
    </w:p>
    <w:p w14:paraId="11453003"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XIV. El Directorio deberá asegurar la existencia de una persona o departamento (según el tamaño y complejidad del negocio, la naturaleza de sus operaciones y los riesgos a los cuales se enfrenta)</w:t>
      </w:r>
    </w:p>
    <w:p w14:paraId="264F9DFC"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encargado de la auditoría interna de la compañía. Esta auditoría, para evaluar y auditar los controles internos, los procesos de gobierno societario y la gestión de riesgo de la compañía, debe ser independiente y objetiva y tener sus líneas de reporte claramente establecidas.</w:t>
      </w:r>
    </w:p>
    <w:p w14:paraId="576C9D8B"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XV. El Comité de Auditoría del Directorio estará compuesto por miembros calificados y experimentados, y deberá cumplir con sus funciones de forma transparente e independiente.</w:t>
      </w:r>
    </w:p>
    <w:p w14:paraId="7CE4C4E5"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XVI. El Directorio deberá establecer procedimientos adecuados para velar por la actuación independiente y efectiva de los Auditores Externos.</w:t>
      </w:r>
    </w:p>
    <w:p w14:paraId="6F627881" w14:textId="77777777" w:rsidR="00092E33" w:rsidRPr="00092E33" w:rsidRDefault="00092E33" w:rsidP="00092E33">
      <w:pPr>
        <w:spacing w:after="0" w:line="240" w:lineRule="auto"/>
        <w:ind w:right="49"/>
        <w:jc w:val="both"/>
        <w:rPr>
          <w:rFonts w:ascii="Times New Roman" w:hAnsi="Times New Roman" w:cs="Times New Roman"/>
        </w:rPr>
      </w:pPr>
    </w:p>
    <w:p w14:paraId="2FB5DBAF"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17. El Directorio determina el apetito de riesgo de la compañía y además supervisa y garantiza la existencia de un sistema integral de gestión de riesgos que identifique, evalúe, decida el curso de acción y monitoree los riesgos a los que se enfrenta la compañía, incluyendo -entre otros- los riesgos medioambientales, sociales y aquellos inherentes al negocio en el corto y largo plazo.</w:t>
      </w:r>
    </w:p>
    <w:p w14:paraId="6EB994EC" w14:textId="77777777" w:rsidR="00092E33" w:rsidRPr="00092E33" w:rsidRDefault="00092E33" w:rsidP="00092E33">
      <w:pPr>
        <w:spacing w:after="0" w:line="240" w:lineRule="auto"/>
        <w:ind w:right="49"/>
        <w:jc w:val="both"/>
        <w:rPr>
          <w:rFonts w:ascii="Times New Roman" w:hAnsi="Times New Roman" w:cs="Times New Roman"/>
        </w:rPr>
      </w:pPr>
    </w:p>
    <w:p w14:paraId="60932575"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Las políticas de control de gestión de riesgos es competencia del Directorio quien determina el apetito de riesgo de la Sociedad y supervisa y garantiza la existencia y cumplimiento de las políticas determinadas a tal fin.</w:t>
      </w:r>
    </w:p>
    <w:p w14:paraId="0810DFEF" w14:textId="77777777" w:rsidR="00092E33" w:rsidRPr="00092E33" w:rsidRDefault="00092E33" w:rsidP="00092E33">
      <w:pPr>
        <w:spacing w:after="0" w:line="240" w:lineRule="auto"/>
        <w:ind w:right="49"/>
        <w:jc w:val="both"/>
        <w:rPr>
          <w:rFonts w:ascii="Times New Roman" w:hAnsi="Times New Roman" w:cs="Times New Roman"/>
        </w:rPr>
      </w:pPr>
    </w:p>
    <w:p w14:paraId="0A6B92EB"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18. El Directorio monitorea y revisa la efectividad de la auditoría interna independiente y garantiza los recursos para la implementación de un plan anual de auditoría en base a riesgos y una línea de reporte directa al Comité de Auditoría.</w:t>
      </w:r>
    </w:p>
    <w:p w14:paraId="5BEFF299" w14:textId="77777777" w:rsidR="00092E33" w:rsidRPr="00092E33" w:rsidRDefault="00092E33" w:rsidP="00092E33">
      <w:pPr>
        <w:spacing w:after="0" w:line="240" w:lineRule="auto"/>
        <w:ind w:right="49"/>
        <w:jc w:val="both"/>
        <w:rPr>
          <w:rFonts w:ascii="Times New Roman" w:hAnsi="Times New Roman" w:cs="Times New Roman"/>
        </w:rPr>
      </w:pPr>
    </w:p>
    <w:p w14:paraId="1F3ABE63"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La Sociedad no cuenta con un Comité de Auditoria por cuando su exigencia no le resulta aplicable por no cotizar sus acciones.</w:t>
      </w:r>
    </w:p>
    <w:p w14:paraId="2BA69789" w14:textId="77777777" w:rsidR="00092E33" w:rsidRPr="00092E33" w:rsidRDefault="00092E33" w:rsidP="00092E33">
      <w:pPr>
        <w:spacing w:after="0" w:line="240" w:lineRule="auto"/>
        <w:ind w:right="49"/>
        <w:jc w:val="both"/>
        <w:rPr>
          <w:rFonts w:ascii="Times New Roman" w:hAnsi="Times New Roman" w:cs="Times New Roman"/>
        </w:rPr>
      </w:pPr>
    </w:p>
    <w:p w14:paraId="311025C2"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lastRenderedPageBreak/>
        <w:t>19. El auditor interno o los miembros del departamento de auditoría interna son independientes y altamente capacitados.</w:t>
      </w:r>
    </w:p>
    <w:p w14:paraId="538545CA" w14:textId="77777777" w:rsidR="00092E33" w:rsidRPr="00092E33" w:rsidRDefault="00092E33" w:rsidP="00092E33">
      <w:pPr>
        <w:spacing w:after="0" w:line="240" w:lineRule="auto"/>
        <w:ind w:right="49"/>
        <w:jc w:val="both"/>
        <w:rPr>
          <w:rFonts w:ascii="Times New Roman" w:hAnsi="Times New Roman" w:cs="Times New Roman"/>
        </w:rPr>
      </w:pPr>
    </w:p>
    <w:p w14:paraId="3AD326B5"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Por lógica de magnitud no comparable a lo requerido en empresas operativas, la Emisora entiende que no resulta necesario contar con auditoría interna. Sin perjuicio de ello, su principal controlada, por tratarse de una entidad financiera regulada por el B.C.R.A., se encuentra sujeta a estrictas exigencias normativas relacionadas con auditoria interna.</w:t>
      </w:r>
    </w:p>
    <w:p w14:paraId="5180BCCD" w14:textId="77777777" w:rsidR="00092E33" w:rsidRPr="00092E33" w:rsidRDefault="00092E33" w:rsidP="00092E33">
      <w:pPr>
        <w:spacing w:after="0" w:line="240" w:lineRule="auto"/>
        <w:ind w:right="49"/>
        <w:jc w:val="both"/>
        <w:rPr>
          <w:rFonts w:ascii="Times New Roman" w:hAnsi="Times New Roman" w:cs="Times New Roman"/>
        </w:rPr>
      </w:pPr>
    </w:p>
    <w:p w14:paraId="52D7F683"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20. El Directorio tiene un Comité de Auditoría que actúa en base a un reglamento. El comité está compuesto en su mayoría y presidido por directores independientes y no incluye al gerente general. La mayoría de sus miembros tiene experiencia profesional en áreas financieras y contables.</w:t>
      </w:r>
    </w:p>
    <w:p w14:paraId="4218EAF6" w14:textId="77777777" w:rsidR="00092E33" w:rsidRPr="00092E33" w:rsidRDefault="00092E33" w:rsidP="00092E33">
      <w:pPr>
        <w:spacing w:after="0" w:line="240" w:lineRule="auto"/>
        <w:ind w:right="49"/>
        <w:jc w:val="both"/>
        <w:rPr>
          <w:rFonts w:ascii="Times New Roman" w:hAnsi="Times New Roman" w:cs="Times New Roman"/>
        </w:rPr>
      </w:pPr>
    </w:p>
    <w:p w14:paraId="50FAC45F"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i/>
          <w:iCs/>
        </w:rPr>
        <w:t>Se remite a lo indicado en el punto 18.</w:t>
      </w:r>
    </w:p>
    <w:p w14:paraId="3F4C44A8" w14:textId="77777777" w:rsidR="00092E33" w:rsidRPr="00092E33" w:rsidRDefault="00092E33" w:rsidP="00092E33">
      <w:pPr>
        <w:spacing w:after="0" w:line="240" w:lineRule="auto"/>
        <w:ind w:right="49"/>
        <w:jc w:val="both"/>
        <w:rPr>
          <w:rFonts w:ascii="Times New Roman" w:hAnsi="Times New Roman" w:cs="Times New Roman"/>
        </w:rPr>
      </w:pPr>
    </w:p>
    <w:p w14:paraId="6BF2BA32"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21. El Directorio, con opinión del Comité de Auditoría, aprueba una política de selección y monitoreo de auditores externos en la que se determinan los indicadores que se deben considerar al realizar la recomendación a la asamblea de Accionistas sobre la conservación o sustitución del auditor externo.</w:t>
      </w:r>
    </w:p>
    <w:p w14:paraId="59DDEFD9" w14:textId="77777777" w:rsidR="00092E33" w:rsidRPr="00092E33" w:rsidRDefault="00092E33" w:rsidP="00092E33">
      <w:pPr>
        <w:spacing w:after="0" w:line="240" w:lineRule="auto"/>
        <w:ind w:right="49"/>
        <w:jc w:val="both"/>
        <w:rPr>
          <w:rFonts w:ascii="Times New Roman" w:hAnsi="Times New Roman" w:cs="Times New Roman"/>
        </w:rPr>
      </w:pPr>
    </w:p>
    <w:p w14:paraId="32473006"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El Directorio es quien periódicamente se ocupa del monitoreo de las tareas de los auditores externos y es competencia de la Asamblea de Accionistas la designación de </w:t>
      </w:r>
      <w:proofErr w:type="gramStart"/>
      <w:r w:rsidRPr="00092E33">
        <w:rPr>
          <w:rFonts w:ascii="Times New Roman" w:hAnsi="Times New Roman" w:cs="Times New Roman"/>
          <w:i/>
          <w:iCs/>
        </w:rPr>
        <w:t>la misma</w:t>
      </w:r>
      <w:proofErr w:type="gramEnd"/>
      <w:r w:rsidRPr="00092E33">
        <w:rPr>
          <w:rFonts w:ascii="Times New Roman" w:hAnsi="Times New Roman" w:cs="Times New Roman"/>
          <w:i/>
          <w:iCs/>
        </w:rPr>
        <w:t>.</w:t>
      </w:r>
    </w:p>
    <w:p w14:paraId="700A2800" w14:textId="77777777" w:rsidR="00092E33" w:rsidRPr="00092E33" w:rsidRDefault="00092E33" w:rsidP="00092E33">
      <w:pPr>
        <w:spacing w:after="0" w:line="240" w:lineRule="auto"/>
        <w:ind w:right="49"/>
        <w:jc w:val="both"/>
        <w:rPr>
          <w:rFonts w:ascii="Times New Roman" w:hAnsi="Times New Roman" w:cs="Times New Roman"/>
        </w:rPr>
      </w:pPr>
    </w:p>
    <w:p w14:paraId="50AD6F53" w14:textId="77777777" w:rsidR="00092E33" w:rsidRPr="00092E33" w:rsidRDefault="00092E33" w:rsidP="00092E33">
      <w:pPr>
        <w:spacing w:after="0" w:line="240" w:lineRule="auto"/>
        <w:ind w:right="49"/>
        <w:jc w:val="both"/>
        <w:rPr>
          <w:rFonts w:ascii="Times New Roman" w:hAnsi="Times New Roman" w:cs="Times New Roman"/>
          <w:b/>
        </w:rPr>
      </w:pPr>
      <w:r w:rsidRPr="00092E33">
        <w:rPr>
          <w:rFonts w:ascii="Times New Roman" w:hAnsi="Times New Roman" w:cs="Times New Roman"/>
          <w:b/>
        </w:rPr>
        <w:t>F) ÉTICA, INTEGRIDAD Y CUMPLIMIENTO</w:t>
      </w:r>
    </w:p>
    <w:p w14:paraId="2894AF93"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Principios</w:t>
      </w:r>
    </w:p>
    <w:p w14:paraId="6B206DDF"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XVII. El Directorio debe diseñar y establecer estructuras y prácticas apropiadas para promover una cultura de ética, integridad y cumplimiento de normas que prevenga, detecte y aborde faltas corporativas o personales serias.</w:t>
      </w:r>
    </w:p>
    <w:p w14:paraId="5623EB30"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XVIII. El Directorio asegurará el establecimiento de mecanismos formales para prevenir y en su defecto lidiar con los conflictos de interés que puedan surgir en la administración y dirección de la compañía. Deberá contar con procedimientos formales que busquen asegurar que las transacciones entre partes relacionadas se realicen en miras del mejor interés de la compañía y el tratamiento equitativo de todos sus accionistas.</w:t>
      </w:r>
    </w:p>
    <w:p w14:paraId="3B026EEC" w14:textId="77777777" w:rsidR="00092E33" w:rsidRPr="00092E33" w:rsidRDefault="00092E33" w:rsidP="00092E33">
      <w:pPr>
        <w:spacing w:after="0" w:line="240" w:lineRule="auto"/>
        <w:ind w:right="49"/>
        <w:jc w:val="both"/>
        <w:rPr>
          <w:rFonts w:ascii="Times New Roman" w:hAnsi="Times New Roman" w:cs="Times New Roman"/>
        </w:rPr>
      </w:pPr>
    </w:p>
    <w:p w14:paraId="67662F72"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22. El Directorio aprueba un Código de Ética y Conducta que refleja los valores y principios éticos y de integridad, así como también la cultura de la compañía. El Código de Ética y Conducta es comunicado y aplicable a todos los directores, gerentes y empleados de la compañía.</w:t>
      </w:r>
    </w:p>
    <w:p w14:paraId="56370ED7" w14:textId="77777777" w:rsidR="00092E33" w:rsidRPr="00092E33" w:rsidRDefault="00092E33" w:rsidP="00092E33">
      <w:pPr>
        <w:spacing w:after="0" w:line="240" w:lineRule="auto"/>
        <w:ind w:right="49"/>
        <w:jc w:val="both"/>
        <w:rPr>
          <w:rFonts w:ascii="Times New Roman" w:hAnsi="Times New Roman" w:cs="Times New Roman"/>
        </w:rPr>
      </w:pPr>
    </w:p>
    <w:p w14:paraId="19413390"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GST cuenta con un Código de Ética cuyo contenido es de conocimiento de todos los </w:t>
      </w:r>
      <w:proofErr w:type="gramStart"/>
      <w:r w:rsidRPr="00092E33">
        <w:rPr>
          <w:rFonts w:ascii="Times New Roman" w:hAnsi="Times New Roman" w:cs="Times New Roman"/>
          <w:i/>
          <w:iCs/>
        </w:rPr>
        <w:t>Directores</w:t>
      </w:r>
      <w:proofErr w:type="gramEnd"/>
      <w:r w:rsidRPr="00092E33">
        <w:rPr>
          <w:rFonts w:ascii="Times New Roman" w:hAnsi="Times New Roman" w:cs="Times New Roman"/>
          <w:i/>
          <w:iCs/>
        </w:rPr>
        <w:t>, por cuanto se encuentra aprobado expresamente por el Directorio, que establece principios de responsabilidad y transparencia. Dicho instrumento tiene carácter público, se encuentra a disposición en la sede social de la Emisora y en la página web de la Sociedad.</w:t>
      </w:r>
    </w:p>
    <w:p w14:paraId="7563CC8A" w14:textId="77777777" w:rsidR="00092E33" w:rsidRPr="00092E33" w:rsidRDefault="00092E33" w:rsidP="00092E33">
      <w:pPr>
        <w:spacing w:after="0" w:line="240" w:lineRule="auto"/>
        <w:ind w:right="49"/>
        <w:jc w:val="both"/>
        <w:rPr>
          <w:rFonts w:ascii="Times New Roman" w:hAnsi="Times New Roman" w:cs="Times New Roman"/>
          <w:i/>
          <w:iCs/>
        </w:rPr>
      </w:pPr>
    </w:p>
    <w:p w14:paraId="10AAB0F0"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 xml:space="preserve">23. El Directorio establece y revisa periódicamente, en base a los riesgos, dimensión y capacidad económica un Programa de Ética e Integridad. El plan es apoyado visible e inequívocamente por la gerencia quien designa un responsable interno para que desarrolle, coordine, supervise y evalúe periódicamente el programa en cuanto a su eficacia. El programa dispone: </w:t>
      </w:r>
      <w:bookmarkStart w:id="14" w:name="_Hlk32575753"/>
      <w:r w:rsidRPr="00092E33">
        <w:rPr>
          <w:rFonts w:ascii="Times New Roman" w:hAnsi="Times New Roman" w:cs="Times New Roman"/>
        </w:rPr>
        <w:t>(i) capacitaciones periódicas a directores, administradores y empleados sobre temas de ética, integridad y cumplimiento; (</w:t>
      </w:r>
      <w:proofErr w:type="spellStart"/>
      <w:r w:rsidRPr="00092E33">
        <w:rPr>
          <w:rFonts w:ascii="Times New Roman" w:hAnsi="Times New Roman" w:cs="Times New Roman"/>
        </w:rPr>
        <w:t>ii</w:t>
      </w:r>
      <w:proofErr w:type="spellEnd"/>
      <w:r w:rsidRPr="00092E33">
        <w:rPr>
          <w:rFonts w:ascii="Times New Roman" w:hAnsi="Times New Roman" w:cs="Times New Roman"/>
        </w:rPr>
        <w:t>) canales internos de denuncia de irregularidades, abiertos a terceros y adecuadamente difundidos; (</w:t>
      </w:r>
      <w:proofErr w:type="spellStart"/>
      <w:r w:rsidRPr="00092E33">
        <w:rPr>
          <w:rFonts w:ascii="Times New Roman" w:hAnsi="Times New Roman" w:cs="Times New Roman"/>
        </w:rPr>
        <w:t>iii</w:t>
      </w:r>
      <w:proofErr w:type="spellEnd"/>
      <w:r w:rsidRPr="00092E33">
        <w:rPr>
          <w:rFonts w:ascii="Times New Roman" w:hAnsi="Times New Roman" w:cs="Times New Roman"/>
        </w:rPr>
        <w:t>) una política de protección de denunciantes contra represalias; y un sistema de investigación interna que respete los derechos de los investigados e imponga sanciones efectivas a las violaciones del Código de Ética y Conducta; (</w:t>
      </w:r>
      <w:proofErr w:type="spellStart"/>
      <w:r w:rsidRPr="00092E33">
        <w:rPr>
          <w:rFonts w:ascii="Times New Roman" w:hAnsi="Times New Roman" w:cs="Times New Roman"/>
        </w:rPr>
        <w:t>iv</w:t>
      </w:r>
      <w:proofErr w:type="spellEnd"/>
      <w:r w:rsidRPr="00092E33">
        <w:rPr>
          <w:rFonts w:ascii="Times New Roman" w:hAnsi="Times New Roman" w:cs="Times New Roman"/>
        </w:rPr>
        <w:t>) políticas de integridad en procedimientos licitatorios; (v) mecanismos para análisis periódico de riesgos, monitoreo y evaluación del Programa; y (vi) procedimientos que comprueben la integridad y trayectoria de terceros o socios de negocios (incluyendo la debida diligencia para la verificación de irregularidades, de hechos ilícitos o de la existencia de vulnerabilidades durante los procesos de transformación societaria y adquisiciones), incluyendo proveedores, distribuidores, prestadores de servicios, agentes e intermediarios.</w:t>
      </w:r>
    </w:p>
    <w:p w14:paraId="7F52A2C1" w14:textId="77777777" w:rsidR="00092E33" w:rsidRPr="00092E33" w:rsidRDefault="00092E33" w:rsidP="00092E33">
      <w:pPr>
        <w:spacing w:after="0" w:line="240" w:lineRule="auto"/>
        <w:ind w:right="49"/>
        <w:jc w:val="both"/>
        <w:rPr>
          <w:rFonts w:ascii="Times New Roman" w:hAnsi="Times New Roman" w:cs="Times New Roman"/>
        </w:rPr>
      </w:pPr>
    </w:p>
    <w:p w14:paraId="203AAF77" w14:textId="77777777" w:rsidR="00092E33" w:rsidRPr="00092E33" w:rsidRDefault="00092E33" w:rsidP="00092E33">
      <w:pPr>
        <w:spacing w:after="0" w:line="240" w:lineRule="auto"/>
        <w:ind w:right="49"/>
        <w:jc w:val="both"/>
        <w:rPr>
          <w:rFonts w:ascii="Times New Roman" w:hAnsi="Times New Roman" w:cs="Times New Roman"/>
          <w:i/>
        </w:rPr>
      </w:pPr>
      <w:r w:rsidRPr="00092E33">
        <w:rPr>
          <w:rFonts w:ascii="Times New Roman" w:hAnsi="Times New Roman" w:cs="Times New Roman"/>
          <w:i/>
        </w:rPr>
        <w:t xml:space="preserve">GST, como sociedad exclusivamente holding, no tiene necesidades similares a las de una empresa operativa para establecer y contar con este tipo de programa. En tal sentido, el Directorio no considera necesario por el momento implementar un programa de Ética e Integridad. </w:t>
      </w:r>
    </w:p>
    <w:bookmarkEnd w:id="14"/>
    <w:p w14:paraId="066A2AB2" w14:textId="77777777" w:rsidR="00092E33" w:rsidRPr="00092E33" w:rsidRDefault="00092E33" w:rsidP="00092E33">
      <w:pPr>
        <w:spacing w:after="0" w:line="240" w:lineRule="auto"/>
        <w:ind w:right="49"/>
        <w:jc w:val="both"/>
        <w:rPr>
          <w:rFonts w:ascii="Times New Roman" w:hAnsi="Times New Roman" w:cs="Times New Roman"/>
        </w:rPr>
      </w:pPr>
    </w:p>
    <w:p w14:paraId="31F4A690"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24. El Directorio asegura la existencia de mecanismos formales para prevenir y tratar conflictos de interés. En el caso de transacciones entre partes relacionadas, el Directorio aprueba una política que establece el rol de cada órgano societario y define cómo se identifican, administran y divulgan aquellas transacciones perjudiciales a la compañía o sólo a ciertos inversores.</w:t>
      </w:r>
    </w:p>
    <w:p w14:paraId="11A6A91F" w14:textId="77777777" w:rsidR="00092E33" w:rsidRPr="00092E33" w:rsidRDefault="00092E33" w:rsidP="00092E33">
      <w:pPr>
        <w:spacing w:after="0" w:line="240" w:lineRule="auto"/>
        <w:ind w:right="49"/>
        <w:jc w:val="both"/>
        <w:rPr>
          <w:rFonts w:ascii="Times New Roman" w:hAnsi="Times New Roman" w:cs="Times New Roman"/>
        </w:rPr>
      </w:pPr>
    </w:p>
    <w:p w14:paraId="41B2D6B0"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lastRenderedPageBreak/>
        <w:t xml:space="preserve">Por tratarse de una sociedad holding, cuya actividad consiste en administrar sus participaciones sociales, su patrimonio y sus recursos, cuenta con una estructura limitada de personal, que facilita la identificación, control y resolución de posibles conflictos de interés. </w:t>
      </w:r>
    </w:p>
    <w:p w14:paraId="04E30245" w14:textId="77777777" w:rsidR="00092E33" w:rsidRPr="00092E33" w:rsidRDefault="00092E33" w:rsidP="00092E33">
      <w:pPr>
        <w:ind w:right="49"/>
        <w:jc w:val="both"/>
        <w:rPr>
          <w:rFonts w:ascii="Times New Roman" w:hAnsi="Times New Roman" w:cs="Times New Roman"/>
          <w:i/>
          <w:iCs/>
        </w:rPr>
      </w:pPr>
      <w:r w:rsidRPr="00092E33">
        <w:rPr>
          <w:rFonts w:ascii="Times New Roman" w:hAnsi="Times New Roman" w:cs="Times New Roman"/>
          <w:i/>
          <w:iCs/>
        </w:rPr>
        <w:t>Los mecanismos preventivos de conflictos de interés se encuentran contemplados en el Código de Gobierno Societario y en el Código de Ética y Conducta. Respecto a la prevención y resolución de estos conflictos dentro del Directorio, los mismos deben ser gestionados dentro de este Órgano documentarse a través de las Actas de Directorio. Asimismo, se establecen ciertas pautas para todos los empleados de la Entidad tendientes a evitar todo tipo de conflicto de interés. Adicionalmente, el Comité de Recursos Humanos Ética e Incentivos al personal y/o el Directorio según corresponda, son los órganos que intervendrán en todos los casos u operaciones en las cuales exista o pueda existir conflicto de interés.</w:t>
      </w:r>
    </w:p>
    <w:p w14:paraId="13DACCDD"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 </w:t>
      </w:r>
    </w:p>
    <w:p w14:paraId="4BF1EBD0" w14:textId="77777777" w:rsidR="00092E33" w:rsidRPr="00092E33" w:rsidRDefault="00092E33" w:rsidP="00092E33">
      <w:pPr>
        <w:spacing w:after="0" w:line="240" w:lineRule="auto"/>
        <w:ind w:right="49"/>
        <w:jc w:val="both"/>
        <w:rPr>
          <w:rFonts w:ascii="Times New Roman" w:hAnsi="Times New Roman" w:cs="Times New Roman"/>
          <w:b/>
        </w:rPr>
      </w:pPr>
      <w:r w:rsidRPr="00092E33">
        <w:rPr>
          <w:rFonts w:ascii="Times New Roman" w:hAnsi="Times New Roman" w:cs="Times New Roman"/>
          <w:b/>
        </w:rPr>
        <w:t>G) PARTICIPACIÓN DE LOS ACCIONISTAS Y PARTES INTERESADAS</w:t>
      </w:r>
    </w:p>
    <w:p w14:paraId="1AF066E0"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Principios</w:t>
      </w:r>
    </w:p>
    <w:p w14:paraId="13A770D3"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XIX. La compañía deberá tratar a todos los Accionistas de forma equitativa. Deberá garantizar el acceso igualitario a la información no confidencial y relevante para la toma de decisiones asamblearias de la compañía.</w:t>
      </w:r>
    </w:p>
    <w:p w14:paraId="19A01324"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 xml:space="preserve">XX. La compañía deberá promover la </w:t>
      </w:r>
      <w:proofErr w:type="gramStart"/>
      <w:r w:rsidRPr="00092E33">
        <w:rPr>
          <w:rFonts w:ascii="Times New Roman" w:hAnsi="Times New Roman" w:cs="Times New Roman"/>
        </w:rPr>
        <w:t>participación activa</w:t>
      </w:r>
      <w:proofErr w:type="gramEnd"/>
      <w:r w:rsidRPr="00092E33">
        <w:rPr>
          <w:rFonts w:ascii="Times New Roman" w:hAnsi="Times New Roman" w:cs="Times New Roman"/>
        </w:rPr>
        <w:t xml:space="preserve"> y con información adecuada de todos los</w:t>
      </w:r>
    </w:p>
    <w:p w14:paraId="2D0B004E"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Accionistas en especial en la conformación del Directorio.</w:t>
      </w:r>
    </w:p>
    <w:p w14:paraId="1A177AF8"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XXI. La compañía deberá contar con una Política de Distribución de Dividendos transparente que se encuentre alineada a la estrategia.</w:t>
      </w:r>
    </w:p>
    <w:p w14:paraId="11D52C47"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 xml:space="preserve">XXII. La compañía deberá tener en cuenta los intereses de sus partes interesadas. </w:t>
      </w:r>
    </w:p>
    <w:p w14:paraId="3A104B67" w14:textId="77777777" w:rsidR="00092E33" w:rsidRPr="00092E33" w:rsidRDefault="00092E33" w:rsidP="00092E33">
      <w:pPr>
        <w:spacing w:after="0" w:line="240" w:lineRule="auto"/>
        <w:ind w:right="49"/>
        <w:jc w:val="both"/>
        <w:rPr>
          <w:rFonts w:ascii="Times New Roman" w:hAnsi="Times New Roman" w:cs="Times New Roman"/>
        </w:rPr>
      </w:pPr>
    </w:p>
    <w:p w14:paraId="1E297D52"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25. El sitio web de la compañía divulga información financiera y no financiera, proporcionando</w:t>
      </w:r>
    </w:p>
    <w:p w14:paraId="38B97088"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acceso oportuno e igual a todos los Inversores. El sitio web cuenta con un área especializada para la atención de consultas por los Inversores.</w:t>
      </w:r>
    </w:p>
    <w:p w14:paraId="3D1EDEA8" w14:textId="77777777" w:rsidR="00092E33" w:rsidRPr="00092E33" w:rsidRDefault="00092E33" w:rsidP="00092E33">
      <w:pPr>
        <w:spacing w:after="0" w:line="240" w:lineRule="auto"/>
        <w:ind w:right="49"/>
        <w:jc w:val="both"/>
        <w:rPr>
          <w:rFonts w:ascii="Times New Roman" w:hAnsi="Times New Roman" w:cs="Times New Roman"/>
        </w:rPr>
      </w:pPr>
    </w:p>
    <w:p w14:paraId="6450B749"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Los Accionistas tienen acceso a la información financiera y no financiera de la Emisora en la sede social, a través de la página web de la Comisión Nacional de Valores y de la página web institucional de la Sociedad. </w:t>
      </w:r>
    </w:p>
    <w:p w14:paraId="079446B6"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Adicionalmente, cabe destacar que a las asambleas de la Sociedad concurren además de las autoridades de GST, la totalidad de los accionistas de </w:t>
      </w:r>
      <w:proofErr w:type="gramStart"/>
      <w:r w:rsidRPr="00092E33">
        <w:rPr>
          <w:rFonts w:ascii="Times New Roman" w:hAnsi="Times New Roman" w:cs="Times New Roman"/>
          <w:i/>
          <w:iCs/>
        </w:rPr>
        <w:t>la misma</w:t>
      </w:r>
      <w:proofErr w:type="gramEnd"/>
      <w:r w:rsidRPr="00092E33">
        <w:rPr>
          <w:rFonts w:ascii="Times New Roman" w:hAnsi="Times New Roman" w:cs="Times New Roman"/>
          <w:i/>
          <w:iCs/>
        </w:rPr>
        <w:t>.</w:t>
      </w:r>
    </w:p>
    <w:p w14:paraId="5E6969C4" w14:textId="77777777" w:rsidR="00092E33" w:rsidRPr="00092E33" w:rsidRDefault="00092E33" w:rsidP="00092E33">
      <w:pPr>
        <w:spacing w:after="0" w:line="240" w:lineRule="auto"/>
        <w:ind w:right="49"/>
        <w:jc w:val="both"/>
        <w:rPr>
          <w:rFonts w:ascii="Times New Roman" w:hAnsi="Times New Roman" w:cs="Times New Roman"/>
        </w:rPr>
      </w:pPr>
    </w:p>
    <w:p w14:paraId="0D0B6025"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26. El Directorio debe asegurar que exista un procedimiento de identificación y clasificación de sus partes interesadas y un canal de comunicación para las mismas.</w:t>
      </w:r>
    </w:p>
    <w:p w14:paraId="08741A0D" w14:textId="77777777" w:rsidR="00092E33" w:rsidRPr="00092E33" w:rsidRDefault="00092E33" w:rsidP="00092E33">
      <w:pPr>
        <w:spacing w:after="0" w:line="240" w:lineRule="auto"/>
        <w:ind w:right="49"/>
        <w:jc w:val="both"/>
        <w:rPr>
          <w:rFonts w:ascii="Times New Roman" w:hAnsi="Times New Roman" w:cs="Times New Roman"/>
        </w:rPr>
      </w:pPr>
    </w:p>
    <w:p w14:paraId="69181772"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En el marco de la estructura y dimensión de la Entidad y considerando que los accionistas y/o los representantes legales de los accionistas son integrantes del Directorio, las partes interesadas se encuentran identificadas, existiendo un canal de comunicación directo con las mismas. </w:t>
      </w:r>
    </w:p>
    <w:p w14:paraId="5C486F7E" w14:textId="77777777" w:rsidR="00092E33" w:rsidRPr="00092E33" w:rsidRDefault="00092E33" w:rsidP="00092E33">
      <w:pPr>
        <w:spacing w:after="0" w:line="240" w:lineRule="auto"/>
        <w:ind w:right="49"/>
        <w:jc w:val="both"/>
        <w:rPr>
          <w:rFonts w:ascii="Times New Roman" w:hAnsi="Times New Roman" w:cs="Times New Roman"/>
        </w:rPr>
      </w:pPr>
    </w:p>
    <w:p w14:paraId="61EA1102"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27. El Directorio remite a los Accionistas, previo a la celebración de la Asamblea, un “paquete de información provisoria” que permite a los Accionistas -a través de un canal de comunicación formal realizar comentarios no vinculantes y compartir opiniones discrepantes con las recomendaciones realizadas por el Directorio, teniendo este último que, al enviar el paquete definitivo de información, expedirse expresamente sobre los comentarios recibidos que crea necesario.</w:t>
      </w:r>
    </w:p>
    <w:p w14:paraId="6B9B6A91" w14:textId="77777777" w:rsidR="00092E33" w:rsidRPr="00092E33" w:rsidRDefault="00092E33" w:rsidP="00092E33">
      <w:pPr>
        <w:spacing w:after="0" w:line="240" w:lineRule="auto"/>
        <w:ind w:right="49"/>
        <w:jc w:val="both"/>
        <w:rPr>
          <w:rFonts w:ascii="Times New Roman" w:hAnsi="Times New Roman" w:cs="Times New Roman"/>
        </w:rPr>
      </w:pPr>
    </w:p>
    <w:p w14:paraId="44542BA5" w14:textId="77777777" w:rsidR="00092E33" w:rsidRPr="00092E33" w:rsidRDefault="00092E33" w:rsidP="00092E33">
      <w:pPr>
        <w:spacing w:after="0" w:line="240" w:lineRule="auto"/>
        <w:ind w:right="49"/>
        <w:jc w:val="both"/>
        <w:rPr>
          <w:rFonts w:ascii="Times New Roman" w:hAnsi="Times New Roman" w:cs="Times New Roman"/>
          <w:i/>
          <w:iCs/>
          <w:highlight w:val="yellow"/>
        </w:rPr>
      </w:pPr>
      <w:r w:rsidRPr="00092E33">
        <w:rPr>
          <w:rFonts w:ascii="Times New Roman" w:hAnsi="Times New Roman" w:cs="Times New Roman"/>
          <w:i/>
          <w:iCs/>
        </w:rPr>
        <w:t xml:space="preserve">El Directorio proporciona a los accionistas toda la información a tratarse en las asambleas de accionistas con suficiente antelación para su consideración y análisis. Sin perjuicio de ello, la mayoría de los accionistas o sus representantes legales forman parte del Directorio de la Entidad, y por lo tanto cuentan con la información a tratarse en las asambleas en forma directa y anticipada. </w:t>
      </w:r>
    </w:p>
    <w:p w14:paraId="6C1B333A" w14:textId="77777777" w:rsidR="00092E33" w:rsidRPr="00092E33" w:rsidRDefault="00092E33" w:rsidP="00092E33">
      <w:pPr>
        <w:spacing w:after="0" w:line="240" w:lineRule="auto"/>
        <w:ind w:right="49"/>
        <w:jc w:val="both"/>
        <w:rPr>
          <w:rFonts w:ascii="Times New Roman" w:hAnsi="Times New Roman" w:cs="Times New Roman"/>
        </w:rPr>
      </w:pPr>
    </w:p>
    <w:p w14:paraId="6A89338D"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28. El estatuto de la compañía considera que los Accionistas puedan recibir los paquetes de información para la Asamblea de Accionistas a través de medios virtuales y participar en las Asambleas a través del uso de medios electrónicos de comunicación que permitan la transmisión simultánea de sonido, imágenes y palabras, asegurando el principio de igualdad de trato de los participantes.</w:t>
      </w:r>
    </w:p>
    <w:p w14:paraId="2C8B8F40" w14:textId="77777777" w:rsidR="00092E33" w:rsidRPr="00092E33" w:rsidRDefault="00092E33" w:rsidP="00092E33">
      <w:pPr>
        <w:spacing w:after="0" w:line="240" w:lineRule="auto"/>
        <w:ind w:right="49"/>
        <w:jc w:val="both"/>
        <w:rPr>
          <w:rFonts w:ascii="Times New Roman" w:hAnsi="Times New Roman" w:cs="Times New Roman"/>
        </w:rPr>
      </w:pPr>
    </w:p>
    <w:p w14:paraId="01035ABA" w14:textId="77777777" w:rsidR="00092E33" w:rsidRP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El estatuto social no prevé la participación en las reuniones mediante medios virtuales de comunicación. </w:t>
      </w:r>
    </w:p>
    <w:p w14:paraId="78BC4831" w14:textId="77777777" w:rsidR="00092E33" w:rsidRPr="00092E33" w:rsidRDefault="00092E33" w:rsidP="00092E33">
      <w:pPr>
        <w:spacing w:after="0" w:line="240" w:lineRule="auto"/>
        <w:ind w:right="49"/>
        <w:jc w:val="both"/>
        <w:rPr>
          <w:rFonts w:ascii="Times New Roman" w:hAnsi="Times New Roman" w:cs="Times New Roman"/>
        </w:rPr>
      </w:pPr>
    </w:p>
    <w:p w14:paraId="6A2A6999" w14:textId="77777777" w:rsidR="00092E33" w:rsidRPr="00092E33" w:rsidRDefault="00092E33" w:rsidP="00092E33">
      <w:pPr>
        <w:spacing w:after="0" w:line="240" w:lineRule="auto"/>
        <w:ind w:right="49"/>
        <w:jc w:val="both"/>
        <w:rPr>
          <w:rFonts w:ascii="Times New Roman" w:hAnsi="Times New Roman" w:cs="Times New Roman"/>
        </w:rPr>
      </w:pPr>
      <w:r w:rsidRPr="00092E33">
        <w:rPr>
          <w:rFonts w:ascii="Times New Roman" w:hAnsi="Times New Roman" w:cs="Times New Roman"/>
        </w:rPr>
        <w:t>29. La Política de Distribución de Dividendos está alineada a la estrategia y establece claramente los criterios, frecuencia y condiciones bajo las cuales se realizará la distribución de dividendos.</w:t>
      </w:r>
    </w:p>
    <w:p w14:paraId="78220A3D" w14:textId="77777777" w:rsidR="00092E33" w:rsidRPr="00092E33" w:rsidRDefault="00092E33" w:rsidP="00092E33">
      <w:pPr>
        <w:spacing w:after="0" w:line="240" w:lineRule="auto"/>
        <w:ind w:right="49"/>
        <w:jc w:val="both"/>
        <w:rPr>
          <w:rFonts w:ascii="Times New Roman" w:hAnsi="Times New Roman" w:cs="Times New Roman"/>
        </w:rPr>
      </w:pPr>
    </w:p>
    <w:p w14:paraId="4CEFC96F" w14:textId="7549BA1D" w:rsidR="00092E33" w:rsidRDefault="00092E33" w:rsidP="00092E33">
      <w:pPr>
        <w:spacing w:after="0" w:line="240" w:lineRule="auto"/>
        <w:ind w:right="49"/>
        <w:jc w:val="both"/>
        <w:rPr>
          <w:rFonts w:ascii="Times New Roman" w:hAnsi="Times New Roman" w:cs="Times New Roman"/>
          <w:i/>
          <w:iCs/>
        </w:rPr>
      </w:pPr>
      <w:r w:rsidRPr="00092E33">
        <w:rPr>
          <w:rFonts w:ascii="Times New Roman" w:hAnsi="Times New Roman" w:cs="Times New Roman"/>
          <w:i/>
          <w:iCs/>
        </w:rPr>
        <w:t xml:space="preserve">La política de distribución de dividendos se encuentra prevista en el art. 14 del Estatuto Social, en el cual se establece que las ganancias realizadas y liquidadas se destinarán: 1) el 5% (cinco por ciento) hasta alcanzar el 20% (veinte por ciento) del capital social, al fondo de reserva legal; 2) a remuneración del Directorio y Sindicatura, en su caso. El saldo tendrá el destino que decida la </w:t>
      </w:r>
      <w:r w:rsidRPr="00092E33">
        <w:rPr>
          <w:rFonts w:ascii="Times New Roman" w:hAnsi="Times New Roman" w:cs="Times New Roman"/>
          <w:i/>
          <w:iCs/>
        </w:rPr>
        <w:lastRenderedPageBreak/>
        <w:t>asamblea. Los dividendos deben ser pagados en proporción a las respectivas tenencias dentro del año de su declaración.</w:t>
      </w:r>
    </w:p>
    <w:p w14:paraId="2875D409" w14:textId="77777777" w:rsidR="009E49BA" w:rsidRPr="00092E33" w:rsidRDefault="009E49BA" w:rsidP="00092E33">
      <w:pPr>
        <w:spacing w:after="0" w:line="240" w:lineRule="auto"/>
        <w:ind w:right="49"/>
        <w:jc w:val="both"/>
        <w:rPr>
          <w:rFonts w:ascii="Times New Roman" w:eastAsia="SimSun" w:hAnsi="Times New Roman" w:cs="Times New Roman"/>
          <w:b/>
          <w:lang w:val="es-ES_tradnl" w:eastAsia="es-ES"/>
        </w:rPr>
      </w:pPr>
    </w:p>
    <w:p w14:paraId="0A6731DA" w14:textId="77777777" w:rsidR="00131F0A" w:rsidRPr="00092E33" w:rsidRDefault="00131F0A" w:rsidP="00F64523">
      <w:pPr>
        <w:pStyle w:val="Textoindependiente"/>
        <w:jc w:val="both"/>
        <w:rPr>
          <w:sz w:val="22"/>
          <w:szCs w:val="22"/>
        </w:rPr>
      </w:pPr>
      <w:r w:rsidRPr="00092E33">
        <w:rPr>
          <w:sz w:val="22"/>
          <w:szCs w:val="22"/>
        </w:rPr>
        <w:t xml:space="preserve">A continuación, el Sr. </w:t>
      </w:r>
      <w:proofErr w:type="gramStart"/>
      <w:r w:rsidRPr="00092E33">
        <w:rPr>
          <w:sz w:val="22"/>
          <w:szCs w:val="22"/>
        </w:rPr>
        <w:t>Presidente</w:t>
      </w:r>
      <w:proofErr w:type="gramEnd"/>
      <w:r w:rsidRPr="00092E33">
        <w:rPr>
          <w:sz w:val="22"/>
          <w:szCs w:val="22"/>
        </w:rPr>
        <w:t xml:space="preserve"> cede el uso de la palabra al Sr. Francisco G. J. González, quien da lectura a los informes de la Comisión Fiscalizadora cuyo texto se transcriben a continuación:</w:t>
      </w:r>
    </w:p>
    <w:p w14:paraId="54A5CC2C" w14:textId="601BA6F9" w:rsidR="00092E33" w:rsidRPr="00092E33" w:rsidRDefault="00092E33" w:rsidP="00092E33">
      <w:pPr>
        <w:spacing w:before="20" w:after="220" w:line="240" w:lineRule="atLeast"/>
        <w:jc w:val="center"/>
        <w:rPr>
          <w:rFonts w:ascii="Times New Roman" w:hAnsi="Times New Roman" w:cs="Times New Roman"/>
          <w:b/>
        </w:rPr>
      </w:pPr>
      <w:r w:rsidRPr="00092E33">
        <w:rPr>
          <w:rFonts w:ascii="Times New Roman" w:hAnsi="Times New Roman" w:cs="Times New Roman"/>
          <w:b/>
        </w:rPr>
        <w:t>INFORME DE LA COMISIÓN FISCALIZADORA SOBRE ESTADOS FINANCIEROS CONSOLIDADOS</w:t>
      </w:r>
    </w:p>
    <w:p w14:paraId="7796A6EC" w14:textId="77777777" w:rsidR="00092E33" w:rsidRPr="00092E33" w:rsidRDefault="00092E33" w:rsidP="00092E33">
      <w:pPr>
        <w:pStyle w:val="Textoindependiente"/>
        <w:keepNext/>
        <w:spacing w:before="20" w:after="220" w:line="240" w:lineRule="atLeast"/>
        <w:rPr>
          <w:sz w:val="22"/>
          <w:szCs w:val="22"/>
          <w:lang w:val="es-AR"/>
        </w:rPr>
      </w:pPr>
      <w:r w:rsidRPr="00092E33">
        <w:rPr>
          <w:sz w:val="22"/>
          <w:szCs w:val="22"/>
          <w:lang w:val="es-AR"/>
        </w:rPr>
        <w:t>A los señores Accionistas de</w:t>
      </w:r>
      <w:r w:rsidRPr="00092E33">
        <w:rPr>
          <w:sz w:val="22"/>
          <w:szCs w:val="22"/>
          <w:lang w:val="es-AR"/>
        </w:rPr>
        <w:br/>
      </w:r>
      <w:r w:rsidRPr="00092E33">
        <w:rPr>
          <w:b/>
          <w:sz w:val="22"/>
          <w:szCs w:val="22"/>
          <w:lang w:val="es-AR"/>
        </w:rPr>
        <w:t>Grupo ST S.A.</w:t>
      </w:r>
      <w:r w:rsidRPr="00092E33">
        <w:rPr>
          <w:b/>
          <w:sz w:val="22"/>
          <w:szCs w:val="22"/>
          <w:lang w:val="es-AR"/>
        </w:rPr>
        <w:br/>
      </w:r>
      <w:r w:rsidRPr="00092E33">
        <w:rPr>
          <w:sz w:val="22"/>
          <w:szCs w:val="22"/>
          <w:lang w:val="es-AR"/>
        </w:rPr>
        <w:t>Av. Corrientes 1174 Piso 9</w:t>
      </w:r>
      <w:r w:rsidRPr="00092E33">
        <w:rPr>
          <w:sz w:val="22"/>
          <w:szCs w:val="22"/>
          <w:lang w:val="es-AR"/>
        </w:rPr>
        <w:br/>
        <w:t>Ciudad Autónoma de Buenos Aires</w:t>
      </w:r>
      <w:r w:rsidRPr="00092E33">
        <w:rPr>
          <w:sz w:val="22"/>
          <w:szCs w:val="22"/>
          <w:lang w:val="es-AR"/>
        </w:rPr>
        <w:br/>
      </w:r>
    </w:p>
    <w:p w14:paraId="698E9DFF" w14:textId="77777777" w:rsidR="00092E33" w:rsidRPr="00092E33" w:rsidRDefault="00092E33" w:rsidP="00092E33">
      <w:pPr>
        <w:spacing w:before="20" w:after="220" w:line="240" w:lineRule="atLeast"/>
        <w:jc w:val="both"/>
        <w:rPr>
          <w:rFonts w:ascii="Times New Roman" w:hAnsi="Times New Roman" w:cs="Times New Roman"/>
        </w:rPr>
      </w:pPr>
      <w:r w:rsidRPr="00092E33">
        <w:rPr>
          <w:rFonts w:ascii="Times New Roman" w:hAnsi="Times New Roman" w:cs="Times New Roman"/>
        </w:rPr>
        <w:t>Hemos efectuado una revisión de los Estados Financieros Consolidados adjuntos del Grupo ST S.A. (en adelante “la Sociedad”),  los que comprenden el estado consolidado  de situación financiera al 31 de diciembre de 2019, los estados de resultados integrales y  de otros resultados integrales, de cambios en el patrimonio  y de flujo de efectivo correspondientes al ejercicio finalizado en esa fecha, así como un resumen de las políticas contables significativas y otra información complementaria seleccionada incluidas en Notas 1 a 45 y Anexos que los complementan.</w:t>
      </w:r>
    </w:p>
    <w:p w14:paraId="1F503FFE" w14:textId="77777777" w:rsidR="00092E33" w:rsidRPr="00092E33" w:rsidRDefault="00092E33" w:rsidP="00092E33">
      <w:pPr>
        <w:pStyle w:val="Textoinfaud"/>
        <w:tabs>
          <w:tab w:val="clear" w:pos="720"/>
        </w:tabs>
        <w:spacing w:before="20" w:after="220" w:line="240" w:lineRule="atLeast"/>
        <w:rPr>
          <w:rFonts w:ascii="Times New Roman" w:hAnsi="Times New Roman"/>
          <w:color w:val="000000" w:themeColor="text1"/>
          <w:sz w:val="22"/>
          <w:szCs w:val="22"/>
        </w:rPr>
      </w:pPr>
      <w:r w:rsidRPr="00092E33">
        <w:rPr>
          <w:rFonts w:ascii="Times New Roman" w:hAnsi="Times New Roman"/>
          <w:color w:val="000000" w:themeColor="text1"/>
          <w:sz w:val="22"/>
          <w:szCs w:val="22"/>
        </w:rPr>
        <w:t>Los saldos y otra información correspondiente al ejercicio 2018 son parte integrante de los Estados Financieros Consolidados mencionados precedentemente y por lo tanto deberán ser considerados en relación con los Estados Financieros Consolidados.</w:t>
      </w:r>
    </w:p>
    <w:p w14:paraId="64B3AC84" w14:textId="77777777" w:rsidR="00092E33" w:rsidRPr="00092E33" w:rsidRDefault="00092E33" w:rsidP="00092E33">
      <w:pPr>
        <w:spacing w:before="20" w:after="220" w:line="240" w:lineRule="atLeast"/>
        <w:jc w:val="both"/>
        <w:rPr>
          <w:rFonts w:ascii="Times New Roman" w:hAnsi="Times New Roman" w:cs="Times New Roman"/>
          <w:lang w:val="es-MX"/>
        </w:rPr>
      </w:pPr>
      <w:r w:rsidRPr="00092E33">
        <w:rPr>
          <w:rFonts w:ascii="Times New Roman" w:hAnsi="Times New Roman" w:cs="Times New Roman"/>
          <w:i/>
        </w:rPr>
        <w:t xml:space="preserve">Responsabilidad del Dirección </w:t>
      </w:r>
    </w:p>
    <w:p w14:paraId="5BEE3B76" w14:textId="77777777" w:rsidR="00092E33" w:rsidRPr="00092E33" w:rsidRDefault="00092E33" w:rsidP="009E49BA">
      <w:pPr>
        <w:pStyle w:val="Auditor"/>
        <w:spacing w:line="240" w:lineRule="auto"/>
        <w:ind w:right="3"/>
        <w:rPr>
          <w:rFonts w:ascii="Times New Roman" w:hAnsi="Times New Roman"/>
          <w:sz w:val="22"/>
          <w:szCs w:val="22"/>
          <w:lang w:val="es-AR"/>
        </w:rPr>
      </w:pPr>
      <w:r w:rsidRPr="00092E33">
        <w:rPr>
          <w:rFonts w:ascii="Times New Roman" w:hAnsi="Times New Roman"/>
          <w:sz w:val="22"/>
          <w:szCs w:val="22"/>
          <w:lang w:val="es-AR"/>
        </w:rPr>
        <w:t>El Directorio de la Entidad es responsable de la preparación y presentación razonable de los Estados Financieros Consolidados mencionados en el apartado 1, de conformidad con el marco de información contable establecido por el Banco Central de la República Argentina (BCRA), que se basa en las normas internacionales de información financiera (NIIF), tal como esas normas fueron emitidas por el Consejo de Normas Internacionales de Contabilidad (“IASB”, por su sigla en inglés) y adoptadas por la Federación Argentina de Consejos Profesionales de Ciencias Económicas, con la excepción del punto 5.5 “Deterioro del Valor” de la NIIF 9 de Instrumentos Financieros, que en forma transitoria fue excluida por el BCRA del marco contable aplicable a las entidades financieras. Por otra parte, dada la vigencia de la Comunicación “A” 3921 del BCRA, la Entidad no ha aplicado la NIC 29 “Información Financiera en Economías Hiperinflacionarias” para la preparación de los Estados Financieros Consolidados adjuntos.</w:t>
      </w:r>
    </w:p>
    <w:p w14:paraId="5D6C1334" w14:textId="77777777" w:rsidR="00092E33" w:rsidRPr="00092E33" w:rsidRDefault="00092E33" w:rsidP="009E49BA">
      <w:pPr>
        <w:pStyle w:val="Auditor"/>
        <w:spacing w:line="240" w:lineRule="auto"/>
        <w:ind w:right="3"/>
        <w:rPr>
          <w:rFonts w:ascii="Times New Roman" w:hAnsi="Times New Roman"/>
          <w:sz w:val="22"/>
          <w:szCs w:val="22"/>
          <w:lang w:val="es-AR"/>
        </w:rPr>
      </w:pPr>
      <w:r w:rsidRPr="00092E33">
        <w:rPr>
          <w:rFonts w:ascii="Times New Roman" w:hAnsi="Times New Roman"/>
          <w:sz w:val="22"/>
          <w:szCs w:val="22"/>
          <w:lang w:val="es-AR"/>
        </w:rPr>
        <w:t>Asimismo, el Directorio y la gerencia de Grupo ST S.A. son responsables de la existencia del control interno que considere necesario para permitir la preparación de Estados Financieros Consolidados libres de incorrecciones significativas originadas en errores o en irregularidades.</w:t>
      </w:r>
    </w:p>
    <w:p w14:paraId="77630F65" w14:textId="77777777" w:rsidR="009E49BA" w:rsidRDefault="009E49BA" w:rsidP="009E49BA">
      <w:pPr>
        <w:pStyle w:val="Textoindependiente"/>
        <w:keepNext/>
        <w:spacing w:before="20"/>
        <w:rPr>
          <w:i/>
          <w:sz w:val="22"/>
          <w:szCs w:val="22"/>
          <w:lang w:val="es-AR"/>
        </w:rPr>
      </w:pPr>
    </w:p>
    <w:p w14:paraId="557778DC" w14:textId="4B542D84" w:rsidR="00092E33" w:rsidRPr="00092E33" w:rsidRDefault="00092E33" w:rsidP="009E49BA">
      <w:pPr>
        <w:pStyle w:val="Textoindependiente"/>
        <w:keepNext/>
        <w:spacing w:before="20"/>
        <w:rPr>
          <w:i/>
          <w:sz w:val="22"/>
          <w:szCs w:val="22"/>
          <w:lang w:val="es-AR"/>
        </w:rPr>
      </w:pPr>
      <w:r w:rsidRPr="00092E33">
        <w:rPr>
          <w:i/>
          <w:sz w:val="22"/>
          <w:szCs w:val="22"/>
          <w:lang w:val="es-AR"/>
        </w:rPr>
        <w:t>Responsabilidad de la Comisión Fiscalizadora</w:t>
      </w:r>
    </w:p>
    <w:p w14:paraId="6364748C" w14:textId="77777777" w:rsidR="00092E33" w:rsidRPr="00092E33" w:rsidRDefault="00092E33" w:rsidP="009E49BA">
      <w:pPr>
        <w:spacing w:before="20" w:after="0" w:line="240" w:lineRule="auto"/>
        <w:jc w:val="both"/>
        <w:rPr>
          <w:rFonts w:ascii="Times New Roman" w:hAnsi="Times New Roman" w:cs="Times New Roman"/>
        </w:rPr>
      </w:pPr>
      <w:r w:rsidRPr="00092E33">
        <w:rPr>
          <w:rFonts w:ascii="Times New Roman" w:hAnsi="Times New Roman" w:cs="Times New Roman"/>
        </w:rPr>
        <w:t>Nuestra responsabilidad consiste en emitir una opinión sobre los Estados Financieros Consolidados adjuntos sobre la base de nuestra revisión. Nuestro trabajo fue realizado de acuerdo con las normas de sindicatura vigentes. Dichas normas requieren que la revisión de los documentos antes citados se efectúe de acuerdo con las normas de auditoría vigentes. No hemos efectuado ningún control de gestión y, por lo tanto, no hemos evaluado los criterios y decisiones empresarias de administración, financiación y, comercialización, dado que estas cuestiones son de responsabilidad exclusiva del Directorio. Para realizar nuestra tarea profesional sobre los documentos citados en el primer párrafo, hemos revisado el trabajo efectuado por la firma Becher y Asociados S.R.L., en su carácter de auditores externos, quienes emitieron su informe con fecha 9 de marzo de 2020, de acuerdo con las normas de revisión establecidas en la Resolución Técnica N°37 de la Federación Argentina de Consejos Profesionales de Ciencias Económicas (FACPCE) y las “Normas mínimas de Auditoría Externa” emitidas por el BCRA, aplicables a la auditoría de estados financieros, y cumpliendo con los requerimientos de ética pertinentes a la auditoría de los Estados Financieros de la Entidad.</w:t>
      </w:r>
    </w:p>
    <w:p w14:paraId="53214C54" w14:textId="77777777" w:rsidR="00092E33" w:rsidRPr="00092E33" w:rsidRDefault="00092E33" w:rsidP="00092E33">
      <w:pPr>
        <w:pStyle w:val="informaudit"/>
        <w:spacing w:line="240" w:lineRule="auto"/>
        <w:ind w:right="3"/>
        <w:rPr>
          <w:rFonts w:ascii="Times New Roman" w:hAnsi="Times New Roman"/>
          <w:sz w:val="22"/>
          <w:szCs w:val="22"/>
        </w:rPr>
      </w:pPr>
      <w:r w:rsidRPr="00092E33">
        <w:rPr>
          <w:rFonts w:ascii="Times New Roman" w:hAnsi="Times New Roman"/>
          <w:sz w:val="22"/>
          <w:szCs w:val="22"/>
        </w:rPr>
        <w:t>Una auditoría conlleva la aplicación de procedimientos para obtener elementos de juicio sobre las cifras y la información presentadas en los estados financieros. Los procedimientos seleccionados dependen del juicio del auditor, incluida la valoración de los riesgos de incorrecciones significativas en los estados financieros. Al efectuar dichas valoraciones del riesgo, el auditor tiene en cuenta el control interno pertinente para la preparación y presentación razonable por parte de la Entidad de los Estados Financieros, con el fin de diseñar los procedimientos de auditoría que sean adecuados en función de las circunstancias y no con la finalidad de expresar una opinión sobre la eficacia del control interno de la Entidad. Una auditoría también incluye la evaluación de la adecuación de las políticas contables realizadas por la Dirección de la Entidad, así como la evaluación de la presentación de los Estados Financieros Consolidados en su conjunto.</w:t>
      </w:r>
    </w:p>
    <w:p w14:paraId="3F7A12F3" w14:textId="77777777" w:rsidR="00092E33" w:rsidRPr="00092E33" w:rsidRDefault="00092E33" w:rsidP="00092E33">
      <w:pPr>
        <w:pStyle w:val="informaudit"/>
        <w:spacing w:line="240" w:lineRule="auto"/>
        <w:ind w:right="3"/>
        <w:contextualSpacing/>
        <w:rPr>
          <w:rFonts w:ascii="Times New Roman" w:hAnsi="Times New Roman"/>
          <w:sz w:val="22"/>
          <w:szCs w:val="22"/>
        </w:rPr>
      </w:pPr>
      <w:r w:rsidRPr="00092E33">
        <w:rPr>
          <w:rFonts w:ascii="Times New Roman" w:hAnsi="Times New Roman"/>
          <w:iCs/>
          <w:sz w:val="22"/>
          <w:szCs w:val="22"/>
        </w:rPr>
        <w:t xml:space="preserve">Consideramos </w:t>
      </w:r>
      <w:r w:rsidRPr="00092E33">
        <w:rPr>
          <w:rFonts w:ascii="Times New Roman" w:hAnsi="Times New Roman"/>
          <w:sz w:val="22"/>
          <w:szCs w:val="22"/>
        </w:rPr>
        <w:t>que los elementos de juicio que h</w:t>
      </w:r>
      <w:r w:rsidRPr="00092E33">
        <w:rPr>
          <w:rFonts w:ascii="Times New Roman" w:hAnsi="Times New Roman"/>
          <w:iCs/>
          <w:sz w:val="22"/>
          <w:szCs w:val="22"/>
        </w:rPr>
        <w:t xml:space="preserve">emos </w:t>
      </w:r>
      <w:r w:rsidRPr="00092E33">
        <w:rPr>
          <w:rFonts w:ascii="Times New Roman" w:hAnsi="Times New Roman"/>
          <w:sz w:val="22"/>
          <w:szCs w:val="22"/>
        </w:rPr>
        <w:t xml:space="preserve">obtenido proporcionan una base suficiente y adecuada para </w:t>
      </w:r>
      <w:r w:rsidRPr="00092E33">
        <w:rPr>
          <w:rFonts w:ascii="Times New Roman" w:hAnsi="Times New Roman"/>
          <w:iCs/>
          <w:sz w:val="22"/>
          <w:szCs w:val="22"/>
        </w:rPr>
        <w:t xml:space="preserve">nuestra </w:t>
      </w:r>
      <w:r w:rsidRPr="00092E33">
        <w:rPr>
          <w:rFonts w:ascii="Times New Roman" w:hAnsi="Times New Roman"/>
          <w:sz w:val="22"/>
          <w:szCs w:val="22"/>
        </w:rPr>
        <w:t>opinión de auditoría.</w:t>
      </w:r>
    </w:p>
    <w:p w14:paraId="4935C559" w14:textId="77777777" w:rsidR="00092E33" w:rsidRPr="00092E33" w:rsidRDefault="00092E33" w:rsidP="00092E33">
      <w:pPr>
        <w:spacing w:before="20" w:after="220"/>
        <w:contextualSpacing/>
        <w:jc w:val="both"/>
        <w:rPr>
          <w:rFonts w:ascii="Times New Roman" w:hAnsi="Times New Roman" w:cs="Times New Roman"/>
        </w:rPr>
      </w:pPr>
    </w:p>
    <w:p w14:paraId="2EE0D5B4" w14:textId="77777777" w:rsidR="00092E33" w:rsidRPr="00092E33" w:rsidRDefault="00092E33" w:rsidP="00092E33">
      <w:pPr>
        <w:spacing w:before="20" w:after="220"/>
        <w:contextualSpacing/>
        <w:jc w:val="both"/>
        <w:rPr>
          <w:rFonts w:ascii="Times New Roman" w:hAnsi="Times New Roman" w:cs="Times New Roman"/>
          <w:i/>
        </w:rPr>
      </w:pPr>
      <w:r w:rsidRPr="00092E33">
        <w:rPr>
          <w:rFonts w:ascii="Times New Roman" w:hAnsi="Times New Roman" w:cs="Times New Roman"/>
          <w:i/>
        </w:rPr>
        <w:t xml:space="preserve">Opinión </w:t>
      </w:r>
    </w:p>
    <w:p w14:paraId="0273233A" w14:textId="77777777" w:rsidR="00092E33" w:rsidRPr="00092E33" w:rsidRDefault="00092E33" w:rsidP="00092E33">
      <w:pPr>
        <w:pStyle w:val="Textoinfaud"/>
        <w:tabs>
          <w:tab w:val="clear" w:pos="720"/>
        </w:tabs>
        <w:spacing w:before="20" w:after="220" w:line="240" w:lineRule="auto"/>
        <w:contextualSpacing/>
        <w:rPr>
          <w:rFonts w:ascii="Times New Roman" w:hAnsi="Times New Roman"/>
          <w:color w:val="000000" w:themeColor="text1"/>
          <w:sz w:val="22"/>
          <w:szCs w:val="22"/>
        </w:rPr>
      </w:pPr>
      <w:r w:rsidRPr="00092E33">
        <w:rPr>
          <w:rFonts w:ascii="Times New Roman" w:hAnsi="Times New Roman"/>
          <w:sz w:val="22"/>
          <w:szCs w:val="22"/>
        </w:rPr>
        <w:t xml:space="preserve">Como resultado de nuestra revisión, y basados en el informe de fecha 9 de marzo de 2020 que emitió la Dra. Leticia Ebba (Socia de Becher y Asociados S.R.L.), </w:t>
      </w:r>
      <w:r w:rsidRPr="00092E33">
        <w:rPr>
          <w:rFonts w:ascii="Times New Roman" w:hAnsi="Times New Roman"/>
          <w:color w:val="000000" w:themeColor="text1"/>
          <w:sz w:val="22"/>
          <w:szCs w:val="22"/>
        </w:rPr>
        <w:t>los Estados Financieros Consolidados adjuntos presentan razonablemente, en todos sus aspectos significativos, la situación financiera, así como sus resultados integrales, otros resultados integrales, los cambios de su patrimonio y el flujo de su efectivo del  Grupo ST S.A. al 31 de diciembre de 2019,  de acuerdo con las normas establecidas por el Banco Central de la República Argentina</w:t>
      </w:r>
    </w:p>
    <w:p w14:paraId="161B0A77" w14:textId="77777777" w:rsidR="00092E33" w:rsidRPr="00092E33" w:rsidRDefault="00092E33" w:rsidP="00092E33">
      <w:pPr>
        <w:pStyle w:val="Body"/>
        <w:spacing w:before="20" w:after="220" w:line="240" w:lineRule="atLeast"/>
        <w:jc w:val="both"/>
        <w:rPr>
          <w:rFonts w:cs="Times New Roman"/>
          <w:i/>
          <w:iCs/>
          <w:sz w:val="22"/>
          <w:szCs w:val="22"/>
          <w:lang w:val="es-AR"/>
        </w:rPr>
      </w:pPr>
      <w:r w:rsidRPr="00092E33">
        <w:rPr>
          <w:rFonts w:cs="Times New Roman"/>
          <w:i/>
          <w:iCs/>
          <w:sz w:val="22"/>
          <w:szCs w:val="22"/>
          <w:lang w:val="es-AR"/>
        </w:rPr>
        <w:t>Énfasis sobre ciertas cuestiones reveladas en los estados financieros</w:t>
      </w:r>
    </w:p>
    <w:p w14:paraId="266D3906" w14:textId="77777777" w:rsidR="00092E33" w:rsidRPr="00092E33" w:rsidRDefault="00092E33" w:rsidP="00092E33">
      <w:pPr>
        <w:pStyle w:val="informaudit"/>
        <w:spacing w:line="240" w:lineRule="auto"/>
        <w:ind w:right="3"/>
        <w:rPr>
          <w:rFonts w:ascii="Times New Roman" w:hAnsi="Times New Roman"/>
          <w:sz w:val="22"/>
          <w:szCs w:val="22"/>
        </w:rPr>
      </w:pPr>
      <w:r w:rsidRPr="00092E33">
        <w:rPr>
          <w:rFonts w:ascii="Times New Roman" w:hAnsi="Times New Roman"/>
          <w:sz w:val="22"/>
          <w:szCs w:val="22"/>
        </w:rPr>
        <w:t>Sin modificar nuestra opinión, queremos enfatizar:</w:t>
      </w:r>
    </w:p>
    <w:p w14:paraId="473151BA" w14:textId="77777777" w:rsidR="00092E33" w:rsidRPr="00092E33" w:rsidRDefault="00092E33" w:rsidP="00092E33">
      <w:pPr>
        <w:pStyle w:val="informaudit"/>
        <w:spacing w:line="240" w:lineRule="auto"/>
        <w:ind w:right="3"/>
        <w:rPr>
          <w:rFonts w:ascii="Times New Roman" w:hAnsi="Times New Roman"/>
          <w:sz w:val="22"/>
          <w:szCs w:val="22"/>
        </w:rPr>
      </w:pPr>
    </w:p>
    <w:p w14:paraId="4A192F67" w14:textId="77777777" w:rsidR="00092E33" w:rsidRPr="00092E33" w:rsidRDefault="00092E33" w:rsidP="00092E33">
      <w:pPr>
        <w:pStyle w:val="Auditor"/>
        <w:numPr>
          <w:ilvl w:val="1"/>
          <w:numId w:val="12"/>
        </w:numPr>
        <w:tabs>
          <w:tab w:val="clear" w:pos="2047"/>
          <w:tab w:val="num" w:pos="709"/>
        </w:tabs>
        <w:spacing w:line="240" w:lineRule="auto"/>
        <w:ind w:left="709" w:hanging="567"/>
        <w:rPr>
          <w:rFonts w:ascii="Times New Roman" w:hAnsi="Times New Roman"/>
          <w:sz w:val="22"/>
          <w:szCs w:val="22"/>
          <w:lang w:val="es-AR"/>
        </w:rPr>
      </w:pPr>
      <w:r w:rsidRPr="00092E33">
        <w:rPr>
          <w:rFonts w:ascii="Times New Roman" w:hAnsi="Times New Roman"/>
          <w:sz w:val="22"/>
          <w:szCs w:val="22"/>
          <w:lang w:val="es-AR"/>
        </w:rPr>
        <w:t xml:space="preserve">Como indica en su Nota 2.1., a los presentes Estados Financieros Consolidados, la Entidad no ha cuantificado el efecto sobre los estados financieros que tendría la aplicación de la sección 5.5. “Deterioro de Valor” de la NIIF 9 “Instrumentos Financieros”, encontrándose a la fecha en proceso de implementación de la metodología presentada al B.C.R.A el 29 de marzo de 2019 por parte del Banco de Servicios y Transacciones </w:t>
      </w:r>
      <w:proofErr w:type="gramStart"/>
      <w:r w:rsidRPr="00092E33">
        <w:rPr>
          <w:rFonts w:ascii="Times New Roman" w:hAnsi="Times New Roman"/>
          <w:sz w:val="22"/>
          <w:szCs w:val="22"/>
          <w:lang w:val="es-AR"/>
        </w:rPr>
        <w:t>S.A..</w:t>
      </w:r>
      <w:proofErr w:type="gramEnd"/>
      <w:r w:rsidRPr="00092E33">
        <w:rPr>
          <w:rFonts w:ascii="Times New Roman" w:hAnsi="Times New Roman"/>
          <w:sz w:val="22"/>
          <w:szCs w:val="22"/>
          <w:lang w:val="es-AR"/>
        </w:rPr>
        <w:t xml:space="preserve"> Esta cuestión debe ser tenida en cuenta por los usuarios que utilicen las NIIF para la interpretación de los Estados Financieros Consolidados.</w:t>
      </w:r>
    </w:p>
    <w:p w14:paraId="433C4C4C" w14:textId="77777777" w:rsidR="00092E33" w:rsidRPr="00092E33" w:rsidRDefault="00092E33" w:rsidP="00092E33">
      <w:pPr>
        <w:pStyle w:val="Auditor"/>
        <w:tabs>
          <w:tab w:val="num" w:pos="709"/>
        </w:tabs>
        <w:spacing w:line="240" w:lineRule="auto"/>
        <w:ind w:left="709" w:hanging="567"/>
        <w:rPr>
          <w:rFonts w:ascii="Times New Roman" w:hAnsi="Times New Roman"/>
          <w:sz w:val="22"/>
          <w:szCs w:val="22"/>
          <w:lang w:val="es-AR"/>
        </w:rPr>
      </w:pPr>
    </w:p>
    <w:p w14:paraId="7B47DD31" w14:textId="77777777" w:rsidR="00092E33" w:rsidRPr="00092E33" w:rsidRDefault="00092E33" w:rsidP="00092E33">
      <w:pPr>
        <w:pStyle w:val="Auditor"/>
        <w:numPr>
          <w:ilvl w:val="1"/>
          <w:numId w:val="12"/>
        </w:numPr>
        <w:tabs>
          <w:tab w:val="clear" w:pos="2047"/>
          <w:tab w:val="num" w:pos="709"/>
        </w:tabs>
        <w:spacing w:line="240" w:lineRule="auto"/>
        <w:ind w:left="709" w:hanging="567"/>
        <w:rPr>
          <w:rFonts w:ascii="Times New Roman" w:hAnsi="Times New Roman"/>
          <w:sz w:val="22"/>
          <w:szCs w:val="22"/>
        </w:rPr>
      </w:pPr>
      <w:r w:rsidRPr="00092E33">
        <w:rPr>
          <w:rFonts w:ascii="Times New Roman" w:hAnsi="Times New Roman"/>
          <w:sz w:val="22"/>
          <w:szCs w:val="22"/>
        </w:rPr>
        <w:t xml:space="preserve">De acuerdo </w:t>
      </w:r>
      <w:r w:rsidRPr="00092E33">
        <w:rPr>
          <w:rFonts w:ascii="Times New Roman" w:hAnsi="Times New Roman"/>
          <w:sz w:val="22"/>
          <w:szCs w:val="22"/>
          <w:lang w:val="es-AR"/>
        </w:rPr>
        <w:t>con</w:t>
      </w:r>
      <w:r w:rsidRPr="00092E33">
        <w:rPr>
          <w:rFonts w:ascii="Times New Roman" w:hAnsi="Times New Roman"/>
          <w:sz w:val="22"/>
          <w:szCs w:val="22"/>
        </w:rPr>
        <w:t xml:space="preserve"> lo descripto en la Nota 2.2., a los presentes Estados Financieros Consolidados adjuntos, los mismos no han sido preparados en moneda homogénea, de acuerdo con lo estipulado por la NIC 29, encontrándose la Entidad en proceso de cuantificación del impacto de la </w:t>
      </w:r>
      <w:proofErr w:type="spellStart"/>
      <w:r w:rsidRPr="00092E33">
        <w:rPr>
          <w:rFonts w:ascii="Times New Roman" w:hAnsi="Times New Roman"/>
          <w:sz w:val="22"/>
          <w:szCs w:val="22"/>
        </w:rPr>
        <w:t>reexpresión</w:t>
      </w:r>
      <w:proofErr w:type="spellEnd"/>
      <w:r w:rsidRPr="00092E33">
        <w:rPr>
          <w:rFonts w:ascii="Times New Roman" w:hAnsi="Times New Roman"/>
          <w:sz w:val="22"/>
          <w:szCs w:val="22"/>
        </w:rPr>
        <w:t xml:space="preserve"> de sus Estados Financieros Consolidados, estimando que dicho efecto resultará significativo</w:t>
      </w:r>
      <w:r w:rsidRPr="00092E33">
        <w:rPr>
          <w:rFonts w:ascii="Times New Roman" w:hAnsi="Times New Roman"/>
          <w:sz w:val="22"/>
          <w:szCs w:val="22"/>
          <w:lang w:val="es-AR"/>
        </w:rPr>
        <w:t>. Esta situación debe ser tenida en cuenta en la interpretación que realicen los usuarios de los Estados Financieros Consolidados adjuntos</w:t>
      </w:r>
      <w:r w:rsidRPr="00092E33">
        <w:rPr>
          <w:rFonts w:ascii="Times New Roman" w:hAnsi="Times New Roman"/>
          <w:sz w:val="22"/>
          <w:szCs w:val="22"/>
        </w:rPr>
        <w:t>.</w:t>
      </w:r>
    </w:p>
    <w:p w14:paraId="0EFD9BFC" w14:textId="77777777" w:rsidR="00092E33" w:rsidRPr="00092E33" w:rsidRDefault="00092E33" w:rsidP="00092E33">
      <w:pPr>
        <w:pStyle w:val="Prrafodelista"/>
        <w:tabs>
          <w:tab w:val="num" w:pos="709"/>
        </w:tabs>
        <w:ind w:left="709" w:hanging="567"/>
        <w:rPr>
          <w:rFonts w:ascii="Times New Roman" w:hAnsi="Times New Roman" w:cs="Times New Roman"/>
          <w:sz w:val="22"/>
          <w:szCs w:val="22"/>
        </w:rPr>
      </w:pPr>
    </w:p>
    <w:p w14:paraId="3255DDB3" w14:textId="77777777" w:rsidR="00092E33" w:rsidRPr="00092E33" w:rsidRDefault="00092E33" w:rsidP="00092E33">
      <w:pPr>
        <w:pStyle w:val="Auditor"/>
        <w:numPr>
          <w:ilvl w:val="1"/>
          <w:numId w:val="12"/>
        </w:numPr>
        <w:tabs>
          <w:tab w:val="clear" w:pos="2047"/>
          <w:tab w:val="num" w:pos="709"/>
        </w:tabs>
        <w:spacing w:line="240" w:lineRule="auto"/>
        <w:ind w:left="709" w:hanging="567"/>
        <w:rPr>
          <w:rFonts w:ascii="Times New Roman" w:hAnsi="Times New Roman"/>
          <w:sz w:val="22"/>
          <w:szCs w:val="22"/>
          <w:lang w:val="es-AR"/>
        </w:rPr>
      </w:pPr>
      <w:r w:rsidRPr="00092E33">
        <w:rPr>
          <w:rFonts w:ascii="Times New Roman" w:hAnsi="Times New Roman"/>
          <w:sz w:val="22"/>
          <w:szCs w:val="22"/>
          <w:lang w:val="es-AR"/>
        </w:rPr>
        <w:t>Como se describe en la Nota 44, a los Estados Financieros Consolidados adjuntos:</w:t>
      </w:r>
    </w:p>
    <w:p w14:paraId="2326FCFD" w14:textId="77777777" w:rsidR="00092E33" w:rsidRPr="00092E33" w:rsidRDefault="00092E33" w:rsidP="00092E33">
      <w:pPr>
        <w:pStyle w:val="Prrafodelista"/>
        <w:rPr>
          <w:rFonts w:ascii="Times New Roman" w:hAnsi="Times New Roman" w:cs="Times New Roman"/>
          <w:sz w:val="22"/>
          <w:szCs w:val="22"/>
        </w:rPr>
      </w:pPr>
    </w:p>
    <w:p w14:paraId="29C42B09" w14:textId="77777777" w:rsidR="00092E33" w:rsidRPr="00092E33" w:rsidRDefault="00092E33" w:rsidP="00092E33">
      <w:pPr>
        <w:pStyle w:val="Auditor"/>
        <w:numPr>
          <w:ilvl w:val="0"/>
          <w:numId w:val="13"/>
        </w:numPr>
        <w:spacing w:line="240" w:lineRule="auto"/>
        <w:rPr>
          <w:rFonts w:ascii="Times New Roman" w:hAnsi="Times New Roman"/>
          <w:sz w:val="22"/>
          <w:szCs w:val="22"/>
          <w:lang w:val="es-AR"/>
        </w:rPr>
      </w:pPr>
      <w:r w:rsidRPr="00092E33">
        <w:rPr>
          <w:rFonts w:ascii="Times New Roman" w:hAnsi="Times New Roman"/>
          <w:sz w:val="22"/>
          <w:szCs w:val="22"/>
          <w:lang w:val="es-AR"/>
        </w:rPr>
        <w:t>el BCRA inició un sumario al Banco de Servicios y Transacciones S.A. y su directorio referido a presuntos excesos en materia de fraccionamiento de clientes vinculados, respecto del cual resolvió la determinación de una multa para los sumariados la que está en proceso de apelación. Asimismo, el Banco interpuso medida cautelar solicitando efectuar el pago de la multa una vez dictada sentencia firme, la que venció con fecha 26 de diciembre de 2019, cuya prórroga se solicitó encontrándose a la fecha pendiente de aprobación. A la fecha de emisión de los presentes Estados Financieros Consolidados, según indican los asesores letrados, la ejecución de la multa que inicio el B.C.R.A fue suspendida por el juez actuante en conformidad con B.C.R.A.</w:t>
      </w:r>
    </w:p>
    <w:p w14:paraId="65B3C9CA" w14:textId="77777777" w:rsidR="00092E33" w:rsidRPr="00092E33" w:rsidRDefault="00092E33" w:rsidP="00092E33">
      <w:pPr>
        <w:pStyle w:val="Auditor"/>
        <w:numPr>
          <w:ilvl w:val="0"/>
          <w:numId w:val="13"/>
        </w:numPr>
        <w:spacing w:line="240" w:lineRule="auto"/>
        <w:rPr>
          <w:rFonts w:ascii="Times New Roman" w:hAnsi="Times New Roman"/>
          <w:sz w:val="22"/>
          <w:szCs w:val="22"/>
          <w:lang w:val="es-AR"/>
        </w:rPr>
      </w:pPr>
      <w:r w:rsidRPr="00092E33">
        <w:rPr>
          <w:rFonts w:ascii="Times New Roman" w:hAnsi="Times New Roman"/>
          <w:sz w:val="22"/>
          <w:szCs w:val="22"/>
          <w:lang w:val="es-AR"/>
        </w:rPr>
        <w:t>el BCRA inició con fecha 30 de enero de 2020 un sumario al Banco de Servicios y Transacciones S.A. por presunto incumplimiento a las normas sobre Registraciones contables, calificado de “gravedad baja”. El Banco se encuentra trabajando en la presentación del descargo correspondiente.</w:t>
      </w:r>
    </w:p>
    <w:p w14:paraId="3D513C33" w14:textId="77777777" w:rsidR="00092E33" w:rsidRPr="00092E33" w:rsidRDefault="00092E33" w:rsidP="00092E33">
      <w:pPr>
        <w:pStyle w:val="Auditor"/>
        <w:spacing w:line="240" w:lineRule="auto"/>
        <w:ind w:left="1069"/>
        <w:rPr>
          <w:rFonts w:ascii="Times New Roman" w:hAnsi="Times New Roman"/>
          <w:sz w:val="22"/>
          <w:szCs w:val="22"/>
          <w:lang w:val="es-AR"/>
        </w:rPr>
      </w:pPr>
    </w:p>
    <w:p w14:paraId="19D5E62F" w14:textId="77777777" w:rsidR="00092E33" w:rsidRPr="00092E33" w:rsidRDefault="00092E33" w:rsidP="00092E33">
      <w:pPr>
        <w:pStyle w:val="Auditor"/>
        <w:numPr>
          <w:ilvl w:val="1"/>
          <w:numId w:val="12"/>
        </w:numPr>
        <w:tabs>
          <w:tab w:val="clear" w:pos="2047"/>
        </w:tabs>
        <w:spacing w:line="240" w:lineRule="auto"/>
        <w:ind w:left="709" w:hanging="567"/>
        <w:rPr>
          <w:rFonts w:ascii="Times New Roman" w:hAnsi="Times New Roman"/>
          <w:sz w:val="22"/>
          <w:szCs w:val="22"/>
          <w:lang w:val="es-AR"/>
        </w:rPr>
      </w:pPr>
      <w:r w:rsidRPr="00092E33">
        <w:rPr>
          <w:rFonts w:ascii="Times New Roman" w:hAnsi="Times New Roman"/>
          <w:sz w:val="22"/>
          <w:szCs w:val="22"/>
        </w:rPr>
        <w:t>La recuperabilidad de los créditos fiscales originados en quebrantos y saldos a favor por retenciones, percepciones e impuestos por los débitos y créditos bancarios, que han sido valuados a su valor nominal y expuestos en los rubros Activo por Impuesto a las Ganancias Diferidos y Activo por Impuesto a las Ganancias Corrientes, está condicionada al cumplimiento de las proyecciones estimadas de negocios para los próximos ejercicios.</w:t>
      </w:r>
    </w:p>
    <w:p w14:paraId="0DA4B7EB" w14:textId="77777777" w:rsidR="009E49BA" w:rsidRDefault="009E49BA" w:rsidP="00092E33">
      <w:pPr>
        <w:keepNext/>
        <w:spacing w:before="20" w:after="220" w:line="240" w:lineRule="atLeast"/>
        <w:jc w:val="both"/>
        <w:rPr>
          <w:rFonts w:ascii="Times New Roman" w:hAnsi="Times New Roman" w:cs="Times New Roman"/>
          <w:i/>
        </w:rPr>
      </w:pPr>
    </w:p>
    <w:p w14:paraId="31076371" w14:textId="5E4B6669" w:rsidR="00092E33" w:rsidRPr="00092E33" w:rsidRDefault="00092E33" w:rsidP="00092E33">
      <w:pPr>
        <w:keepNext/>
        <w:spacing w:before="20" w:after="220" w:line="240" w:lineRule="atLeast"/>
        <w:jc w:val="both"/>
        <w:rPr>
          <w:rFonts w:ascii="Times New Roman" w:hAnsi="Times New Roman" w:cs="Times New Roman"/>
          <w:i/>
        </w:rPr>
      </w:pPr>
      <w:r w:rsidRPr="00092E33">
        <w:rPr>
          <w:rFonts w:ascii="Times New Roman" w:hAnsi="Times New Roman" w:cs="Times New Roman"/>
          <w:i/>
        </w:rPr>
        <w:t>Información sobre otros requerimientos legales y reglamentarios</w:t>
      </w:r>
    </w:p>
    <w:p w14:paraId="037EBBD9" w14:textId="77777777" w:rsidR="00092E33" w:rsidRPr="00092E33" w:rsidRDefault="00092E33" w:rsidP="00092E33">
      <w:pPr>
        <w:keepNext/>
        <w:spacing w:before="20" w:after="220" w:line="240" w:lineRule="atLeast"/>
        <w:jc w:val="both"/>
        <w:rPr>
          <w:rFonts w:ascii="Times New Roman" w:hAnsi="Times New Roman" w:cs="Times New Roman"/>
        </w:rPr>
      </w:pPr>
      <w:r w:rsidRPr="00092E33">
        <w:rPr>
          <w:rFonts w:ascii="Times New Roman" w:hAnsi="Times New Roman" w:cs="Times New Roman"/>
        </w:rPr>
        <w:t>En cumplimiento de disposiciones vigentes, informamos que:</w:t>
      </w:r>
    </w:p>
    <w:p w14:paraId="2FF9267C" w14:textId="77777777" w:rsidR="00092E33" w:rsidRPr="00092E33" w:rsidRDefault="00092E33" w:rsidP="00092E33">
      <w:pPr>
        <w:pStyle w:val="Textoindependiente"/>
        <w:widowControl/>
        <w:numPr>
          <w:ilvl w:val="6"/>
          <w:numId w:val="11"/>
        </w:numPr>
        <w:tabs>
          <w:tab w:val="clear" w:pos="5220"/>
        </w:tabs>
        <w:spacing w:before="20" w:after="220" w:line="240" w:lineRule="atLeast"/>
        <w:ind w:left="426" w:hanging="426"/>
        <w:jc w:val="both"/>
        <w:rPr>
          <w:sz w:val="22"/>
          <w:szCs w:val="22"/>
        </w:rPr>
      </w:pPr>
      <w:r w:rsidRPr="00092E33">
        <w:rPr>
          <w:sz w:val="22"/>
          <w:szCs w:val="22"/>
          <w:lang w:val="es-AR"/>
        </w:rPr>
        <w:t>L</w:t>
      </w:r>
      <w:r w:rsidRPr="00092E33">
        <w:rPr>
          <w:sz w:val="22"/>
          <w:szCs w:val="22"/>
        </w:rPr>
        <w:t>os Estados Financieros Consolidados adjuntos se ajustan a las disposiciones de la Ley de Sociedades Comerciales y las normas sobre documentación contables de la CNV, y se encuentran asentados en el libro de Inventario y Balances.</w:t>
      </w:r>
    </w:p>
    <w:p w14:paraId="044634CC" w14:textId="77777777" w:rsidR="00092E33" w:rsidRPr="00092E33" w:rsidRDefault="00092E33" w:rsidP="00092E33">
      <w:pPr>
        <w:pStyle w:val="Textoindependiente"/>
        <w:widowControl/>
        <w:numPr>
          <w:ilvl w:val="6"/>
          <w:numId w:val="11"/>
        </w:numPr>
        <w:tabs>
          <w:tab w:val="clear" w:pos="5220"/>
        </w:tabs>
        <w:spacing w:before="20" w:after="220" w:line="240" w:lineRule="atLeast"/>
        <w:ind w:left="426" w:hanging="426"/>
        <w:jc w:val="both"/>
        <w:rPr>
          <w:sz w:val="22"/>
          <w:szCs w:val="22"/>
          <w:lang w:val="es-AR"/>
        </w:rPr>
      </w:pPr>
      <w:r w:rsidRPr="00092E33">
        <w:rPr>
          <w:sz w:val="22"/>
          <w:szCs w:val="22"/>
          <w:lang w:val="es-AR"/>
        </w:rPr>
        <w:t>En ejercicio del control de legalidad que nos compete, hemos aplicado durante el ejercicio finalizado el 31 de diciembre de 2019 los restantes procedimientos descriptos en el artículo N°294 de la Ley N°19.550, que consideramos necesarios de acuerdo con las circunstancias, no teniendo observaciones que formular al respecto.</w:t>
      </w:r>
    </w:p>
    <w:p w14:paraId="1464301B" w14:textId="77777777" w:rsidR="00092E33" w:rsidRPr="00092E33" w:rsidRDefault="00092E33" w:rsidP="00092E33">
      <w:pPr>
        <w:pStyle w:val="Textoindependiente"/>
        <w:widowControl/>
        <w:numPr>
          <w:ilvl w:val="6"/>
          <w:numId w:val="11"/>
        </w:numPr>
        <w:tabs>
          <w:tab w:val="clear" w:pos="5220"/>
        </w:tabs>
        <w:spacing w:before="20" w:after="220" w:line="240" w:lineRule="atLeast"/>
        <w:ind w:left="426" w:hanging="426"/>
        <w:jc w:val="both"/>
        <w:rPr>
          <w:sz w:val="22"/>
          <w:szCs w:val="22"/>
          <w:lang w:val="es-AR"/>
        </w:rPr>
      </w:pPr>
      <w:r w:rsidRPr="00092E33">
        <w:rPr>
          <w:sz w:val="22"/>
          <w:szCs w:val="22"/>
          <w:lang w:val="es-AR"/>
        </w:rPr>
        <w:t>Hemos aplicado los procedimientos sobre prevención de lavado de activos de origen delictivo y financiación del terrorismo previstos en las correspondientes normas profesionales emitidas por la Federación Argentina de Consejos Profesionales de Ciencias Económicas.</w:t>
      </w:r>
    </w:p>
    <w:p w14:paraId="629645E9" w14:textId="77777777" w:rsidR="00092E33" w:rsidRPr="00092E33" w:rsidRDefault="00092E33" w:rsidP="00092E33">
      <w:pPr>
        <w:pStyle w:val="Textoindependiente"/>
        <w:widowControl/>
        <w:numPr>
          <w:ilvl w:val="6"/>
          <w:numId w:val="11"/>
        </w:numPr>
        <w:tabs>
          <w:tab w:val="clear" w:pos="5220"/>
        </w:tabs>
        <w:spacing w:before="20" w:after="220" w:line="240" w:lineRule="atLeast"/>
        <w:ind w:left="426" w:hanging="426"/>
        <w:jc w:val="both"/>
        <w:rPr>
          <w:sz w:val="22"/>
          <w:szCs w:val="22"/>
        </w:rPr>
      </w:pPr>
      <w:r w:rsidRPr="00092E33">
        <w:rPr>
          <w:sz w:val="22"/>
          <w:szCs w:val="22"/>
        </w:rPr>
        <w:lastRenderedPageBreak/>
        <w:t>Hemos leído la Reseña Informativa, sobre la cual, en lo que es materia de nuestra competencia, no tenemos observaciones que formular.</w:t>
      </w:r>
    </w:p>
    <w:p w14:paraId="3A04EE23" w14:textId="77777777" w:rsidR="00092E33" w:rsidRPr="00092E33" w:rsidRDefault="00092E33" w:rsidP="00092E33">
      <w:pPr>
        <w:pStyle w:val="Textoindependiente"/>
        <w:widowControl/>
        <w:numPr>
          <w:ilvl w:val="6"/>
          <w:numId w:val="11"/>
        </w:numPr>
        <w:tabs>
          <w:tab w:val="clear" w:pos="5220"/>
        </w:tabs>
        <w:spacing w:before="20" w:after="220" w:line="240" w:lineRule="atLeast"/>
        <w:ind w:left="425" w:hanging="426"/>
        <w:contextualSpacing/>
        <w:jc w:val="both"/>
        <w:rPr>
          <w:sz w:val="22"/>
          <w:szCs w:val="22"/>
          <w:lang w:val="es-AR"/>
        </w:rPr>
      </w:pPr>
      <w:r w:rsidRPr="00092E33">
        <w:rPr>
          <w:sz w:val="22"/>
          <w:szCs w:val="22"/>
          <w:lang w:val="es-AR"/>
        </w:rPr>
        <w:t>En relación con la Memoria del Directorio, no tenemos observaciones que formular en materia de nuestra competencia, siendo las afirmaciones sobre hechos futuros responsabilidad exclusiva del Directorio de la Sociedad.</w:t>
      </w:r>
    </w:p>
    <w:p w14:paraId="6A307D2B" w14:textId="77777777" w:rsidR="00092E33" w:rsidRPr="00092E33" w:rsidRDefault="00092E33" w:rsidP="00092E33">
      <w:pPr>
        <w:pStyle w:val="Textoindependiente"/>
        <w:spacing w:before="20" w:after="220" w:line="240" w:lineRule="atLeast"/>
        <w:ind w:left="425"/>
        <w:contextualSpacing/>
        <w:jc w:val="both"/>
        <w:rPr>
          <w:sz w:val="22"/>
          <w:szCs w:val="22"/>
          <w:lang w:val="es-AR"/>
        </w:rPr>
      </w:pPr>
      <w:r w:rsidRPr="00092E33">
        <w:rPr>
          <w:sz w:val="22"/>
          <w:szCs w:val="22"/>
          <w:lang w:val="es-AR"/>
        </w:rPr>
        <w:t>Asimismo, hemos realizado una revisión del Informe emitido por el Directorio de la Entidad sobre el grado de cumplimiento del Código de Gobierno Societario acompañado como anexo de la Memoria, respecto del cual no tenemos observaciones que formular.</w:t>
      </w:r>
    </w:p>
    <w:p w14:paraId="613ECD42" w14:textId="77777777" w:rsidR="00092E33" w:rsidRPr="00092E33" w:rsidRDefault="00092E33" w:rsidP="00092E33">
      <w:pPr>
        <w:pStyle w:val="Textoindependiente"/>
        <w:spacing w:before="20" w:after="220" w:line="240" w:lineRule="atLeast"/>
        <w:ind w:left="-1"/>
        <w:contextualSpacing/>
        <w:jc w:val="both"/>
        <w:rPr>
          <w:sz w:val="22"/>
          <w:szCs w:val="22"/>
          <w:lang w:val="es-AR"/>
        </w:rPr>
      </w:pPr>
    </w:p>
    <w:p w14:paraId="415559BB" w14:textId="77777777" w:rsidR="00092E33" w:rsidRPr="00092E33" w:rsidRDefault="00092E33" w:rsidP="00092E33">
      <w:pPr>
        <w:pStyle w:val="Textoindependiente"/>
        <w:widowControl/>
        <w:numPr>
          <w:ilvl w:val="6"/>
          <w:numId w:val="11"/>
        </w:numPr>
        <w:tabs>
          <w:tab w:val="clear" w:pos="5220"/>
        </w:tabs>
        <w:spacing w:before="20" w:after="220" w:line="240" w:lineRule="atLeast"/>
        <w:ind w:left="426" w:hanging="426"/>
        <w:jc w:val="both"/>
        <w:rPr>
          <w:sz w:val="22"/>
          <w:szCs w:val="22"/>
        </w:rPr>
      </w:pPr>
      <w:r w:rsidRPr="00092E33">
        <w:rPr>
          <w:sz w:val="22"/>
          <w:szCs w:val="22"/>
          <w:lang w:val="es-AR"/>
        </w:rPr>
        <w:t xml:space="preserve">Hemos revisado la situación de cumplimiento de las garantías de los directores </w:t>
      </w:r>
      <w:proofErr w:type="gramStart"/>
      <w:r w:rsidRPr="00092E33">
        <w:rPr>
          <w:sz w:val="22"/>
          <w:szCs w:val="22"/>
          <w:lang w:val="es-AR"/>
        </w:rPr>
        <w:t>de acuerdo a</w:t>
      </w:r>
      <w:proofErr w:type="gramEnd"/>
      <w:r w:rsidRPr="00092E33">
        <w:rPr>
          <w:sz w:val="22"/>
          <w:szCs w:val="22"/>
          <w:lang w:val="es-AR"/>
        </w:rPr>
        <w:t xml:space="preserve"> las resoluciones vigentes de la Inspección General de Justicia y al respecto no tenemos observaciones que formular.</w:t>
      </w:r>
    </w:p>
    <w:p w14:paraId="02604556" w14:textId="77777777" w:rsidR="00092E33" w:rsidRPr="00092E33" w:rsidRDefault="00092E33" w:rsidP="00092E33">
      <w:pPr>
        <w:pStyle w:val="Textoindependiente"/>
        <w:widowControl/>
        <w:numPr>
          <w:ilvl w:val="6"/>
          <w:numId w:val="11"/>
        </w:numPr>
        <w:tabs>
          <w:tab w:val="clear" w:pos="5220"/>
        </w:tabs>
        <w:spacing w:before="20" w:after="220" w:line="240" w:lineRule="atLeast"/>
        <w:ind w:left="426" w:hanging="426"/>
        <w:jc w:val="both"/>
        <w:rPr>
          <w:sz w:val="22"/>
          <w:szCs w:val="22"/>
        </w:rPr>
      </w:pPr>
      <w:r w:rsidRPr="00092E33">
        <w:rPr>
          <w:sz w:val="22"/>
          <w:szCs w:val="22"/>
          <w:lang w:val="es-AR"/>
        </w:rPr>
        <w:t>Al 31 de diciembre de 2019 según surge de la Nota 34 a los Estados Financieros Consolidados adjuntos, la Sociedad posee un patrimonio neto y una contrapartida en activos elegibles que exceden los importes mínimos requeridos por las normas pertinentes de la Comisión Nacional de Valores para dichos conceptos.</w:t>
      </w:r>
    </w:p>
    <w:p w14:paraId="4250A505" w14:textId="77777777" w:rsidR="00092E33" w:rsidRPr="00092E33" w:rsidRDefault="00092E33" w:rsidP="00092E33">
      <w:pPr>
        <w:pStyle w:val="Textoindependiente"/>
        <w:widowControl/>
        <w:numPr>
          <w:ilvl w:val="6"/>
          <w:numId w:val="11"/>
        </w:numPr>
        <w:tabs>
          <w:tab w:val="clear" w:pos="5220"/>
        </w:tabs>
        <w:spacing w:before="20" w:after="220" w:line="240" w:lineRule="atLeast"/>
        <w:ind w:left="426" w:hanging="426"/>
        <w:jc w:val="both"/>
        <w:rPr>
          <w:sz w:val="22"/>
          <w:szCs w:val="22"/>
          <w:lang w:val="es-AR"/>
        </w:rPr>
      </w:pPr>
      <w:r w:rsidRPr="00092E33">
        <w:rPr>
          <w:sz w:val="22"/>
          <w:szCs w:val="22"/>
          <w:lang w:val="es-AR"/>
        </w:rPr>
        <w:t>De acuerdo a lo requerido por las normas de la CNV, sobre la independencia del auditor externo y sobre la calidad de las políticas de auditoría aplicadas por el mismo y de las políticas de contabilización de la Sociedad, el informe del auditor externo descripto anteriormente, incluye la manifestación de haber aplicado las normas de auditoría vigentes en Argentina, que comprenden los requisitos de independencia, y no contienen salvedades en relación con la aplicación de dichas normas ni discrepancias con respecto a las normas contables profesionales aplicadas.</w:t>
      </w:r>
    </w:p>
    <w:p w14:paraId="0E277332" w14:textId="7794C093" w:rsidR="00092E33" w:rsidRPr="00092E33" w:rsidRDefault="00092E33" w:rsidP="00092E33">
      <w:pPr>
        <w:pStyle w:val="Textoindependiente"/>
        <w:spacing w:before="20" w:after="220" w:line="240" w:lineRule="atLeast"/>
        <w:jc w:val="both"/>
        <w:rPr>
          <w:sz w:val="22"/>
          <w:szCs w:val="22"/>
        </w:rPr>
      </w:pPr>
      <w:r w:rsidRPr="00092E33">
        <w:rPr>
          <w:sz w:val="22"/>
          <w:szCs w:val="22"/>
        </w:rPr>
        <w:t xml:space="preserve">Ciudad Autónoma de Buenos Aires, 9 de marzo de 2020                </w:t>
      </w:r>
    </w:p>
    <w:p w14:paraId="148829F0" w14:textId="1726A815" w:rsidR="00092E33" w:rsidRPr="00092E33" w:rsidRDefault="00092E33" w:rsidP="00092E33">
      <w:pPr>
        <w:pStyle w:val="Piedepgina"/>
        <w:tabs>
          <w:tab w:val="center" w:pos="1843"/>
          <w:tab w:val="center" w:pos="6663"/>
        </w:tabs>
        <w:rPr>
          <w:rFonts w:ascii="Times New Roman" w:hAnsi="Times New Roman" w:cs="Times New Roman"/>
          <w:sz w:val="22"/>
          <w:szCs w:val="22"/>
        </w:rPr>
      </w:pPr>
      <w:r w:rsidRPr="00092E33">
        <w:rPr>
          <w:rFonts w:ascii="Times New Roman" w:hAnsi="Times New Roman" w:cs="Times New Roman"/>
          <w:sz w:val="22"/>
          <w:szCs w:val="22"/>
        </w:rPr>
        <w:t xml:space="preserve">                                    </w:t>
      </w:r>
    </w:p>
    <w:p w14:paraId="46BDA28C" w14:textId="77777777" w:rsidR="00092E33" w:rsidRPr="00092E33" w:rsidRDefault="00092E33" w:rsidP="00092E33">
      <w:pPr>
        <w:pStyle w:val="Piedepgina"/>
        <w:tabs>
          <w:tab w:val="center" w:pos="1843"/>
          <w:tab w:val="center" w:pos="6663"/>
        </w:tabs>
        <w:contextualSpacing/>
        <w:rPr>
          <w:rFonts w:ascii="Times New Roman" w:hAnsi="Times New Roman" w:cs="Times New Roman"/>
          <w:sz w:val="22"/>
          <w:szCs w:val="22"/>
        </w:rPr>
      </w:pPr>
      <w:r w:rsidRPr="00092E33">
        <w:rPr>
          <w:rFonts w:ascii="Times New Roman" w:hAnsi="Times New Roman" w:cs="Times New Roman"/>
          <w:sz w:val="22"/>
          <w:szCs w:val="22"/>
        </w:rPr>
        <w:tab/>
      </w:r>
      <w:r w:rsidRPr="00092E33">
        <w:rPr>
          <w:rFonts w:ascii="Times New Roman" w:hAnsi="Times New Roman" w:cs="Times New Roman"/>
          <w:sz w:val="22"/>
          <w:szCs w:val="22"/>
        </w:rPr>
        <w:tab/>
      </w:r>
      <w:r w:rsidRPr="00092E33">
        <w:rPr>
          <w:rFonts w:ascii="Times New Roman" w:hAnsi="Times New Roman" w:cs="Times New Roman"/>
          <w:sz w:val="22"/>
          <w:szCs w:val="22"/>
        </w:rPr>
        <w:tab/>
        <w:t>Francisco G.J. Gonzalez Fischer</w:t>
      </w:r>
    </w:p>
    <w:p w14:paraId="74119DD6" w14:textId="77777777" w:rsidR="00092E33" w:rsidRPr="00092E33" w:rsidRDefault="00092E33" w:rsidP="00092E33">
      <w:pPr>
        <w:pStyle w:val="Piedepgina"/>
        <w:tabs>
          <w:tab w:val="center" w:pos="1843"/>
          <w:tab w:val="center" w:pos="6663"/>
        </w:tabs>
        <w:contextualSpacing/>
        <w:rPr>
          <w:rFonts w:ascii="Times New Roman" w:hAnsi="Times New Roman" w:cs="Times New Roman"/>
        </w:rPr>
      </w:pPr>
      <w:r w:rsidRPr="00092E33">
        <w:rPr>
          <w:rFonts w:ascii="Times New Roman" w:hAnsi="Times New Roman" w:cs="Times New Roman"/>
          <w:sz w:val="22"/>
          <w:szCs w:val="22"/>
        </w:rPr>
        <w:tab/>
      </w:r>
      <w:r w:rsidRPr="00092E33">
        <w:rPr>
          <w:rFonts w:ascii="Times New Roman" w:hAnsi="Times New Roman" w:cs="Times New Roman"/>
          <w:sz w:val="22"/>
          <w:szCs w:val="22"/>
        </w:rPr>
        <w:tab/>
        <w:t xml:space="preserve">                                                                 Por Comisión Fiscalizadora</w:t>
      </w:r>
    </w:p>
    <w:p w14:paraId="7CE1EA0C" w14:textId="3F0A138E" w:rsidR="00092E33" w:rsidRPr="00092E33" w:rsidRDefault="00092E33" w:rsidP="00092E33">
      <w:pPr>
        <w:spacing w:before="20" w:after="220" w:line="240" w:lineRule="atLeast"/>
        <w:jc w:val="center"/>
        <w:rPr>
          <w:rFonts w:ascii="Times New Roman" w:hAnsi="Times New Roman" w:cs="Times New Roman"/>
          <w:b/>
        </w:rPr>
      </w:pPr>
      <w:r w:rsidRPr="00092E33">
        <w:rPr>
          <w:rFonts w:ascii="Times New Roman" w:hAnsi="Times New Roman" w:cs="Times New Roman"/>
          <w:b/>
        </w:rPr>
        <w:t>INFORME DE LA COMISIÓN FISCALIZADORA SOBRE ESTADOS FINANCIEROS SEPARADOS</w:t>
      </w:r>
    </w:p>
    <w:p w14:paraId="01DCCF17" w14:textId="77777777" w:rsidR="00092E33" w:rsidRPr="00092E33" w:rsidRDefault="00092E33" w:rsidP="00092E33">
      <w:pPr>
        <w:pStyle w:val="Textoindependiente"/>
        <w:keepNext/>
        <w:spacing w:before="20" w:after="220" w:line="240" w:lineRule="atLeast"/>
        <w:rPr>
          <w:sz w:val="22"/>
          <w:szCs w:val="22"/>
          <w:lang w:val="es-AR"/>
        </w:rPr>
      </w:pPr>
      <w:r w:rsidRPr="00092E33">
        <w:rPr>
          <w:sz w:val="22"/>
          <w:szCs w:val="22"/>
          <w:lang w:val="es-AR"/>
        </w:rPr>
        <w:t>A los señores Accionistas de</w:t>
      </w:r>
      <w:r w:rsidRPr="00092E33">
        <w:rPr>
          <w:sz w:val="22"/>
          <w:szCs w:val="22"/>
          <w:lang w:val="es-AR"/>
        </w:rPr>
        <w:br/>
      </w:r>
      <w:r w:rsidRPr="00092E33">
        <w:rPr>
          <w:b/>
          <w:sz w:val="22"/>
          <w:szCs w:val="22"/>
          <w:lang w:val="es-AR"/>
        </w:rPr>
        <w:t>Grupo ST S.A.</w:t>
      </w:r>
      <w:r w:rsidRPr="00092E33">
        <w:rPr>
          <w:b/>
          <w:sz w:val="22"/>
          <w:szCs w:val="22"/>
          <w:lang w:val="es-AR"/>
        </w:rPr>
        <w:br/>
      </w:r>
      <w:r w:rsidRPr="00092E33">
        <w:rPr>
          <w:sz w:val="22"/>
          <w:szCs w:val="22"/>
          <w:lang w:val="es-AR"/>
        </w:rPr>
        <w:t>Av. Corrientes 1174 Piso 9</w:t>
      </w:r>
      <w:r w:rsidRPr="00092E33">
        <w:rPr>
          <w:sz w:val="22"/>
          <w:szCs w:val="22"/>
          <w:lang w:val="es-AR"/>
        </w:rPr>
        <w:br/>
        <w:t>Ciudad Autónoma de Buenos Aires</w:t>
      </w:r>
      <w:r w:rsidRPr="00092E33">
        <w:rPr>
          <w:sz w:val="22"/>
          <w:szCs w:val="22"/>
          <w:lang w:val="es-AR"/>
        </w:rPr>
        <w:br/>
      </w:r>
    </w:p>
    <w:p w14:paraId="0F015B3B" w14:textId="77777777" w:rsidR="00092E33" w:rsidRPr="00092E33" w:rsidRDefault="00092E33" w:rsidP="00092E33">
      <w:pPr>
        <w:spacing w:before="20" w:after="220" w:line="240" w:lineRule="atLeast"/>
        <w:jc w:val="both"/>
        <w:rPr>
          <w:rFonts w:ascii="Times New Roman" w:hAnsi="Times New Roman" w:cs="Times New Roman"/>
        </w:rPr>
      </w:pPr>
      <w:r w:rsidRPr="00092E33">
        <w:rPr>
          <w:rFonts w:ascii="Times New Roman" w:hAnsi="Times New Roman" w:cs="Times New Roman"/>
        </w:rPr>
        <w:t>Hemos efectuado una revisión de los Estados Financieros Separados adjuntos del Grupo ST S.A. (en adelante “la Sociedad”) que se adjuntan, los que comprenden el estado de situación financiera al 31 de diciembre de 2019, los estados de resultados integrales y de otros resultados integrales, de cambios en el patrimonio  y de flujo de efectivo por el ejercicio finalizado en esa fecha, así como un resumen de las políticas contables significativas y otra información complementaria seleccionada incluidas en Notas 1 a 32 Anexos que los complementan.</w:t>
      </w:r>
    </w:p>
    <w:p w14:paraId="4215B0EA" w14:textId="77777777" w:rsidR="00092E33" w:rsidRPr="00092E33" w:rsidRDefault="00092E33" w:rsidP="00092E33">
      <w:pPr>
        <w:pStyle w:val="Textoinfaud"/>
        <w:tabs>
          <w:tab w:val="clear" w:pos="720"/>
        </w:tabs>
        <w:spacing w:before="20" w:after="220" w:line="240" w:lineRule="atLeast"/>
        <w:rPr>
          <w:rFonts w:ascii="Times New Roman" w:hAnsi="Times New Roman"/>
          <w:color w:val="000000" w:themeColor="text1"/>
          <w:sz w:val="22"/>
          <w:szCs w:val="22"/>
        </w:rPr>
      </w:pPr>
      <w:r w:rsidRPr="00092E33">
        <w:rPr>
          <w:rFonts w:ascii="Times New Roman" w:hAnsi="Times New Roman"/>
          <w:color w:val="000000" w:themeColor="text1"/>
          <w:sz w:val="22"/>
          <w:szCs w:val="22"/>
        </w:rPr>
        <w:t>Los saldos y otra información correspondiente al ejercicio 2018 y son parte integrante de los Estados Financieros Separados mencionados precedentemente y por lo tanto deberán ser considerados en relación con los Estados Financieros Separados.</w:t>
      </w:r>
    </w:p>
    <w:p w14:paraId="5530E09E" w14:textId="77777777" w:rsidR="00092E33" w:rsidRPr="00092E33" w:rsidRDefault="00092E33" w:rsidP="00092E33">
      <w:pPr>
        <w:spacing w:before="20" w:after="220" w:line="240" w:lineRule="atLeast"/>
        <w:jc w:val="both"/>
        <w:rPr>
          <w:rFonts w:ascii="Times New Roman" w:hAnsi="Times New Roman" w:cs="Times New Roman"/>
          <w:i/>
        </w:rPr>
      </w:pPr>
      <w:r w:rsidRPr="00092E33">
        <w:rPr>
          <w:rFonts w:ascii="Times New Roman" w:hAnsi="Times New Roman" w:cs="Times New Roman"/>
          <w:i/>
        </w:rPr>
        <w:t xml:space="preserve">Responsabilidad de la Dirección </w:t>
      </w:r>
    </w:p>
    <w:p w14:paraId="4F25DE8C" w14:textId="77777777" w:rsidR="00092E33" w:rsidRPr="00092E33" w:rsidRDefault="00092E33" w:rsidP="00092E33">
      <w:pPr>
        <w:pStyle w:val="Auditor"/>
        <w:spacing w:before="20" w:after="220" w:line="240" w:lineRule="atLeast"/>
        <w:contextualSpacing/>
        <w:rPr>
          <w:rFonts w:ascii="Times New Roman" w:hAnsi="Times New Roman"/>
          <w:sz w:val="22"/>
          <w:szCs w:val="22"/>
          <w:lang w:val="es-AR"/>
        </w:rPr>
      </w:pPr>
      <w:r w:rsidRPr="00092E33">
        <w:rPr>
          <w:rFonts w:ascii="Times New Roman" w:hAnsi="Times New Roman"/>
          <w:sz w:val="22"/>
          <w:szCs w:val="22"/>
          <w:lang w:val="es-AR"/>
        </w:rPr>
        <w:t>El Directorio de la Entidad es responsable de la preparación y presentación razonable de los Estados Financieros Separados mencionados en el apartado 1, de conformidad con el marco de información contable establecido por el Banco Central de la República Argentina (BCRA), que se basa en las normas internacionales de información financiera (NIIF), tal como esas normas fueron emitidas por el Consejo de Normas Internacionales de Contabilidad (“IASB”, por su sigla en inglés) y adoptadas por la Federación Argentina de Consejos Profesionales de Ciencias Económicas, con la excepción del punto 5.5 “Deterioro del Valor” de la NIIF 9 de Instrumentos Financieros, que en forma transitoria fue excluida por el BCRA del marco contable aplicable a las entidades financieras. Por otra parte, dada la vigencia de la Comunicación “A” 3921 del BCRA, la Entidad no ha aplicado la NIC 29 “Información Financiera en Economías Hiperinflacionarias” para la preparación de los Estados Financieros Separados adjuntos.</w:t>
      </w:r>
    </w:p>
    <w:p w14:paraId="7AD76FD5" w14:textId="77777777" w:rsidR="00092E33" w:rsidRPr="00092E33" w:rsidRDefault="00092E33" w:rsidP="00092E33">
      <w:pPr>
        <w:pStyle w:val="Auditor"/>
        <w:spacing w:before="20" w:after="220" w:line="240" w:lineRule="atLeast"/>
        <w:contextualSpacing/>
        <w:rPr>
          <w:rFonts w:ascii="Times New Roman" w:hAnsi="Times New Roman"/>
          <w:sz w:val="22"/>
          <w:szCs w:val="22"/>
          <w:lang w:val="es-AR"/>
        </w:rPr>
      </w:pPr>
      <w:r w:rsidRPr="00092E33">
        <w:rPr>
          <w:rFonts w:ascii="Times New Roman" w:hAnsi="Times New Roman"/>
          <w:sz w:val="22"/>
          <w:szCs w:val="22"/>
          <w:lang w:val="es-AR"/>
        </w:rPr>
        <w:t>Asimismo, el Directorio y la Gerencia de Grupo ST S.A. son responsables de la existencia del control interno que considere necesario para permitir la preparación de Estados Financieros Separados libres de incorrecciones significativas originadas en errores o en irregularidades</w:t>
      </w:r>
    </w:p>
    <w:p w14:paraId="35EA2974" w14:textId="77777777" w:rsidR="00092E33" w:rsidRPr="00092E33" w:rsidRDefault="00092E33" w:rsidP="00092E33">
      <w:pPr>
        <w:pStyle w:val="Textoindependiente"/>
        <w:keepNext/>
        <w:spacing w:before="20" w:after="220" w:line="240" w:lineRule="atLeast"/>
        <w:rPr>
          <w:i/>
          <w:sz w:val="22"/>
          <w:szCs w:val="22"/>
          <w:lang w:val="es-AR"/>
        </w:rPr>
      </w:pPr>
      <w:r w:rsidRPr="00092E33">
        <w:rPr>
          <w:i/>
          <w:sz w:val="22"/>
          <w:szCs w:val="22"/>
          <w:lang w:val="es-AR"/>
        </w:rPr>
        <w:lastRenderedPageBreak/>
        <w:t>Responsabilidad de la Comisión Fiscalizadora</w:t>
      </w:r>
    </w:p>
    <w:p w14:paraId="73451058" w14:textId="77777777" w:rsidR="00092E33" w:rsidRPr="00092E33" w:rsidRDefault="00092E33" w:rsidP="00092E33">
      <w:pPr>
        <w:spacing w:before="20" w:after="220" w:line="240" w:lineRule="atLeast"/>
        <w:jc w:val="both"/>
        <w:rPr>
          <w:rFonts w:ascii="Times New Roman" w:hAnsi="Times New Roman" w:cs="Times New Roman"/>
        </w:rPr>
      </w:pPr>
      <w:r w:rsidRPr="00092E33">
        <w:rPr>
          <w:rFonts w:ascii="Times New Roman" w:hAnsi="Times New Roman" w:cs="Times New Roman"/>
        </w:rPr>
        <w:t xml:space="preserve">Nuestra responsabilidad consiste en emitir una opinión sobre los Estados Financieros Separados adjuntos sobre la base de nuestra revisión. Nuestro trabajo fue realizado de acuerdo con las normas de sindicatura vigentes. Dichas normas requieren que la revisión de los documentos antes citados se efectúe de acuerdo con las normas de auditoría vigentes. No hemos efectuado ningún control de gestión y, por lo tanto, no hemos evaluado los criterios y decisiones empresarias de administración, financiación y, comercialización, dado que estas cuestiones son de responsabilidad exclusiva del Directorio. Para realizar nuestra tarea profesional sobre los documentos citados en el primer párrafo, hemos revisado el trabajo efectuado por la firma Becher y Asociados S.R.L., en su carácter de auditores externos, quienes emitieron su informe con fecha 9 de marzo de 2020, de acuerdo con las normas de revisión establecidas en la Resolución Técnica N°37 de la Federación Argentina de Consejos Profesionales de Ciencias Económicas (FACPCE) y con las “Normas mínimas de Auditoría Externa” emitidas por el BCRA, aplicables a la auditoría de Estados Financieros, y cumpliendo con los requerimientos de ética pertinentes a la auditoría de los Estados Financieros de la Entidad.  </w:t>
      </w:r>
    </w:p>
    <w:p w14:paraId="357FCC26" w14:textId="20D24C5F" w:rsidR="00092E33" w:rsidRPr="00092E33" w:rsidRDefault="00092E33" w:rsidP="00092E33">
      <w:pPr>
        <w:pStyle w:val="informaudit"/>
        <w:spacing w:line="240" w:lineRule="auto"/>
        <w:ind w:right="3"/>
        <w:rPr>
          <w:rFonts w:ascii="Times New Roman" w:hAnsi="Times New Roman"/>
          <w:sz w:val="22"/>
          <w:szCs w:val="22"/>
        </w:rPr>
      </w:pPr>
      <w:r w:rsidRPr="00092E33">
        <w:rPr>
          <w:rFonts w:ascii="Times New Roman" w:hAnsi="Times New Roman"/>
          <w:sz w:val="22"/>
          <w:szCs w:val="22"/>
        </w:rPr>
        <w:t>Una auditoría conlleva la aplicación de procedimientos para obtener elementos de juicio sobre las cifras y la información presentadas en los Estados Financieros. Los procedimientos seleccionados dependen del juicio del auditor, incluida la valoración de los riesgos de incorrecciones significativas en los Estados Financieros. Al efectuar dichas valoraciones del riesgo, el auditor tiene en cuenta el control interno pertinente para la preparación y presentación razonable por parte de la Entidad de los Estados Financieros, con el fin de diseñar los procedimientos de auditoría que sean adecuados en función de las circunstancias y no con la finalidad de expresar una opinión sobre la eficacia del control interno de la Entidad. Una auditoría también incluye la evaluación de la adecuación de las políticas contables realizadas por la Dirección de la Entidad, así como la evaluación de la presentación de los Estados Financieros Separados en su conjunto.</w:t>
      </w:r>
    </w:p>
    <w:p w14:paraId="02C78E79" w14:textId="77777777" w:rsidR="00092E33" w:rsidRPr="00092E33" w:rsidRDefault="00092E33" w:rsidP="00092E33">
      <w:pPr>
        <w:pStyle w:val="informaudit"/>
        <w:spacing w:line="240" w:lineRule="auto"/>
        <w:ind w:right="3"/>
        <w:contextualSpacing/>
        <w:rPr>
          <w:rFonts w:ascii="Times New Roman" w:hAnsi="Times New Roman"/>
          <w:sz w:val="22"/>
          <w:szCs w:val="22"/>
        </w:rPr>
      </w:pPr>
      <w:r w:rsidRPr="00092E33">
        <w:rPr>
          <w:rFonts w:ascii="Times New Roman" w:hAnsi="Times New Roman"/>
          <w:iCs/>
          <w:sz w:val="22"/>
          <w:szCs w:val="22"/>
        </w:rPr>
        <w:t xml:space="preserve">Consideramos </w:t>
      </w:r>
      <w:r w:rsidRPr="00092E33">
        <w:rPr>
          <w:rFonts w:ascii="Times New Roman" w:hAnsi="Times New Roman"/>
          <w:sz w:val="22"/>
          <w:szCs w:val="22"/>
        </w:rPr>
        <w:t>que los elementos de juicio que h</w:t>
      </w:r>
      <w:r w:rsidRPr="00092E33">
        <w:rPr>
          <w:rFonts w:ascii="Times New Roman" w:hAnsi="Times New Roman"/>
          <w:iCs/>
          <w:sz w:val="22"/>
          <w:szCs w:val="22"/>
        </w:rPr>
        <w:t xml:space="preserve">emos </w:t>
      </w:r>
      <w:r w:rsidRPr="00092E33">
        <w:rPr>
          <w:rFonts w:ascii="Times New Roman" w:hAnsi="Times New Roman"/>
          <w:sz w:val="22"/>
          <w:szCs w:val="22"/>
        </w:rPr>
        <w:t xml:space="preserve">obtenido proporcionan una base suficiente y adecuada para </w:t>
      </w:r>
      <w:r w:rsidRPr="00092E33">
        <w:rPr>
          <w:rFonts w:ascii="Times New Roman" w:hAnsi="Times New Roman"/>
          <w:iCs/>
          <w:sz w:val="22"/>
          <w:szCs w:val="22"/>
        </w:rPr>
        <w:t xml:space="preserve">nuestra </w:t>
      </w:r>
      <w:r w:rsidRPr="00092E33">
        <w:rPr>
          <w:rFonts w:ascii="Times New Roman" w:hAnsi="Times New Roman"/>
          <w:sz w:val="22"/>
          <w:szCs w:val="22"/>
        </w:rPr>
        <w:t>opinión de auditoría.</w:t>
      </w:r>
    </w:p>
    <w:p w14:paraId="3CB16211" w14:textId="77777777" w:rsidR="00092E33" w:rsidRPr="00092E33" w:rsidRDefault="00092E33" w:rsidP="00092E33">
      <w:pPr>
        <w:spacing w:before="20" w:after="220" w:line="240" w:lineRule="atLeast"/>
        <w:contextualSpacing/>
        <w:jc w:val="both"/>
        <w:rPr>
          <w:rFonts w:ascii="Times New Roman" w:hAnsi="Times New Roman" w:cs="Times New Roman"/>
          <w:i/>
        </w:rPr>
      </w:pPr>
    </w:p>
    <w:p w14:paraId="7C0C0329" w14:textId="77777777" w:rsidR="00092E33" w:rsidRPr="00092E33" w:rsidRDefault="00092E33" w:rsidP="00092E33">
      <w:pPr>
        <w:spacing w:before="20" w:after="220" w:line="240" w:lineRule="atLeast"/>
        <w:contextualSpacing/>
        <w:jc w:val="both"/>
        <w:rPr>
          <w:rFonts w:ascii="Times New Roman" w:hAnsi="Times New Roman" w:cs="Times New Roman"/>
          <w:i/>
        </w:rPr>
      </w:pPr>
      <w:r w:rsidRPr="00092E33">
        <w:rPr>
          <w:rFonts w:ascii="Times New Roman" w:hAnsi="Times New Roman" w:cs="Times New Roman"/>
          <w:i/>
        </w:rPr>
        <w:t xml:space="preserve">Opinión </w:t>
      </w:r>
    </w:p>
    <w:p w14:paraId="73E23CB2" w14:textId="77777777" w:rsidR="00092E33" w:rsidRPr="00092E33" w:rsidRDefault="00092E33" w:rsidP="00092E33">
      <w:pPr>
        <w:pStyle w:val="Textoinfaud"/>
        <w:tabs>
          <w:tab w:val="clear" w:pos="720"/>
        </w:tabs>
        <w:spacing w:before="20" w:after="220" w:line="240" w:lineRule="atLeast"/>
        <w:contextualSpacing/>
        <w:rPr>
          <w:rFonts w:ascii="Times New Roman" w:hAnsi="Times New Roman"/>
          <w:color w:val="000000" w:themeColor="text1"/>
          <w:sz w:val="22"/>
          <w:szCs w:val="22"/>
        </w:rPr>
      </w:pPr>
      <w:r w:rsidRPr="00092E33">
        <w:rPr>
          <w:rFonts w:ascii="Times New Roman" w:hAnsi="Times New Roman"/>
          <w:sz w:val="22"/>
          <w:szCs w:val="22"/>
        </w:rPr>
        <w:t xml:space="preserve">Como resultado de nuestra revisión, y basados en el informe de fecha 9 de marzo de 2020 que emitió la Dra. Leticia Ebba (Socia de Becher y Asociados S.R.L.), </w:t>
      </w:r>
      <w:r w:rsidRPr="00092E33">
        <w:rPr>
          <w:rFonts w:ascii="Times New Roman" w:hAnsi="Times New Roman"/>
          <w:color w:val="000000" w:themeColor="text1"/>
          <w:sz w:val="22"/>
          <w:szCs w:val="22"/>
        </w:rPr>
        <w:t>los Estados Financieros Separados adjuntos presentan razonablemente, en todos sus aspectos significativos, la situación financiera de Grupo ST S.A. al 31 de diciembre de 2019, así como sus resultados integrales, otros resultados integrales, los cambios en su patrimonio y los flujos de efectivo correspondientes al ejercicio finalizado en esa fecha, de acuerdo con las normas establecidas por el BCRA.</w:t>
      </w:r>
    </w:p>
    <w:p w14:paraId="493F5BCB" w14:textId="77777777" w:rsidR="00092E33" w:rsidRPr="00092E33" w:rsidRDefault="00092E33" w:rsidP="00092E33">
      <w:pPr>
        <w:pStyle w:val="Body"/>
        <w:spacing w:before="20" w:after="220" w:line="240" w:lineRule="atLeast"/>
        <w:jc w:val="both"/>
        <w:rPr>
          <w:rFonts w:cs="Times New Roman"/>
          <w:i/>
          <w:iCs/>
          <w:sz w:val="22"/>
          <w:szCs w:val="22"/>
          <w:lang w:val="es-AR"/>
        </w:rPr>
      </w:pPr>
      <w:r w:rsidRPr="00092E33">
        <w:rPr>
          <w:rFonts w:cs="Times New Roman"/>
          <w:i/>
          <w:iCs/>
          <w:sz w:val="22"/>
          <w:szCs w:val="22"/>
          <w:lang w:val="es-AR"/>
        </w:rPr>
        <w:t>Énfasis sobre ciertas cuestiones reveladas en los estados financieros</w:t>
      </w:r>
    </w:p>
    <w:p w14:paraId="1EB16093" w14:textId="77777777" w:rsidR="00092E33" w:rsidRPr="00092E33" w:rsidRDefault="00092E33" w:rsidP="00092E33">
      <w:pPr>
        <w:pStyle w:val="informaudit"/>
        <w:spacing w:line="240" w:lineRule="auto"/>
        <w:ind w:right="3"/>
        <w:rPr>
          <w:rFonts w:ascii="Times New Roman" w:hAnsi="Times New Roman"/>
          <w:sz w:val="22"/>
          <w:szCs w:val="22"/>
        </w:rPr>
      </w:pPr>
      <w:r w:rsidRPr="00092E33">
        <w:rPr>
          <w:rFonts w:ascii="Times New Roman" w:hAnsi="Times New Roman"/>
          <w:sz w:val="22"/>
          <w:szCs w:val="22"/>
        </w:rPr>
        <w:t>Sin modificar nuestra opinión, queremos enfatizar:</w:t>
      </w:r>
    </w:p>
    <w:p w14:paraId="15D2BB7A" w14:textId="77777777" w:rsidR="00092E33" w:rsidRPr="00092E33" w:rsidRDefault="00092E33" w:rsidP="00092E33">
      <w:pPr>
        <w:pStyle w:val="informaudit"/>
        <w:spacing w:line="240" w:lineRule="auto"/>
        <w:ind w:right="3"/>
        <w:rPr>
          <w:rFonts w:ascii="Times New Roman" w:hAnsi="Times New Roman"/>
          <w:sz w:val="22"/>
          <w:szCs w:val="22"/>
        </w:rPr>
      </w:pPr>
    </w:p>
    <w:p w14:paraId="506EE327" w14:textId="77777777" w:rsidR="00092E33" w:rsidRPr="00092E33" w:rsidRDefault="00092E33" w:rsidP="00092E33">
      <w:pPr>
        <w:pStyle w:val="Auditor"/>
        <w:numPr>
          <w:ilvl w:val="1"/>
          <w:numId w:val="12"/>
        </w:numPr>
        <w:tabs>
          <w:tab w:val="clear" w:pos="2047"/>
          <w:tab w:val="num" w:pos="709"/>
        </w:tabs>
        <w:spacing w:line="240" w:lineRule="auto"/>
        <w:ind w:left="709" w:hanging="567"/>
        <w:rPr>
          <w:rFonts w:ascii="Times New Roman" w:hAnsi="Times New Roman"/>
          <w:sz w:val="22"/>
          <w:szCs w:val="22"/>
          <w:lang w:val="es-AR"/>
        </w:rPr>
      </w:pPr>
      <w:r w:rsidRPr="00092E33">
        <w:rPr>
          <w:rFonts w:ascii="Times New Roman" w:hAnsi="Times New Roman"/>
          <w:sz w:val="22"/>
          <w:szCs w:val="22"/>
          <w:lang w:val="es-AR"/>
        </w:rPr>
        <w:t>Como indica en su Nota 3., a los presentes Estados Financieros Separados, la Entidad no ha cuantificado el efecto sobre los estados financieros que tendría la aplicación de la sección 5.5. “Deterioro de Valor” de la NIIF 9 “Instrumentos Financieros”, encontrándose la Entidad en proceso de cuantificación del impacto de la aplicación de la metodología diseñada. Esta cuestión debe ser tenida en cuenta por los usuarios que utilicen las NIIF para la interpretación de los Estados Financieros Separados.</w:t>
      </w:r>
    </w:p>
    <w:p w14:paraId="490D32F9" w14:textId="77777777" w:rsidR="00092E33" w:rsidRPr="00092E33" w:rsidRDefault="00092E33" w:rsidP="00092E33">
      <w:pPr>
        <w:pStyle w:val="Auditor"/>
        <w:tabs>
          <w:tab w:val="num" w:pos="709"/>
        </w:tabs>
        <w:spacing w:line="240" w:lineRule="auto"/>
        <w:ind w:left="709" w:hanging="567"/>
        <w:rPr>
          <w:rFonts w:ascii="Times New Roman" w:hAnsi="Times New Roman"/>
          <w:sz w:val="22"/>
          <w:szCs w:val="22"/>
          <w:lang w:val="es-AR"/>
        </w:rPr>
      </w:pPr>
    </w:p>
    <w:p w14:paraId="1A695233" w14:textId="77777777" w:rsidR="00092E33" w:rsidRPr="00092E33" w:rsidRDefault="00092E33" w:rsidP="00092E33">
      <w:pPr>
        <w:pStyle w:val="Auditor"/>
        <w:numPr>
          <w:ilvl w:val="1"/>
          <w:numId w:val="12"/>
        </w:numPr>
        <w:tabs>
          <w:tab w:val="clear" w:pos="2047"/>
          <w:tab w:val="num" w:pos="709"/>
        </w:tabs>
        <w:spacing w:line="240" w:lineRule="auto"/>
        <w:ind w:left="709" w:hanging="567"/>
        <w:rPr>
          <w:rFonts w:ascii="Times New Roman" w:hAnsi="Times New Roman"/>
          <w:sz w:val="22"/>
          <w:szCs w:val="22"/>
        </w:rPr>
      </w:pPr>
      <w:r w:rsidRPr="00092E33">
        <w:rPr>
          <w:rFonts w:ascii="Times New Roman" w:hAnsi="Times New Roman"/>
          <w:sz w:val="22"/>
          <w:szCs w:val="22"/>
        </w:rPr>
        <w:t xml:space="preserve">De acuerdo </w:t>
      </w:r>
      <w:r w:rsidRPr="00092E33">
        <w:rPr>
          <w:rFonts w:ascii="Times New Roman" w:hAnsi="Times New Roman"/>
          <w:sz w:val="22"/>
          <w:szCs w:val="22"/>
          <w:lang w:val="es-AR"/>
        </w:rPr>
        <w:t>con</w:t>
      </w:r>
      <w:r w:rsidRPr="00092E33">
        <w:rPr>
          <w:rFonts w:ascii="Times New Roman" w:hAnsi="Times New Roman"/>
          <w:sz w:val="22"/>
          <w:szCs w:val="22"/>
        </w:rPr>
        <w:t xml:space="preserve"> lo descripto en la Nota 3., a los presentes Estados Financieros Separados adjuntos, los mismos no han sido preparados en moneda homogénea, de acuerdo con lo estipulado por la NIC 29, encontrándose la Entidad en proceso de cuantificación del impacto de la </w:t>
      </w:r>
      <w:proofErr w:type="spellStart"/>
      <w:r w:rsidRPr="00092E33">
        <w:rPr>
          <w:rFonts w:ascii="Times New Roman" w:hAnsi="Times New Roman"/>
          <w:sz w:val="22"/>
          <w:szCs w:val="22"/>
        </w:rPr>
        <w:t>reexpresión</w:t>
      </w:r>
      <w:proofErr w:type="spellEnd"/>
      <w:r w:rsidRPr="00092E33">
        <w:rPr>
          <w:rFonts w:ascii="Times New Roman" w:hAnsi="Times New Roman"/>
          <w:sz w:val="22"/>
          <w:szCs w:val="22"/>
        </w:rPr>
        <w:t xml:space="preserve"> de sus Estados Financieros Separados, estimando que dicho efecto resultará significativo</w:t>
      </w:r>
      <w:r w:rsidRPr="00092E33">
        <w:rPr>
          <w:rFonts w:ascii="Times New Roman" w:hAnsi="Times New Roman"/>
          <w:sz w:val="22"/>
          <w:szCs w:val="22"/>
          <w:lang w:val="es-AR"/>
        </w:rPr>
        <w:t>. Esta situación debe ser tenida en cuenta en la interpretación que realicen los usuarios de los Estados Financieros Separados adjuntos</w:t>
      </w:r>
      <w:r w:rsidRPr="00092E33">
        <w:rPr>
          <w:rFonts w:ascii="Times New Roman" w:hAnsi="Times New Roman"/>
          <w:sz w:val="22"/>
          <w:szCs w:val="22"/>
        </w:rPr>
        <w:t>.</w:t>
      </w:r>
    </w:p>
    <w:p w14:paraId="04C81AF7" w14:textId="77777777" w:rsidR="009E49BA" w:rsidRDefault="009E49BA" w:rsidP="00092E33">
      <w:pPr>
        <w:keepNext/>
        <w:spacing w:before="20" w:after="220" w:line="240" w:lineRule="atLeast"/>
        <w:jc w:val="both"/>
        <w:rPr>
          <w:rFonts w:ascii="Times New Roman" w:hAnsi="Times New Roman" w:cs="Times New Roman"/>
          <w:i/>
        </w:rPr>
      </w:pPr>
    </w:p>
    <w:p w14:paraId="26C4439C" w14:textId="0CDFE7B1" w:rsidR="00092E33" w:rsidRPr="00092E33" w:rsidRDefault="00092E33" w:rsidP="00092E33">
      <w:pPr>
        <w:keepNext/>
        <w:spacing w:before="20" w:after="220" w:line="240" w:lineRule="atLeast"/>
        <w:jc w:val="both"/>
        <w:rPr>
          <w:rFonts w:ascii="Times New Roman" w:hAnsi="Times New Roman" w:cs="Times New Roman"/>
          <w:i/>
        </w:rPr>
      </w:pPr>
      <w:r w:rsidRPr="00092E33">
        <w:rPr>
          <w:rFonts w:ascii="Times New Roman" w:hAnsi="Times New Roman" w:cs="Times New Roman"/>
          <w:i/>
        </w:rPr>
        <w:t>Información sobre otros requerimientos legales y reglamentarios</w:t>
      </w:r>
    </w:p>
    <w:p w14:paraId="52627B68" w14:textId="77777777" w:rsidR="00092E33" w:rsidRPr="00092E33" w:rsidRDefault="00092E33" w:rsidP="00092E33">
      <w:pPr>
        <w:keepNext/>
        <w:spacing w:before="20" w:after="220" w:line="240" w:lineRule="atLeast"/>
        <w:jc w:val="both"/>
        <w:rPr>
          <w:rFonts w:ascii="Times New Roman" w:hAnsi="Times New Roman" w:cs="Times New Roman"/>
        </w:rPr>
      </w:pPr>
      <w:r w:rsidRPr="00092E33">
        <w:rPr>
          <w:rFonts w:ascii="Times New Roman" w:hAnsi="Times New Roman" w:cs="Times New Roman"/>
        </w:rPr>
        <w:t>En cumplimiento de disposiciones vigentes, informamos que:</w:t>
      </w:r>
    </w:p>
    <w:p w14:paraId="2725266A" w14:textId="77777777" w:rsidR="00092E33" w:rsidRPr="00092E33" w:rsidRDefault="00092E33" w:rsidP="00092E33">
      <w:pPr>
        <w:pStyle w:val="Textoindependiente"/>
        <w:widowControl/>
        <w:numPr>
          <w:ilvl w:val="6"/>
          <w:numId w:val="11"/>
        </w:numPr>
        <w:tabs>
          <w:tab w:val="clear" w:pos="5220"/>
        </w:tabs>
        <w:spacing w:before="20" w:after="220" w:line="240" w:lineRule="atLeast"/>
        <w:ind w:left="426" w:hanging="426"/>
        <w:jc w:val="both"/>
        <w:rPr>
          <w:sz w:val="22"/>
          <w:szCs w:val="22"/>
        </w:rPr>
      </w:pPr>
      <w:r w:rsidRPr="00092E33">
        <w:rPr>
          <w:sz w:val="22"/>
          <w:szCs w:val="22"/>
          <w:lang w:val="es-AR"/>
        </w:rPr>
        <w:t>L</w:t>
      </w:r>
      <w:r w:rsidRPr="00092E33">
        <w:rPr>
          <w:sz w:val="22"/>
          <w:szCs w:val="22"/>
        </w:rPr>
        <w:t>os Estados Financieros adjuntos se ajustan a las disposiciones de la Ley de Sociedades Comerciales y las normas sobre documentación contables de la CNV, y se encuentran asentados en el libro de Inventario y Balances.</w:t>
      </w:r>
    </w:p>
    <w:p w14:paraId="573F7DFC" w14:textId="77777777" w:rsidR="00092E33" w:rsidRPr="00092E33" w:rsidRDefault="00092E33" w:rsidP="00092E33">
      <w:pPr>
        <w:pStyle w:val="Textoindependiente"/>
        <w:widowControl/>
        <w:numPr>
          <w:ilvl w:val="6"/>
          <w:numId w:val="11"/>
        </w:numPr>
        <w:tabs>
          <w:tab w:val="clear" w:pos="5220"/>
        </w:tabs>
        <w:spacing w:before="20" w:after="220" w:line="240" w:lineRule="atLeast"/>
        <w:ind w:left="426" w:hanging="426"/>
        <w:jc w:val="both"/>
        <w:rPr>
          <w:sz w:val="22"/>
          <w:szCs w:val="22"/>
          <w:lang w:val="es-AR"/>
        </w:rPr>
      </w:pPr>
      <w:r w:rsidRPr="00092E33">
        <w:rPr>
          <w:sz w:val="22"/>
          <w:szCs w:val="22"/>
          <w:lang w:val="es-AR"/>
        </w:rPr>
        <w:t>En ejercicio del control de legalidad que nos compete, hemos aplicado durante el ejercicio finalizado el 31 de diciembre de 2019 los restantes procedimientos descriptos en el artículo N°294 de la Ley N°19.550, que consideramos necesarios de acuerdo con las circunstancias, no teniendo observaciones que formular al respecto.</w:t>
      </w:r>
    </w:p>
    <w:p w14:paraId="75D34079" w14:textId="77777777" w:rsidR="00092E33" w:rsidRPr="00092E33" w:rsidRDefault="00092E33" w:rsidP="00092E33">
      <w:pPr>
        <w:pStyle w:val="Textoindependiente"/>
        <w:widowControl/>
        <w:numPr>
          <w:ilvl w:val="6"/>
          <w:numId w:val="11"/>
        </w:numPr>
        <w:tabs>
          <w:tab w:val="clear" w:pos="5220"/>
        </w:tabs>
        <w:spacing w:before="20" w:after="220" w:line="240" w:lineRule="atLeast"/>
        <w:ind w:left="426" w:hanging="426"/>
        <w:jc w:val="both"/>
        <w:rPr>
          <w:sz w:val="22"/>
          <w:szCs w:val="22"/>
          <w:lang w:val="es-AR"/>
        </w:rPr>
      </w:pPr>
      <w:r w:rsidRPr="00092E33">
        <w:rPr>
          <w:sz w:val="22"/>
          <w:szCs w:val="22"/>
          <w:lang w:val="es-AR"/>
        </w:rPr>
        <w:lastRenderedPageBreak/>
        <w:t>Hemos aplicado los procedimientos sobre prevención de lavado de activos de origen delictivo y financiación del terrorismo previstos en las correspondientes normas profesionales emitidas por la Federación Argentina de Consejos Profesionales de Ciencias Económicas.</w:t>
      </w:r>
    </w:p>
    <w:p w14:paraId="445D45D6" w14:textId="77777777" w:rsidR="00092E33" w:rsidRPr="00092E33" w:rsidRDefault="00092E33" w:rsidP="00092E33">
      <w:pPr>
        <w:pStyle w:val="Textoindependiente"/>
        <w:widowControl/>
        <w:numPr>
          <w:ilvl w:val="6"/>
          <w:numId w:val="11"/>
        </w:numPr>
        <w:tabs>
          <w:tab w:val="clear" w:pos="5220"/>
        </w:tabs>
        <w:spacing w:before="20" w:after="220" w:line="240" w:lineRule="atLeast"/>
        <w:ind w:left="426" w:hanging="426"/>
        <w:jc w:val="both"/>
        <w:rPr>
          <w:sz w:val="22"/>
          <w:szCs w:val="22"/>
        </w:rPr>
      </w:pPr>
      <w:r w:rsidRPr="00092E33">
        <w:rPr>
          <w:sz w:val="22"/>
          <w:szCs w:val="22"/>
        </w:rPr>
        <w:t>Hemos leído la reseña informativa, sobre la cual, en lo que es materia de nuestra competencia, no tenemos observaciones que formular.</w:t>
      </w:r>
    </w:p>
    <w:p w14:paraId="494D0187" w14:textId="77777777" w:rsidR="00092E33" w:rsidRPr="00092E33" w:rsidRDefault="00092E33" w:rsidP="00092E33">
      <w:pPr>
        <w:pStyle w:val="Textoindependiente"/>
        <w:widowControl/>
        <w:numPr>
          <w:ilvl w:val="6"/>
          <w:numId w:val="11"/>
        </w:numPr>
        <w:tabs>
          <w:tab w:val="clear" w:pos="5220"/>
        </w:tabs>
        <w:spacing w:before="20" w:after="220" w:line="240" w:lineRule="atLeast"/>
        <w:ind w:left="425" w:hanging="426"/>
        <w:contextualSpacing/>
        <w:jc w:val="both"/>
        <w:rPr>
          <w:sz w:val="22"/>
          <w:szCs w:val="22"/>
          <w:lang w:val="es-AR"/>
        </w:rPr>
      </w:pPr>
      <w:r w:rsidRPr="00092E33">
        <w:rPr>
          <w:sz w:val="22"/>
          <w:szCs w:val="22"/>
          <w:lang w:val="es-AR"/>
        </w:rPr>
        <w:t>En relación con la Memoria del Directorio, no tenemos observaciones que formular en materia de nuestra competencia, siendo las afirmaciones sobre hechos futuros responsabilidad exclusiva del Directorio de la Sociedad.</w:t>
      </w:r>
    </w:p>
    <w:p w14:paraId="2A406944" w14:textId="77777777" w:rsidR="00092E33" w:rsidRPr="00092E33" w:rsidRDefault="00092E33" w:rsidP="00092E33">
      <w:pPr>
        <w:pStyle w:val="Textoindependiente"/>
        <w:spacing w:before="20" w:after="220" w:line="240" w:lineRule="atLeast"/>
        <w:ind w:left="425"/>
        <w:contextualSpacing/>
        <w:jc w:val="both"/>
        <w:rPr>
          <w:sz w:val="22"/>
          <w:szCs w:val="22"/>
          <w:lang w:val="es-AR"/>
        </w:rPr>
      </w:pPr>
      <w:r w:rsidRPr="00092E33">
        <w:rPr>
          <w:sz w:val="22"/>
          <w:szCs w:val="22"/>
          <w:lang w:val="es-AR"/>
        </w:rPr>
        <w:t>Asimismo, hemos realizado una revisión del Informe emitido por el Directorio de la Entidad sobre el grado de cumplimiento del Código de Gobierno Societario acompañado como anexo de la Memoria, respecto del cual no tenemos observaciones que formular.</w:t>
      </w:r>
    </w:p>
    <w:p w14:paraId="04132BA6" w14:textId="77777777" w:rsidR="00092E33" w:rsidRPr="00092E33" w:rsidRDefault="00092E33" w:rsidP="00092E33">
      <w:pPr>
        <w:pStyle w:val="Textoindependiente"/>
        <w:spacing w:before="20" w:after="220" w:line="240" w:lineRule="atLeast"/>
        <w:ind w:left="-1"/>
        <w:contextualSpacing/>
        <w:jc w:val="both"/>
        <w:rPr>
          <w:sz w:val="22"/>
          <w:szCs w:val="22"/>
          <w:lang w:val="es-AR"/>
        </w:rPr>
      </w:pPr>
    </w:p>
    <w:p w14:paraId="6E7E3FE4" w14:textId="77777777" w:rsidR="00092E33" w:rsidRPr="00092E33" w:rsidRDefault="00092E33" w:rsidP="00092E33">
      <w:pPr>
        <w:pStyle w:val="Textoindependiente"/>
        <w:widowControl/>
        <w:numPr>
          <w:ilvl w:val="6"/>
          <w:numId w:val="11"/>
        </w:numPr>
        <w:tabs>
          <w:tab w:val="clear" w:pos="5220"/>
        </w:tabs>
        <w:spacing w:before="20" w:after="220" w:line="240" w:lineRule="atLeast"/>
        <w:ind w:left="426" w:hanging="426"/>
        <w:jc w:val="both"/>
        <w:rPr>
          <w:sz w:val="22"/>
          <w:szCs w:val="22"/>
        </w:rPr>
      </w:pPr>
      <w:r w:rsidRPr="00092E33">
        <w:rPr>
          <w:sz w:val="22"/>
          <w:szCs w:val="22"/>
          <w:lang w:val="es-AR"/>
        </w:rPr>
        <w:t xml:space="preserve">Hemos revisado la situación de cumplimiento de las garantías de los directores </w:t>
      </w:r>
      <w:proofErr w:type="gramStart"/>
      <w:r w:rsidRPr="00092E33">
        <w:rPr>
          <w:sz w:val="22"/>
          <w:szCs w:val="22"/>
          <w:lang w:val="es-AR"/>
        </w:rPr>
        <w:t>de acuerdo a</w:t>
      </w:r>
      <w:proofErr w:type="gramEnd"/>
      <w:r w:rsidRPr="00092E33">
        <w:rPr>
          <w:sz w:val="22"/>
          <w:szCs w:val="22"/>
          <w:lang w:val="es-AR"/>
        </w:rPr>
        <w:t xml:space="preserve"> las resoluciones vigentes de la Inspección General de Justicia y al respecto no tenemos observaciones que formular.</w:t>
      </w:r>
    </w:p>
    <w:p w14:paraId="7C65FDB1" w14:textId="77777777" w:rsidR="00092E33" w:rsidRPr="00092E33" w:rsidRDefault="00092E33" w:rsidP="00092E33">
      <w:pPr>
        <w:pStyle w:val="Textoindependiente"/>
        <w:widowControl/>
        <w:numPr>
          <w:ilvl w:val="6"/>
          <w:numId w:val="11"/>
        </w:numPr>
        <w:tabs>
          <w:tab w:val="clear" w:pos="5220"/>
        </w:tabs>
        <w:spacing w:before="20" w:after="220" w:line="240" w:lineRule="atLeast"/>
        <w:ind w:left="426" w:hanging="426"/>
        <w:jc w:val="both"/>
        <w:rPr>
          <w:sz w:val="22"/>
          <w:szCs w:val="22"/>
          <w:lang w:val="es-AR"/>
        </w:rPr>
      </w:pPr>
      <w:r w:rsidRPr="00092E33">
        <w:rPr>
          <w:sz w:val="22"/>
          <w:szCs w:val="22"/>
          <w:lang w:val="es-AR"/>
        </w:rPr>
        <w:t>De acuerdo a lo requerido por las normas de la CNV, sobre la independencia del auditor externo y sobre la calidad de las políticas de auditoría aplicadas por el mismo y de las políticas de contabilización de la Sociedad, el informe del auditor externo descripto anteriormente, incluye la manifestación de haber aplicado las normas de auditoría vigentes en Argentina, que comprenden los requisitos de independencia, y no contienen salvedades en relación con la aplicación de dichas normas ni discrepancias con respecto a las normas contables profesionales aplicadas.</w:t>
      </w:r>
    </w:p>
    <w:p w14:paraId="41F521D1" w14:textId="3F95E87E" w:rsidR="00092E33" w:rsidRPr="00092E33" w:rsidRDefault="00092E33" w:rsidP="009E49BA">
      <w:pPr>
        <w:pStyle w:val="Textoindependiente"/>
        <w:spacing w:before="20" w:after="220" w:line="240" w:lineRule="atLeast"/>
        <w:jc w:val="both"/>
        <w:rPr>
          <w:sz w:val="22"/>
          <w:szCs w:val="22"/>
        </w:rPr>
      </w:pPr>
      <w:r w:rsidRPr="00092E33">
        <w:rPr>
          <w:sz w:val="22"/>
          <w:szCs w:val="22"/>
        </w:rPr>
        <w:t xml:space="preserve">Ciudad Autónoma de Buenos Aires, 9 de marzo de 2020                                    </w:t>
      </w:r>
    </w:p>
    <w:p w14:paraId="741F380C" w14:textId="77777777" w:rsidR="00092E33" w:rsidRPr="00092E33" w:rsidRDefault="00092E33" w:rsidP="00092E33">
      <w:pPr>
        <w:pStyle w:val="Piedepgina"/>
        <w:tabs>
          <w:tab w:val="center" w:pos="1843"/>
          <w:tab w:val="center" w:pos="6663"/>
        </w:tabs>
        <w:contextualSpacing/>
        <w:rPr>
          <w:rFonts w:ascii="Times New Roman" w:hAnsi="Times New Roman" w:cs="Times New Roman"/>
          <w:sz w:val="22"/>
          <w:szCs w:val="22"/>
        </w:rPr>
      </w:pPr>
      <w:r w:rsidRPr="00092E33">
        <w:rPr>
          <w:rFonts w:ascii="Times New Roman" w:hAnsi="Times New Roman" w:cs="Times New Roman"/>
          <w:sz w:val="22"/>
          <w:szCs w:val="22"/>
        </w:rPr>
        <w:tab/>
      </w:r>
      <w:r w:rsidRPr="00092E33">
        <w:rPr>
          <w:rFonts w:ascii="Times New Roman" w:hAnsi="Times New Roman" w:cs="Times New Roman"/>
          <w:sz w:val="22"/>
          <w:szCs w:val="22"/>
        </w:rPr>
        <w:tab/>
      </w:r>
      <w:r w:rsidRPr="00092E33">
        <w:rPr>
          <w:rFonts w:ascii="Times New Roman" w:hAnsi="Times New Roman" w:cs="Times New Roman"/>
          <w:sz w:val="22"/>
          <w:szCs w:val="22"/>
        </w:rPr>
        <w:tab/>
        <w:t>Francisco G.J. Gonzalez Fischer</w:t>
      </w:r>
    </w:p>
    <w:p w14:paraId="6CB61E7D" w14:textId="77777777" w:rsidR="00092E33" w:rsidRPr="00092E33" w:rsidRDefault="00092E33" w:rsidP="00092E33">
      <w:pPr>
        <w:pStyle w:val="Piedepgina"/>
        <w:tabs>
          <w:tab w:val="center" w:pos="1843"/>
          <w:tab w:val="center" w:pos="6663"/>
        </w:tabs>
        <w:contextualSpacing/>
        <w:rPr>
          <w:rFonts w:ascii="Times New Roman" w:hAnsi="Times New Roman" w:cs="Times New Roman"/>
        </w:rPr>
      </w:pPr>
      <w:r w:rsidRPr="00092E33">
        <w:rPr>
          <w:rFonts w:ascii="Times New Roman" w:hAnsi="Times New Roman" w:cs="Times New Roman"/>
          <w:sz w:val="22"/>
          <w:szCs w:val="22"/>
        </w:rPr>
        <w:tab/>
      </w:r>
      <w:r w:rsidRPr="00092E33">
        <w:rPr>
          <w:rFonts w:ascii="Times New Roman" w:hAnsi="Times New Roman" w:cs="Times New Roman"/>
          <w:sz w:val="22"/>
          <w:szCs w:val="22"/>
        </w:rPr>
        <w:tab/>
        <w:t xml:space="preserve">                                                                 Por Comisión Fiscalizadora</w:t>
      </w:r>
    </w:p>
    <w:p w14:paraId="3CACED25" w14:textId="77777777" w:rsidR="00B361F4" w:rsidRDefault="00B361F4" w:rsidP="00F64523">
      <w:pPr>
        <w:pStyle w:val="Textoinfaud"/>
        <w:spacing w:line="240" w:lineRule="auto"/>
        <w:outlineLvl w:val="0"/>
        <w:rPr>
          <w:rFonts w:ascii="Times New Roman" w:hAnsi="Times New Roman"/>
          <w:snapToGrid w:val="0"/>
          <w:sz w:val="22"/>
          <w:szCs w:val="22"/>
          <w:lang w:eastAsia="es-ES"/>
        </w:rPr>
      </w:pPr>
    </w:p>
    <w:p w14:paraId="61539AF8" w14:textId="041F37D1" w:rsidR="00131F0A" w:rsidRPr="00092E33" w:rsidRDefault="00131F0A" w:rsidP="00F64523">
      <w:pPr>
        <w:pStyle w:val="Textoinfaud"/>
        <w:spacing w:line="240" w:lineRule="auto"/>
        <w:outlineLvl w:val="0"/>
        <w:rPr>
          <w:rFonts w:ascii="Times New Roman" w:hAnsi="Times New Roman"/>
          <w:snapToGrid w:val="0"/>
          <w:sz w:val="22"/>
          <w:szCs w:val="22"/>
          <w:lang w:eastAsia="es-ES"/>
        </w:rPr>
      </w:pPr>
      <w:r w:rsidRPr="00092E33">
        <w:rPr>
          <w:rFonts w:ascii="Times New Roman" w:hAnsi="Times New Roman"/>
          <w:snapToGrid w:val="0"/>
          <w:sz w:val="22"/>
          <w:szCs w:val="22"/>
          <w:lang w:eastAsia="es-ES"/>
        </w:rPr>
        <w:t xml:space="preserve">Seguidamente, se somete a consideración de los presentes el segundo y último punto del Orden del Día: </w:t>
      </w:r>
      <w:r w:rsidRPr="00092E33">
        <w:rPr>
          <w:rFonts w:ascii="Times New Roman" w:hAnsi="Times New Roman"/>
          <w:b/>
          <w:snapToGrid w:val="0"/>
          <w:sz w:val="22"/>
          <w:szCs w:val="22"/>
          <w:lang w:eastAsia="es-ES"/>
        </w:rPr>
        <w:t>2°) “</w:t>
      </w:r>
      <w:r w:rsidRPr="00092E33">
        <w:rPr>
          <w:rFonts w:ascii="Times New Roman" w:hAnsi="Times New Roman"/>
          <w:b/>
          <w:snapToGrid w:val="0"/>
          <w:sz w:val="22"/>
          <w:szCs w:val="22"/>
          <w:u w:val="single"/>
          <w:lang w:eastAsia="es-ES"/>
        </w:rPr>
        <w:t>Consideración de la postergación de la convocatoria a Asamblea General Ordinaria para la consideración por parte de los Accionistas de la Sociedad de la documentación contable correspondiente al ejercicio social finalizado el 31 de diciembre de 2019</w:t>
      </w:r>
      <w:r w:rsidRPr="00092E33">
        <w:rPr>
          <w:rFonts w:ascii="Times New Roman" w:hAnsi="Times New Roman"/>
          <w:b/>
          <w:snapToGrid w:val="0"/>
          <w:sz w:val="22"/>
          <w:szCs w:val="22"/>
          <w:lang w:eastAsia="es-ES"/>
        </w:rPr>
        <w:t>.”</w:t>
      </w:r>
      <w:r w:rsidRPr="00092E33">
        <w:rPr>
          <w:rFonts w:ascii="Times New Roman" w:hAnsi="Times New Roman"/>
          <w:snapToGrid w:val="0"/>
          <w:sz w:val="22"/>
          <w:szCs w:val="22"/>
          <w:lang w:eastAsia="es-ES"/>
        </w:rPr>
        <w:t xml:space="preserve"> Retoma la palabra el Sr. Presidente y mociona diferir la convocatoria a Asamblea General Ordinaria para la consideración por parte de los Accionistas de la Sociedad de la documentación contable correspondiente al ejercicio social finalizado el 31 de diciembre de 2019, la que será convocada dentro del plazo legal por el Directorio de la Sociedad. Luego de un breve intercambio de opiniones, los Sres. </w:t>
      </w:r>
      <w:proofErr w:type="gramStart"/>
      <w:r w:rsidRPr="00092E33">
        <w:rPr>
          <w:rFonts w:ascii="Times New Roman" w:hAnsi="Times New Roman"/>
          <w:snapToGrid w:val="0"/>
          <w:sz w:val="22"/>
          <w:szCs w:val="22"/>
          <w:lang w:eastAsia="es-ES"/>
        </w:rPr>
        <w:t>Directores</w:t>
      </w:r>
      <w:proofErr w:type="gramEnd"/>
      <w:r w:rsidRPr="00092E33">
        <w:rPr>
          <w:rFonts w:ascii="Times New Roman" w:hAnsi="Times New Roman"/>
          <w:snapToGrid w:val="0"/>
          <w:sz w:val="22"/>
          <w:szCs w:val="22"/>
          <w:lang w:eastAsia="es-ES"/>
        </w:rPr>
        <w:t xml:space="preserve"> resuelven por unanimidad de los presentes aprobar la moción efectuada por el Sr. Presidente. No habiendo otros temas que tratar y habiéndose considerado todos los puntos para esta reunión, se levanta la sesión siendo las 19:00 horas. </w:t>
      </w:r>
    </w:p>
    <w:p w14:paraId="5F6CF4E2" w14:textId="77777777" w:rsidR="00131F0A" w:rsidRPr="00092E33" w:rsidRDefault="00131F0A" w:rsidP="00F64523">
      <w:pPr>
        <w:pStyle w:val="Textoinfaud"/>
        <w:spacing w:line="240" w:lineRule="auto"/>
        <w:outlineLvl w:val="0"/>
        <w:rPr>
          <w:rFonts w:ascii="Times New Roman" w:hAnsi="Times New Roman"/>
          <w:snapToGrid w:val="0"/>
          <w:sz w:val="22"/>
          <w:szCs w:val="22"/>
          <w:lang w:eastAsia="es-ES"/>
        </w:rPr>
      </w:pPr>
    </w:p>
    <w:p w14:paraId="71FB654E" w14:textId="36E4FA64" w:rsidR="00131F0A" w:rsidRPr="00092E33" w:rsidRDefault="00131F0A" w:rsidP="00F64523">
      <w:pPr>
        <w:pStyle w:val="Textoinfaud"/>
        <w:spacing w:line="240" w:lineRule="auto"/>
        <w:outlineLvl w:val="0"/>
        <w:rPr>
          <w:rFonts w:ascii="Times New Roman" w:hAnsi="Times New Roman"/>
          <w:snapToGrid w:val="0"/>
          <w:sz w:val="22"/>
          <w:szCs w:val="22"/>
          <w:lang w:eastAsia="es-ES"/>
        </w:rPr>
      </w:pPr>
    </w:p>
    <w:p w14:paraId="212E4C5A" w14:textId="43A6B578" w:rsidR="00131F0A" w:rsidRDefault="00131F0A" w:rsidP="009E49BA">
      <w:pPr>
        <w:pStyle w:val="Textoinfaud"/>
        <w:spacing w:line="240" w:lineRule="auto"/>
        <w:outlineLvl w:val="0"/>
        <w:rPr>
          <w:rFonts w:ascii="Times New Roman" w:hAnsi="Times New Roman"/>
          <w:snapToGrid w:val="0"/>
          <w:sz w:val="22"/>
          <w:szCs w:val="22"/>
          <w:lang w:eastAsia="es-ES"/>
        </w:rPr>
      </w:pPr>
    </w:p>
    <w:p w14:paraId="6D8C9D40" w14:textId="77777777" w:rsidR="009E49BA" w:rsidRPr="00092E33" w:rsidRDefault="009E49BA" w:rsidP="009E49BA">
      <w:pPr>
        <w:pStyle w:val="Textoinfaud"/>
        <w:spacing w:line="240" w:lineRule="auto"/>
        <w:outlineLvl w:val="0"/>
        <w:rPr>
          <w:rFonts w:ascii="Times New Roman" w:hAnsi="Times New Roman"/>
          <w:snapToGrid w:val="0"/>
          <w:sz w:val="22"/>
          <w:szCs w:val="22"/>
          <w:lang w:eastAsia="es-ES"/>
        </w:rPr>
      </w:pPr>
    </w:p>
    <w:p w14:paraId="546A4E0E" w14:textId="77777777" w:rsidR="00131F0A" w:rsidRPr="00092E33" w:rsidRDefault="00131F0A" w:rsidP="009E49BA">
      <w:pPr>
        <w:pStyle w:val="Textoinfaud"/>
        <w:spacing w:line="240" w:lineRule="auto"/>
        <w:outlineLvl w:val="0"/>
        <w:rPr>
          <w:rFonts w:ascii="Times New Roman" w:hAnsi="Times New Roman"/>
          <w:snapToGrid w:val="0"/>
          <w:sz w:val="22"/>
          <w:szCs w:val="22"/>
          <w:lang w:eastAsia="es-ES"/>
        </w:rPr>
      </w:pPr>
    </w:p>
    <w:p w14:paraId="14FE5704" w14:textId="6397C410" w:rsidR="00131F0A" w:rsidRPr="00092E33" w:rsidRDefault="00131F0A" w:rsidP="009E49BA">
      <w:pPr>
        <w:spacing w:after="0" w:line="240" w:lineRule="auto"/>
        <w:jc w:val="both"/>
        <w:rPr>
          <w:rFonts w:ascii="Times New Roman" w:hAnsi="Times New Roman" w:cs="Times New Roman"/>
          <w:lang w:val="es-ES"/>
        </w:rPr>
      </w:pPr>
      <w:r w:rsidRPr="00092E33">
        <w:rPr>
          <w:rFonts w:ascii="Times New Roman" w:hAnsi="Times New Roman" w:cs="Times New Roman"/>
          <w:lang w:val="es-ES"/>
        </w:rPr>
        <w:t>Pablo B. Peralta</w:t>
      </w:r>
      <w:r w:rsidRPr="00092E33">
        <w:rPr>
          <w:rFonts w:ascii="Times New Roman" w:hAnsi="Times New Roman" w:cs="Times New Roman"/>
          <w:lang w:val="es-ES"/>
        </w:rPr>
        <w:tab/>
        <w:t xml:space="preserve">                Roberto Domínguez                 </w:t>
      </w:r>
      <w:r w:rsidR="00834AEA">
        <w:rPr>
          <w:rFonts w:ascii="Times New Roman" w:hAnsi="Times New Roman" w:cs="Times New Roman"/>
          <w:lang w:val="es-ES"/>
        </w:rPr>
        <w:t xml:space="preserve">Alicia M. Tauil                      </w:t>
      </w:r>
    </w:p>
    <w:p w14:paraId="7C5CEF32" w14:textId="77777777" w:rsidR="00131F0A" w:rsidRPr="00092E33" w:rsidRDefault="00131F0A" w:rsidP="009E49BA">
      <w:pPr>
        <w:spacing w:after="0" w:line="240" w:lineRule="auto"/>
        <w:jc w:val="both"/>
        <w:rPr>
          <w:rFonts w:ascii="Times New Roman" w:hAnsi="Times New Roman" w:cs="Times New Roman"/>
          <w:lang w:val="es-ES"/>
        </w:rPr>
      </w:pPr>
      <w:r w:rsidRPr="00092E33">
        <w:rPr>
          <w:rFonts w:ascii="Times New Roman" w:hAnsi="Times New Roman" w:cs="Times New Roman"/>
          <w:lang w:val="es-ES"/>
        </w:rPr>
        <w:t xml:space="preserve">    Presidente       </w:t>
      </w:r>
      <w:r w:rsidRPr="00092E33">
        <w:rPr>
          <w:rFonts w:ascii="Times New Roman" w:hAnsi="Times New Roman" w:cs="Times New Roman"/>
          <w:lang w:val="es-ES"/>
        </w:rPr>
        <w:tab/>
        <w:t xml:space="preserve">                   Vicepresidente                        Director Titular</w:t>
      </w:r>
    </w:p>
    <w:p w14:paraId="14513A97" w14:textId="77777777" w:rsidR="00131F0A" w:rsidRPr="00092E33" w:rsidRDefault="00131F0A" w:rsidP="009E49BA">
      <w:pPr>
        <w:spacing w:after="0" w:line="240" w:lineRule="auto"/>
        <w:jc w:val="both"/>
        <w:rPr>
          <w:rFonts w:ascii="Times New Roman" w:hAnsi="Times New Roman" w:cs="Times New Roman"/>
          <w:lang w:val="es-ES"/>
        </w:rPr>
      </w:pPr>
    </w:p>
    <w:p w14:paraId="0B417C37" w14:textId="77777777" w:rsidR="00131F0A" w:rsidRPr="00092E33" w:rsidRDefault="00131F0A" w:rsidP="009E49BA">
      <w:pPr>
        <w:spacing w:after="0" w:line="240" w:lineRule="auto"/>
        <w:jc w:val="both"/>
        <w:rPr>
          <w:rFonts w:ascii="Times New Roman" w:hAnsi="Times New Roman" w:cs="Times New Roman"/>
          <w:lang w:val="es-ES"/>
        </w:rPr>
      </w:pPr>
    </w:p>
    <w:p w14:paraId="3D811E78" w14:textId="77777777" w:rsidR="00131F0A" w:rsidRPr="00092E33" w:rsidRDefault="00131F0A" w:rsidP="009E49BA">
      <w:pPr>
        <w:spacing w:after="0" w:line="240" w:lineRule="auto"/>
        <w:jc w:val="both"/>
        <w:rPr>
          <w:rFonts w:ascii="Times New Roman" w:hAnsi="Times New Roman" w:cs="Times New Roman"/>
          <w:lang w:val="es-ES"/>
        </w:rPr>
      </w:pPr>
    </w:p>
    <w:p w14:paraId="1D7AB4D7" w14:textId="77777777" w:rsidR="00131F0A" w:rsidRPr="00092E33" w:rsidRDefault="00131F0A" w:rsidP="009E49BA">
      <w:pPr>
        <w:spacing w:after="0" w:line="240" w:lineRule="auto"/>
        <w:jc w:val="both"/>
        <w:rPr>
          <w:rFonts w:ascii="Times New Roman" w:hAnsi="Times New Roman" w:cs="Times New Roman"/>
          <w:lang w:val="es-ES"/>
        </w:rPr>
      </w:pPr>
    </w:p>
    <w:p w14:paraId="07786E61" w14:textId="7E1AAC37" w:rsidR="00131F0A" w:rsidRPr="00092E33" w:rsidRDefault="00131F0A" w:rsidP="009E49BA">
      <w:pPr>
        <w:tabs>
          <w:tab w:val="left" w:pos="6540"/>
        </w:tabs>
        <w:spacing w:after="0" w:line="240" w:lineRule="auto"/>
        <w:jc w:val="both"/>
        <w:rPr>
          <w:rFonts w:ascii="Times New Roman" w:hAnsi="Times New Roman" w:cs="Times New Roman"/>
          <w:lang w:val="es-ES"/>
        </w:rPr>
      </w:pPr>
      <w:r w:rsidRPr="00092E33">
        <w:rPr>
          <w:rFonts w:ascii="Times New Roman" w:hAnsi="Times New Roman" w:cs="Times New Roman"/>
          <w:lang w:val="es-ES"/>
        </w:rPr>
        <w:t xml:space="preserve">Juan Manuel Lladó                      Isela A. Costantini                           </w:t>
      </w:r>
      <w:r w:rsidR="009E49BA">
        <w:rPr>
          <w:rFonts w:ascii="Times New Roman" w:hAnsi="Times New Roman" w:cs="Times New Roman"/>
          <w:lang w:val="es-ES"/>
        </w:rPr>
        <w:t>Julián</w:t>
      </w:r>
      <w:r w:rsidR="004024A0">
        <w:rPr>
          <w:rFonts w:ascii="Times New Roman" w:hAnsi="Times New Roman" w:cs="Times New Roman"/>
          <w:lang w:val="es-ES"/>
        </w:rPr>
        <w:t xml:space="preserve"> A. Racauchi</w:t>
      </w:r>
    </w:p>
    <w:p w14:paraId="322F43A6" w14:textId="5346A926" w:rsidR="00131F0A" w:rsidRDefault="00131F0A" w:rsidP="009E49BA">
      <w:pPr>
        <w:spacing w:after="0" w:line="240" w:lineRule="auto"/>
        <w:jc w:val="both"/>
        <w:rPr>
          <w:rFonts w:ascii="Times New Roman" w:hAnsi="Times New Roman" w:cs="Times New Roman"/>
          <w:lang w:val="es-ES"/>
        </w:rPr>
      </w:pPr>
      <w:r w:rsidRPr="00092E33">
        <w:rPr>
          <w:rFonts w:ascii="Times New Roman" w:hAnsi="Times New Roman" w:cs="Times New Roman"/>
          <w:lang w:val="es-ES"/>
        </w:rPr>
        <w:t xml:space="preserve">Directora Titular                            Director Titular     </w:t>
      </w:r>
      <w:r w:rsidRPr="00092E33">
        <w:rPr>
          <w:rFonts w:ascii="Times New Roman" w:hAnsi="Times New Roman" w:cs="Times New Roman"/>
          <w:lang w:val="es-ES"/>
        </w:rPr>
        <w:tab/>
        <w:t xml:space="preserve">                    </w:t>
      </w:r>
      <w:r w:rsidR="004024A0">
        <w:rPr>
          <w:rFonts w:ascii="Times New Roman" w:hAnsi="Times New Roman" w:cs="Times New Roman"/>
          <w:lang w:val="es-ES"/>
        </w:rPr>
        <w:t>Director Titular</w:t>
      </w:r>
    </w:p>
    <w:p w14:paraId="58D404F3" w14:textId="58CEB891" w:rsidR="004024A0" w:rsidRDefault="004024A0" w:rsidP="009E49BA">
      <w:pPr>
        <w:spacing w:after="0" w:line="240" w:lineRule="auto"/>
        <w:jc w:val="both"/>
        <w:rPr>
          <w:rFonts w:ascii="Times New Roman" w:hAnsi="Times New Roman" w:cs="Times New Roman"/>
          <w:lang w:val="es-ES"/>
        </w:rPr>
      </w:pPr>
    </w:p>
    <w:p w14:paraId="0D8B67CC" w14:textId="2E0C7E6C" w:rsidR="004024A0" w:rsidRDefault="004024A0" w:rsidP="009E49BA">
      <w:pPr>
        <w:spacing w:after="0" w:line="240" w:lineRule="auto"/>
        <w:jc w:val="both"/>
        <w:rPr>
          <w:rFonts w:ascii="Times New Roman" w:hAnsi="Times New Roman" w:cs="Times New Roman"/>
          <w:lang w:val="es-ES"/>
        </w:rPr>
      </w:pPr>
    </w:p>
    <w:p w14:paraId="305AC27D" w14:textId="24E3F34E" w:rsidR="009E49BA" w:rsidRDefault="009E49BA" w:rsidP="009E49BA">
      <w:pPr>
        <w:spacing w:after="0" w:line="240" w:lineRule="auto"/>
        <w:jc w:val="both"/>
        <w:rPr>
          <w:rFonts w:ascii="Times New Roman" w:hAnsi="Times New Roman" w:cs="Times New Roman"/>
          <w:lang w:val="es-ES"/>
        </w:rPr>
      </w:pPr>
    </w:p>
    <w:p w14:paraId="57F9AC29" w14:textId="77777777" w:rsidR="009E49BA" w:rsidRDefault="009E49BA" w:rsidP="009E49BA">
      <w:pPr>
        <w:spacing w:after="0" w:line="240" w:lineRule="auto"/>
        <w:jc w:val="both"/>
        <w:rPr>
          <w:rFonts w:ascii="Times New Roman" w:hAnsi="Times New Roman" w:cs="Times New Roman"/>
          <w:lang w:val="es-ES"/>
        </w:rPr>
      </w:pPr>
    </w:p>
    <w:p w14:paraId="4E922567" w14:textId="57B1BD67" w:rsidR="004024A0" w:rsidRDefault="004024A0" w:rsidP="009E49BA">
      <w:pPr>
        <w:spacing w:after="0" w:line="240" w:lineRule="auto"/>
        <w:jc w:val="both"/>
        <w:rPr>
          <w:rFonts w:ascii="Times New Roman" w:hAnsi="Times New Roman" w:cs="Times New Roman"/>
          <w:lang w:val="es-ES"/>
        </w:rPr>
      </w:pPr>
    </w:p>
    <w:p w14:paraId="58BC0237" w14:textId="29AB7319" w:rsidR="004024A0" w:rsidRDefault="009E49BA" w:rsidP="009E49BA">
      <w:pPr>
        <w:spacing w:after="0" w:line="240" w:lineRule="auto"/>
        <w:jc w:val="both"/>
        <w:rPr>
          <w:rFonts w:ascii="Times New Roman" w:hAnsi="Times New Roman" w:cs="Times New Roman"/>
          <w:lang w:val="es-ES"/>
        </w:rPr>
      </w:pPr>
      <w:r>
        <w:rPr>
          <w:rFonts w:ascii="Times New Roman" w:hAnsi="Times New Roman" w:cs="Times New Roman"/>
          <w:lang w:val="es-ES"/>
        </w:rPr>
        <w:t>Matías</w:t>
      </w:r>
      <w:r w:rsidR="004024A0">
        <w:rPr>
          <w:rFonts w:ascii="Times New Roman" w:hAnsi="Times New Roman" w:cs="Times New Roman"/>
          <w:lang w:val="es-ES"/>
        </w:rPr>
        <w:t xml:space="preserve"> A. Peralta</w:t>
      </w:r>
      <w:r>
        <w:rPr>
          <w:rFonts w:ascii="Times New Roman" w:hAnsi="Times New Roman" w:cs="Times New Roman"/>
          <w:lang w:val="es-ES"/>
        </w:rPr>
        <w:t xml:space="preserve">                        </w:t>
      </w:r>
      <w:r w:rsidRPr="00092E33">
        <w:rPr>
          <w:rFonts w:ascii="Times New Roman" w:hAnsi="Times New Roman" w:cs="Times New Roman"/>
        </w:rPr>
        <w:t>Francisco G.</w:t>
      </w:r>
      <w:r w:rsidR="007C0F32">
        <w:rPr>
          <w:rFonts w:ascii="Times New Roman" w:hAnsi="Times New Roman" w:cs="Times New Roman"/>
        </w:rPr>
        <w:t xml:space="preserve"> </w:t>
      </w:r>
      <w:bookmarkStart w:id="15" w:name="_GoBack"/>
      <w:bookmarkEnd w:id="15"/>
      <w:r w:rsidRPr="00092E33">
        <w:rPr>
          <w:rFonts w:ascii="Times New Roman" w:hAnsi="Times New Roman" w:cs="Times New Roman"/>
        </w:rPr>
        <w:t>J. Gonzalez Fischer</w:t>
      </w:r>
      <w:r>
        <w:rPr>
          <w:rFonts w:ascii="Times New Roman" w:hAnsi="Times New Roman" w:cs="Times New Roman"/>
          <w:lang w:val="es-ES"/>
        </w:rPr>
        <w:t xml:space="preserve">                </w:t>
      </w:r>
    </w:p>
    <w:p w14:paraId="43076C2C" w14:textId="621E68C8" w:rsidR="004024A0" w:rsidRPr="00092E33" w:rsidRDefault="004024A0" w:rsidP="009E49BA">
      <w:pPr>
        <w:spacing w:after="0" w:line="240" w:lineRule="auto"/>
        <w:jc w:val="both"/>
        <w:rPr>
          <w:rFonts w:ascii="Times New Roman" w:hAnsi="Times New Roman" w:cs="Times New Roman"/>
          <w:lang w:val="es-ES"/>
        </w:rPr>
      </w:pPr>
      <w:r>
        <w:rPr>
          <w:rFonts w:ascii="Times New Roman" w:hAnsi="Times New Roman" w:cs="Times New Roman"/>
          <w:lang w:val="es-ES"/>
        </w:rPr>
        <w:t>Director Titular</w:t>
      </w:r>
      <w:r w:rsidR="009E49BA">
        <w:rPr>
          <w:rFonts w:ascii="Times New Roman" w:hAnsi="Times New Roman" w:cs="Times New Roman"/>
          <w:lang w:val="es-ES"/>
        </w:rPr>
        <w:t xml:space="preserve">                                   Sindico Titular                       </w:t>
      </w:r>
    </w:p>
    <w:p w14:paraId="5A430AEC" w14:textId="77777777" w:rsidR="00131F0A" w:rsidRPr="00092E33" w:rsidRDefault="00131F0A" w:rsidP="009E49BA">
      <w:pPr>
        <w:spacing w:after="0" w:line="240" w:lineRule="auto"/>
        <w:jc w:val="both"/>
        <w:rPr>
          <w:rFonts w:ascii="Times New Roman" w:hAnsi="Times New Roman" w:cs="Times New Roman"/>
          <w:lang w:val="es-ES"/>
        </w:rPr>
      </w:pPr>
    </w:p>
    <w:p w14:paraId="5906F4D9" w14:textId="77777777" w:rsidR="00131F0A" w:rsidRPr="00092E33" w:rsidRDefault="00131F0A" w:rsidP="009E49BA">
      <w:pPr>
        <w:spacing w:after="0" w:line="240" w:lineRule="auto"/>
        <w:jc w:val="both"/>
        <w:rPr>
          <w:rFonts w:ascii="Times New Roman" w:hAnsi="Times New Roman" w:cs="Times New Roman"/>
          <w:lang w:val="es-ES"/>
        </w:rPr>
      </w:pPr>
    </w:p>
    <w:p w14:paraId="7AEBFEFF" w14:textId="77777777" w:rsidR="00131F0A" w:rsidRPr="00092E33" w:rsidRDefault="00131F0A" w:rsidP="009E49BA">
      <w:pPr>
        <w:spacing w:after="0" w:line="240" w:lineRule="auto"/>
        <w:jc w:val="both"/>
        <w:rPr>
          <w:rFonts w:ascii="Times New Roman" w:hAnsi="Times New Roman" w:cs="Times New Roman"/>
          <w:lang w:val="es-ES"/>
        </w:rPr>
      </w:pPr>
    </w:p>
    <w:p w14:paraId="6512E1ED" w14:textId="77777777" w:rsidR="00131F0A" w:rsidRPr="00092E33" w:rsidRDefault="00131F0A" w:rsidP="009E49BA">
      <w:pPr>
        <w:spacing w:after="0" w:line="240" w:lineRule="auto"/>
        <w:ind w:right="-676"/>
        <w:jc w:val="both"/>
        <w:rPr>
          <w:rFonts w:ascii="Times New Roman" w:hAnsi="Times New Roman" w:cs="Times New Roman"/>
          <w:lang w:val="es-ES"/>
        </w:rPr>
      </w:pPr>
    </w:p>
    <w:p w14:paraId="31D72DDD" w14:textId="77777777" w:rsidR="00131F0A" w:rsidRPr="00092E33" w:rsidRDefault="00131F0A" w:rsidP="009E49BA">
      <w:pPr>
        <w:pStyle w:val="Textoindependiente"/>
        <w:jc w:val="both"/>
        <w:rPr>
          <w:color w:val="auto"/>
          <w:sz w:val="22"/>
          <w:szCs w:val="22"/>
          <w:lang w:val="es-ES"/>
        </w:rPr>
      </w:pPr>
    </w:p>
    <w:p w14:paraId="3F172090" w14:textId="75491AD0" w:rsidR="00131F0A" w:rsidRPr="00092E33" w:rsidRDefault="00131F0A" w:rsidP="009E49BA">
      <w:pPr>
        <w:spacing w:after="0" w:line="240" w:lineRule="auto"/>
        <w:jc w:val="both"/>
        <w:rPr>
          <w:rFonts w:ascii="Times New Roman" w:hAnsi="Times New Roman" w:cs="Times New Roman"/>
          <w:lang w:val="es-ES"/>
        </w:rPr>
      </w:pPr>
    </w:p>
    <w:p w14:paraId="109689FD" w14:textId="77777777" w:rsidR="00131F0A" w:rsidRPr="00092E33" w:rsidRDefault="00131F0A" w:rsidP="009E49BA">
      <w:pPr>
        <w:spacing w:after="0" w:line="240" w:lineRule="auto"/>
        <w:jc w:val="both"/>
        <w:rPr>
          <w:rFonts w:ascii="Times New Roman" w:hAnsi="Times New Roman" w:cs="Times New Roman"/>
          <w:lang w:val="es-ES"/>
        </w:rPr>
      </w:pPr>
    </w:p>
    <w:sectPr w:rsidR="00131F0A" w:rsidRPr="00092E33" w:rsidSect="009E49BA">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New York">
    <w:altName w:val="Times New Roman"/>
    <w:panose1 w:val="02040503060506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21002A87" w:usb1="090F0000" w:usb2="00000010"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94E5B"/>
    <w:multiLevelType w:val="hybridMultilevel"/>
    <w:tmpl w:val="E33887F2"/>
    <w:lvl w:ilvl="0" w:tplc="2C0A000B">
      <w:start w:val="1"/>
      <w:numFmt w:val="bullet"/>
      <w:lvlText w:val=""/>
      <w:lvlJc w:val="left"/>
      <w:pPr>
        <w:ind w:left="1004" w:hanging="360"/>
      </w:pPr>
      <w:rPr>
        <w:rFonts w:ascii="Wingdings" w:hAnsi="Wingdings"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1" w15:restartNumberingAfterBreak="0">
    <w:nsid w:val="158C5A31"/>
    <w:multiLevelType w:val="hybridMultilevel"/>
    <w:tmpl w:val="DE7E018C"/>
    <w:lvl w:ilvl="0" w:tplc="2C0A000B">
      <w:start w:val="1"/>
      <w:numFmt w:val="bullet"/>
      <w:lvlText w:val=""/>
      <w:lvlJc w:val="left"/>
      <w:pPr>
        <w:ind w:left="1004" w:hanging="360"/>
      </w:pPr>
      <w:rPr>
        <w:rFonts w:ascii="Wingdings" w:hAnsi="Wingdings"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2" w15:restartNumberingAfterBreak="0">
    <w:nsid w:val="2E2E579F"/>
    <w:multiLevelType w:val="hybridMultilevel"/>
    <w:tmpl w:val="3F92124A"/>
    <w:lvl w:ilvl="0" w:tplc="2C0A0017">
      <w:start w:val="9"/>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0FE40D0"/>
    <w:multiLevelType w:val="multilevel"/>
    <w:tmpl w:val="05748B84"/>
    <w:lvl w:ilvl="0">
      <w:start w:val="1"/>
      <w:numFmt w:val="decimal"/>
      <w:lvlText w:val="%1."/>
      <w:lvlJc w:val="left"/>
      <w:pPr>
        <w:tabs>
          <w:tab w:val="num" w:pos="1507"/>
        </w:tabs>
        <w:ind w:left="1507" w:hanging="360"/>
      </w:pPr>
    </w:lvl>
    <w:lvl w:ilvl="1">
      <w:start w:val="1"/>
      <w:numFmt w:val="lowerLetter"/>
      <w:lvlText w:val="%2)"/>
      <w:lvlJc w:val="left"/>
      <w:pPr>
        <w:tabs>
          <w:tab w:val="num" w:pos="2047"/>
        </w:tabs>
        <w:ind w:left="2047" w:hanging="360"/>
      </w:pPr>
      <w:rPr>
        <w:rFonts w:hint="default"/>
      </w:rPr>
    </w:lvl>
    <w:lvl w:ilvl="2" w:tentative="1">
      <w:start w:val="1"/>
      <w:numFmt w:val="lowerRoman"/>
      <w:lvlText w:val="%3."/>
      <w:lvlJc w:val="right"/>
      <w:pPr>
        <w:tabs>
          <w:tab w:val="num" w:pos="2767"/>
        </w:tabs>
        <w:ind w:left="2767" w:hanging="180"/>
      </w:pPr>
    </w:lvl>
    <w:lvl w:ilvl="3" w:tentative="1">
      <w:start w:val="1"/>
      <w:numFmt w:val="decimal"/>
      <w:lvlText w:val="%4."/>
      <w:lvlJc w:val="left"/>
      <w:pPr>
        <w:tabs>
          <w:tab w:val="num" w:pos="3487"/>
        </w:tabs>
        <w:ind w:left="3487" w:hanging="360"/>
      </w:pPr>
    </w:lvl>
    <w:lvl w:ilvl="4" w:tentative="1">
      <w:start w:val="1"/>
      <w:numFmt w:val="lowerLetter"/>
      <w:lvlText w:val="%5."/>
      <w:lvlJc w:val="left"/>
      <w:pPr>
        <w:tabs>
          <w:tab w:val="num" w:pos="4207"/>
        </w:tabs>
        <w:ind w:left="4207" w:hanging="360"/>
      </w:pPr>
    </w:lvl>
    <w:lvl w:ilvl="5" w:tentative="1">
      <w:start w:val="1"/>
      <w:numFmt w:val="lowerRoman"/>
      <w:lvlText w:val="%6."/>
      <w:lvlJc w:val="right"/>
      <w:pPr>
        <w:tabs>
          <w:tab w:val="num" w:pos="4927"/>
        </w:tabs>
        <w:ind w:left="4927" w:hanging="180"/>
      </w:pPr>
    </w:lvl>
    <w:lvl w:ilvl="6" w:tentative="1">
      <w:start w:val="1"/>
      <w:numFmt w:val="decimal"/>
      <w:lvlText w:val="%7."/>
      <w:lvlJc w:val="left"/>
      <w:pPr>
        <w:tabs>
          <w:tab w:val="num" w:pos="5647"/>
        </w:tabs>
        <w:ind w:left="5647" w:hanging="360"/>
      </w:pPr>
    </w:lvl>
    <w:lvl w:ilvl="7" w:tentative="1">
      <w:start w:val="1"/>
      <w:numFmt w:val="lowerLetter"/>
      <w:lvlText w:val="%8."/>
      <w:lvlJc w:val="left"/>
      <w:pPr>
        <w:tabs>
          <w:tab w:val="num" w:pos="6367"/>
        </w:tabs>
        <w:ind w:left="6367" w:hanging="360"/>
      </w:pPr>
    </w:lvl>
    <w:lvl w:ilvl="8" w:tentative="1">
      <w:start w:val="1"/>
      <w:numFmt w:val="lowerRoman"/>
      <w:lvlText w:val="%9."/>
      <w:lvlJc w:val="right"/>
      <w:pPr>
        <w:tabs>
          <w:tab w:val="num" w:pos="7087"/>
        </w:tabs>
        <w:ind w:left="7087" w:hanging="180"/>
      </w:pPr>
    </w:lvl>
  </w:abstractNum>
  <w:abstractNum w:abstractNumId="4" w15:restartNumberingAfterBreak="0">
    <w:nsid w:val="39DC7EAB"/>
    <w:multiLevelType w:val="hybridMultilevel"/>
    <w:tmpl w:val="BB3A0EC8"/>
    <w:lvl w:ilvl="0" w:tplc="BDA26E16">
      <w:start w:val="1"/>
      <w:numFmt w:val="decimal"/>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5" w15:restartNumberingAfterBreak="0">
    <w:nsid w:val="4D9F077C"/>
    <w:multiLevelType w:val="hybridMultilevel"/>
    <w:tmpl w:val="5310E224"/>
    <w:lvl w:ilvl="0" w:tplc="CD4ED420">
      <w:start w:val="3"/>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E651519"/>
    <w:multiLevelType w:val="hybridMultilevel"/>
    <w:tmpl w:val="E062BFC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65077D22"/>
    <w:multiLevelType w:val="hybridMultilevel"/>
    <w:tmpl w:val="4A92199E"/>
    <w:lvl w:ilvl="0" w:tplc="AC70B932">
      <w:start w:val="11"/>
      <w:numFmt w:val="bullet"/>
      <w:lvlText w:val="-"/>
      <w:lvlJc w:val="left"/>
      <w:pPr>
        <w:ind w:left="420" w:hanging="360"/>
      </w:pPr>
      <w:rPr>
        <w:rFonts w:ascii="Times New Roman" w:eastAsia="Times New Roman" w:hAnsi="Times New Roman" w:cs="Times New Roman"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abstractNum w:abstractNumId="8" w15:restartNumberingAfterBreak="0">
    <w:nsid w:val="66290868"/>
    <w:multiLevelType w:val="multilevel"/>
    <w:tmpl w:val="4D8C68FA"/>
    <w:lvl w:ilvl="0">
      <w:start w:val="1"/>
      <w:numFmt w:val="lowerLetter"/>
      <w:lvlText w:val="%1)"/>
      <w:lvlJc w:val="left"/>
      <w:pPr>
        <w:tabs>
          <w:tab w:val="num" w:pos="900"/>
        </w:tabs>
        <w:ind w:left="900" w:hanging="360"/>
      </w:pPr>
      <w:rPr>
        <w:rFonts w:ascii="Arial" w:hAnsi="Arial" w:hint="default"/>
        <w:b w:val="0"/>
        <w:i w:val="0"/>
        <w:sz w:val="20"/>
        <w:szCs w:val="20"/>
      </w:rPr>
    </w:lvl>
    <w:lvl w:ilvl="1">
      <w:start w:val="1"/>
      <w:numFmt w:val="lowerLetter"/>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rPr>
        <w:rFonts w:hint="default"/>
      </w:rPr>
    </w:lvl>
    <w:lvl w:ilvl="3">
      <w:start w:val="1"/>
      <w:numFmt w:val="decimal"/>
      <w:lvlText w:val="%4."/>
      <w:lvlJc w:val="left"/>
      <w:pPr>
        <w:tabs>
          <w:tab w:val="num" w:pos="3496"/>
        </w:tabs>
        <w:ind w:left="3496" w:hanging="796"/>
      </w:pPr>
      <w:rPr>
        <w:rFonts w:hint="default"/>
        <w:b w:val="0"/>
        <w:i w:val="0"/>
        <w:sz w:val="20"/>
        <w:szCs w:val="20"/>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9" w15:restartNumberingAfterBreak="0">
    <w:nsid w:val="67CF2CA3"/>
    <w:multiLevelType w:val="hybridMultilevel"/>
    <w:tmpl w:val="C9321554"/>
    <w:lvl w:ilvl="0" w:tplc="78D2A0D6">
      <w:start w:val="11"/>
      <w:numFmt w:val="bullet"/>
      <w:lvlText w:val="-"/>
      <w:lvlJc w:val="left"/>
      <w:pPr>
        <w:ind w:left="780" w:hanging="360"/>
      </w:pPr>
      <w:rPr>
        <w:rFonts w:ascii="Times New Roman" w:eastAsia="Times New Roman" w:hAnsi="Times New Roman" w:cs="Times New Roman"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0" w15:restartNumberingAfterBreak="0">
    <w:nsid w:val="735F4DC9"/>
    <w:multiLevelType w:val="hybridMultilevel"/>
    <w:tmpl w:val="20C0BCF6"/>
    <w:lvl w:ilvl="0" w:tplc="0B088D4C">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39D253A"/>
    <w:multiLevelType w:val="hybridMultilevel"/>
    <w:tmpl w:val="58CABCB4"/>
    <w:lvl w:ilvl="0" w:tplc="81C6F256">
      <w:start w:val="9"/>
      <w:numFmt w:val="lowerLetter"/>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2" w15:restartNumberingAfterBreak="0">
    <w:nsid w:val="76601FC4"/>
    <w:multiLevelType w:val="hybridMultilevel"/>
    <w:tmpl w:val="AFC4636E"/>
    <w:lvl w:ilvl="0" w:tplc="841237C4">
      <w:start w:val="2"/>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10"/>
  </w:num>
  <w:num w:numId="5">
    <w:abstractNumId w:val="11"/>
  </w:num>
  <w:num w:numId="6">
    <w:abstractNumId w:val="2"/>
  </w:num>
  <w:num w:numId="7">
    <w:abstractNumId w:val="12"/>
  </w:num>
  <w:num w:numId="8">
    <w:abstractNumId w:val="7"/>
  </w:num>
  <w:num w:numId="9">
    <w:abstractNumId w:val="9"/>
  </w:num>
  <w:num w:numId="10">
    <w:abstractNumId w:val="5"/>
  </w:num>
  <w:num w:numId="11">
    <w:abstractNumId w:val="8"/>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140"/>
    <w:rsid w:val="00067026"/>
    <w:rsid w:val="00092E33"/>
    <w:rsid w:val="0010240E"/>
    <w:rsid w:val="00131F0A"/>
    <w:rsid w:val="001A0B86"/>
    <w:rsid w:val="001C3E19"/>
    <w:rsid w:val="001F6FC9"/>
    <w:rsid w:val="00251691"/>
    <w:rsid w:val="00352621"/>
    <w:rsid w:val="003827B1"/>
    <w:rsid w:val="003E125E"/>
    <w:rsid w:val="004024A0"/>
    <w:rsid w:val="00474BB6"/>
    <w:rsid w:val="00712FD6"/>
    <w:rsid w:val="007660AB"/>
    <w:rsid w:val="007C0F32"/>
    <w:rsid w:val="008078E2"/>
    <w:rsid w:val="00834AEA"/>
    <w:rsid w:val="008B157D"/>
    <w:rsid w:val="008F768D"/>
    <w:rsid w:val="0090174C"/>
    <w:rsid w:val="009E49BA"/>
    <w:rsid w:val="009E63D2"/>
    <w:rsid w:val="009E7BBB"/>
    <w:rsid w:val="00A169AB"/>
    <w:rsid w:val="00A32DAB"/>
    <w:rsid w:val="00AF3E31"/>
    <w:rsid w:val="00B361F4"/>
    <w:rsid w:val="00C52A32"/>
    <w:rsid w:val="00CC05E5"/>
    <w:rsid w:val="00D45BD1"/>
    <w:rsid w:val="00D81EA5"/>
    <w:rsid w:val="00DA6DE2"/>
    <w:rsid w:val="00E00140"/>
    <w:rsid w:val="00E44C0F"/>
    <w:rsid w:val="00F54DD5"/>
    <w:rsid w:val="00F6452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CE3B4"/>
  <w15:chartTrackingRefBased/>
  <w15:docId w15:val="{6DD7F193-AD53-4C49-8883-6389B087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14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body text,bt,b"/>
    <w:basedOn w:val="Normal"/>
    <w:link w:val="TextoindependienteCar"/>
    <w:rsid w:val="00131F0A"/>
    <w:pPr>
      <w:widowControl w:val="0"/>
      <w:spacing w:after="0" w:line="240" w:lineRule="auto"/>
    </w:pPr>
    <w:rPr>
      <w:rFonts w:ascii="Times New Roman" w:eastAsia="Times New Roman" w:hAnsi="Times New Roman" w:cs="Times New Roman"/>
      <w:color w:val="000000"/>
      <w:sz w:val="24"/>
      <w:szCs w:val="20"/>
      <w:lang w:val="es-ES_tradnl" w:eastAsia="es-ES"/>
    </w:rPr>
  </w:style>
  <w:style w:type="character" w:customStyle="1" w:styleId="TextoindependienteCar">
    <w:name w:val="Texto independiente Car"/>
    <w:aliases w:val="body text Car,bt Car,b Car"/>
    <w:basedOn w:val="Fuentedeprrafopredeter"/>
    <w:link w:val="Textoindependiente"/>
    <w:rsid w:val="00131F0A"/>
    <w:rPr>
      <w:rFonts w:ascii="Times New Roman" w:eastAsia="Times New Roman" w:hAnsi="Times New Roman" w:cs="Times New Roman"/>
      <w:color w:val="000000"/>
      <w:sz w:val="24"/>
      <w:szCs w:val="20"/>
      <w:lang w:val="es-ES_tradnl" w:eastAsia="es-ES"/>
    </w:rPr>
  </w:style>
  <w:style w:type="paragraph" w:customStyle="1" w:styleId="Textoinfaud">
    <w:name w:val="Texto inf. aud."/>
    <w:basedOn w:val="Normal"/>
    <w:rsid w:val="00131F0A"/>
    <w:pPr>
      <w:tabs>
        <w:tab w:val="left" w:pos="720"/>
      </w:tabs>
      <w:spacing w:after="0" w:line="360" w:lineRule="auto"/>
      <w:jc w:val="both"/>
    </w:pPr>
    <w:rPr>
      <w:rFonts w:ascii="Book Antiqua" w:eastAsia="SimSun" w:hAnsi="Book Antiqua" w:cs="Times New Roman"/>
      <w:sz w:val="20"/>
      <w:szCs w:val="20"/>
    </w:rPr>
  </w:style>
  <w:style w:type="paragraph" w:styleId="Textodeglobo">
    <w:name w:val="Balloon Text"/>
    <w:basedOn w:val="Normal"/>
    <w:link w:val="TextodegloboCar"/>
    <w:uiPriority w:val="99"/>
    <w:semiHidden/>
    <w:unhideWhenUsed/>
    <w:rsid w:val="001C3E1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3E19"/>
    <w:rPr>
      <w:rFonts w:ascii="Segoe UI" w:hAnsi="Segoe UI" w:cs="Segoe UI"/>
      <w:sz w:val="18"/>
      <w:szCs w:val="18"/>
    </w:rPr>
  </w:style>
  <w:style w:type="paragraph" w:styleId="Prrafodelista">
    <w:name w:val="List Paragraph"/>
    <w:aliases w:val="הערת שוליים"/>
    <w:basedOn w:val="Normal"/>
    <w:link w:val="PrrafodelistaCar"/>
    <w:uiPriority w:val="34"/>
    <w:qFormat/>
    <w:rsid w:val="00F64523"/>
    <w:pPr>
      <w:tabs>
        <w:tab w:val="right" w:pos="7920"/>
        <w:tab w:val="right" w:pos="9720"/>
      </w:tabs>
      <w:spacing w:after="0" w:line="240" w:lineRule="auto"/>
      <w:ind w:left="720"/>
      <w:contextualSpacing/>
      <w:jc w:val="both"/>
    </w:pPr>
    <w:rPr>
      <w:rFonts w:ascii="New York" w:eastAsia="Times New Roman" w:hAnsi="New York" w:cs="New York"/>
      <w:sz w:val="20"/>
      <w:szCs w:val="20"/>
    </w:rPr>
  </w:style>
  <w:style w:type="paragraph" w:styleId="Encabezado">
    <w:name w:val="header"/>
    <w:basedOn w:val="Normal"/>
    <w:link w:val="EncabezadoCar"/>
    <w:uiPriority w:val="99"/>
    <w:unhideWhenUsed/>
    <w:rsid w:val="00F64523"/>
    <w:pPr>
      <w:tabs>
        <w:tab w:val="center" w:pos="4419"/>
        <w:tab w:val="right" w:pos="8838"/>
      </w:tabs>
      <w:spacing w:after="0" w:line="240" w:lineRule="auto"/>
      <w:jc w:val="both"/>
    </w:pPr>
    <w:rPr>
      <w:rFonts w:ascii="New York" w:eastAsia="Times New Roman" w:hAnsi="New York" w:cs="New York"/>
      <w:sz w:val="20"/>
      <w:szCs w:val="20"/>
    </w:rPr>
  </w:style>
  <w:style w:type="character" w:customStyle="1" w:styleId="EncabezadoCar">
    <w:name w:val="Encabezado Car"/>
    <w:basedOn w:val="Fuentedeprrafopredeter"/>
    <w:link w:val="Encabezado"/>
    <w:uiPriority w:val="99"/>
    <w:rsid w:val="00F64523"/>
    <w:rPr>
      <w:rFonts w:ascii="New York" w:eastAsia="Times New Roman" w:hAnsi="New York" w:cs="New York"/>
      <w:sz w:val="20"/>
      <w:szCs w:val="20"/>
    </w:rPr>
  </w:style>
  <w:style w:type="paragraph" w:styleId="Piedepgina">
    <w:name w:val="footer"/>
    <w:basedOn w:val="Normal"/>
    <w:link w:val="PiedepginaCar"/>
    <w:uiPriority w:val="99"/>
    <w:unhideWhenUsed/>
    <w:rsid w:val="00F64523"/>
    <w:pPr>
      <w:tabs>
        <w:tab w:val="center" w:pos="4419"/>
        <w:tab w:val="right" w:pos="8838"/>
      </w:tabs>
      <w:spacing w:after="0" w:line="240" w:lineRule="auto"/>
      <w:jc w:val="both"/>
    </w:pPr>
    <w:rPr>
      <w:rFonts w:ascii="New York" w:eastAsia="Times New Roman" w:hAnsi="New York" w:cs="New York"/>
      <w:sz w:val="20"/>
      <w:szCs w:val="20"/>
    </w:rPr>
  </w:style>
  <w:style w:type="character" w:customStyle="1" w:styleId="PiedepginaCar">
    <w:name w:val="Pie de página Car"/>
    <w:basedOn w:val="Fuentedeprrafopredeter"/>
    <w:link w:val="Piedepgina"/>
    <w:uiPriority w:val="99"/>
    <w:rsid w:val="00F64523"/>
    <w:rPr>
      <w:rFonts w:ascii="New York" w:eastAsia="Times New Roman" w:hAnsi="New York" w:cs="New York"/>
      <w:sz w:val="20"/>
      <w:szCs w:val="20"/>
    </w:rPr>
  </w:style>
  <w:style w:type="table" w:styleId="Tablaconcuadrcula">
    <w:name w:val="Table Grid"/>
    <w:basedOn w:val="Tablanormal"/>
    <w:uiPriority w:val="59"/>
    <w:rsid w:val="00F64523"/>
    <w:pPr>
      <w:spacing w:after="0" w:line="240" w:lineRule="auto"/>
    </w:pPr>
    <w:rPr>
      <w:rFonts w:ascii="Calibri" w:eastAsia="Calibri" w:hAnsi="Calibri"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F64523"/>
    <w:rPr>
      <w:sz w:val="16"/>
      <w:szCs w:val="16"/>
    </w:rPr>
  </w:style>
  <w:style w:type="paragraph" w:styleId="Textocomentario">
    <w:name w:val="annotation text"/>
    <w:basedOn w:val="Normal"/>
    <w:link w:val="TextocomentarioCar"/>
    <w:uiPriority w:val="99"/>
    <w:semiHidden/>
    <w:unhideWhenUsed/>
    <w:rsid w:val="00F64523"/>
    <w:pPr>
      <w:tabs>
        <w:tab w:val="right" w:pos="7920"/>
        <w:tab w:val="right" w:pos="9720"/>
      </w:tabs>
      <w:spacing w:after="0" w:line="240" w:lineRule="auto"/>
      <w:jc w:val="both"/>
    </w:pPr>
    <w:rPr>
      <w:rFonts w:ascii="New York" w:eastAsia="Times New Roman" w:hAnsi="New York" w:cs="New York"/>
      <w:sz w:val="20"/>
      <w:szCs w:val="20"/>
    </w:rPr>
  </w:style>
  <w:style w:type="character" w:customStyle="1" w:styleId="TextocomentarioCar">
    <w:name w:val="Texto comentario Car"/>
    <w:basedOn w:val="Fuentedeprrafopredeter"/>
    <w:link w:val="Textocomentario"/>
    <w:uiPriority w:val="99"/>
    <w:semiHidden/>
    <w:rsid w:val="00F64523"/>
    <w:rPr>
      <w:rFonts w:ascii="New York" w:eastAsia="Times New Roman" w:hAnsi="New York" w:cs="New York"/>
      <w:sz w:val="20"/>
      <w:szCs w:val="20"/>
    </w:rPr>
  </w:style>
  <w:style w:type="paragraph" w:styleId="Asuntodelcomentario">
    <w:name w:val="annotation subject"/>
    <w:basedOn w:val="Textocomentario"/>
    <w:next w:val="Textocomentario"/>
    <w:link w:val="AsuntodelcomentarioCar"/>
    <w:uiPriority w:val="99"/>
    <w:semiHidden/>
    <w:unhideWhenUsed/>
    <w:rsid w:val="00F64523"/>
    <w:rPr>
      <w:b/>
      <w:bCs/>
    </w:rPr>
  </w:style>
  <w:style w:type="character" w:customStyle="1" w:styleId="AsuntodelcomentarioCar">
    <w:name w:val="Asunto del comentario Car"/>
    <w:basedOn w:val="TextocomentarioCar"/>
    <w:link w:val="Asuntodelcomentario"/>
    <w:uiPriority w:val="99"/>
    <w:semiHidden/>
    <w:rsid w:val="00F64523"/>
    <w:rPr>
      <w:rFonts w:ascii="New York" w:eastAsia="Times New Roman" w:hAnsi="New York" w:cs="New York"/>
      <w:b/>
      <w:bCs/>
      <w:sz w:val="20"/>
      <w:szCs w:val="20"/>
    </w:rPr>
  </w:style>
  <w:style w:type="paragraph" w:customStyle="1" w:styleId="Body">
    <w:name w:val="Body"/>
    <w:rsid w:val="00092E3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rPr>
  </w:style>
  <w:style w:type="paragraph" w:customStyle="1" w:styleId="Auditor">
    <w:name w:val="Auditor"/>
    <w:basedOn w:val="Normal"/>
    <w:rsid w:val="00092E33"/>
    <w:pPr>
      <w:spacing w:after="0" w:line="360" w:lineRule="auto"/>
      <w:jc w:val="both"/>
    </w:pPr>
    <w:rPr>
      <w:rFonts w:ascii="Book Antiqua" w:eastAsia="Times New Roman" w:hAnsi="Book Antiqua" w:cs="Times New Roman"/>
      <w:sz w:val="20"/>
      <w:szCs w:val="20"/>
      <w:lang w:val="es-ES_tradnl" w:eastAsia="es-ES"/>
    </w:rPr>
  </w:style>
  <w:style w:type="paragraph" w:customStyle="1" w:styleId="informaudit">
    <w:name w:val="inform. audit."/>
    <w:basedOn w:val="Normal"/>
    <w:rsid w:val="00092E33"/>
    <w:pPr>
      <w:spacing w:after="0" w:line="360" w:lineRule="auto"/>
      <w:jc w:val="both"/>
    </w:pPr>
    <w:rPr>
      <w:rFonts w:ascii="Book Antiqua" w:eastAsia="Times New Roman" w:hAnsi="Book Antiqua" w:cs="Times New Roman"/>
      <w:sz w:val="20"/>
      <w:szCs w:val="20"/>
    </w:rPr>
  </w:style>
  <w:style w:type="character" w:customStyle="1" w:styleId="PrrafodelistaCar">
    <w:name w:val="Párrafo de lista Car"/>
    <w:aliases w:val="הערת שוליים Car"/>
    <w:link w:val="Prrafodelista"/>
    <w:uiPriority w:val="34"/>
    <w:rsid w:val="00092E33"/>
    <w:rPr>
      <w:rFonts w:ascii="New York" w:eastAsia="Times New Roman" w:hAnsi="New York" w:cs="New York"/>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907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14184</Words>
  <Characters>78016</Characters>
  <Application>Microsoft Office Word</Application>
  <DocSecurity>0</DocSecurity>
  <Lines>650</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 Juan (GR8156)</dc:creator>
  <cp:keywords/>
  <dc:description/>
  <cp:lastModifiedBy>Gomariz Alicia</cp:lastModifiedBy>
  <cp:revision>3</cp:revision>
  <cp:lastPrinted>2020-03-06T19:16:00Z</cp:lastPrinted>
  <dcterms:created xsi:type="dcterms:W3CDTF">2020-03-10T17:23:00Z</dcterms:created>
  <dcterms:modified xsi:type="dcterms:W3CDTF">2020-03-10T17:24:00Z</dcterms:modified>
</cp:coreProperties>
</file>