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C128" w14:textId="72343BF1" w:rsidR="00BD15CE" w:rsidRPr="00606DA9" w:rsidRDefault="00BD15CE" w:rsidP="00BD15CE">
      <w:pPr>
        <w:jc w:val="center"/>
        <w:rPr>
          <w:rFonts w:eastAsia="Batang"/>
          <w:b/>
          <w:szCs w:val="24"/>
          <w:u w:val="single"/>
        </w:rPr>
      </w:pPr>
      <w:r w:rsidRPr="00606DA9">
        <w:rPr>
          <w:rFonts w:eastAsia="Batang"/>
          <w:b/>
          <w:szCs w:val="24"/>
          <w:u w:val="single"/>
        </w:rPr>
        <w:t xml:space="preserve">Acta de Comisión Fiscalizadora </w:t>
      </w:r>
      <w:proofErr w:type="spellStart"/>
      <w:r w:rsidRPr="00606DA9">
        <w:rPr>
          <w:rFonts w:eastAsia="Batang"/>
          <w:b/>
          <w:szCs w:val="24"/>
          <w:u w:val="single"/>
        </w:rPr>
        <w:t>N°</w:t>
      </w:r>
      <w:proofErr w:type="spellEnd"/>
      <w:r w:rsidRPr="00606DA9">
        <w:rPr>
          <w:rFonts w:eastAsia="Batang"/>
          <w:b/>
          <w:szCs w:val="24"/>
          <w:u w:val="single"/>
        </w:rPr>
        <w:t xml:space="preserve"> </w:t>
      </w:r>
      <w:r w:rsidR="007E2766" w:rsidRPr="00606DA9">
        <w:rPr>
          <w:rFonts w:eastAsia="Batang"/>
          <w:b/>
          <w:szCs w:val="24"/>
          <w:u w:val="single"/>
        </w:rPr>
        <w:t>21</w:t>
      </w:r>
    </w:p>
    <w:p w14:paraId="03D818E4" w14:textId="77777777" w:rsidR="00BD15CE" w:rsidRPr="00606DA9" w:rsidRDefault="00BD15CE" w:rsidP="00BD15CE">
      <w:pPr>
        <w:jc w:val="both"/>
        <w:rPr>
          <w:rFonts w:eastAsia="Batang"/>
          <w:szCs w:val="24"/>
          <w:lang w:val="es-AR"/>
        </w:rPr>
      </w:pPr>
    </w:p>
    <w:p w14:paraId="42AF62D0" w14:textId="54CB3F84" w:rsidR="00F11830" w:rsidRPr="00606DA9" w:rsidRDefault="00BD15CE" w:rsidP="00BD15CE">
      <w:pPr>
        <w:jc w:val="both"/>
        <w:rPr>
          <w:rFonts w:eastAsia="Batang"/>
          <w:szCs w:val="24"/>
        </w:rPr>
      </w:pPr>
      <w:r w:rsidRPr="00606DA9">
        <w:rPr>
          <w:rFonts w:eastAsia="Batang"/>
          <w:szCs w:val="24"/>
        </w:rPr>
        <w:t xml:space="preserve">En la Ciudad Autónoma de Buenos Aires, a los </w:t>
      </w:r>
      <w:r w:rsidR="00F11830" w:rsidRPr="00606DA9">
        <w:rPr>
          <w:rFonts w:eastAsia="Batang"/>
          <w:szCs w:val="24"/>
        </w:rPr>
        <w:t>1</w:t>
      </w:r>
      <w:r w:rsidR="009E20C9" w:rsidRPr="00606DA9">
        <w:rPr>
          <w:rFonts w:eastAsia="Batang"/>
          <w:szCs w:val="24"/>
        </w:rPr>
        <w:t>0</w:t>
      </w:r>
      <w:r w:rsidR="00F11830" w:rsidRPr="00606DA9">
        <w:rPr>
          <w:rFonts w:eastAsia="Batang"/>
          <w:szCs w:val="24"/>
        </w:rPr>
        <w:t xml:space="preserve"> </w:t>
      </w:r>
      <w:r w:rsidRPr="00606DA9">
        <w:rPr>
          <w:rFonts w:eastAsia="Batang"/>
          <w:szCs w:val="24"/>
        </w:rPr>
        <w:t xml:space="preserve">días del mes de enero de </w:t>
      </w:r>
      <w:r w:rsidR="00F11830" w:rsidRPr="00606DA9">
        <w:rPr>
          <w:rFonts w:eastAsia="Batang"/>
          <w:szCs w:val="24"/>
        </w:rPr>
        <w:t>202</w:t>
      </w:r>
      <w:r w:rsidR="009E20C9" w:rsidRPr="00606DA9">
        <w:rPr>
          <w:rFonts w:eastAsia="Batang"/>
          <w:szCs w:val="24"/>
        </w:rPr>
        <w:t>2,</w:t>
      </w:r>
      <w:r w:rsidRPr="00606DA9">
        <w:rPr>
          <w:rFonts w:eastAsia="Batang"/>
          <w:szCs w:val="24"/>
        </w:rPr>
        <w:t xml:space="preserve"> a las </w:t>
      </w:r>
      <w:r w:rsidR="007E2766" w:rsidRPr="00606DA9">
        <w:rPr>
          <w:rFonts w:eastAsia="Batang"/>
          <w:szCs w:val="24"/>
        </w:rPr>
        <w:t>1</w:t>
      </w:r>
      <w:r w:rsidR="00871438">
        <w:rPr>
          <w:rFonts w:eastAsia="Batang"/>
          <w:szCs w:val="24"/>
        </w:rPr>
        <w:t>1</w:t>
      </w:r>
      <w:r w:rsidR="007E2766" w:rsidRPr="00606DA9">
        <w:rPr>
          <w:rFonts w:eastAsia="Batang"/>
          <w:szCs w:val="24"/>
        </w:rPr>
        <w:t>:</w:t>
      </w:r>
      <w:r w:rsidR="00871438">
        <w:rPr>
          <w:rFonts w:eastAsia="Batang"/>
          <w:szCs w:val="24"/>
        </w:rPr>
        <w:t>3</w:t>
      </w:r>
      <w:r w:rsidR="007E2766" w:rsidRPr="00606DA9">
        <w:rPr>
          <w:rFonts w:eastAsia="Batang"/>
          <w:szCs w:val="24"/>
        </w:rPr>
        <w:t>0</w:t>
      </w:r>
      <w:r w:rsidRPr="00606DA9">
        <w:rPr>
          <w:rFonts w:eastAsia="Batang"/>
          <w:szCs w:val="24"/>
        </w:rPr>
        <w:t xml:space="preserve"> horas, se reúnen en la sede social sita en la calle Aristóbulo del Valle 1257, los señores miembros de la Comisión Fiscalizadora de </w:t>
      </w:r>
      <w:r w:rsidRPr="00606DA9">
        <w:rPr>
          <w:rFonts w:eastAsia="Batang"/>
          <w:b/>
          <w:szCs w:val="24"/>
        </w:rPr>
        <w:t>B- GAMING S.A.</w:t>
      </w:r>
      <w:r w:rsidRPr="00606DA9">
        <w:rPr>
          <w:rFonts w:eastAsia="Batang"/>
          <w:szCs w:val="24"/>
        </w:rPr>
        <w:t xml:space="preserve"> cuyas firmas obran al pie</w:t>
      </w:r>
      <w:r w:rsidR="009E20C9" w:rsidRPr="00606DA9">
        <w:rPr>
          <w:rFonts w:eastAsia="Batang"/>
          <w:szCs w:val="24"/>
        </w:rPr>
        <w:t>.</w:t>
      </w:r>
    </w:p>
    <w:p w14:paraId="33A446CE" w14:textId="77777777" w:rsidR="000C41E3" w:rsidRPr="00606DA9" w:rsidRDefault="000C41E3" w:rsidP="002272FF">
      <w:pPr>
        <w:jc w:val="both"/>
        <w:rPr>
          <w:rFonts w:eastAsia="Batang"/>
          <w:szCs w:val="24"/>
          <w:lang w:val="es-AR"/>
        </w:rPr>
      </w:pPr>
    </w:p>
    <w:p w14:paraId="2C7C49A9" w14:textId="51448D76" w:rsidR="002272FF" w:rsidRPr="00606DA9" w:rsidRDefault="00F11830" w:rsidP="002272FF">
      <w:pPr>
        <w:jc w:val="both"/>
        <w:rPr>
          <w:rFonts w:eastAsia="Batang"/>
          <w:szCs w:val="24"/>
        </w:rPr>
      </w:pPr>
      <w:r w:rsidRPr="00606DA9">
        <w:rPr>
          <w:rFonts w:eastAsia="Batang"/>
          <w:szCs w:val="24"/>
          <w:lang w:val="es-AR"/>
        </w:rPr>
        <w:t xml:space="preserve">Abierto el acto, una vez constatada la existencia de quórum suficiente, </w:t>
      </w:r>
      <w:r w:rsidRPr="00606DA9">
        <w:rPr>
          <w:rFonts w:eastAsia="Batang"/>
          <w:szCs w:val="24"/>
        </w:rPr>
        <w:t>el</w:t>
      </w:r>
      <w:r w:rsidRPr="00606DA9">
        <w:rPr>
          <w:rFonts w:eastAsia="Batang"/>
          <w:szCs w:val="24"/>
          <w:lang w:val="es-AR"/>
        </w:rPr>
        <w:t xml:space="preserve"> </w:t>
      </w:r>
      <w:proofErr w:type="spellStart"/>
      <w:r w:rsidRPr="00606DA9">
        <w:rPr>
          <w:rFonts w:eastAsia="Batang"/>
          <w:szCs w:val="24"/>
        </w:rPr>
        <w:t>Dr</w:t>
      </w:r>
      <w:proofErr w:type="spellEnd"/>
      <w:r w:rsidRPr="00606DA9">
        <w:rPr>
          <w:rFonts w:eastAsia="Batang"/>
          <w:szCs w:val="24"/>
          <w:lang w:val="es-AR"/>
        </w:rPr>
        <w:t xml:space="preserve">. </w:t>
      </w:r>
      <w:r w:rsidRPr="00606DA9">
        <w:rPr>
          <w:rFonts w:eastAsia="Batang"/>
          <w:szCs w:val="24"/>
        </w:rPr>
        <w:t xml:space="preserve">Federico </w:t>
      </w:r>
      <w:r w:rsidR="0003263D" w:rsidRPr="00606DA9">
        <w:rPr>
          <w:rFonts w:eastAsia="Batang"/>
          <w:szCs w:val="24"/>
        </w:rPr>
        <w:t xml:space="preserve">José </w:t>
      </w:r>
      <w:r w:rsidRPr="00606DA9">
        <w:rPr>
          <w:rFonts w:eastAsia="Batang"/>
          <w:szCs w:val="24"/>
        </w:rPr>
        <w:t>Fortunati Padilla</w:t>
      </w:r>
      <w:r w:rsidRPr="00606DA9">
        <w:rPr>
          <w:rFonts w:eastAsia="Batang"/>
          <w:szCs w:val="24"/>
          <w:lang w:val="es-AR"/>
        </w:rPr>
        <w:t xml:space="preserve"> toma la palabra </w:t>
      </w:r>
      <w:r w:rsidR="002272FF" w:rsidRPr="00606DA9">
        <w:rPr>
          <w:rFonts w:eastAsia="Batang"/>
          <w:szCs w:val="24"/>
        </w:rPr>
        <w:t>y hace constar que, conforme las medidas vigentes motivadas por la pandemia del COVID-19, la presente reunión se lleva a cabo de manera presencial tomando todos los recaudos necesarios para garantizar la seguridad de los participantes.</w:t>
      </w:r>
    </w:p>
    <w:p w14:paraId="78994068" w14:textId="3722A44C" w:rsidR="00F11830" w:rsidRPr="00606DA9" w:rsidRDefault="00F11830" w:rsidP="00F11830">
      <w:pPr>
        <w:jc w:val="both"/>
        <w:rPr>
          <w:rFonts w:eastAsia="Batang"/>
          <w:szCs w:val="24"/>
        </w:rPr>
      </w:pPr>
    </w:p>
    <w:p w14:paraId="0557C8A5" w14:textId="3CDBCBAB" w:rsidR="000C41E3" w:rsidRPr="00606DA9" w:rsidRDefault="00BD15CE" w:rsidP="00BD15CE">
      <w:pPr>
        <w:jc w:val="both"/>
        <w:rPr>
          <w:rFonts w:eastAsia="Batang"/>
          <w:szCs w:val="24"/>
        </w:rPr>
      </w:pPr>
      <w:r w:rsidRPr="00606DA9">
        <w:rPr>
          <w:rFonts w:eastAsia="Batang"/>
          <w:szCs w:val="24"/>
        </w:rPr>
        <w:t xml:space="preserve">La presente reunión tiene por objeto dictaminar y emitir los correspondientes informes sobre la documentación relativa al ejercicio </w:t>
      </w:r>
      <w:proofErr w:type="spellStart"/>
      <w:r w:rsidRPr="00606DA9">
        <w:rPr>
          <w:rFonts w:eastAsia="Batang"/>
          <w:szCs w:val="24"/>
        </w:rPr>
        <w:t>N°</w:t>
      </w:r>
      <w:proofErr w:type="spellEnd"/>
      <w:r w:rsidRPr="00606DA9">
        <w:rPr>
          <w:rFonts w:eastAsia="Batang"/>
          <w:szCs w:val="24"/>
        </w:rPr>
        <w:t xml:space="preserve"> 1</w:t>
      </w:r>
      <w:r w:rsidR="0015305C" w:rsidRPr="00606DA9">
        <w:rPr>
          <w:rFonts w:eastAsia="Batang"/>
          <w:szCs w:val="24"/>
        </w:rPr>
        <w:t>5</w:t>
      </w:r>
      <w:r w:rsidRPr="00606DA9">
        <w:rPr>
          <w:rFonts w:eastAsia="Batang"/>
          <w:szCs w:val="24"/>
        </w:rPr>
        <w:t xml:space="preserve"> que comprende el período del 1° de noviembre de </w:t>
      </w:r>
      <w:r w:rsidR="00F11830" w:rsidRPr="00606DA9">
        <w:rPr>
          <w:rFonts w:eastAsia="Batang"/>
          <w:szCs w:val="24"/>
        </w:rPr>
        <w:t>20</w:t>
      </w:r>
      <w:r w:rsidR="0015305C" w:rsidRPr="00606DA9">
        <w:rPr>
          <w:rFonts w:eastAsia="Batang"/>
          <w:szCs w:val="24"/>
        </w:rPr>
        <w:t>20</w:t>
      </w:r>
      <w:r w:rsidR="00F11830" w:rsidRPr="00606DA9">
        <w:rPr>
          <w:rFonts w:eastAsia="Batang"/>
          <w:szCs w:val="24"/>
        </w:rPr>
        <w:t xml:space="preserve"> </w:t>
      </w:r>
      <w:r w:rsidRPr="00606DA9">
        <w:rPr>
          <w:rFonts w:eastAsia="Batang"/>
          <w:szCs w:val="24"/>
        </w:rPr>
        <w:t xml:space="preserve">al 31 de octubre de </w:t>
      </w:r>
      <w:r w:rsidR="00F11830" w:rsidRPr="00606DA9">
        <w:rPr>
          <w:rFonts w:eastAsia="Batang"/>
          <w:szCs w:val="24"/>
        </w:rPr>
        <w:t>202</w:t>
      </w:r>
      <w:r w:rsidR="0015305C" w:rsidRPr="00606DA9">
        <w:rPr>
          <w:rFonts w:eastAsia="Batang"/>
          <w:szCs w:val="24"/>
        </w:rPr>
        <w:t>1</w:t>
      </w:r>
      <w:r w:rsidRPr="00606DA9">
        <w:rPr>
          <w:rFonts w:eastAsia="Batang"/>
          <w:szCs w:val="24"/>
        </w:rPr>
        <w:t xml:space="preserve">, a considerarse en la reunión de Directorio prevista para el día de la fecha. </w:t>
      </w:r>
      <w:r w:rsidRPr="00606DA9">
        <w:rPr>
          <w:bCs/>
          <w:szCs w:val="24"/>
        </w:rPr>
        <w:t>Al respecto cabe puntualizar que se han realizado los trabajos de auditoría necesarios para determinar la razonabilidad de los estados financieros a considerar, los cuales fueron también efectuados durante el ejercicio en forma periódica y en un todo de conformidad con las disposiciones legales vigentes.</w:t>
      </w:r>
      <w:r w:rsidR="009D2EB5" w:rsidRPr="00606DA9">
        <w:rPr>
          <w:rFonts w:eastAsia="Batang"/>
          <w:szCs w:val="24"/>
        </w:rPr>
        <w:t xml:space="preserve"> </w:t>
      </w:r>
    </w:p>
    <w:p w14:paraId="3D1E8B10" w14:textId="77777777" w:rsidR="000C41E3" w:rsidRPr="00606DA9" w:rsidRDefault="000C41E3" w:rsidP="00BD15CE">
      <w:pPr>
        <w:jc w:val="both"/>
        <w:rPr>
          <w:rFonts w:eastAsia="Batang"/>
          <w:szCs w:val="24"/>
        </w:rPr>
      </w:pPr>
    </w:p>
    <w:p w14:paraId="2BFA8CE8" w14:textId="6C281BEE" w:rsidR="00BD15CE" w:rsidRPr="00606DA9" w:rsidRDefault="00BD15CE" w:rsidP="00BD15CE">
      <w:pPr>
        <w:jc w:val="both"/>
        <w:rPr>
          <w:rFonts w:eastAsia="Batang"/>
          <w:szCs w:val="24"/>
        </w:rPr>
      </w:pPr>
      <w:r w:rsidRPr="00606DA9">
        <w:rPr>
          <w:rFonts w:eastAsia="Batang"/>
          <w:szCs w:val="24"/>
        </w:rPr>
        <w:t>Asimismo, por unanimidad se resuelve delegar la firma de los correspondientes informes de esta Comisión Fiscalizadora, como así también la firma de los estados financieros y de toda la documentación legal pertinente en la persona de</w:t>
      </w:r>
      <w:r w:rsidR="007E2766" w:rsidRPr="00606DA9">
        <w:rPr>
          <w:rFonts w:eastAsia="Batang"/>
          <w:szCs w:val="24"/>
        </w:rPr>
        <w:t xml:space="preserve">l Dr. </w:t>
      </w:r>
      <w:r w:rsidR="0003263D" w:rsidRPr="00606DA9">
        <w:rPr>
          <w:rFonts w:eastAsia="Batang"/>
          <w:szCs w:val="24"/>
        </w:rPr>
        <w:t xml:space="preserve">José </w:t>
      </w:r>
      <w:r w:rsidR="007E2766" w:rsidRPr="00606DA9">
        <w:rPr>
          <w:rFonts w:eastAsia="Batang"/>
          <w:szCs w:val="24"/>
        </w:rPr>
        <w:t xml:space="preserve">Federico Fortunati Padilla. </w:t>
      </w:r>
      <w:r w:rsidRPr="00606DA9">
        <w:rPr>
          <w:szCs w:val="24"/>
        </w:rPr>
        <w:t xml:space="preserve"> </w:t>
      </w:r>
    </w:p>
    <w:p w14:paraId="45FC6644" w14:textId="77777777" w:rsidR="00BD15CE" w:rsidRPr="00606DA9" w:rsidRDefault="00BD15CE" w:rsidP="00BD15CE">
      <w:pPr>
        <w:jc w:val="both"/>
        <w:rPr>
          <w:rFonts w:eastAsia="Batang"/>
          <w:szCs w:val="24"/>
        </w:rPr>
      </w:pPr>
    </w:p>
    <w:p w14:paraId="7B8EB868" w14:textId="77777777" w:rsidR="00606DA9" w:rsidRPr="00606DA9" w:rsidRDefault="00606DA9" w:rsidP="00606DA9">
      <w:pPr>
        <w:tabs>
          <w:tab w:val="right" w:pos="7920"/>
          <w:tab w:val="right" w:pos="9720"/>
        </w:tabs>
        <w:jc w:val="center"/>
        <w:outlineLvl w:val="0"/>
        <w:rPr>
          <w:b/>
          <w:szCs w:val="24"/>
          <w:lang w:val="es-AR"/>
        </w:rPr>
      </w:pPr>
      <w:r w:rsidRPr="00606DA9">
        <w:rPr>
          <w:b/>
          <w:szCs w:val="24"/>
          <w:lang w:val="es-AR"/>
        </w:rPr>
        <w:t xml:space="preserve">INFORME DE LA COMISIÓN FISCALIZADORA SOBRE ESTADOS FINANCIEROS </w:t>
      </w:r>
    </w:p>
    <w:p w14:paraId="2D455B07" w14:textId="77777777" w:rsidR="00606DA9" w:rsidRPr="00606DA9" w:rsidRDefault="00606DA9" w:rsidP="00606DA9">
      <w:pPr>
        <w:jc w:val="both"/>
        <w:rPr>
          <w:b/>
          <w:szCs w:val="24"/>
          <w:lang w:val="es-AR"/>
        </w:rPr>
      </w:pPr>
    </w:p>
    <w:p w14:paraId="58C1EF16" w14:textId="77777777" w:rsidR="00606DA9" w:rsidRPr="00606DA9" w:rsidRDefault="00606DA9" w:rsidP="00606DA9">
      <w:pPr>
        <w:tabs>
          <w:tab w:val="right" w:pos="7920"/>
          <w:tab w:val="right" w:pos="9720"/>
        </w:tabs>
        <w:jc w:val="both"/>
        <w:rPr>
          <w:szCs w:val="24"/>
          <w:lang w:val="es-AR"/>
        </w:rPr>
      </w:pPr>
      <w:r w:rsidRPr="00606DA9">
        <w:rPr>
          <w:szCs w:val="24"/>
          <w:lang w:val="es-AR"/>
        </w:rPr>
        <w:t>A los señores Accionistas de</w:t>
      </w:r>
    </w:p>
    <w:p w14:paraId="22FE0D24" w14:textId="77777777" w:rsidR="00606DA9" w:rsidRPr="00606DA9" w:rsidRDefault="00606DA9" w:rsidP="00606DA9">
      <w:pPr>
        <w:tabs>
          <w:tab w:val="right" w:pos="7920"/>
          <w:tab w:val="right" w:pos="9720"/>
        </w:tabs>
        <w:jc w:val="both"/>
        <w:rPr>
          <w:b/>
          <w:szCs w:val="24"/>
          <w:lang w:val="es-AR"/>
        </w:rPr>
      </w:pPr>
      <w:r w:rsidRPr="00606DA9">
        <w:rPr>
          <w:b/>
          <w:szCs w:val="24"/>
          <w:lang w:val="es-AR"/>
        </w:rPr>
        <w:t>B-GAMING S.A.</w:t>
      </w:r>
    </w:p>
    <w:p w14:paraId="074AD202" w14:textId="77777777" w:rsidR="00606DA9" w:rsidRPr="00606DA9" w:rsidRDefault="00606DA9" w:rsidP="00606DA9">
      <w:pPr>
        <w:tabs>
          <w:tab w:val="right" w:pos="7920"/>
          <w:tab w:val="right" w:pos="9720"/>
        </w:tabs>
        <w:jc w:val="both"/>
        <w:rPr>
          <w:szCs w:val="24"/>
          <w:lang w:val="es-AR"/>
        </w:rPr>
      </w:pPr>
      <w:r w:rsidRPr="00606DA9">
        <w:rPr>
          <w:szCs w:val="24"/>
          <w:lang w:val="es-AR"/>
        </w:rPr>
        <w:t>Aristóbulo del Valle 1257</w:t>
      </w:r>
    </w:p>
    <w:p w14:paraId="5C67457B" w14:textId="77777777" w:rsidR="00606DA9" w:rsidRPr="00606DA9" w:rsidRDefault="00606DA9" w:rsidP="00606DA9">
      <w:pPr>
        <w:tabs>
          <w:tab w:val="right" w:pos="7920"/>
          <w:tab w:val="right" w:pos="9720"/>
        </w:tabs>
        <w:jc w:val="both"/>
        <w:rPr>
          <w:szCs w:val="24"/>
          <w:lang w:val="es-AR"/>
        </w:rPr>
      </w:pPr>
      <w:r w:rsidRPr="00606DA9">
        <w:rPr>
          <w:szCs w:val="24"/>
          <w:lang w:val="es-AR"/>
        </w:rPr>
        <w:t>Ciudad Autónoma de Buenos Aires</w:t>
      </w:r>
    </w:p>
    <w:p w14:paraId="00E166B7" w14:textId="77777777" w:rsidR="00606DA9" w:rsidRPr="00606DA9" w:rsidRDefault="00606DA9" w:rsidP="00606DA9">
      <w:pPr>
        <w:tabs>
          <w:tab w:val="right" w:pos="7920"/>
          <w:tab w:val="right" w:pos="9720"/>
        </w:tabs>
        <w:jc w:val="both"/>
        <w:rPr>
          <w:szCs w:val="24"/>
          <w:lang w:val="es-AR"/>
        </w:rPr>
      </w:pPr>
    </w:p>
    <w:p w14:paraId="622E2497" w14:textId="77777777" w:rsidR="00606DA9" w:rsidRPr="00606DA9" w:rsidRDefault="00606DA9" w:rsidP="00606DA9">
      <w:pPr>
        <w:tabs>
          <w:tab w:val="right" w:pos="7920"/>
          <w:tab w:val="right" w:pos="9720"/>
        </w:tabs>
        <w:jc w:val="both"/>
        <w:rPr>
          <w:szCs w:val="24"/>
          <w:lang w:val="es-AR"/>
        </w:rPr>
      </w:pPr>
      <w:r w:rsidRPr="00606DA9">
        <w:rPr>
          <w:szCs w:val="24"/>
          <w:lang w:val="es-AR"/>
        </w:rPr>
        <w:t>De nuestra consideración:</w:t>
      </w:r>
    </w:p>
    <w:p w14:paraId="1F3E91D8" w14:textId="77777777" w:rsidR="00606DA9" w:rsidRPr="00606DA9" w:rsidRDefault="00606DA9" w:rsidP="00606DA9">
      <w:pPr>
        <w:tabs>
          <w:tab w:val="right" w:pos="7920"/>
          <w:tab w:val="right" w:pos="9720"/>
        </w:tabs>
        <w:jc w:val="both"/>
        <w:rPr>
          <w:b/>
          <w:i/>
          <w:szCs w:val="24"/>
          <w:lang w:val="es-AR"/>
        </w:rPr>
      </w:pPr>
    </w:p>
    <w:p w14:paraId="3E6DDA5E" w14:textId="77777777" w:rsidR="00606DA9" w:rsidRPr="00606DA9" w:rsidRDefault="00606DA9" w:rsidP="00606DA9">
      <w:pPr>
        <w:tabs>
          <w:tab w:val="right" w:pos="7920"/>
          <w:tab w:val="right" w:pos="9720"/>
        </w:tabs>
        <w:jc w:val="both"/>
        <w:outlineLvl w:val="1"/>
        <w:rPr>
          <w:b/>
          <w:i/>
          <w:szCs w:val="24"/>
          <w:lang w:val="es-AR"/>
        </w:rPr>
      </w:pPr>
      <w:r w:rsidRPr="00606DA9">
        <w:rPr>
          <w:b/>
          <w:i/>
          <w:szCs w:val="24"/>
          <w:lang w:val="es-AR"/>
        </w:rPr>
        <w:t>Documentos examinados</w:t>
      </w:r>
    </w:p>
    <w:p w14:paraId="175F2C41" w14:textId="77777777" w:rsidR="00606DA9" w:rsidRPr="00606DA9" w:rsidRDefault="00606DA9" w:rsidP="00606DA9">
      <w:pPr>
        <w:tabs>
          <w:tab w:val="right" w:pos="7920"/>
          <w:tab w:val="right" w:pos="9720"/>
        </w:tabs>
        <w:jc w:val="both"/>
        <w:rPr>
          <w:szCs w:val="24"/>
          <w:lang w:val="es-AR"/>
        </w:rPr>
      </w:pPr>
    </w:p>
    <w:p w14:paraId="393186DD" w14:textId="77777777" w:rsidR="00606DA9" w:rsidRPr="00606DA9" w:rsidRDefault="00606DA9" w:rsidP="00606DA9">
      <w:pPr>
        <w:tabs>
          <w:tab w:val="right" w:pos="7920"/>
          <w:tab w:val="right" w:pos="9720"/>
        </w:tabs>
        <w:jc w:val="both"/>
        <w:rPr>
          <w:szCs w:val="24"/>
          <w:lang w:val="es-AR"/>
        </w:rPr>
      </w:pPr>
      <w:r w:rsidRPr="00606DA9">
        <w:rPr>
          <w:szCs w:val="24"/>
          <w:lang w:val="es-AR"/>
        </w:rPr>
        <w:t>De acuerdo con lo dispuesto en el inciso 5 del artículo 294 de la Ley General de Sociedades y con lo requerido por el artículo 62 inciso c del Reglamento de listado de Bolsas y Mercados Argentinos S.A. (</w:t>
      </w:r>
      <w:proofErr w:type="spellStart"/>
      <w:r w:rsidRPr="00606DA9">
        <w:rPr>
          <w:szCs w:val="24"/>
          <w:lang w:val="es-AR"/>
        </w:rPr>
        <w:t>ByMA</w:t>
      </w:r>
      <w:proofErr w:type="spellEnd"/>
      <w:r w:rsidRPr="00606DA9">
        <w:rPr>
          <w:szCs w:val="24"/>
          <w:lang w:val="es-AR"/>
        </w:rPr>
        <w:t xml:space="preserve">), hemos examinado la memoria, el inventario, el estado de situación financiera de </w:t>
      </w:r>
      <w:r w:rsidRPr="00606DA9">
        <w:rPr>
          <w:b/>
          <w:bCs/>
          <w:szCs w:val="24"/>
          <w:lang w:val="es-AR"/>
        </w:rPr>
        <w:t>B-GAMING S.A.</w:t>
      </w:r>
      <w:r w:rsidRPr="00606DA9">
        <w:rPr>
          <w:szCs w:val="24"/>
          <w:lang w:val="es-AR"/>
        </w:rPr>
        <w:t xml:space="preserve"> </w:t>
      </w:r>
      <w:r w:rsidRPr="00606DA9">
        <w:rPr>
          <w:szCs w:val="24"/>
        </w:rPr>
        <w:t xml:space="preserve">(“la Sociedad”) </w:t>
      </w:r>
      <w:r w:rsidRPr="00606DA9">
        <w:rPr>
          <w:szCs w:val="24"/>
          <w:lang w:val="es-AR"/>
        </w:rPr>
        <w:t>al 31 de octubre de 2021 y los estados de resultados integrales, de cambios en el patrimonio y de flujos de efectivo, por el ejercicio finalizado en esa fecha, y sus notas 1 a 31.</w:t>
      </w:r>
    </w:p>
    <w:p w14:paraId="3C0FB08A" w14:textId="77777777" w:rsidR="00606DA9" w:rsidRPr="00606DA9" w:rsidRDefault="00606DA9" w:rsidP="00606DA9">
      <w:pPr>
        <w:tabs>
          <w:tab w:val="right" w:pos="7920"/>
          <w:tab w:val="right" w:pos="9720"/>
        </w:tabs>
        <w:jc w:val="both"/>
        <w:rPr>
          <w:szCs w:val="24"/>
          <w:lang w:val="es-AR"/>
        </w:rPr>
      </w:pPr>
    </w:p>
    <w:p w14:paraId="40F47952" w14:textId="77777777" w:rsidR="00606DA9" w:rsidRPr="00606DA9" w:rsidRDefault="00606DA9" w:rsidP="00606DA9">
      <w:pPr>
        <w:tabs>
          <w:tab w:val="right" w:pos="7920"/>
          <w:tab w:val="right" w:pos="9720"/>
        </w:tabs>
        <w:jc w:val="both"/>
        <w:rPr>
          <w:szCs w:val="24"/>
          <w:lang w:val="es-AR"/>
        </w:rPr>
      </w:pPr>
      <w:r w:rsidRPr="00606DA9">
        <w:rPr>
          <w:szCs w:val="24"/>
          <w:lang w:val="es-AR"/>
        </w:rPr>
        <w:t>Las cifras y otra información correspondientes al ejercicio finalizado el 31 de octubre de 2020 son parte integrante de los estados financieros, mencionados precedentemente y se las presenta con el propósito de que se interpreten exclusivamente en relación con las cifras y otra información del ejercicio actual.</w:t>
      </w:r>
    </w:p>
    <w:p w14:paraId="7DDF1ACC" w14:textId="77777777" w:rsidR="00606DA9" w:rsidRPr="00606DA9" w:rsidRDefault="00606DA9" w:rsidP="00606DA9">
      <w:pPr>
        <w:tabs>
          <w:tab w:val="right" w:pos="7920"/>
          <w:tab w:val="right" w:pos="9720"/>
        </w:tabs>
        <w:jc w:val="both"/>
        <w:rPr>
          <w:szCs w:val="24"/>
          <w:lang w:val="es-AR"/>
        </w:rPr>
      </w:pPr>
    </w:p>
    <w:p w14:paraId="73140668" w14:textId="77777777" w:rsidR="00606DA9" w:rsidRPr="00606DA9" w:rsidRDefault="00606DA9" w:rsidP="00606DA9">
      <w:pPr>
        <w:tabs>
          <w:tab w:val="right" w:pos="7920"/>
          <w:tab w:val="right" w:pos="9720"/>
        </w:tabs>
        <w:jc w:val="both"/>
        <w:outlineLvl w:val="2"/>
        <w:rPr>
          <w:i/>
          <w:szCs w:val="24"/>
          <w:lang w:val="es-AR"/>
        </w:rPr>
      </w:pPr>
      <w:r w:rsidRPr="00606DA9">
        <w:rPr>
          <w:i/>
          <w:szCs w:val="24"/>
          <w:lang w:val="es-AR"/>
        </w:rPr>
        <w:lastRenderedPageBreak/>
        <w:t xml:space="preserve">Responsabilidad de la Dirección en relación con los estados financieros </w:t>
      </w:r>
    </w:p>
    <w:p w14:paraId="6246BF30" w14:textId="77777777" w:rsidR="00606DA9" w:rsidRPr="00606DA9" w:rsidRDefault="00606DA9" w:rsidP="00606DA9">
      <w:pPr>
        <w:tabs>
          <w:tab w:val="right" w:pos="9720"/>
        </w:tabs>
        <w:jc w:val="both"/>
        <w:rPr>
          <w:szCs w:val="24"/>
          <w:lang w:val="es-AR"/>
        </w:rPr>
      </w:pPr>
    </w:p>
    <w:p w14:paraId="4F217492" w14:textId="77777777" w:rsidR="00606DA9" w:rsidRPr="00606DA9" w:rsidRDefault="00606DA9" w:rsidP="00606DA9">
      <w:pPr>
        <w:tabs>
          <w:tab w:val="right" w:pos="9720"/>
        </w:tabs>
        <w:jc w:val="both"/>
        <w:rPr>
          <w:szCs w:val="24"/>
          <w:lang w:val="es-AR"/>
        </w:rPr>
      </w:pPr>
      <w:r w:rsidRPr="00606DA9">
        <w:rPr>
          <w:szCs w:val="24"/>
          <w:lang w:val="es-AR"/>
        </w:rPr>
        <w:t>El Directorio de la Sociedad es responsable de la preparación y presentación razonable de los estados financieros adjuntos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por sus siglas en inglés), e incorporadas por la Comisión Nacional de Valores (CNV) a su normativa. Asimismo, el Directorio de la Sociedad es responsable del control interno que considere necesario para permitir la preparación de estados financieros libres de incorrecciones significativas.</w:t>
      </w:r>
    </w:p>
    <w:p w14:paraId="5181E09A" w14:textId="77777777" w:rsidR="00606DA9" w:rsidRPr="00606DA9" w:rsidRDefault="00606DA9" w:rsidP="00606DA9">
      <w:pPr>
        <w:tabs>
          <w:tab w:val="right" w:pos="9720"/>
        </w:tabs>
        <w:jc w:val="both"/>
        <w:rPr>
          <w:i/>
          <w:szCs w:val="24"/>
          <w:lang w:val="es-AR"/>
        </w:rPr>
      </w:pPr>
    </w:p>
    <w:p w14:paraId="7E924C6F" w14:textId="77777777" w:rsidR="00606DA9" w:rsidRPr="00606DA9" w:rsidRDefault="00606DA9" w:rsidP="00606DA9">
      <w:pPr>
        <w:tabs>
          <w:tab w:val="right" w:pos="7920"/>
          <w:tab w:val="right" w:pos="9720"/>
        </w:tabs>
        <w:jc w:val="both"/>
        <w:outlineLvl w:val="2"/>
        <w:rPr>
          <w:i/>
          <w:szCs w:val="24"/>
          <w:lang w:val="es-AR"/>
        </w:rPr>
      </w:pPr>
      <w:r w:rsidRPr="00606DA9">
        <w:rPr>
          <w:i/>
          <w:szCs w:val="24"/>
          <w:lang w:val="es-AR"/>
        </w:rPr>
        <w:t>Responsabilidad de la Comisión Fiscalizadora</w:t>
      </w:r>
    </w:p>
    <w:p w14:paraId="4D8B2C05" w14:textId="77777777" w:rsidR="00606DA9" w:rsidRPr="00606DA9" w:rsidRDefault="00606DA9" w:rsidP="00606DA9">
      <w:pPr>
        <w:tabs>
          <w:tab w:val="right" w:pos="7920"/>
          <w:tab w:val="right" w:pos="9498"/>
        </w:tabs>
        <w:jc w:val="both"/>
        <w:rPr>
          <w:szCs w:val="24"/>
          <w:lang w:val="es-AR"/>
        </w:rPr>
      </w:pPr>
    </w:p>
    <w:p w14:paraId="6F2492A8" w14:textId="77777777" w:rsidR="00606DA9" w:rsidRPr="00606DA9" w:rsidRDefault="00606DA9" w:rsidP="00606DA9">
      <w:pPr>
        <w:tabs>
          <w:tab w:val="right" w:pos="7920"/>
          <w:tab w:val="right" w:pos="9498"/>
        </w:tabs>
        <w:jc w:val="both"/>
        <w:rPr>
          <w:szCs w:val="24"/>
          <w:lang w:val="es-AR"/>
        </w:rPr>
      </w:pPr>
      <w:r w:rsidRPr="00606DA9">
        <w:rPr>
          <w:szCs w:val="24"/>
          <w:lang w:val="es-AR"/>
        </w:rPr>
        <w:t>Nuestro examen fue realizado de acuerdo con las normas de sindicatura vigentes establecidas en la Resolución Técnica Nro. 15 de la FACPCE.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691B24E0" w14:textId="77777777" w:rsidR="00606DA9" w:rsidRPr="00606DA9" w:rsidRDefault="00606DA9" w:rsidP="00606DA9">
      <w:pPr>
        <w:tabs>
          <w:tab w:val="right" w:pos="7920"/>
          <w:tab w:val="right" w:pos="9498"/>
        </w:tabs>
        <w:jc w:val="both"/>
        <w:rPr>
          <w:szCs w:val="24"/>
          <w:lang w:val="es-AR"/>
        </w:rPr>
      </w:pPr>
    </w:p>
    <w:p w14:paraId="51628A4D" w14:textId="77777777" w:rsidR="00606DA9" w:rsidRPr="00606DA9" w:rsidRDefault="00606DA9" w:rsidP="00606DA9">
      <w:pPr>
        <w:tabs>
          <w:tab w:val="right" w:pos="7920"/>
          <w:tab w:val="right" w:pos="9498"/>
        </w:tabs>
        <w:jc w:val="both"/>
        <w:rPr>
          <w:szCs w:val="24"/>
          <w:lang w:val="es-AR"/>
        </w:rPr>
      </w:pPr>
      <w:r w:rsidRPr="00606DA9">
        <w:rPr>
          <w:szCs w:val="24"/>
          <w:lang w:val="es-AR"/>
        </w:rPr>
        <w:t xml:space="preserve">Para realizar nuestra tarea profesional sobre los documentos arriba mencionados, hemos revisado la auditoría efectuada por la firma BECHER Y ASOCIADOS S.R.L en su carácter de auditores externos, quienes emitieron su informe de fecha 10 de enero de 2022 de acuerdo con las normas de auditoría vigentes.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adjuntos de conformidad con las </w:t>
      </w:r>
      <w:r w:rsidRPr="00606DA9">
        <w:rPr>
          <w:szCs w:val="24"/>
          <w:lang w:val="es-AR" w:eastAsia="es-AR"/>
        </w:rPr>
        <w:t xml:space="preserve">Normas Internacionales de Auditoría (NIA) adoptadas por la FACPCE a través de la Resolución Técnica </w:t>
      </w:r>
      <w:proofErr w:type="spellStart"/>
      <w:r w:rsidRPr="00606DA9">
        <w:rPr>
          <w:szCs w:val="24"/>
          <w:lang w:val="es-AR" w:eastAsia="es-AR"/>
        </w:rPr>
        <w:t>Nº</w:t>
      </w:r>
      <w:proofErr w:type="spellEnd"/>
      <w:r w:rsidRPr="00606DA9">
        <w:rPr>
          <w:szCs w:val="24"/>
          <w:lang w:val="es-AR" w:eastAsia="es-AR"/>
        </w:rPr>
        <w:t xml:space="preserve"> 32, tal como fueron aprobadas por el Consejo de Normas Internacionales de Auditoría y Aseguramiento (IAASB, por sus siglas en inglés) de la Federación Internacional de Contadores (IFAC, por sus siglas en inglés). </w:t>
      </w:r>
      <w:r w:rsidRPr="00606DA9">
        <w:rPr>
          <w:szCs w:val="24"/>
          <w:lang w:val="es-AR"/>
        </w:rPr>
        <w:t>Dichas normas exigen que cumpla los requerimientos de ética.</w:t>
      </w:r>
    </w:p>
    <w:p w14:paraId="4C609F83" w14:textId="77777777" w:rsidR="00606DA9" w:rsidRPr="00606DA9" w:rsidRDefault="00606DA9" w:rsidP="00606DA9">
      <w:pPr>
        <w:tabs>
          <w:tab w:val="right" w:pos="7920"/>
          <w:tab w:val="right" w:pos="9498"/>
        </w:tabs>
        <w:jc w:val="both"/>
        <w:rPr>
          <w:szCs w:val="24"/>
          <w:lang w:val="es-AR"/>
        </w:rPr>
      </w:pPr>
    </w:p>
    <w:p w14:paraId="31D441E0" w14:textId="77777777" w:rsidR="00606DA9" w:rsidRPr="00606DA9" w:rsidRDefault="00606DA9" w:rsidP="00606DA9">
      <w:pPr>
        <w:jc w:val="both"/>
        <w:rPr>
          <w:szCs w:val="24"/>
          <w:lang w:val="es-AR"/>
        </w:rPr>
      </w:pPr>
      <w:r w:rsidRPr="00606DA9">
        <w:rPr>
          <w:szCs w:val="24"/>
          <w:lang w:val="es-AR" w:eastAsia="es-AR"/>
        </w:rPr>
        <w:t>Una auditoría conlleva la aplicación de procedimientos para obtener elementos de juicios sobre las cifras y otra información presentada en los estados financieros. Los procedimientos seleccionados dependen del juicio del auditor, incluyendo la valoración del riesgo de incorrecciones significativas en los estados financieros debidas a fraude o error.</w:t>
      </w:r>
    </w:p>
    <w:p w14:paraId="36F00DAF" w14:textId="77777777" w:rsidR="00606DA9" w:rsidRPr="00606DA9" w:rsidRDefault="00606DA9" w:rsidP="00606DA9">
      <w:pPr>
        <w:jc w:val="both"/>
        <w:rPr>
          <w:szCs w:val="24"/>
          <w:lang w:val="es-AR"/>
        </w:rPr>
      </w:pPr>
    </w:p>
    <w:p w14:paraId="3249CE36" w14:textId="77777777" w:rsidR="00606DA9" w:rsidRPr="00606DA9" w:rsidRDefault="00606DA9" w:rsidP="00606DA9">
      <w:pPr>
        <w:jc w:val="both"/>
        <w:rPr>
          <w:szCs w:val="24"/>
          <w:lang w:val="es-AR" w:eastAsia="es-AR"/>
        </w:rPr>
      </w:pPr>
      <w:r w:rsidRPr="00606DA9">
        <w:rPr>
          <w:szCs w:val="24"/>
          <w:lang w:val="es-AR" w:eastAsia="es-AR"/>
        </w:rPr>
        <w:t xml:space="preserve">Al efectuar dicha valoración del riesgo, el auditor debe tener en consideración el control interno pertinente para la preparación y presentación razonable por parte de la Sociedad de los estados financieros, con el fin de diseñar los procedimientos de auditoría que sean adecuados, en función a las circunstancias, y no con la finalidad de expresar una opinión sobre la eficacia del control interno de la Sociedad. </w:t>
      </w:r>
    </w:p>
    <w:p w14:paraId="5478CD13" w14:textId="77777777" w:rsidR="00606DA9" w:rsidRPr="00606DA9" w:rsidRDefault="00606DA9" w:rsidP="00606DA9">
      <w:pPr>
        <w:jc w:val="both"/>
        <w:rPr>
          <w:szCs w:val="24"/>
          <w:lang w:val="es-AR" w:eastAsia="es-AR"/>
        </w:rPr>
      </w:pPr>
    </w:p>
    <w:p w14:paraId="39603B7A" w14:textId="77777777" w:rsidR="00606DA9" w:rsidRPr="00606DA9" w:rsidRDefault="00606DA9" w:rsidP="00606DA9">
      <w:pPr>
        <w:jc w:val="both"/>
        <w:rPr>
          <w:szCs w:val="24"/>
          <w:lang w:val="es-AR" w:eastAsia="es-AR"/>
        </w:rPr>
      </w:pPr>
      <w:r w:rsidRPr="00606DA9">
        <w:rPr>
          <w:szCs w:val="24"/>
          <w:lang w:val="es-AR" w:eastAsia="es-AR"/>
        </w:rPr>
        <w:t>Una auditoría también comprende una evaluación de la adecuación de las políticas contables aplicadas, de la razonabilidad de las estimaciones significativas realizadas por la dirección de la Sociedad, como la evaluación de la presentación de los estados financieros en su conjunto.</w:t>
      </w:r>
    </w:p>
    <w:p w14:paraId="3BD68E8A" w14:textId="77777777" w:rsidR="00606DA9" w:rsidRPr="00606DA9" w:rsidRDefault="00606DA9" w:rsidP="00606DA9">
      <w:pPr>
        <w:jc w:val="both"/>
        <w:rPr>
          <w:szCs w:val="24"/>
          <w:lang w:val="es-AR"/>
        </w:rPr>
      </w:pPr>
    </w:p>
    <w:p w14:paraId="31270818" w14:textId="77777777" w:rsidR="00606DA9" w:rsidRPr="00606DA9" w:rsidRDefault="00606DA9" w:rsidP="00606DA9">
      <w:pPr>
        <w:jc w:val="both"/>
        <w:rPr>
          <w:szCs w:val="24"/>
          <w:lang w:val="es-AR"/>
        </w:rPr>
      </w:pPr>
      <w:r w:rsidRPr="00606DA9">
        <w:rPr>
          <w:szCs w:val="24"/>
          <w:lang w:val="es-AR"/>
        </w:rPr>
        <w:t>Consideramos que los elementos de juicio que hemos obtenido proporcionan una base suficiente y adecuada para fundamentar nuestra opinión.</w:t>
      </w:r>
    </w:p>
    <w:p w14:paraId="416E50E4" w14:textId="77777777" w:rsidR="00606DA9" w:rsidRPr="00606DA9" w:rsidRDefault="00606DA9" w:rsidP="00606DA9">
      <w:pPr>
        <w:jc w:val="both"/>
        <w:rPr>
          <w:szCs w:val="24"/>
          <w:lang w:val="es-AR"/>
        </w:rPr>
      </w:pPr>
    </w:p>
    <w:p w14:paraId="4022224E" w14:textId="77777777" w:rsidR="00606DA9" w:rsidRPr="00606DA9" w:rsidRDefault="00606DA9" w:rsidP="00606DA9">
      <w:pPr>
        <w:jc w:val="both"/>
        <w:rPr>
          <w:szCs w:val="24"/>
          <w:lang w:val="es-AR"/>
        </w:rPr>
      </w:pPr>
      <w:r w:rsidRPr="00606DA9">
        <w:rPr>
          <w:szCs w:val="24"/>
          <w:lang w:val="es-AR"/>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788ADE41" w14:textId="77777777" w:rsidR="00606DA9" w:rsidRPr="00606DA9" w:rsidRDefault="00606DA9" w:rsidP="00606DA9">
      <w:pPr>
        <w:jc w:val="both"/>
        <w:rPr>
          <w:szCs w:val="24"/>
          <w:lang w:val="es-AR"/>
        </w:rPr>
      </w:pPr>
    </w:p>
    <w:p w14:paraId="027D4E3E" w14:textId="77777777" w:rsidR="00606DA9" w:rsidRPr="00606DA9" w:rsidRDefault="00606DA9" w:rsidP="00606DA9">
      <w:pPr>
        <w:jc w:val="both"/>
        <w:rPr>
          <w:szCs w:val="24"/>
          <w:lang w:val="es-AR"/>
        </w:rPr>
      </w:pPr>
      <w:r w:rsidRPr="00606DA9">
        <w:rPr>
          <w:szCs w:val="24"/>
          <w:lang w:val="es-AR"/>
        </w:rPr>
        <w:t>En relación con la Memoria, hemos verificado que contiene la información requerida por el artículo 66 de la Ley General de Sociedades y la dispuesta por la CNV no teniendo observaciones que realizar en lo que es materia de nuestra competencia. Las proyecciones y afirmaciones sobre hechos futuros contenidas en dicho documento son responsabilidad exclusiva del Directorio.</w:t>
      </w:r>
    </w:p>
    <w:p w14:paraId="1C2F3FEC" w14:textId="77777777" w:rsidR="00606DA9" w:rsidRPr="00606DA9" w:rsidRDefault="00606DA9" w:rsidP="00606DA9">
      <w:pPr>
        <w:jc w:val="both"/>
        <w:rPr>
          <w:szCs w:val="24"/>
          <w:lang w:val="es-AR"/>
        </w:rPr>
      </w:pPr>
    </w:p>
    <w:p w14:paraId="5BB3F855" w14:textId="77777777" w:rsidR="00606DA9" w:rsidRPr="00606DA9" w:rsidRDefault="00606DA9" w:rsidP="00606DA9">
      <w:pPr>
        <w:jc w:val="both"/>
        <w:rPr>
          <w:szCs w:val="24"/>
          <w:lang w:val="es-AR"/>
        </w:rPr>
      </w:pPr>
      <w:bookmarkStart w:id="0" w:name="_Hlk29198240"/>
      <w:r w:rsidRPr="00606DA9">
        <w:rPr>
          <w:szCs w:val="24"/>
          <w:lang w:val="es-AR"/>
        </w:rPr>
        <w:t>En relación con el Inventario, no tenemos observaciones que formular.</w:t>
      </w:r>
    </w:p>
    <w:bookmarkEnd w:id="0"/>
    <w:p w14:paraId="224ABD2E" w14:textId="77777777" w:rsidR="00606DA9" w:rsidRPr="00606DA9" w:rsidRDefault="00606DA9" w:rsidP="00606DA9">
      <w:pPr>
        <w:jc w:val="both"/>
        <w:rPr>
          <w:szCs w:val="24"/>
          <w:lang w:val="es-AR"/>
        </w:rPr>
      </w:pPr>
    </w:p>
    <w:p w14:paraId="2848618F" w14:textId="77777777" w:rsidR="00606DA9" w:rsidRPr="00606DA9" w:rsidRDefault="00606DA9" w:rsidP="00606DA9">
      <w:pPr>
        <w:tabs>
          <w:tab w:val="right" w:pos="7920"/>
          <w:tab w:val="right" w:pos="9720"/>
        </w:tabs>
        <w:jc w:val="both"/>
        <w:outlineLvl w:val="2"/>
        <w:rPr>
          <w:i/>
          <w:szCs w:val="24"/>
          <w:lang w:val="es-AR"/>
        </w:rPr>
      </w:pPr>
      <w:r w:rsidRPr="00606DA9">
        <w:rPr>
          <w:i/>
          <w:szCs w:val="24"/>
          <w:lang w:val="es-AR"/>
        </w:rPr>
        <w:t>Opinión</w:t>
      </w:r>
    </w:p>
    <w:p w14:paraId="7BD3683D" w14:textId="77777777" w:rsidR="00606DA9" w:rsidRPr="00606DA9" w:rsidRDefault="00606DA9" w:rsidP="00606DA9">
      <w:pPr>
        <w:tabs>
          <w:tab w:val="right" w:pos="7920"/>
          <w:tab w:val="right" w:pos="9720"/>
        </w:tabs>
        <w:jc w:val="both"/>
        <w:rPr>
          <w:szCs w:val="24"/>
          <w:lang w:val="es-AR"/>
        </w:rPr>
      </w:pPr>
    </w:p>
    <w:p w14:paraId="7852DC53" w14:textId="77777777" w:rsidR="00606DA9" w:rsidRPr="00606DA9" w:rsidRDefault="00606DA9" w:rsidP="00606DA9">
      <w:pPr>
        <w:tabs>
          <w:tab w:val="right" w:pos="7920"/>
          <w:tab w:val="right" w:pos="9720"/>
        </w:tabs>
        <w:jc w:val="both"/>
        <w:rPr>
          <w:szCs w:val="24"/>
          <w:lang w:val="es-AR"/>
        </w:rPr>
      </w:pPr>
      <w:r w:rsidRPr="00606DA9">
        <w:rPr>
          <w:szCs w:val="24"/>
          <w:lang w:val="es-AR"/>
        </w:rPr>
        <w:t xml:space="preserve">Como resultado de nuestra revisión y basado en el informe de los auditores externos de fecha 10 de enero de 2022, </w:t>
      </w:r>
      <w:r w:rsidRPr="00606DA9">
        <w:rPr>
          <w:szCs w:val="24"/>
          <w:lang w:val="es-AR" w:eastAsia="es-AR"/>
        </w:rPr>
        <w:t xml:space="preserve">los estados financieros mencionados presentan razonablemente, en todos sus aspectos significativos, la situación financiera de </w:t>
      </w:r>
      <w:r w:rsidRPr="00606DA9">
        <w:rPr>
          <w:b/>
          <w:bCs/>
          <w:szCs w:val="24"/>
          <w:lang w:val="es-AR" w:eastAsia="es-AR"/>
        </w:rPr>
        <w:t xml:space="preserve">B-GAMING S.A. </w:t>
      </w:r>
      <w:r w:rsidRPr="00606DA9">
        <w:rPr>
          <w:szCs w:val="24"/>
          <w:lang w:val="es-AR" w:eastAsia="es-AR"/>
        </w:rPr>
        <w:t xml:space="preserve">al 31 de octubre de 2021, así como </w:t>
      </w:r>
      <w:r w:rsidRPr="00606DA9">
        <w:rPr>
          <w:szCs w:val="24"/>
          <w:lang w:val="es-AR"/>
        </w:rPr>
        <w:t xml:space="preserve">los resultados integrales, los cambios en su patrimonio y los flujos de su efectivo, correspondientes al ejercicio finalizado en esa fecha, </w:t>
      </w:r>
      <w:r w:rsidRPr="00606DA9">
        <w:rPr>
          <w:szCs w:val="24"/>
          <w:lang w:val="es-AR" w:eastAsia="es-AR"/>
        </w:rPr>
        <w:t>de acuerdo con las NIIF.</w:t>
      </w:r>
    </w:p>
    <w:p w14:paraId="1DDB5936" w14:textId="77777777" w:rsidR="00606DA9" w:rsidRPr="00606DA9" w:rsidRDefault="00606DA9" w:rsidP="00606DA9">
      <w:pPr>
        <w:ind w:left="284"/>
        <w:jc w:val="both"/>
        <w:rPr>
          <w:szCs w:val="24"/>
          <w:lang w:val="es-AR" w:eastAsia="es-AR"/>
        </w:rPr>
      </w:pPr>
    </w:p>
    <w:p w14:paraId="02FA263E" w14:textId="77777777" w:rsidR="00606DA9" w:rsidRPr="00606DA9" w:rsidRDefault="00606DA9" w:rsidP="00606DA9">
      <w:pPr>
        <w:tabs>
          <w:tab w:val="right" w:pos="7920"/>
          <w:tab w:val="right" w:pos="9720"/>
        </w:tabs>
        <w:jc w:val="both"/>
        <w:outlineLvl w:val="2"/>
        <w:rPr>
          <w:i/>
          <w:szCs w:val="24"/>
          <w:lang w:val="es-AR"/>
        </w:rPr>
      </w:pPr>
      <w:r w:rsidRPr="00606DA9">
        <w:rPr>
          <w:i/>
          <w:szCs w:val="24"/>
          <w:lang w:val="es-AR"/>
        </w:rPr>
        <w:t>Párrafo de énfasis</w:t>
      </w:r>
    </w:p>
    <w:p w14:paraId="5199BFC9" w14:textId="77777777" w:rsidR="00606DA9" w:rsidRPr="00606DA9" w:rsidRDefault="00606DA9" w:rsidP="00606DA9">
      <w:pPr>
        <w:ind w:left="284"/>
        <w:jc w:val="both"/>
        <w:rPr>
          <w:szCs w:val="24"/>
          <w:lang w:val="es-AR" w:eastAsia="es-AR"/>
        </w:rPr>
      </w:pPr>
    </w:p>
    <w:p w14:paraId="125F62C2" w14:textId="77777777" w:rsidR="00606DA9" w:rsidRPr="00606DA9" w:rsidRDefault="00606DA9" w:rsidP="00606DA9">
      <w:pPr>
        <w:jc w:val="both"/>
        <w:rPr>
          <w:szCs w:val="24"/>
          <w:lang w:val="es-AR" w:eastAsia="es-AR"/>
        </w:rPr>
      </w:pPr>
      <w:r w:rsidRPr="00606DA9">
        <w:rPr>
          <w:szCs w:val="24"/>
          <w:lang w:val="es-AR" w:eastAsia="es-AR"/>
        </w:rPr>
        <w:t xml:space="preserve">Sin modificar nuestra opinión, queremos enfatizar la información contenida en la Nota 30 a los </w:t>
      </w:r>
      <w:r w:rsidRPr="00606DA9">
        <w:rPr>
          <w:szCs w:val="24"/>
        </w:rPr>
        <w:t>estados financieros adjuntos</w:t>
      </w:r>
      <w:r w:rsidRPr="00606DA9">
        <w:rPr>
          <w:szCs w:val="24"/>
          <w:lang w:val="es-AR" w:eastAsia="es-AR"/>
        </w:rPr>
        <w:t xml:space="preserve">, que describe los efectos negativos que la pandemia de COVID-19 está produciendo en las actividades operativas y financieras de la Sociedad. </w:t>
      </w:r>
    </w:p>
    <w:p w14:paraId="705C63B2" w14:textId="77777777" w:rsidR="00606DA9" w:rsidRPr="00606DA9" w:rsidRDefault="00606DA9" w:rsidP="00606DA9">
      <w:pPr>
        <w:jc w:val="both"/>
        <w:rPr>
          <w:szCs w:val="24"/>
          <w:lang w:val="es-AR" w:eastAsia="es-AR"/>
        </w:rPr>
      </w:pPr>
    </w:p>
    <w:p w14:paraId="23699ED9" w14:textId="77777777" w:rsidR="00606DA9" w:rsidRPr="00606DA9" w:rsidRDefault="00606DA9" w:rsidP="00606DA9">
      <w:pPr>
        <w:jc w:val="both"/>
        <w:rPr>
          <w:szCs w:val="24"/>
          <w:lang w:val="es-AR" w:eastAsia="es-AR"/>
        </w:rPr>
      </w:pPr>
      <w:r w:rsidRPr="00606DA9">
        <w:rPr>
          <w:szCs w:val="24"/>
          <w:lang w:val="es-AR" w:eastAsia="es-AR"/>
        </w:rPr>
        <w:t>La Dirección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ejercicio 2022.</w:t>
      </w:r>
    </w:p>
    <w:p w14:paraId="25FFB5FD" w14:textId="77777777" w:rsidR="00606DA9" w:rsidRPr="00606DA9" w:rsidRDefault="00606DA9" w:rsidP="00606DA9">
      <w:pPr>
        <w:jc w:val="both"/>
        <w:rPr>
          <w:szCs w:val="24"/>
          <w:lang w:val="es-AR" w:eastAsia="es-AR"/>
        </w:rPr>
      </w:pPr>
    </w:p>
    <w:p w14:paraId="09290B39" w14:textId="77777777" w:rsidR="00606DA9" w:rsidRPr="00606DA9" w:rsidRDefault="00606DA9" w:rsidP="00606DA9">
      <w:pPr>
        <w:tabs>
          <w:tab w:val="right" w:pos="7920"/>
          <w:tab w:val="right" w:pos="9720"/>
        </w:tabs>
        <w:jc w:val="both"/>
        <w:outlineLvl w:val="1"/>
        <w:rPr>
          <w:b/>
          <w:i/>
          <w:szCs w:val="24"/>
          <w:lang w:val="es-AR"/>
        </w:rPr>
      </w:pPr>
      <w:r w:rsidRPr="00606DA9">
        <w:rPr>
          <w:b/>
          <w:i/>
          <w:szCs w:val="24"/>
          <w:lang w:val="es-AR"/>
        </w:rPr>
        <w:t>Informes sobre otros requerimientos legales y reglamentarios</w:t>
      </w:r>
    </w:p>
    <w:p w14:paraId="06A02ECD" w14:textId="77777777" w:rsidR="00606DA9" w:rsidRPr="00606DA9" w:rsidRDefault="00606DA9" w:rsidP="00606DA9">
      <w:pPr>
        <w:tabs>
          <w:tab w:val="right" w:pos="7920"/>
          <w:tab w:val="right" w:pos="9720"/>
        </w:tabs>
        <w:jc w:val="both"/>
        <w:rPr>
          <w:szCs w:val="24"/>
          <w:lang w:val="es-AR"/>
        </w:rPr>
      </w:pPr>
    </w:p>
    <w:p w14:paraId="4A301E94" w14:textId="77777777" w:rsidR="00606DA9" w:rsidRPr="00606DA9" w:rsidRDefault="00606DA9" w:rsidP="00606DA9">
      <w:pPr>
        <w:tabs>
          <w:tab w:val="right" w:pos="7920"/>
          <w:tab w:val="right" w:pos="9720"/>
        </w:tabs>
        <w:jc w:val="both"/>
        <w:rPr>
          <w:szCs w:val="24"/>
          <w:lang w:val="es-AR"/>
        </w:rPr>
      </w:pPr>
      <w:r w:rsidRPr="00606DA9">
        <w:rPr>
          <w:szCs w:val="24"/>
          <w:lang w:val="es-AR"/>
        </w:rPr>
        <w:t>Los estados financieros surgen de los registros contables de la Sociedad llevados, en sus aspectos formales, de conformidad con las disposiciones legales vigentes</w:t>
      </w:r>
      <w:bookmarkStart w:id="1" w:name="_Hlk60126540"/>
      <w:r w:rsidRPr="00606DA9">
        <w:rPr>
          <w:szCs w:val="24"/>
          <w:lang w:val="es-AR"/>
        </w:rPr>
        <w:t>, excepto en lo relativo a la transcripción al libro Diario e Inventarios y Balances dado que a la fecha aún no han sido transcriptos.</w:t>
      </w:r>
      <w:bookmarkEnd w:id="1"/>
    </w:p>
    <w:p w14:paraId="3311DEC5" w14:textId="77777777" w:rsidR="00606DA9" w:rsidRPr="00606DA9" w:rsidRDefault="00606DA9" w:rsidP="00606DA9">
      <w:pPr>
        <w:tabs>
          <w:tab w:val="right" w:pos="7920"/>
          <w:tab w:val="right" w:pos="9720"/>
        </w:tabs>
        <w:jc w:val="both"/>
        <w:rPr>
          <w:szCs w:val="24"/>
          <w:lang w:val="es-AR"/>
        </w:rPr>
      </w:pPr>
    </w:p>
    <w:p w14:paraId="4F9BFE96" w14:textId="77777777" w:rsidR="00606DA9" w:rsidRPr="00606DA9" w:rsidRDefault="00606DA9" w:rsidP="00606DA9">
      <w:pPr>
        <w:tabs>
          <w:tab w:val="right" w:pos="7920"/>
          <w:tab w:val="right" w:pos="9720"/>
        </w:tabs>
        <w:jc w:val="both"/>
        <w:rPr>
          <w:szCs w:val="24"/>
          <w:lang w:val="es-AR"/>
        </w:rPr>
      </w:pPr>
      <w:r w:rsidRPr="00606DA9">
        <w:rPr>
          <w:szCs w:val="24"/>
          <w:lang w:val="es-AR"/>
        </w:rPr>
        <w:t>Hemos aplicado los procedimientos sobre prevención de lavado de activos y financiación del terrorismo previstos en las correspondientes normas profesionales emitidas por la FACPCE.</w:t>
      </w:r>
    </w:p>
    <w:p w14:paraId="2E82A439" w14:textId="77777777" w:rsidR="00606DA9" w:rsidRPr="00606DA9" w:rsidRDefault="00606DA9" w:rsidP="00606DA9">
      <w:pPr>
        <w:tabs>
          <w:tab w:val="right" w:pos="7920"/>
          <w:tab w:val="right" w:pos="9720"/>
        </w:tabs>
        <w:jc w:val="both"/>
        <w:rPr>
          <w:szCs w:val="24"/>
          <w:lang w:val="es-AR"/>
        </w:rPr>
      </w:pPr>
    </w:p>
    <w:p w14:paraId="64E2EF7A" w14:textId="77777777" w:rsidR="00606DA9" w:rsidRPr="00606DA9" w:rsidRDefault="00606DA9" w:rsidP="00606DA9">
      <w:pPr>
        <w:tabs>
          <w:tab w:val="right" w:pos="7920"/>
          <w:tab w:val="right" w:pos="9720"/>
        </w:tabs>
        <w:jc w:val="both"/>
        <w:rPr>
          <w:szCs w:val="24"/>
          <w:lang w:val="es-AR"/>
        </w:rPr>
      </w:pPr>
    </w:p>
    <w:p w14:paraId="710A142D" w14:textId="77777777" w:rsidR="00606DA9" w:rsidRPr="00606DA9" w:rsidRDefault="00606DA9" w:rsidP="00606DA9">
      <w:pPr>
        <w:tabs>
          <w:tab w:val="right" w:pos="7920"/>
          <w:tab w:val="right" w:pos="9720"/>
        </w:tabs>
        <w:jc w:val="both"/>
        <w:rPr>
          <w:szCs w:val="24"/>
          <w:lang w:val="es-AR"/>
        </w:rPr>
      </w:pPr>
      <w:r w:rsidRPr="00606DA9">
        <w:rPr>
          <w:szCs w:val="24"/>
          <w:lang w:val="es-AR"/>
        </w:rPr>
        <w:t>Ciudad Autónoma de Buenos Aires, 10 de enero de 2022.</w:t>
      </w:r>
    </w:p>
    <w:p w14:paraId="251BC159" w14:textId="77777777" w:rsidR="00606DA9" w:rsidRPr="00606DA9" w:rsidRDefault="00606DA9" w:rsidP="00606DA9">
      <w:pPr>
        <w:tabs>
          <w:tab w:val="right" w:pos="7680"/>
          <w:tab w:val="right" w:pos="7920"/>
          <w:tab w:val="right" w:pos="9600"/>
          <w:tab w:val="right" w:pos="9720"/>
        </w:tabs>
        <w:rPr>
          <w:szCs w:val="24"/>
          <w:lang w:val="es-AR"/>
        </w:rPr>
      </w:pPr>
    </w:p>
    <w:p w14:paraId="34D53F16" w14:textId="77777777" w:rsidR="00606DA9" w:rsidRPr="00606DA9" w:rsidRDefault="00606DA9" w:rsidP="00606DA9">
      <w:pPr>
        <w:ind w:left="4956" w:right="-2"/>
        <w:jc w:val="center"/>
        <w:rPr>
          <w:szCs w:val="24"/>
          <w:lang w:val="es-AR"/>
        </w:rPr>
      </w:pPr>
      <w:r w:rsidRPr="00606DA9">
        <w:rPr>
          <w:szCs w:val="24"/>
          <w:lang w:val="es-AR"/>
        </w:rPr>
        <w:t>Federico José Fortunati Padilla</w:t>
      </w:r>
    </w:p>
    <w:p w14:paraId="73E1FAF7" w14:textId="77777777" w:rsidR="00606DA9" w:rsidRPr="00606DA9" w:rsidRDefault="00606DA9" w:rsidP="00606DA9">
      <w:pPr>
        <w:ind w:left="4956" w:right="-2"/>
        <w:jc w:val="center"/>
        <w:rPr>
          <w:szCs w:val="24"/>
          <w:lang w:val="es-AR"/>
        </w:rPr>
      </w:pPr>
      <w:r w:rsidRPr="00606DA9">
        <w:rPr>
          <w:szCs w:val="24"/>
          <w:lang w:val="es-AR"/>
        </w:rPr>
        <w:t>Síndico titular - Por delegación</w:t>
      </w:r>
    </w:p>
    <w:p w14:paraId="3F65DCFA" w14:textId="77777777" w:rsidR="00606DA9" w:rsidRPr="00606DA9" w:rsidRDefault="00606DA9" w:rsidP="00606DA9">
      <w:pPr>
        <w:ind w:left="4956" w:right="-2"/>
        <w:jc w:val="center"/>
        <w:rPr>
          <w:szCs w:val="24"/>
          <w:lang w:val="es-AR"/>
        </w:rPr>
      </w:pPr>
      <w:r w:rsidRPr="00606DA9">
        <w:rPr>
          <w:szCs w:val="24"/>
          <w:lang w:val="es-AR"/>
        </w:rPr>
        <w:t>Comisión Fiscalizadora</w:t>
      </w:r>
    </w:p>
    <w:p w14:paraId="41DB376A" w14:textId="77777777" w:rsidR="00606DA9" w:rsidRPr="00606DA9" w:rsidRDefault="00606DA9" w:rsidP="00606DA9">
      <w:pPr>
        <w:ind w:left="4956" w:right="-2"/>
        <w:jc w:val="center"/>
        <w:rPr>
          <w:szCs w:val="24"/>
          <w:lang w:val="es-AR"/>
        </w:rPr>
      </w:pPr>
      <w:r w:rsidRPr="00606DA9">
        <w:rPr>
          <w:szCs w:val="24"/>
          <w:lang w:val="es-AR"/>
        </w:rPr>
        <w:t>Abogado</w:t>
      </w:r>
    </w:p>
    <w:p w14:paraId="11E9BA1F" w14:textId="77777777" w:rsidR="00606DA9" w:rsidRPr="00606DA9" w:rsidRDefault="00606DA9" w:rsidP="00606DA9">
      <w:pPr>
        <w:tabs>
          <w:tab w:val="right" w:pos="7680"/>
          <w:tab w:val="right" w:pos="7920"/>
          <w:tab w:val="right" w:pos="9600"/>
          <w:tab w:val="right" w:pos="9720"/>
        </w:tabs>
        <w:jc w:val="both"/>
        <w:rPr>
          <w:szCs w:val="24"/>
          <w:lang w:val="es-AR"/>
        </w:rPr>
      </w:pPr>
    </w:p>
    <w:p w14:paraId="3AE8CFC0" w14:textId="1C1BE0E4" w:rsidR="00BD15CE" w:rsidRPr="00606DA9" w:rsidRDefault="00BD15CE" w:rsidP="00BD15CE">
      <w:pPr>
        <w:jc w:val="both"/>
        <w:rPr>
          <w:bCs/>
          <w:szCs w:val="24"/>
        </w:rPr>
      </w:pPr>
      <w:r w:rsidRPr="00606DA9">
        <w:rPr>
          <w:bCs/>
          <w:szCs w:val="24"/>
        </w:rPr>
        <w:t xml:space="preserve">No habiendo más asuntos que tratar, previa lectura y ratificación de la presente acta, siendo las </w:t>
      </w:r>
      <w:r w:rsidR="007E2766" w:rsidRPr="00606DA9">
        <w:rPr>
          <w:bCs/>
          <w:szCs w:val="24"/>
        </w:rPr>
        <w:t>1</w:t>
      </w:r>
      <w:r w:rsidR="00871438">
        <w:rPr>
          <w:bCs/>
          <w:szCs w:val="24"/>
        </w:rPr>
        <w:t>1</w:t>
      </w:r>
      <w:r w:rsidR="007E2766" w:rsidRPr="00606DA9">
        <w:rPr>
          <w:bCs/>
          <w:szCs w:val="24"/>
        </w:rPr>
        <w:t>:</w:t>
      </w:r>
      <w:r w:rsidR="00871438">
        <w:rPr>
          <w:bCs/>
          <w:szCs w:val="24"/>
        </w:rPr>
        <w:t>55</w:t>
      </w:r>
      <w:r w:rsidRPr="00606DA9">
        <w:rPr>
          <w:bCs/>
          <w:szCs w:val="24"/>
        </w:rPr>
        <w:t xml:space="preserve"> horas se levanta la sesión.</w:t>
      </w:r>
    </w:p>
    <w:p w14:paraId="1076C315" w14:textId="77777777" w:rsidR="00BD15CE" w:rsidRPr="00606DA9" w:rsidRDefault="00BD15CE" w:rsidP="00BD15CE">
      <w:pPr>
        <w:jc w:val="center"/>
        <w:rPr>
          <w:szCs w:val="24"/>
        </w:rPr>
      </w:pPr>
    </w:p>
    <w:p w14:paraId="6352C110" w14:textId="77777777" w:rsidR="00BD15CE" w:rsidRPr="00606DA9" w:rsidRDefault="00BD15CE" w:rsidP="00BD15CE">
      <w:pPr>
        <w:rPr>
          <w:rFonts w:eastAsia="Batang"/>
          <w:iCs/>
          <w:szCs w:val="24"/>
          <w:lang w:val="es-ES_tradnl"/>
        </w:rPr>
      </w:pPr>
    </w:p>
    <w:p w14:paraId="0E98786E" w14:textId="38630562" w:rsidR="0003263D" w:rsidRPr="00606DA9" w:rsidRDefault="00DC20FF" w:rsidP="003A6F01">
      <w:pPr>
        <w:jc w:val="both"/>
        <w:rPr>
          <w:i/>
          <w:szCs w:val="24"/>
        </w:rPr>
      </w:pPr>
      <w:r w:rsidRPr="00606DA9">
        <w:rPr>
          <w:i/>
          <w:szCs w:val="24"/>
          <w:u w:val="single"/>
        </w:rPr>
        <w:t>Fdo</w:t>
      </w:r>
      <w:r w:rsidRPr="00606DA9">
        <w:rPr>
          <w:i/>
          <w:szCs w:val="24"/>
        </w:rPr>
        <w:t xml:space="preserve">.: </w:t>
      </w:r>
      <w:r w:rsidR="0003263D" w:rsidRPr="00606DA9">
        <w:rPr>
          <w:i/>
          <w:szCs w:val="24"/>
        </w:rPr>
        <w:t>Federico José Fortunati Padilla</w:t>
      </w:r>
      <w:r w:rsidRPr="00606DA9">
        <w:rPr>
          <w:i/>
          <w:szCs w:val="24"/>
        </w:rPr>
        <w:t xml:space="preserve"> (Síndico Titular) - </w:t>
      </w:r>
      <w:r w:rsidR="0003263D" w:rsidRPr="00606DA9">
        <w:rPr>
          <w:i/>
          <w:szCs w:val="24"/>
        </w:rPr>
        <w:t>María Celeste Maldonado</w:t>
      </w:r>
      <w:r w:rsidRPr="00606DA9">
        <w:rPr>
          <w:i/>
          <w:szCs w:val="24"/>
        </w:rPr>
        <w:t xml:space="preserve"> (Síndico Titular) - </w:t>
      </w:r>
      <w:r w:rsidR="0003263D" w:rsidRPr="00606DA9">
        <w:rPr>
          <w:i/>
          <w:szCs w:val="24"/>
        </w:rPr>
        <w:t>Sergio Suarez</w:t>
      </w:r>
      <w:r w:rsidRPr="00606DA9">
        <w:rPr>
          <w:i/>
          <w:szCs w:val="24"/>
        </w:rPr>
        <w:t xml:space="preserve"> (</w:t>
      </w:r>
      <w:r w:rsidR="0003263D" w:rsidRPr="00606DA9">
        <w:rPr>
          <w:i/>
          <w:szCs w:val="24"/>
        </w:rPr>
        <w:t>Síndico Titular</w:t>
      </w:r>
      <w:r w:rsidRPr="00606DA9">
        <w:rPr>
          <w:i/>
          <w:szCs w:val="24"/>
        </w:rPr>
        <w:t>).</w:t>
      </w:r>
    </w:p>
    <w:p w14:paraId="3C91C061" w14:textId="3762FDC2" w:rsidR="005518D5" w:rsidRPr="00606DA9" w:rsidRDefault="00871438" w:rsidP="00BD15CE">
      <w:pPr>
        <w:rPr>
          <w:szCs w:val="24"/>
        </w:rPr>
      </w:pPr>
    </w:p>
    <w:sectPr w:rsidR="005518D5" w:rsidRPr="00606DA9" w:rsidSect="007A2DC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8814" w14:textId="77777777" w:rsidR="006A7142" w:rsidRDefault="006A7142" w:rsidP="00ED1786">
      <w:r>
        <w:separator/>
      </w:r>
    </w:p>
  </w:endnote>
  <w:endnote w:type="continuationSeparator" w:id="0">
    <w:p w14:paraId="6A6A84D3" w14:textId="77777777" w:rsidR="006A7142" w:rsidRDefault="006A7142" w:rsidP="00ED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0782" w14:textId="6A333A8B" w:rsidR="00445BCC" w:rsidRPr="00ED1786" w:rsidRDefault="00A92396" w:rsidP="007A2DC4">
    <w:pPr>
      <w:pStyle w:val="Piedepgina"/>
      <w:tabs>
        <w:tab w:val="clear" w:pos="8504"/>
        <w:tab w:val="right" w:pos="9720"/>
      </w:tabs>
      <w:ind w:left="-993" w:right="-288" w:hanging="427"/>
      <w:jc w:val="center"/>
      <w:rPr>
        <w:sz w:val="16"/>
        <w:szCs w:val="16"/>
        <w:lang w:val="es-MX"/>
      </w:rPr>
    </w:pPr>
    <w:r>
      <w:rPr>
        <w:noProof/>
      </w:rPr>
      <mc:AlternateContent>
        <mc:Choice Requires="wps">
          <w:drawing>
            <wp:anchor distT="0" distB="0" distL="114300" distR="114300" simplePos="0" relativeHeight="251660288" behindDoc="0" locked="0" layoutInCell="0" allowOverlap="1" wp14:anchorId="4A59DDA2" wp14:editId="31D96125">
              <wp:simplePos x="0" y="0"/>
              <wp:positionH relativeFrom="page">
                <wp:posOffset>0</wp:posOffset>
              </wp:positionH>
              <wp:positionV relativeFrom="page">
                <wp:posOffset>10227945</wp:posOffset>
              </wp:positionV>
              <wp:extent cx="7560310" cy="273050"/>
              <wp:effectExtent l="0" t="0" r="0" b="12700"/>
              <wp:wrapNone/>
              <wp:docPr id="3" name="MSIPCMdbfb4d808ae30b7f0c6818d4" descr="{&quot;HashCode&quot;:13456444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5E02F" w14:textId="4877E8D1" w:rsidR="00A92396" w:rsidRPr="00A92396" w:rsidRDefault="00A92396" w:rsidP="00A923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59DDA2" id="_x0000_t202" coordsize="21600,21600" o:spt="202" path="m,l,21600r21600,l21600,xe">
              <v:stroke joinstyle="miter"/>
              <v:path gradientshapeok="t" o:connecttype="rect"/>
            </v:shapetype>
            <v:shape id="MSIPCMdbfb4d808ae30b7f0c6818d4" o:spid="_x0000_s1026" type="#_x0000_t202" alt="{&quot;HashCode&quot;:1345644473,&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sj8e7ICAABHBQAA&#10;DgAAAAAAAAAAAAAAAAAuAgAAZHJzL2Uyb0RvYy54bWxQSwECLQAUAAYACAAAACEAfHYI4d8AAAAL&#10;AQAADwAAAAAAAAAAAAAAAAAMBQAAZHJzL2Rvd25yZXYueG1sUEsFBgAAAAAEAAQA8wAAABgGAAAA&#10;AA==&#10;" o:allowincell="f" filled="f" stroked="f" strokeweight=".5pt">
              <v:textbox inset="20pt,0,,0">
                <w:txbxContent>
                  <w:p w14:paraId="5565E02F" w14:textId="4877E8D1" w:rsidR="00A92396" w:rsidRPr="00A92396" w:rsidRDefault="00A92396" w:rsidP="00A92396">
                    <w:pPr>
                      <w:rPr>
                        <w:rFonts w:ascii="Calibri" w:hAnsi="Calibri" w:cs="Calibri"/>
                        <w:color w:val="000000"/>
                        <w:sz w:val="20"/>
                      </w:rPr>
                    </w:pPr>
                  </w:p>
                </w:txbxContent>
              </v:textbox>
              <w10:wrap anchorx="page" anchory="page"/>
            </v:shape>
          </w:pict>
        </mc:Fallback>
      </mc:AlternateContent>
    </w:r>
    <w:r w:rsidR="00445BCC">
      <w:rPr>
        <w:noProof/>
      </w:rPr>
      <w:drawing>
        <wp:anchor distT="0" distB="0" distL="114300" distR="114300" simplePos="0" relativeHeight="251659264" behindDoc="0" locked="0" layoutInCell="1" allowOverlap="1" wp14:anchorId="7526D778" wp14:editId="1C92358A">
          <wp:simplePos x="0" y="0"/>
          <wp:positionH relativeFrom="margin">
            <wp:posOffset>-9525</wp:posOffset>
          </wp:positionH>
          <wp:positionV relativeFrom="paragraph">
            <wp:posOffset>128270</wp:posOffset>
          </wp:positionV>
          <wp:extent cx="339090" cy="4216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CC" w:rsidRPr="00ED1786">
      <w:rPr>
        <w:sz w:val="16"/>
        <w:szCs w:val="16"/>
        <w:lang w:val="es-MX"/>
      </w:rPr>
      <w:t>Aristóbulo del Valle 1257- C1295ADA - C. Autónoma de Bs As - R. A. Teléfono: (5411) 4309 5400</w:t>
    </w:r>
  </w:p>
  <w:p w14:paraId="1D9DFC3E" w14:textId="77777777" w:rsidR="00445BCC" w:rsidRPr="002B0F70" w:rsidRDefault="00445BCC" w:rsidP="00445BCC">
    <w:pPr>
      <w:pStyle w:val="Piedepgina"/>
      <w:tabs>
        <w:tab w:val="clear" w:pos="8504"/>
        <w:tab w:val="right" w:pos="9720"/>
      </w:tabs>
      <w:ind w:right="-288" w:hanging="1080"/>
      <w:jc w:val="center"/>
      <w:rPr>
        <w:sz w:val="15"/>
        <w:szCs w:val="15"/>
        <w:lang w:val="en-US"/>
      </w:rPr>
    </w:pPr>
    <w:bookmarkStart w:id="2" w:name="_Hlk29224516"/>
    <w:r w:rsidRPr="00ED1786">
      <w:rPr>
        <w:sz w:val="16"/>
        <w:szCs w:val="16"/>
        <w:lang w:val="en-US"/>
      </w:rPr>
      <w:t xml:space="preserve">Mail: </w:t>
    </w:r>
    <w:r w:rsidRPr="00E74C5B">
      <w:rPr>
        <w:sz w:val="16"/>
        <w:szCs w:val="16"/>
        <w:lang w:val="en-US"/>
      </w:rPr>
      <w:t>ComercialBG@bgaming.com.ar</w:t>
    </w:r>
    <w:r w:rsidRPr="00ED1786">
      <w:rPr>
        <w:sz w:val="16"/>
        <w:szCs w:val="16"/>
        <w:lang w:val="en-US"/>
      </w:rPr>
      <w:t xml:space="preserve"> – Web: www.bgaming.com.ar</w:t>
    </w:r>
    <w:bookmarkEnd w:id="2"/>
  </w:p>
  <w:p w14:paraId="58EFA6C7" w14:textId="77777777" w:rsidR="00ED1786" w:rsidRPr="00C45966" w:rsidRDefault="00ED1786">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DAB7" w14:textId="77777777" w:rsidR="006A7142" w:rsidRDefault="006A7142" w:rsidP="00ED1786">
      <w:r>
        <w:separator/>
      </w:r>
    </w:p>
  </w:footnote>
  <w:footnote w:type="continuationSeparator" w:id="0">
    <w:p w14:paraId="2E351D38" w14:textId="77777777" w:rsidR="006A7142" w:rsidRDefault="006A7142" w:rsidP="00ED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85C5" w14:textId="614FE018" w:rsidR="00ED1786" w:rsidRDefault="00445BCC" w:rsidP="00445BCC">
    <w:pPr>
      <w:pStyle w:val="Encabezado"/>
      <w:jc w:val="right"/>
    </w:pPr>
    <w:r>
      <w:rPr>
        <w:noProof/>
      </w:rPr>
      <w:drawing>
        <wp:inline distT="0" distB="0" distL="0" distR="0" wp14:anchorId="5054D927" wp14:editId="621B7E3D">
          <wp:extent cx="1533525" cy="371475"/>
          <wp:effectExtent l="0" t="0" r="9525" b="9525"/>
          <wp:docPr id="2" name="Imagen 2" descr="bgaming-logo-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aming-logo-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p>
  <w:p w14:paraId="5EF00309" w14:textId="77777777" w:rsidR="00D70DAC" w:rsidRDefault="00D70D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86"/>
    <w:rsid w:val="00021684"/>
    <w:rsid w:val="0002777F"/>
    <w:rsid w:val="0003263D"/>
    <w:rsid w:val="000C41E3"/>
    <w:rsid w:val="000E17A0"/>
    <w:rsid w:val="0015305C"/>
    <w:rsid w:val="001652F4"/>
    <w:rsid w:val="00177393"/>
    <w:rsid w:val="001B715E"/>
    <w:rsid w:val="002272FF"/>
    <w:rsid w:val="0028171D"/>
    <w:rsid w:val="003277A0"/>
    <w:rsid w:val="003A6F01"/>
    <w:rsid w:val="003D21B6"/>
    <w:rsid w:val="0041735C"/>
    <w:rsid w:val="00445BCC"/>
    <w:rsid w:val="005F34C6"/>
    <w:rsid w:val="00606DA9"/>
    <w:rsid w:val="006A7142"/>
    <w:rsid w:val="006E2B39"/>
    <w:rsid w:val="00787896"/>
    <w:rsid w:val="007A2DC4"/>
    <w:rsid w:val="007B4D06"/>
    <w:rsid w:val="007E2766"/>
    <w:rsid w:val="00833FE0"/>
    <w:rsid w:val="0085402B"/>
    <w:rsid w:val="00871438"/>
    <w:rsid w:val="009B0DC1"/>
    <w:rsid w:val="009D2EB5"/>
    <w:rsid w:val="009E20C9"/>
    <w:rsid w:val="00A221D9"/>
    <w:rsid w:val="00A92396"/>
    <w:rsid w:val="00B0564E"/>
    <w:rsid w:val="00B53325"/>
    <w:rsid w:val="00BD15CE"/>
    <w:rsid w:val="00C45966"/>
    <w:rsid w:val="00D35505"/>
    <w:rsid w:val="00D70DAC"/>
    <w:rsid w:val="00D87EB2"/>
    <w:rsid w:val="00DC20FF"/>
    <w:rsid w:val="00E13F0A"/>
    <w:rsid w:val="00E67E6C"/>
    <w:rsid w:val="00ED1786"/>
    <w:rsid w:val="00F11830"/>
    <w:rsid w:val="00F51FD8"/>
    <w:rsid w:val="00F57365"/>
    <w:rsid w:val="00F64AEA"/>
    <w:rsid w:val="00FF47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1AB045"/>
  <w15:chartTrackingRefBased/>
  <w15:docId w15:val="{199DD432-6437-4A43-8195-1C4CF1B6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5CE"/>
    <w:pPr>
      <w:spacing w:after="0" w:line="240" w:lineRule="auto"/>
    </w:pPr>
    <w:rPr>
      <w:rFonts w:ascii="Times New Roman" w:eastAsia="Times New Roman" w:hAnsi="Times New Roman" w:cs="Times New Roman"/>
      <w:sz w:val="24"/>
      <w:szCs w:val="20"/>
      <w:lang w:val="es-ES"/>
    </w:rPr>
  </w:style>
  <w:style w:type="paragraph" w:styleId="Ttulo1">
    <w:name w:val="heading 1"/>
    <w:basedOn w:val="Normal"/>
    <w:next w:val="Normal"/>
    <w:link w:val="Ttulo1Car"/>
    <w:qFormat/>
    <w:rsid w:val="00BD15CE"/>
    <w:pPr>
      <w:keepNext/>
      <w:outlineLvl w:val="0"/>
    </w:pPr>
    <w:rPr>
      <w:rFonts w:ascii="Book Antiqua" w:hAnsi="Book Antiqua"/>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786"/>
    <w:pPr>
      <w:tabs>
        <w:tab w:val="center" w:pos="4252"/>
        <w:tab w:val="right" w:pos="8504"/>
      </w:tabs>
    </w:pPr>
    <w:rPr>
      <w:rFonts w:asciiTheme="minorHAnsi" w:eastAsiaTheme="minorHAnsi" w:hAnsiTheme="minorHAnsi" w:cstheme="minorBidi"/>
      <w:sz w:val="22"/>
      <w:szCs w:val="22"/>
      <w:lang w:val="es-AR"/>
    </w:rPr>
  </w:style>
  <w:style w:type="character" w:customStyle="1" w:styleId="EncabezadoCar">
    <w:name w:val="Encabezado Car"/>
    <w:basedOn w:val="Fuentedeprrafopredeter"/>
    <w:link w:val="Encabezado"/>
    <w:uiPriority w:val="99"/>
    <w:rsid w:val="00ED1786"/>
  </w:style>
  <w:style w:type="paragraph" w:styleId="Piedepgina">
    <w:name w:val="footer"/>
    <w:basedOn w:val="Normal"/>
    <w:link w:val="PiedepginaCar"/>
    <w:unhideWhenUsed/>
    <w:rsid w:val="00ED1786"/>
    <w:pPr>
      <w:tabs>
        <w:tab w:val="center" w:pos="4252"/>
        <w:tab w:val="right" w:pos="8504"/>
      </w:tabs>
    </w:pPr>
    <w:rPr>
      <w:rFonts w:asciiTheme="minorHAnsi" w:eastAsiaTheme="minorHAnsi" w:hAnsiTheme="minorHAnsi" w:cstheme="minorBidi"/>
      <w:sz w:val="22"/>
      <w:szCs w:val="22"/>
      <w:lang w:val="es-AR"/>
    </w:rPr>
  </w:style>
  <w:style w:type="character" w:customStyle="1" w:styleId="PiedepginaCar">
    <w:name w:val="Pie de página Car"/>
    <w:basedOn w:val="Fuentedeprrafopredeter"/>
    <w:link w:val="Piedepgina"/>
    <w:rsid w:val="00ED1786"/>
  </w:style>
  <w:style w:type="character" w:customStyle="1" w:styleId="Ttulo1Car">
    <w:name w:val="Título 1 Car"/>
    <w:basedOn w:val="Fuentedeprrafopredeter"/>
    <w:link w:val="Ttulo1"/>
    <w:rsid w:val="00BD15CE"/>
    <w:rPr>
      <w:rFonts w:ascii="Book Antiqua" w:eastAsia="Times New Roman" w:hAnsi="Book Antiqua" w:cs="Times New Roman"/>
      <w:b/>
      <w:sz w:val="40"/>
      <w:szCs w:val="20"/>
      <w:lang w:val="es-ES"/>
    </w:rPr>
  </w:style>
  <w:style w:type="paragraph" w:styleId="Textoindependiente">
    <w:name w:val="Body Text"/>
    <w:basedOn w:val="Normal"/>
    <w:link w:val="TextoindependienteCar"/>
    <w:semiHidden/>
    <w:unhideWhenUsed/>
    <w:rsid w:val="00BD15CE"/>
    <w:pPr>
      <w:spacing w:after="120"/>
    </w:pPr>
  </w:style>
  <w:style w:type="character" w:customStyle="1" w:styleId="TextoindependienteCar">
    <w:name w:val="Texto independiente Car"/>
    <w:basedOn w:val="Fuentedeprrafopredeter"/>
    <w:link w:val="Textoindependiente"/>
    <w:semiHidden/>
    <w:rsid w:val="00BD15CE"/>
    <w:rPr>
      <w:rFonts w:ascii="Times New Roman" w:eastAsia="Times New Roman" w:hAnsi="Times New Roman" w:cs="Times New Roman"/>
      <w:sz w:val="24"/>
      <w:szCs w:val="20"/>
      <w:lang w:val="es-ES"/>
    </w:rPr>
  </w:style>
  <w:style w:type="paragraph" w:customStyle="1" w:styleId="KPMG">
    <w:name w:val="KPMG"/>
    <w:basedOn w:val="Normal"/>
    <w:rsid w:val="00BD15CE"/>
    <w:pPr>
      <w:jc w:val="both"/>
    </w:pPr>
    <w:rPr>
      <w:rFonts w:ascii="New York" w:hAnsi="New York"/>
      <w:lang w:val="es-AR"/>
    </w:rPr>
  </w:style>
  <w:style w:type="table" w:styleId="Tablaconcuadrcula">
    <w:name w:val="Table Grid"/>
    <w:basedOn w:val="Tablanormal"/>
    <w:uiPriority w:val="39"/>
    <w:rsid w:val="009D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D2E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2EB5"/>
    <w:rPr>
      <w:rFonts w:ascii="Segoe UI" w:eastAsia="Times New Roman" w:hAnsi="Segoe UI" w:cs="Segoe UI"/>
      <w:sz w:val="18"/>
      <w:szCs w:val="18"/>
      <w:lang w:val="es-ES"/>
    </w:rPr>
  </w:style>
  <w:style w:type="paragraph" w:styleId="Revisin">
    <w:name w:val="Revision"/>
    <w:hidden/>
    <w:uiPriority w:val="99"/>
    <w:semiHidden/>
    <w:rsid w:val="003A6F01"/>
    <w:pPr>
      <w:spacing w:after="0" w:line="240" w:lineRule="auto"/>
    </w:pPr>
    <w:rPr>
      <w:rFonts w:ascii="Times New Roman" w:eastAsia="Times New Roman" w:hAnsi="Times New Roman" w:cs="Times New Roman"/>
      <w:sz w:val="24"/>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1183">
      <w:bodyDiv w:val="1"/>
      <w:marLeft w:val="0"/>
      <w:marRight w:val="0"/>
      <w:marTop w:val="0"/>
      <w:marBottom w:val="0"/>
      <w:divBdr>
        <w:top w:val="none" w:sz="0" w:space="0" w:color="auto"/>
        <w:left w:val="none" w:sz="0" w:space="0" w:color="auto"/>
        <w:bottom w:val="none" w:sz="0" w:space="0" w:color="auto"/>
        <w:right w:val="none" w:sz="0" w:space="0" w:color="auto"/>
      </w:divBdr>
    </w:div>
    <w:div w:id="6823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7659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Cecilia Verónica</dc:creator>
  <cp:keywords/>
  <dc:description/>
  <cp:lastModifiedBy>Florencia De Alessandre</cp:lastModifiedBy>
  <cp:revision>2</cp:revision>
  <cp:lastPrinted>2020-01-08T19:44:00Z</cp:lastPrinted>
  <dcterms:created xsi:type="dcterms:W3CDTF">2022-01-10T17:07:00Z</dcterms:created>
  <dcterms:modified xsi:type="dcterms:W3CDTF">2022-01-10T17:07:00Z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2221e4-2706-4fcd-89cf-23b25a73246f_Enabled">
    <vt:lpwstr>true</vt:lpwstr>
  </property>
  <property fmtid="{D5CDD505-2E9C-101B-9397-08002B2CF9AE}" pid="3" name="MSIP_Label_b82221e4-2706-4fcd-89cf-23b25a73246f_SetDate">
    <vt:lpwstr>2022-01-10T17:06:30Z</vt:lpwstr>
  </property>
  <property fmtid="{D5CDD505-2E9C-101B-9397-08002B2CF9AE}" pid="4" name="MSIP_Label_b82221e4-2706-4fcd-89cf-23b25a73246f_Method">
    <vt:lpwstr>Privileged</vt:lpwstr>
  </property>
  <property fmtid="{D5CDD505-2E9C-101B-9397-08002B2CF9AE}" pid="5" name="MSIP_Label_b82221e4-2706-4fcd-89cf-23b25a73246f_Name">
    <vt:lpwstr>Información Pública</vt:lpwstr>
  </property>
  <property fmtid="{D5CDD505-2E9C-101B-9397-08002B2CF9AE}" pid="6" name="MSIP_Label_b82221e4-2706-4fcd-89cf-23b25a73246f_SiteId">
    <vt:lpwstr>59132fa3-6ab0-488a-a1b6-f8f96893d1b7</vt:lpwstr>
  </property>
  <property fmtid="{D5CDD505-2E9C-101B-9397-08002B2CF9AE}" pid="7" name="MSIP_Label_b82221e4-2706-4fcd-89cf-23b25a73246f_ActionId">
    <vt:lpwstr>3672f8bb-6dba-49e1-9ba6-5c15a6ece0df</vt:lpwstr>
  </property>
  <property fmtid="{D5CDD505-2E9C-101B-9397-08002B2CF9AE}" pid="8" name="MSIP_Label_b82221e4-2706-4fcd-89cf-23b25a73246f_ContentBits">
    <vt:lpwstr>0</vt:lpwstr>
  </property>
</Properties>
</file>