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64256" w14:textId="18AF8AA7" w:rsidR="00B903ED" w:rsidRDefault="00B903ED" w:rsidP="00B903ED">
      <w:pPr>
        <w:pStyle w:val="Ttulo1"/>
        <w:spacing w:line="360" w:lineRule="auto"/>
        <w:jc w:val="center"/>
        <w:rPr>
          <w:rFonts w:ascii="Times New Roman" w:hAnsi="Times New Roman"/>
          <w:bCs/>
          <w:sz w:val="24"/>
          <w:szCs w:val="24"/>
          <w:u w:val="single"/>
          <w:lang w:val="es-AR"/>
        </w:rPr>
      </w:pPr>
      <w:r w:rsidRPr="007C6313">
        <w:rPr>
          <w:rFonts w:ascii="Times New Roman" w:hAnsi="Times New Roman"/>
          <w:bCs/>
          <w:sz w:val="24"/>
          <w:szCs w:val="24"/>
          <w:u w:val="single"/>
          <w:lang w:val="es-AR"/>
        </w:rPr>
        <w:t xml:space="preserve">Acta de Comité de Auditoría N° </w:t>
      </w:r>
      <w:r>
        <w:rPr>
          <w:rFonts w:ascii="Times New Roman" w:hAnsi="Times New Roman"/>
          <w:bCs/>
          <w:sz w:val="24"/>
          <w:szCs w:val="24"/>
          <w:u w:val="single"/>
          <w:lang w:val="es-AR"/>
        </w:rPr>
        <w:t>36</w:t>
      </w:r>
    </w:p>
    <w:p w14:paraId="2166F1A6" w14:textId="77777777" w:rsidR="00B903ED" w:rsidRPr="00B903ED" w:rsidRDefault="00B903ED" w:rsidP="00B903ED">
      <w:pPr>
        <w:rPr>
          <w:lang w:val="es-AR" w:eastAsia="x-none"/>
        </w:rPr>
      </w:pPr>
    </w:p>
    <w:p w14:paraId="3C4BA7F2" w14:textId="7E970EF1" w:rsidR="00B903ED" w:rsidRPr="007C6313" w:rsidRDefault="00B903ED" w:rsidP="00B903ED">
      <w:pPr>
        <w:jc w:val="both"/>
        <w:rPr>
          <w:szCs w:val="24"/>
        </w:rPr>
      </w:pPr>
      <w:r w:rsidRPr="00226E22">
        <w:rPr>
          <w:szCs w:val="24"/>
        </w:rPr>
        <w:t>En la</w:t>
      </w:r>
      <w:r>
        <w:rPr>
          <w:szCs w:val="24"/>
        </w:rPr>
        <w:t xml:space="preserve"> Ciudad Autónoma de Buenos Aires, a los</w:t>
      </w:r>
      <w:r w:rsidRPr="00A81AB0">
        <w:rPr>
          <w:szCs w:val="24"/>
        </w:rPr>
        <w:t xml:space="preserve"> </w:t>
      </w:r>
      <w:r>
        <w:rPr>
          <w:szCs w:val="24"/>
        </w:rPr>
        <w:t xml:space="preserve">9 </w:t>
      </w:r>
      <w:r w:rsidRPr="002F4EC0">
        <w:rPr>
          <w:szCs w:val="24"/>
        </w:rPr>
        <w:t xml:space="preserve">días del mes de </w:t>
      </w:r>
      <w:r>
        <w:rPr>
          <w:szCs w:val="24"/>
        </w:rPr>
        <w:t>enero</w:t>
      </w:r>
      <w:r w:rsidRPr="00BE5A8C">
        <w:rPr>
          <w:szCs w:val="24"/>
        </w:rPr>
        <w:t xml:space="preserve"> </w:t>
      </w:r>
      <w:r>
        <w:rPr>
          <w:szCs w:val="24"/>
        </w:rPr>
        <w:t>de 2024, siendo las 16:</w:t>
      </w:r>
      <w:r w:rsidR="007A63AC">
        <w:rPr>
          <w:szCs w:val="24"/>
        </w:rPr>
        <w:t>3</w:t>
      </w:r>
      <w:r>
        <w:rPr>
          <w:szCs w:val="24"/>
        </w:rPr>
        <w:t xml:space="preserve">5 </w:t>
      </w:r>
      <w:r w:rsidRPr="002F4EC0">
        <w:rPr>
          <w:szCs w:val="24"/>
        </w:rPr>
        <w:t xml:space="preserve">horas se reúnen en la sede social sita en la calle Aristóbulo del Valle 1257, los integrantes del Comité de Auditoría de </w:t>
      </w:r>
      <w:r w:rsidRPr="00BE5A8C">
        <w:rPr>
          <w:szCs w:val="24"/>
        </w:rPr>
        <w:t xml:space="preserve">B-Gaming S.A. </w:t>
      </w:r>
      <w:r w:rsidRPr="00DA52FC">
        <w:rPr>
          <w:szCs w:val="24"/>
        </w:rPr>
        <w:t>(en adelante, la “Sociedad”)</w:t>
      </w:r>
      <w:r w:rsidRPr="002F4EC0">
        <w:rPr>
          <w:szCs w:val="24"/>
        </w:rPr>
        <w:t xml:space="preserve"> cuyas firmas obran al pie.</w:t>
      </w:r>
      <w:r>
        <w:rPr>
          <w:szCs w:val="24"/>
        </w:rPr>
        <w:t xml:space="preserve"> </w:t>
      </w:r>
      <w:r w:rsidRPr="00BD7953">
        <w:rPr>
          <w:szCs w:val="24"/>
        </w:rPr>
        <w:t xml:space="preserve">Toma la palabra el Sr. </w:t>
      </w:r>
      <w:r>
        <w:rPr>
          <w:szCs w:val="24"/>
        </w:rPr>
        <w:t xml:space="preserve">Anibal Batista Pires Bernardo, </w:t>
      </w:r>
      <w:r w:rsidRPr="00C27131">
        <w:rPr>
          <w:szCs w:val="24"/>
        </w:rPr>
        <w:t xml:space="preserve">quien luego de verificar la existencia de quórum suficiente para sesionar, declara abierto el acto y manifiesta que la presente reunión tiene por objeto tratar el primer y único punto del Orden del Día: </w:t>
      </w:r>
      <w:r w:rsidRPr="007C6313">
        <w:rPr>
          <w:b/>
          <w:szCs w:val="24"/>
        </w:rPr>
        <w:t>1°)</w:t>
      </w:r>
      <w:r w:rsidRPr="007C6313">
        <w:rPr>
          <w:szCs w:val="24"/>
        </w:rPr>
        <w:t xml:space="preserve"> </w:t>
      </w:r>
      <w:r w:rsidRPr="007C6313">
        <w:rPr>
          <w:b/>
          <w:szCs w:val="24"/>
        </w:rPr>
        <w:t>“</w:t>
      </w:r>
      <w:r w:rsidRPr="007C6313">
        <w:rPr>
          <w:b/>
          <w:szCs w:val="24"/>
          <w:u w:val="single"/>
        </w:rPr>
        <w:t>Opinión del Comité de Auditoría sobre la propuesta del Directorio a la Asamblea para la designación de Auditor Externo</w:t>
      </w:r>
      <w:r w:rsidRPr="007C6313">
        <w:rPr>
          <w:b/>
          <w:szCs w:val="24"/>
        </w:rPr>
        <w:t xml:space="preserve">”. </w:t>
      </w:r>
      <w:r>
        <w:rPr>
          <w:szCs w:val="24"/>
        </w:rPr>
        <w:t>Continua con</w:t>
      </w:r>
      <w:r w:rsidRPr="007C6313">
        <w:rPr>
          <w:szCs w:val="24"/>
        </w:rPr>
        <w:t xml:space="preserve"> la palabra el Sr. </w:t>
      </w:r>
      <w:r w:rsidRPr="007C6313">
        <w:rPr>
          <w:szCs w:val="24"/>
          <w:lang w:val="es-AR"/>
        </w:rPr>
        <w:t>Aníbal Batista Pires Bernardo</w:t>
      </w:r>
      <w:r w:rsidRPr="007C6313">
        <w:rPr>
          <w:szCs w:val="24"/>
        </w:rPr>
        <w:t xml:space="preserve"> quien informa que, de acuerdo con lo previsto en el artículo 110 inciso a) de la Ley de Mercado de Capitales Nº 26.831 y sus modificatorias (en adelante, la “</w:t>
      </w:r>
      <w:r w:rsidRPr="007C6313">
        <w:rPr>
          <w:szCs w:val="24"/>
          <w:u w:val="single"/>
        </w:rPr>
        <w:t>LMC</w:t>
      </w:r>
      <w:r w:rsidRPr="007C6313">
        <w:rPr>
          <w:szCs w:val="24"/>
        </w:rPr>
        <w:t>”), y en el artículo 25, Sección VI, Capítulo III, Título II de las Normas de la Comisión Nacional de Valores (en adelante, las “</w:t>
      </w:r>
      <w:r w:rsidRPr="007C6313">
        <w:rPr>
          <w:szCs w:val="24"/>
          <w:u w:val="single"/>
        </w:rPr>
        <w:t>Normas CNV</w:t>
      </w:r>
      <w:r w:rsidRPr="007C6313">
        <w:rPr>
          <w:szCs w:val="24"/>
        </w:rPr>
        <w:t xml:space="preserve">”), el Comité de Auditoría debe pronunciarse sobre la propuesta de designación de auditores externos, hecha por el Directorio de la Sociedad. Continúa manifestando el Sr. </w:t>
      </w:r>
      <w:r w:rsidRPr="007C6313">
        <w:rPr>
          <w:szCs w:val="24"/>
          <w:lang w:val="es-AR"/>
        </w:rPr>
        <w:t>Aníbal Batista Pires Bernardo</w:t>
      </w:r>
      <w:r w:rsidRPr="007C6313">
        <w:rPr>
          <w:szCs w:val="24"/>
        </w:rPr>
        <w:t xml:space="preserve"> que el Directorio de la Sociedad ha resuelto proponer a la Asamblea Anual de Accionistas </w:t>
      </w:r>
      <w:r w:rsidRPr="00F97742">
        <w:rPr>
          <w:szCs w:val="24"/>
        </w:rPr>
        <w:t>que trate la aprobación de los estados financieros finalizados el 31 de octubre de 202</w:t>
      </w:r>
      <w:r>
        <w:rPr>
          <w:szCs w:val="24"/>
        </w:rPr>
        <w:t xml:space="preserve">3, </w:t>
      </w:r>
      <w:r w:rsidRPr="007C6313">
        <w:rPr>
          <w:szCs w:val="24"/>
        </w:rPr>
        <w:t xml:space="preserve">que tendrá lugar el próximo </w:t>
      </w:r>
      <w:r>
        <w:rPr>
          <w:szCs w:val="24"/>
          <w:lang w:val="es-AR"/>
        </w:rPr>
        <w:t xml:space="preserve">27 de febrero </w:t>
      </w:r>
      <w:r w:rsidRPr="007C6313">
        <w:rPr>
          <w:szCs w:val="24"/>
        </w:rPr>
        <w:t>de 202</w:t>
      </w:r>
      <w:r>
        <w:rPr>
          <w:szCs w:val="24"/>
        </w:rPr>
        <w:t>4</w:t>
      </w:r>
      <w:r w:rsidRPr="007C6313">
        <w:rPr>
          <w:szCs w:val="24"/>
        </w:rPr>
        <w:t xml:space="preserve">, </w:t>
      </w:r>
      <w:r w:rsidRPr="007C6313">
        <w:t>la continuidad de</w:t>
      </w:r>
      <w:r w:rsidRPr="007C6313">
        <w:rPr>
          <w:szCs w:val="24"/>
        </w:rPr>
        <w:t xml:space="preserve"> la firma BDO Becher y Asociados S.R.L. (en adelante, “</w:t>
      </w:r>
      <w:r w:rsidRPr="007C6313">
        <w:rPr>
          <w:szCs w:val="24"/>
          <w:u w:val="single"/>
        </w:rPr>
        <w:t>BDO</w:t>
      </w:r>
      <w:r w:rsidRPr="007C6313">
        <w:rPr>
          <w:szCs w:val="24"/>
        </w:rPr>
        <w:t>”) como auditores externos de la Sociedad por el ejercicio económico iniciado el 1º de noviembre de 202</w:t>
      </w:r>
      <w:r>
        <w:rPr>
          <w:szCs w:val="24"/>
        </w:rPr>
        <w:t>3</w:t>
      </w:r>
      <w:r w:rsidRPr="007C6313">
        <w:rPr>
          <w:szCs w:val="24"/>
        </w:rPr>
        <w:t xml:space="preserve"> y que finalizará el 31 de octubre de 202</w:t>
      </w:r>
      <w:r>
        <w:rPr>
          <w:szCs w:val="24"/>
        </w:rPr>
        <w:t>4</w:t>
      </w:r>
      <w:r w:rsidRPr="007C6313">
        <w:rPr>
          <w:szCs w:val="24"/>
        </w:rPr>
        <w:t xml:space="preserve">, y del Sr. Gustavo Omar Acevedo como auditor titular y de la Sra. Nancy García como auditor suplente, ambos pertenecientes a BDO. Consecuentemente, corresponde a este Comité emitir su opinión y exponer las razones que fundamentan la continuidad de los auditores externos propuestos por el Directorio. Toma la palabra el Sr. </w:t>
      </w:r>
      <w:r>
        <w:rPr>
          <w:szCs w:val="24"/>
        </w:rPr>
        <w:t>Fernando P. Tiano,</w:t>
      </w:r>
      <w:r w:rsidRPr="007C6313">
        <w:rPr>
          <w:szCs w:val="24"/>
        </w:rPr>
        <w:t xml:space="preserve"> quien manifiesta que durante el ejercicio económico anterior, este Comité ha tenido oportunidad de evaluar a BDO en cuanto a su desempeño, idoneidad e independencia sin tener ninguna observación que efectuar y opinando favorablemente al respecto. Asimismo, el Sr. </w:t>
      </w:r>
      <w:r>
        <w:rPr>
          <w:szCs w:val="24"/>
        </w:rPr>
        <w:t>Tiano</w:t>
      </w:r>
      <w:r w:rsidRPr="007C6313">
        <w:rPr>
          <w:szCs w:val="24"/>
        </w:rPr>
        <w:t xml:space="preserve"> </w:t>
      </w:r>
      <w:r>
        <w:rPr>
          <w:szCs w:val="24"/>
        </w:rPr>
        <w:t xml:space="preserve">manifiesta que </w:t>
      </w:r>
      <w:r w:rsidRPr="007C6313">
        <w:rPr>
          <w:szCs w:val="24"/>
        </w:rPr>
        <w:t xml:space="preserve"> </w:t>
      </w:r>
      <w:r>
        <w:rPr>
          <w:szCs w:val="24"/>
        </w:rPr>
        <w:t>BDO</w:t>
      </w:r>
      <w:r w:rsidRPr="00311857">
        <w:rPr>
          <w:szCs w:val="24"/>
        </w:rPr>
        <w:t xml:space="preserve"> es una de las firmas de auditoría externa de mayor prestigio en el país, </w:t>
      </w:r>
      <w:r>
        <w:rPr>
          <w:szCs w:val="24"/>
        </w:rPr>
        <w:t>ocupando el quinto puesto en el ranking de auditoría global y local</w:t>
      </w:r>
      <w:r w:rsidRPr="00311857">
        <w:rPr>
          <w:szCs w:val="24"/>
        </w:rPr>
        <w:t>, contando con más de 1</w:t>
      </w:r>
      <w:r>
        <w:rPr>
          <w:szCs w:val="24"/>
        </w:rPr>
        <w:t>776</w:t>
      </w:r>
      <w:r w:rsidRPr="00311857">
        <w:rPr>
          <w:szCs w:val="24"/>
        </w:rPr>
        <w:t xml:space="preserve"> oficinas en 16</w:t>
      </w:r>
      <w:r>
        <w:rPr>
          <w:szCs w:val="24"/>
        </w:rPr>
        <w:t>6</w:t>
      </w:r>
      <w:r w:rsidRPr="00311857">
        <w:rPr>
          <w:szCs w:val="24"/>
        </w:rPr>
        <w:t xml:space="preserve"> países y un equipo que abarca decenas de miles de socios y empleados en todo el mundo, siendo sus socios especialistas en auditorías de estados contables de empresas industriales, comerciales y de servicios de varios entes que se encuentran bajo el control de la Comisión Nacional de Valores (en adelante, “</w:t>
      </w:r>
      <w:r w:rsidRPr="00311857">
        <w:rPr>
          <w:szCs w:val="24"/>
          <w:u w:val="single"/>
        </w:rPr>
        <w:t>CNV</w:t>
      </w:r>
      <w:r w:rsidRPr="00311857">
        <w:rPr>
          <w:szCs w:val="24"/>
        </w:rPr>
        <w:t xml:space="preserve">”), </w:t>
      </w:r>
      <w:r>
        <w:rPr>
          <w:szCs w:val="24"/>
        </w:rPr>
        <w:t>contando asimismo</w:t>
      </w:r>
      <w:r w:rsidRPr="00311857">
        <w:rPr>
          <w:szCs w:val="24"/>
        </w:rPr>
        <w:t xml:space="preserve"> con sólidas normas de calidad e independencia. En particular, el Sr. Gustavo Omar Acevedo integra el área de auditoría de BDO desde el año 2003 y cuenta con </w:t>
      </w:r>
      <w:r>
        <w:rPr>
          <w:szCs w:val="24"/>
        </w:rPr>
        <w:t>más de 20 años de experiencia en auditoría de estados contables de sociedades cotizantes.</w:t>
      </w:r>
      <w:r w:rsidRPr="00311857">
        <w:rPr>
          <w:szCs w:val="24"/>
        </w:rPr>
        <w:t xml:space="preserve"> </w:t>
      </w:r>
      <w:r>
        <w:rPr>
          <w:szCs w:val="24"/>
        </w:rPr>
        <w:t>Por su parte,</w:t>
      </w:r>
      <w:r w:rsidRPr="00311857">
        <w:rPr>
          <w:szCs w:val="24"/>
        </w:rPr>
        <w:t xml:space="preserve"> la Sra. Nancy Díaz integra el área de auditoría de BDO desde el año 1997, </w:t>
      </w:r>
      <w:r>
        <w:rPr>
          <w:szCs w:val="24"/>
        </w:rPr>
        <w:t>cuenta con más de 27 años de experiencia en la materia y ha tenido a su cargo la auditoría de</w:t>
      </w:r>
      <w:r w:rsidRPr="00311857">
        <w:rPr>
          <w:szCs w:val="24"/>
        </w:rPr>
        <w:t xml:space="preserve"> numerosas compañías de la República Argentina</w:t>
      </w:r>
      <w:r w:rsidRPr="007C6313">
        <w:rPr>
          <w:szCs w:val="24"/>
        </w:rPr>
        <w:t xml:space="preserve">. Seguidamente, los miembros del Comité debaten sobre las razones que motivan la continuidad de la firma auditora propuesta por el Directorio y sus antecedentes, considerando en particular la declaración jurada requerida por el artículo 104 de la LMC presentada ante la CNV, así como también la declaración sobre las condiciones de independencia a la luz de lo dispuesto por las Normas CNV. Luego de una breve deliberación acerca de las razones que sustentan la continuidad de los auditores externos, los miembros del Comité no tienen mayores comentarios para efectuar por lo que aprueban dichas razones. Por consiguiente, y teniendo en cuenta lo mencionado, el Comité de Auditoría opina favorablemente y por unanimidad sobre la propuesta del Directorio para la continuidad de la firma BDO como auditores externos de </w:t>
      </w:r>
      <w:r w:rsidRPr="007C6313">
        <w:rPr>
          <w:szCs w:val="24"/>
        </w:rPr>
        <w:lastRenderedPageBreak/>
        <w:t>la Sociedad para el ejercicio económico que finalizará el 31 de octubre de 202</w:t>
      </w:r>
      <w:r>
        <w:rPr>
          <w:szCs w:val="24"/>
        </w:rPr>
        <w:t>4</w:t>
      </w:r>
      <w:r w:rsidRPr="007C6313">
        <w:rPr>
          <w:szCs w:val="24"/>
        </w:rPr>
        <w:t xml:space="preserve">, y en particular del Sr. Gustavo Omar Acevedo y de la Sra. Nancy García, ambos pertenecientes a dicha firma, como auditores externos titular y suplente, respectivamente. A continuación, se pasa a tratar el segundo y último punto del Orden del día: </w:t>
      </w:r>
      <w:r w:rsidRPr="007C6313">
        <w:rPr>
          <w:b/>
          <w:szCs w:val="24"/>
        </w:rPr>
        <w:t>2°)</w:t>
      </w:r>
      <w:r w:rsidRPr="007C6313">
        <w:rPr>
          <w:szCs w:val="24"/>
        </w:rPr>
        <w:t xml:space="preserve"> </w:t>
      </w:r>
      <w:r w:rsidRPr="007C6313">
        <w:rPr>
          <w:b/>
          <w:szCs w:val="24"/>
        </w:rPr>
        <w:t>“</w:t>
      </w:r>
      <w:r w:rsidRPr="007C6313">
        <w:rPr>
          <w:b/>
          <w:szCs w:val="24"/>
          <w:u w:val="single"/>
        </w:rPr>
        <w:t>Opinión sobre la razonabilidad de la propuesta de honorarios de los Directores de la Sociedad por el ejercicio 202</w:t>
      </w:r>
      <w:r>
        <w:rPr>
          <w:b/>
          <w:szCs w:val="24"/>
          <w:u w:val="single"/>
        </w:rPr>
        <w:t>3</w:t>
      </w:r>
      <w:r w:rsidRPr="007C6313">
        <w:rPr>
          <w:b/>
          <w:szCs w:val="24"/>
          <w:u w:val="single"/>
        </w:rPr>
        <w:t>, que el Directorio presentará a la consideración de los accionistas de la Sociedad</w:t>
      </w:r>
      <w:r w:rsidRPr="007C6313">
        <w:rPr>
          <w:b/>
          <w:szCs w:val="24"/>
        </w:rPr>
        <w:t xml:space="preserve">”. </w:t>
      </w:r>
      <w:r w:rsidRPr="007C6313">
        <w:rPr>
          <w:szCs w:val="24"/>
        </w:rPr>
        <w:t xml:space="preserve">Toma la palabra </w:t>
      </w:r>
      <w:r>
        <w:rPr>
          <w:szCs w:val="24"/>
        </w:rPr>
        <w:t>la</w:t>
      </w:r>
      <w:r w:rsidRPr="007C6313">
        <w:rPr>
          <w:szCs w:val="24"/>
        </w:rPr>
        <w:t xml:space="preserve"> Sr</w:t>
      </w:r>
      <w:r>
        <w:rPr>
          <w:szCs w:val="24"/>
        </w:rPr>
        <w:t>a</w:t>
      </w:r>
      <w:r w:rsidRPr="007C6313">
        <w:rPr>
          <w:szCs w:val="24"/>
        </w:rPr>
        <w:t xml:space="preserve">. </w:t>
      </w:r>
      <w:r>
        <w:rPr>
          <w:szCs w:val="24"/>
          <w:lang w:val="es-AR"/>
        </w:rPr>
        <w:t xml:space="preserve">Dolly M. Albergoli </w:t>
      </w:r>
      <w:r w:rsidRPr="007C6313">
        <w:rPr>
          <w:szCs w:val="24"/>
        </w:rPr>
        <w:t xml:space="preserve">quien manifiesta que, de acuerdo con lo dispuesto por el artículo 110 inciso e) de la LMC, el Comité de Auditoría debe opinar sobre la razonabilidad de la propuesta de pago de honorarios a los Directores de la Sociedad. En relación a lo expuesto, expresa que el Directorio propondrá a la Asamblea Anual de Accionistas convocada para el </w:t>
      </w:r>
      <w:r>
        <w:rPr>
          <w:szCs w:val="24"/>
        </w:rPr>
        <w:t>27 de febrero d</w:t>
      </w:r>
      <w:r w:rsidRPr="007C6313">
        <w:rPr>
          <w:szCs w:val="24"/>
        </w:rPr>
        <w:t>e 202</w:t>
      </w:r>
      <w:r>
        <w:rPr>
          <w:szCs w:val="24"/>
        </w:rPr>
        <w:t>4</w:t>
      </w:r>
      <w:r w:rsidRPr="007C6313">
        <w:rPr>
          <w:szCs w:val="24"/>
        </w:rPr>
        <w:t xml:space="preserve"> que asigne en concepto de honorarios a Directores que desempeñaron sus funciones durante el ejercicio económico finalizado el 31 de octubre de 202</w:t>
      </w:r>
      <w:r>
        <w:rPr>
          <w:szCs w:val="24"/>
        </w:rPr>
        <w:t>3</w:t>
      </w:r>
      <w:r w:rsidRPr="007C6313">
        <w:rPr>
          <w:szCs w:val="24"/>
        </w:rPr>
        <w:t>, la suma total de $</w:t>
      </w:r>
      <w:r w:rsidRPr="004D36DF">
        <w:t>251.161.332,75</w:t>
      </w:r>
      <w:r w:rsidRPr="007C6313">
        <w:rPr>
          <w:szCs w:val="24"/>
        </w:rPr>
        <w:t xml:space="preserve"> (Pesos </w:t>
      </w:r>
      <w:r>
        <w:rPr>
          <w:szCs w:val="24"/>
        </w:rPr>
        <w:t>doscientos cincuenta y un millones ciento sesenta y un mil trescientos treinta y dos con setenta y cinco centavos</w:t>
      </w:r>
      <w:r w:rsidRPr="007C6313">
        <w:rPr>
          <w:szCs w:val="24"/>
        </w:rPr>
        <w:t>). Teniendo en cuenta lo dispuesto por la normativa vigente en la materia, para emitir su opinión sobre la razonabilidad de dicha propuesta de honorarios a Directores, este Comité ha considerado la responsabilidad y compromiso asumido por el cargo que ocupan los Sres. Directores la dedicación y competencias brindadas, como asimismo la reputación y experiencia profesional de los mismos. Por otra parte, comparando los honorarios propuestos por el ejercicio cerrado el 31 de octubre de 202</w:t>
      </w:r>
      <w:r>
        <w:rPr>
          <w:szCs w:val="24"/>
        </w:rPr>
        <w:t>3</w:t>
      </w:r>
      <w:r w:rsidRPr="007C6313">
        <w:rPr>
          <w:szCs w:val="24"/>
        </w:rPr>
        <w:t xml:space="preserve"> con los aprobados por la Asamblea en ejercicios anteriores, se observa que se ha mantenido una razonable relación entre los honorarios a Directores y los resultados obtenidos por la Sociedad. Luego de un breve intercambio de palabras, el Comité de Auditoría concluye que la propuesta de honorarios total del Directorio por la suma de </w:t>
      </w:r>
      <w:r w:rsidRPr="004D36DF">
        <w:rPr>
          <w:szCs w:val="24"/>
        </w:rPr>
        <w:t>$251.161.332,75 (Pesos doscientos cincuenta y un millones ciento sesenta y un mil trescientos treinta y dos con setenta y cinco centavos)</w:t>
      </w:r>
      <w:r>
        <w:rPr>
          <w:szCs w:val="24"/>
        </w:rPr>
        <w:t xml:space="preserve"> </w:t>
      </w:r>
      <w:r w:rsidRPr="007C6313">
        <w:rPr>
          <w:szCs w:val="24"/>
        </w:rPr>
        <w:t xml:space="preserve">que se presentará ante la Asamblea Anual el </w:t>
      </w:r>
      <w:r>
        <w:rPr>
          <w:szCs w:val="24"/>
        </w:rPr>
        <w:t xml:space="preserve">27 de febrero </w:t>
      </w:r>
      <w:r w:rsidRPr="007C6313">
        <w:rPr>
          <w:szCs w:val="24"/>
        </w:rPr>
        <w:t>de 202</w:t>
      </w:r>
      <w:r>
        <w:rPr>
          <w:szCs w:val="24"/>
        </w:rPr>
        <w:t>4</w:t>
      </w:r>
      <w:r w:rsidRPr="007C6313">
        <w:rPr>
          <w:szCs w:val="24"/>
        </w:rPr>
        <w:t xml:space="preserve">, resulta razonable. No habiendo más asuntos que tratar, previa lectura y ratificación de la presente, se levanta la sesión siendo las </w:t>
      </w:r>
      <w:r>
        <w:rPr>
          <w:szCs w:val="24"/>
        </w:rPr>
        <w:t>1</w:t>
      </w:r>
      <w:r w:rsidR="007A63AC">
        <w:rPr>
          <w:szCs w:val="24"/>
        </w:rPr>
        <w:t>6</w:t>
      </w:r>
      <w:r>
        <w:rPr>
          <w:szCs w:val="24"/>
        </w:rPr>
        <w:t>:5</w:t>
      </w:r>
      <w:r w:rsidR="007A63AC">
        <w:rPr>
          <w:szCs w:val="24"/>
        </w:rPr>
        <w:t>0</w:t>
      </w:r>
      <w:r>
        <w:rPr>
          <w:szCs w:val="24"/>
        </w:rPr>
        <w:t xml:space="preserve"> </w:t>
      </w:r>
      <w:r w:rsidRPr="007C6313">
        <w:rPr>
          <w:szCs w:val="24"/>
        </w:rPr>
        <w:t>horas.</w:t>
      </w:r>
    </w:p>
    <w:p w14:paraId="3D76CC6D" w14:textId="77777777" w:rsidR="00B903ED" w:rsidRPr="007C6313" w:rsidRDefault="00B903ED" w:rsidP="00B903ED">
      <w:pPr>
        <w:jc w:val="center"/>
        <w:rPr>
          <w:szCs w:val="24"/>
        </w:rPr>
      </w:pPr>
    </w:p>
    <w:p w14:paraId="118D3F74" w14:textId="77777777" w:rsidR="00B903ED" w:rsidRPr="00CC66A2" w:rsidRDefault="00B903ED" w:rsidP="00B903ED">
      <w:pPr>
        <w:jc w:val="both"/>
        <w:rPr>
          <w:i/>
          <w:szCs w:val="24"/>
          <w:lang w:val="pt-BR" w:eastAsia="es-AR"/>
        </w:rPr>
      </w:pPr>
      <w:r w:rsidRPr="00CC66A2">
        <w:rPr>
          <w:i/>
          <w:szCs w:val="24"/>
        </w:rPr>
        <w:t xml:space="preserve">Fdo: </w:t>
      </w:r>
      <w:r w:rsidRPr="00C27131">
        <w:rPr>
          <w:i/>
          <w:szCs w:val="24"/>
          <w:lang w:val="pt-BR" w:eastAsia="es-AR"/>
        </w:rPr>
        <w:t>Fernando P. Tiano (Director titular) – Aníbal B. Pires Bernardo (Director titular) – Dolly M. Albergoli (Director titular).</w:t>
      </w:r>
    </w:p>
    <w:p w14:paraId="5400E7A2" w14:textId="77777777" w:rsidR="00630541" w:rsidRPr="00B903ED" w:rsidRDefault="00630541">
      <w:pPr>
        <w:rPr>
          <w:lang w:val="pt-BR"/>
        </w:rPr>
      </w:pPr>
    </w:p>
    <w:sectPr w:rsidR="00630541" w:rsidRPr="00B903ED">
      <w:headerReference w:type="default" r:id="rId6"/>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E4B0C" w14:textId="77777777" w:rsidR="00B903ED" w:rsidRDefault="00B903ED" w:rsidP="00B903ED">
      <w:r>
        <w:separator/>
      </w:r>
    </w:p>
  </w:endnote>
  <w:endnote w:type="continuationSeparator" w:id="0">
    <w:p w14:paraId="07D35EAB" w14:textId="77777777" w:rsidR="00B903ED" w:rsidRDefault="00B903ED" w:rsidP="00B90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F4F5C" w14:textId="463BFF50" w:rsidR="00B903ED" w:rsidRPr="00ED1786" w:rsidRDefault="00B903ED" w:rsidP="00B903ED">
    <w:pPr>
      <w:pStyle w:val="Piedepgina"/>
      <w:tabs>
        <w:tab w:val="clear" w:pos="8504"/>
        <w:tab w:val="right" w:pos="9720"/>
      </w:tabs>
      <w:ind w:left="-993" w:right="-288" w:hanging="427"/>
      <w:jc w:val="center"/>
      <w:rPr>
        <w:sz w:val="16"/>
        <w:szCs w:val="16"/>
        <w:lang w:val="es-MX"/>
      </w:rPr>
    </w:pPr>
    <w:r>
      <w:rPr>
        <w:noProof/>
      </w:rPr>
      <mc:AlternateContent>
        <mc:Choice Requires="wps">
          <w:drawing>
            <wp:anchor distT="0" distB="0" distL="114300" distR="114300" simplePos="0" relativeHeight="251660288" behindDoc="0" locked="0" layoutInCell="0" allowOverlap="1" wp14:anchorId="06BE6FA4" wp14:editId="6D033389">
              <wp:simplePos x="0" y="0"/>
              <wp:positionH relativeFrom="page">
                <wp:posOffset>0</wp:posOffset>
              </wp:positionH>
              <wp:positionV relativeFrom="page">
                <wp:posOffset>10227945</wp:posOffset>
              </wp:positionV>
              <wp:extent cx="7560310" cy="273050"/>
              <wp:effectExtent l="0" t="0" r="0" b="12700"/>
              <wp:wrapNone/>
              <wp:docPr id="3" name="MSIPCMf813487e9039385ead693f0b" descr="{&quot;HashCode&quot;:1345644473,&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12E83BD" w14:textId="2B083634" w:rsidR="00B903ED" w:rsidRPr="00B903ED" w:rsidRDefault="00B903ED" w:rsidP="00B903ED">
                          <w:pPr>
                            <w:rPr>
                              <w:rFonts w:ascii="Calibri" w:hAnsi="Calibri" w:cs="Calibri"/>
                              <w:color w:val="000000"/>
                              <w:sz w:val="20"/>
                            </w:rPr>
                          </w:pPr>
                          <w:r w:rsidRPr="00B903ED">
                            <w:rPr>
                              <w:rFonts w:ascii="Calibri" w:hAnsi="Calibri" w:cs="Calibri"/>
                              <w:color w:val="000000"/>
                              <w:sz w:val="20"/>
                            </w:rPr>
                            <w:t>Información Privada</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6BE6FA4" id="_x0000_t202" coordsize="21600,21600" o:spt="202" path="m,l,21600r21600,l21600,xe">
              <v:stroke joinstyle="miter"/>
              <v:path gradientshapeok="t" o:connecttype="rect"/>
            </v:shapetype>
            <v:shape id="MSIPCMf813487e9039385ead693f0b" o:spid="_x0000_s1026" type="#_x0000_t202" alt="{&quot;HashCode&quot;:1345644473,&quot;Height&quot;:841.0,&quot;Width&quot;:595.0,&quot;Placement&quot;:&quot;Footer&quot;,&quot;Index&quot;:&quot;Primary&quot;,&quot;Section&quot;:1,&quot;Top&quot;:0.0,&quot;Left&quot;:0.0}" style="position:absolute;left:0;text-align:left;margin-left:0;margin-top:805.35pt;width:595.3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" o:allowincell="f" filled="f" stroked="f" strokeweight=".5pt">
              <v:fill o:detectmouseclick="t"/>
              <v:textbox inset="20pt,0,,0">
                <w:txbxContent>
                  <w:p w14:paraId="112E83BD" w14:textId="2B083634" w:rsidR="00B903ED" w:rsidRPr="00B903ED" w:rsidRDefault="00B903ED" w:rsidP="00B903ED">
                    <w:pPr>
                      <w:rPr>
                        <w:rFonts w:ascii="Calibri" w:hAnsi="Calibri" w:cs="Calibri"/>
                        <w:color w:val="000000"/>
                        <w:sz w:val="20"/>
                      </w:rPr>
                    </w:pPr>
                    <w:r w:rsidRPr="00B903ED">
                      <w:rPr>
                        <w:rFonts w:ascii="Calibri" w:hAnsi="Calibri" w:cs="Calibri"/>
                        <w:color w:val="000000"/>
                        <w:sz w:val="20"/>
                      </w:rPr>
                      <w:t>Información Privada</w:t>
                    </w:r>
                  </w:p>
                </w:txbxContent>
              </v:textbox>
              <w10:wrap anchorx="page" anchory="page"/>
            </v:shape>
          </w:pict>
        </mc:Fallback>
      </mc:AlternateContent>
    </w:r>
    <w:r>
      <w:rPr>
        <w:noProof/>
      </w:rPr>
      <w:drawing>
        <wp:anchor distT="0" distB="0" distL="114300" distR="114300" simplePos="0" relativeHeight="251659264" behindDoc="0" locked="0" layoutInCell="1" allowOverlap="1" wp14:anchorId="665CC5DB" wp14:editId="07A18152">
          <wp:simplePos x="0" y="0"/>
          <wp:positionH relativeFrom="margin">
            <wp:posOffset>-609600</wp:posOffset>
          </wp:positionH>
          <wp:positionV relativeFrom="paragraph">
            <wp:posOffset>-5080</wp:posOffset>
          </wp:positionV>
          <wp:extent cx="339090" cy="421640"/>
          <wp:effectExtent l="0" t="0" r="381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090" cy="421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786">
      <w:rPr>
        <w:sz w:val="16"/>
        <w:szCs w:val="16"/>
        <w:lang w:val="es-MX"/>
      </w:rPr>
      <w:t xml:space="preserve">Aristóbulo del Valle 1257- C1295ADA - C. Autónoma de Bs As - R. A. Teléfono: (5411) 4309 5400 </w:t>
    </w:r>
  </w:p>
  <w:p w14:paraId="1C342602" w14:textId="77777777" w:rsidR="00B903ED" w:rsidRPr="002B0F70" w:rsidRDefault="00B903ED" w:rsidP="00B903ED">
    <w:pPr>
      <w:pStyle w:val="Piedepgina"/>
      <w:tabs>
        <w:tab w:val="clear" w:pos="8504"/>
        <w:tab w:val="right" w:pos="9720"/>
      </w:tabs>
      <w:ind w:right="-288" w:hanging="1080"/>
      <w:jc w:val="center"/>
      <w:rPr>
        <w:sz w:val="15"/>
        <w:szCs w:val="15"/>
        <w:lang w:val="en-US"/>
      </w:rPr>
    </w:pPr>
    <w:bookmarkStart w:id="0" w:name="_Hlk29224516"/>
    <w:r w:rsidRPr="00ED1786">
      <w:rPr>
        <w:sz w:val="16"/>
        <w:szCs w:val="16"/>
        <w:lang w:val="en-US"/>
      </w:rPr>
      <w:t xml:space="preserve">Mail: </w:t>
    </w:r>
    <w:r w:rsidRPr="00E74C5B">
      <w:rPr>
        <w:sz w:val="16"/>
        <w:szCs w:val="16"/>
        <w:lang w:val="en-US"/>
      </w:rPr>
      <w:t>ComercialBG@bgaming.com.ar</w:t>
    </w:r>
    <w:r w:rsidRPr="00ED1786">
      <w:rPr>
        <w:sz w:val="16"/>
        <w:szCs w:val="16"/>
        <w:lang w:val="en-US"/>
      </w:rPr>
      <w:t xml:space="preserve"> – Web: www.bgaming.com.ar</w:t>
    </w:r>
    <w:bookmarkEnd w:id="0"/>
  </w:p>
  <w:p w14:paraId="2BED38C9" w14:textId="77777777" w:rsidR="00B903ED" w:rsidRPr="00B903ED" w:rsidRDefault="00B903ED">
    <w:pPr>
      <w:pStyle w:val="Piedep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4AE24" w14:textId="77777777" w:rsidR="00B903ED" w:rsidRDefault="00B903ED" w:rsidP="00B903ED">
      <w:r>
        <w:separator/>
      </w:r>
    </w:p>
  </w:footnote>
  <w:footnote w:type="continuationSeparator" w:id="0">
    <w:p w14:paraId="418D9F53" w14:textId="77777777" w:rsidR="00B903ED" w:rsidRDefault="00B903ED" w:rsidP="00B903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CCF76" w14:textId="185BD428" w:rsidR="00B903ED" w:rsidRDefault="00B903ED" w:rsidP="00B903ED">
    <w:pPr>
      <w:pStyle w:val="Encabezado"/>
      <w:jc w:val="right"/>
    </w:pPr>
    <w:r>
      <w:rPr>
        <w:noProof/>
      </w:rPr>
      <w:drawing>
        <wp:inline distT="0" distB="0" distL="0" distR="0" wp14:anchorId="08671CFB" wp14:editId="5800236C">
          <wp:extent cx="1533525" cy="371475"/>
          <wp:effectExtent l="0" t="0" r="9525" b="9525"/>
          <wp:docPr id="1"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Logotip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25" cy="3714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3ED"/>
    <w:rsid w:val="00630541"/>
    <w:rsid w:val="007A63AC"/>
    <w:rsid w:val="00B903ED"/>
    <w:rsid w:val="00EF591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9E973A"/>
  <w15:chartTrackingRefBased/>
  <w15:docId w15:val="{742158C9-9C85-4B9E-A2F5-E43E774B2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s-A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3ED"/>
    <w:rPr>
      <w:rFonts w:eastAsia="Times New Roman"/>
      <w:sz w:val="24"/>
      <w:lang w:val="es-ES"/>
    </w:rPr>
  </w:style>
  <w:style w:type="paragraph" w:styleId="Ttulo1">
    <w:name w:val="heading 1"/>
    <w:basedOn w:val="Normal"/>
    <w:next w:val="Normal"/>
    <w:link w:val="Ttulo1Car"/>
    <w:qFormat/>
    <w:rsid w:val="00B903ED"/>
    <w:pPr>
      <w:keepNext/>
      <w:outlineLvl w:val="0"/>
    </w:pPr>
    <w:rPr>
      <w:rFonts w:ascii="Book Antiqua" w:hAnsi="Book Antiqua"/>
      <w:b/>
      <w:sz w:val="40"/>
      <w:lang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903ED"/>
    <w:rPr>
      <w:rFonts w:ascii="Book Antiqua" w:eastAsia="Times New Roman" w:hAnsi="Book Antiqua"/>
      <w:b/>
      <w:sz w:val="40"/>
      <w:lang w:val="es-ES" w:eastAsia="x-none"/>
    </w:rPr>
  </w:style>
  <w:style w:type="paragraph" w:styleId="Encabezado">
    <w:name w:val="header"/>
    <w:basedOn w:val="Normal"/>
    <w:link w:val="EncabezadoCar"/>
    <w:uiPriority w:val="99"/>
    <w:unhideWhenUsed/>
    <w:rsid w:val="00B903ED"/>
    <w:pPr>
      <w:tabs>
        <w:tab w:val="center" w:pos="4252"/>
        <w:tab w:val="right" w:pos="8504"/>
      </w:tabs>
    </w:pPr>
  </w:style>
  <w:style w:type="character" w:customStyle="1" w:styleId="EncabezadoCar">
    <w:name w:val="Encabezado Car"/>
    <w:basedOn w:val="Fuentedeprrafopredeter"/>
    <w:link w:val="Encabezado"/>
    <w:uiPriority w:val="99"/>
    <w:rsid w:val="00B903ED"/>
    <w:rPr>
      <w:rFonts w:eastAsia="Times New Roman"/>
      <w:sz w:val="24"/>
      <w:lang w:val="es-ES"/>
    </w:rPr>
  </w:style>
  <w:style w:type="paragraph" w:styleId="Piedepgina">
    <w:name w:val="footer"/>
    <w:basedOn w:val="Normal"/>
    <w:link w:val="PiedepginaCar"/>
    <w:unhideWhenUsed/>
    <w:rsid w:val="00B903ED"/>
    <w:pPr>
      <w:tabs>
        <w:tab w:val="center" w:pos="4252"/>
        <w:tab w:val="right" w:pos="8504"/>
      </w:tabs>
    </w:pPr>
  </w:style>
  <w:style w:type="character" w:customStyle="1" w:styleId="PiedepginaCar">
    <w:name w:val="Pie de página Car"/>
    <w:basedOn w:val="Fuentedeprrafopredeter"/>
    <w:link w:val="Piedepgina"/>
    <w:uiPriority w:val="99"/>
    <w:rsid w:val="00B903ED"/>
    <w:rPr>
      <w:rFonts w:eastAsia="Times New Roman"/>
      <w:sz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1030</Words>
  <Characters>5671</Characters>
  <Application>Microsoft Office Word</Application>
  <DocSecurity>0</DocSecurity>
  <Lines>92</Lines>
  <Paragraphs>24</Paragraphs>
  <ScaleCrop>false</ScaleCrop>
  <Company/>
  <LinksUpToDate>false</LinksUpToDate>
  <CharactersWithSpaces>6677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Florencia De Alessandre</dc:creator>
  <cp:keywords/>
  <dc:description/>
  <cp:lastModifiedBy>Florencia De Alessandre</cp:lastModifiedBy>
  <cp:revision>2</cp:revision>
  <dcterms:created xsi:type="dcterms:W3CDTF">2024-01-09T20:33:00Z</dcterms:created>
  <dcterms:modified xsi:type="dcterms:W3CDTF">2024-01-09T20:41:00Z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25b89c4-10ef-4619-aae0-f7317c7587ef_Enabled">
    <vt:lpwstr>true</vt:lpwstr>
  </property>
  <property fmtid="{D5CDD505-2E9C-101B-9397-08002B2CF9AE}" pid="3" name="MSIP_Label_825b89c4-10ef-4619-aae0-f7317c7587ef_SetDate">
    <vt:lpwstr>2024-01-09T20:41:10Z</vt:lpwstr>
  </property>
  <property fmtid="{D5CDD505-2E9C-101B-9397-08002B2CF9AE}" pid="4" name="MSIP_Label_825b89c4-10ef-4619-aae0-f7317c7587ef_Method">
    <vt:lpwstr>Standard</vt:lpwstr>
  </property>
  <property fmtid="{D5CDD505-2E9C-101B-9397-08002B2CF9AE}" pid="5" name="MSIP_Label_825b89c4-10ef-4619-aae0-f7317c7587ef_Name">
    <vt:lpwstr>Información Privada</vt:lpwstr>
  </property>
  <property fmtid="{D5CDD505-2E9C-101B-9397-08002B2CF9AE}" pid="6" name="MSIP_Label_825b89c4-10ef-4619-aae0-f7317c7587ef_SiteId">
    <vt:lpwstr>59132fa3-6ab0-488a-a1b6-f8f96893d1b7</vt:lpwstr>
  </property>
  <property fmtid="{D5CDD505-2E9C-101B-9397-08002B2CF9AE}" pid="7" name="MSIP_Label_825b89c4-10ef-4619-aae0-f7317c7587ef_ActionId">
    <vt:lpwstr>3a29edb6-385d-48e1-9881-dfdd43c903e9</vt:lpwstr>
  </property>
  <property fmtid="{D5CDD505-2E9C-101B-9397-08002B2CF9AE}" pid="8" name="MSIP_Label_825b89c4-10ef-4619-aae0-f7317c7587ef_ContentBits">
    <vt:lpwstr>2</vt:lpwstr>
  </property>
</Properties>
</file>