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20B1" w14:textId="0FB1A331" w:rsidR="000C5764" w:rsidRPr="00A42BFC" w:rsidRDefault="000C5764" w:rsidP="000C5764">
      <w:pPr>
        <w:pStyle w:val="Ttulo1"/>
        <w:spacing w:line="360" w:lineRule="auto"/>
        <w:jc w:val="center"/>
        <w:rPr>
          <w:rFonts w:ascii="Times New Roman" w:hAnsi="Times New Roman"/>
          <w:bCs/>
          <w:color w:val="FF0000"/>
          <w:sz w:val="24"/>
          <w:szCs w:val="24"/>
          <w:u w:val="single"/>
          <w:lang w:val="es-AR"/>
        </w:rPr>
      </w:pPr>
      <w:r w:rsidRPr="00906CD0">
        <w:rPr>
          <w:rFonts w:ascii="Times New Roman" w:hAnsi="Times New Roman"/>
          <w:bCs/>
          <w:sz w:val="24"/>
          <w:szCs w:val="24"/>
          <w:u w:val="single"/>
          <w:lang w:val="es-AR"/>
        </w:rPr>
        <w:t>Acta de Comité de Auditoría N°</w:t>
      </w:r>
      <w:r w:rsidR="00846CDE">
        <w:rPr>
          <w:rFonts w:ascii="Times New Roman" w:hAnsi="Times New Roman"/>
          <w:bCs/>
          <w:sz w:val="24"/>
          <w:szCs w:val="24"/>
          <w:u w:val="single"/>
          <w:lang w:val="es-AR"/>
        </w:rPr>
        <w:t>4</w:t>
      </w:r>
      <w:r w:rsidR="005D5E17">
        <w:rPr>
          <w:rFonts w:ascii="Times New Roman" w:hAnsi="Times New Roman"/>
          <w:bCs/>
          <w:sz w:val="24"/>
          <w:szCs w:val="24"/>
          <w:u w:val="single"/>
          <w:lang w:val="es-AR"/>
        </w:rPr>
        <w:t>4</w:t>
      </w:r>
    </w:p>
    <w:p w14:paraId="6C75FC2B" w14:textId="77777777" w:rsidR="000C5764" w:rsidRPr="00906CD0" w:rsidRDefault="000C5764" w:rsidP="000C5764">
      <w:pPr>
        <w:spacing w:line="360" w:lineRule="auto"/>
        <w:rPr>
          <w:szCs w:val="24"/>
          <w:lang w:val="es-AR"/>
        </w:rPr>
      </w:pPr>
    </w:p>
    <w:p w14:paraId="0557DD9C" w14:textId="2CCE3803" w:rsidR="000C5764" w:rsidRPr="00906CD0" w:rsidRDefault="000C5764" w:rsidP="000C5764">
      <w:pPr>
        <w:jc w:val="both"/>
        <w:rPr>
          <w:szCs w:val="24"/>
        </w:rPr>
      </w:pPr>
      <w:r w:rsidRPr="00226E22">
        <w:rPr>
          <w:szCs w:val="24"/>
        </w:rPr>
        <w:t>En la</w:t>
      </w:r>
      <w:r>
        <w:rPr>
          <w:szCs w:val="24"/>
        </w:rPr>
        <w:t xml:space="preserve"> Ciudad Autónoma de Buenos Aires, a los</w:t>
      </w:r>
      <w:r w:rsidRPr="00A81AB0">
        <w:rPr>
          <w:szCs w:val="24"/>
        </w:rPr>
        <w:t xml:space="preserve"> </w:t>
      </w:r>
      <w:r w:rsidR="006531CC">
        <w:rPr>
          <w:bCs/>
          <w:szCs w:val="24"/>
        </w:rPr>
        <w:t>8</w:t>
      </w:r>
      <w:r>
        <w:rPr>
          <w:bCs/>
          <w:szCs w:val="24"/>
        </w:rPr>
        <w:t xml:space="preserve"> </w:t>
      </w:r>
      <w:r w:rsidRPr="002F4EC0">
        <w:rPr>
          <w:szCs w:val="24"/>
        </w:rPr>
        <w:t xml:space="preserve">días del mes de </w:t>
      </w:r>
      <w:r>
        <w:rPr>
          <w:szCs w:val="24"/>
        </w:rPr>
        <w:t>enero</w:t>
      </w:r>
      <w:r w:rsidRPr="00BE5A8C">
        <w:rPr>
          <w:szCs w:val="24"/>
        </w:rPr>
        <w:t xml:space="preserve"> </w:t>
      </w:r>
      <w:r>
        <w:rPr>
          <w:szCs w:val="24"/>
        </w:rPr>
        <w:t>de 202</w:t>
      </w:r>
      <w:r w:rsidR="006531CC">
        <w:rPr>
          <w:szCs w:val="24"/>
        </w:rPr>
        <w:t>5</w:t>
      </w:r>
      <w:r>
        <w:rPr>
          <w:szCs w:val="24"/>
        </w:rPr>
        <w:t xml:space="preserve">, siendo las </w:t>
      </w:r>
      <w:r w:rsidR="005D5E17">
        <w:rPr>
          <w:szCs w:val="24"/>
        </w:rPr>
        <w:t>16:30</w:t>
      </w:r>
      <w:r>
        <w:rPr>
          <w:szCs w:val="24"/>
        </w:rPr>
        <w:t xml:space="preserve"> </w:t>
      </w:r>
      <w:r w:rsidRPr="002F4EC0">
        <w:rPr>
          <w:szCs w:val="24"/>
        </w:rPr>
        <w:t xml:space="preserve">horas se reúnen en la sede social sita en la </w:t>
      </w:r>
      <w:bookmarkStart w:id="0" w:name="_Hlk186451014"/>
      <w:r w:rsidR="006531CC">
        <w:rPr>
          <w:szCs w:val="24"/>
        </w:rPr>
        <w:t>Avenida Caseros 3039, Piso 9</w:t>
      </w:r>
      <w:bookmarkEnd w:id="0"/>
      <w:r w:rsidRPr="002F4EC0">
        <w:rPr>
          <w:szCs w:val="24"/>
        </w:rPr>
        <w:t xml:space="preserve">, los integrantes del Comité de Auditoría de </w:t>
      </w:r>
      <w:r w:rsidRPr="00BE5A8C">
        <w:rPr>
          <w:szCs w:val="24"/>
        </w:rPr>
        <w:t xml:space="preserve">B-Gaming S.A. </w:t>
      </w:r>
      <w:r w:rsidRPr="00DA52FC">
        <w:rPr>
          <w:szCs w:val="24"/>
        </w:rPr>
        <w:t>(en adelante, la “</w:t>
      </w:r>
      <w:r w:rsidRPr="00C369DE">
        <w:rPr>
          <w:szCs w:val="24"/>
          <w:u w:val="single"/>
        </w:rPr>
        <w:t>Sociedad</w:t>
      </w:r>
      <w:r w:rsidRPr="00DA52FC">
        <w:rPr>
          <w:szCs w:val="24"/>
        </w:rPr>
        <w:t>”)</w:t>
      </w:r>
      <w:r w:rsidRPr="002F4EC0">
        <w:rPr>
          <w:szCs w:val="24"/>
        </w:rPr>
        <w:t xml:space="preserve"> cuyas firmas obran al pie.</w:t>
      </w:r>
      <w:r>
        <w:rPr>
          <w:szCs w:val="24"/>
        </w:rPr>
        <w:t xml:space="preserve"> </w:t>
      </w:r>
      <w:r w:rsidRPr="00BD7953">
        <w:rPr>
          <w:szCs w:val="24"/>
        </w:rPr>
        <w:t xml:space="preserve">Toma la palabra el Sr. </w:t>
      </w:r>
      <w:r>
        <w:rPr>
          <w:szCs w:val="24"/>
        </w:rPr>
        <w:t xml:space="preserve">Fernando P. Tiano, </w:t>
      </w:r>
      <w:r w:rsidRPr="00243388">
        <w:rPr>
          <w:szCs w:val="24"/>
        </w:rPr>
        <w:t>quien luego de verificar la existencia de quórum suficiente para sesionar, declara abierto el acto y manifiesta que la presente reunión tiene por objeto tratar el primer y único punto del Orden del Día</w:t>
      </w:r>
      <w:r w:rsidRPr="002F4EC0">
        <w:rPr>
          <w:szCs w:val="24"/>
        </w:rPr>
        <w:t>:</w:t>
      </w:r>
      <w:r>
        <w:rPr>
          <w:szCs w:val="24"/>
        </w:rPr>
        <w:t xml:space="preserve"> </w:t>
      </w:r>
      <w:r w:rsidRPr="00906CD0">
        <w:rPr>
          <w:b/>
          <w:szCs w:val="24"/>
        </w:rPr>
        <w:t>1°)</w:t>
      </w:r>
      <w:r w:rsidRPr="00906CD0">
        <w:rPr>
          <w:szCs w:val="24"/>
        </w:rPr>
        <w:t xml:space="preserve"> “</w:t>
      </w:r>
      <w:r w:rsidRPr="00E82FEA">
        <w:rPr>
          <w:rFonts w:eastAsia="Calibri"/>
          <w:b/>
          <w:bCs/>
          <w:color w:val="000000"/>
          <w:szCs w:val="24"/>
          <w:u w:val="single"/>
          <w:lang w:eastAsia="es-ES"/>
        </w:rPr>
        <w:t>Informe del Comité de Auditoría por el ejercicio finalizado el 31 de octubre de 2</w:t>
      </w:r>
      <w:r>
        <w:rPr>
          <w:rFonts w:eastAsia="Calibri"/>
          <w:b/>
          <w:bCs/>
          <w:color w:val="000000"/>
          <w:szCs w:val="24"/>
          <w:u w:val="single"/>
          <w:lang w:eastAsia="es-ES"/>
        </w:rPr>
        <w:t>02</w:t>
      </w:r>
      <w:r w:rsidR="006531CC">
        <w:rPr>
          <w:rFonts w:eastAsia="Calibri"/>
          <w:b/>
          <w:bCs/>
          <w:color w:val="000000"/>
          <w:szCs w:val="24"/>
          <w:u w:val="single"/>
          <w:lang w:eastAsia="es-ES"/>
        </w:rPr>
        <w:t>4</w:t>
      </w:r>
      <w:r w:rsidRPr="00906CD0">
        <w:rPr>
          <w:rFonts w:eastAsia="Calibri"/>
          <w:b/>
          <w:bCs/>
          <w:color w:val="000000"/>
          <w:szCs w:val="24"/>
          <w:lang w:eastAsia="es-ES"/>
        </w:rPr>
        <w:t xml:space="preserve">”. </w:t>
      </w:r>
      <w:r w:rsidRPr="00906CD0">
        <w:rPr>
          <w:szCs w:val="24"/>
        </w:rPr>
        <w:t>Toma la palabra el Sr.</w:t>
      </w:r>
      <w:r>
        <w:rPr>
          <w:szCs w:val="24"/>
        </w:rPr>
        <w:t xml:space="preserve"> </w:t>
      </w:r>
      <w:r>
        <w:rPr>
          <w:szCs w:val="24"/>
          <w:lang w:val="pt-BR"/>
        </w:rPr>
        <w:t>Aníbal B. Pires Bernardo</w:t>
      </w:r>
      <w:r w:rsidRPr="00906CD0">
        <w:rPr>
          <w:szCs w:val="24"/>
        </w:rPr>
        <w:t xml:space="preserve"> quien manifiesta que el objeto de la presente reunión es considerar el informe anual de gestión del Comité </w:t>
      </w:r>
      <w:r>
        <w:rPr>
          <w:szCs w:val="24"/>
        </w:rPr>
        <w:t xml:space="preserve">de Auditoría </w:t>
      </w:r>
      <w:r w:rsidRPr="00906CD0">
        <w:rPr>
          <w:szCs w:val="24"/>
        </w:rPr>
        <w:t>durante el ejercicio</w:t>
      </w:r>
      <w:r>
        <w:rPr>
          <w:szCs w:val="24"/>
        </w:rPr>
        <w:t xml:space="preserve"> finalizado el 31 de octubre de 202</w:t>
      </w:r>
      <w:r w:rsidR="006531CC">
        <w:rPr>
          <w:szCs w:val="24"/>
        </w:rPr>
        <w:t>4</w:t>
      </w:r>
      <w:r w:rsidRPr="00906CD0">
        <w:rPr>
          <w:szCs w:val="24"/>
        </w:rPr>
        <w:t xml:space="preserve"> sobre las cuestiones de su competencia previstas en el artículo 110 de la Ley de Mercado de Capitales N° 26.831 y modificatorias (en adelante, la “</w:t>
      </w:r>
      <w:r w:rsidRPr="00906CD0">
        <w:rPr>
          <w:szCs w:val="24"/>
          <w:u w:val="single"/>
        </w:rPr>
        <w:t>LMC</w:t>
      </w:r>
      <w:r w:rsidRPr="00906CD0">
        <w:rPr>
          <w:szCs w:val="24"/>
        </w:rPr>
        <w:t>”)</w:t>
      </w:r>
      <w:r>
        <w:rPr>
          <w:szCs w:val="24"/>
        </w:rPr>
        <w:t>,</w:t>
      </w:r>
      <w:r w:rsidRPr="00906CD0">
        <w:rPr>
          <w:szCs w:val="24"/>
        </w:rPr>
        <w:t xml:space="preserve"> y en</w:t>
      </w:r>
      <w:r>
        <w:rPr>
          <w:szCs w:val="24"/>
        </w:rPr>
        <w:t xml:space="preserve"> el </w:t>
      </w:r>
      <w:r w:rsidRPr="00906CD0">
        <w:rPr>
          <w:szCs w:val="24"/>
        </w:rPr>
        <w:t>artículo 18</w:t>
      </w:r>
      <w:r>
        <w:rPr>
          <w:szCs w:val="24"/>
        </w:rPr>
        <w:t>, Sección V,</w:t>
      </w:r>
      <w:r w:rsidRPr="00906CD0">
        <w:rPr>
          <w:szCs w:val="24"/>
        </w:rPr>
        <w:t xml:space="preserve"> Capítulo III</w:t>
      </w:r>
      <w:r>
        <w:rPr>
          <w:szCs w:val="24"/>
        </w:rPr>
        <w:t xml:space="preserve"> del</w:t>
      </w:r>
      <w:r w:rsidRPr="00906CD0">
        <w:rPr>
          <w:szCs w:val="24"/>
        </w:rPr>
        <w:t xml:space="preserve"> Título II </w:t>
      </w:r>
      <w:r>
        <w:rPr>
          <w:szCs w:val="24"/>
        </w:rPr>
        <w:t xml:space="preserve">de </w:t>
      </w:r>
      <w:r w:rsidRPr="00906CD0">
        <w:rPr>
          <w:szCs w:val="24"/>
        </w:rPr>
        <w:t>las Normas de la Comisión Nacional de Valores (en adelante, “</w:t>
      </w:r>
      <w:r w:rsidRPr="00906CD0">
        <w:rPr>
          <w:szCs w:val="24"/>
          <w:u w:val="single"/>
        </w:rPr>
        <w:t>Normas CNV</w:t>
      </w:r>
      <w:r w:rsidRPr="00906CD0">
        <w:rPr>
          <w:szCs w:val="24"/>
        </w:rPr>
        <w:t xml:space="preserve">”), </w:t>
      </w:r>
      <w:r>
        <w:rPr>
          <w:szCs w:val="24"/>
        </w:rPr>
        <w:t>informe</w:t>
      </w:r>
      <w:r w:rsidRPr="00906CD0">
        <w:rPr>
          <w:szCs w:val="24"/>
        </w:rPr>
        <w:t xml:space="preserve"> que, de ser aprobado será elevado al Directorio de la Sociedad. </w:t>
      </w:r>
      <w:r>
        <w:rPr>
          <w:szCs w:val="24"/>
        </w:rPr>
        <w:t>El</w:t>
      </w:r>
      <w:r w:rsidRPr="00906CD0">
        <w:rPr>
          <w:szCs w:val="24"/>
        </w:rPr>
        <w:t xml:space="preserve"> Sr.</w:t>
      </w:r>
      <w:r>
        <w:rPr>
          <w:szCs w:val="24"/>
        </w:rPr>
        <w:t xml:space="preserve"> </w:t>
      </w:r>
      <w:r>
        <w:rPr>
          <w:szCs w:val="24"/>
          <w:lang w:val="pt-BR"/>
        </w:rPr>
        <w:t>Aníbal B. Pires Bernardo</w:t>
      </w:r>
      <w:r w:rsidRPr="00906CD0">
        <w:rPr>
          <w:szCs w:val="24"/>
        </w:rPr>
        <w:t xml:space="preserve"> pone</w:t>
      </w:r>
      <w:r>
        <w:rPr>
          <w:szCs w:val="24"/>
        </w:rPr>
        <w:t xml:space="preserve"> consecuentemente</w:t>
      </w:r>
      <w:r w:rsidRPr="00906CD0">
        <w:rPr>
          <w:szCs w:val="24"/>
        </w:rPr>
        <w:t xml:space="preserve"> a consideración de los presentes el proyecto de informe anual del Comité</w:t>
      </w:r>
      <w:r>
        <w:rPr>
          <w:szCs w:val="24"/>
        </w:rPr>
        <w:t xml:space="preserve"> de Auditoría</w:t>
      </w:r>
      <w:r w:rsidRPr="00906CD0">
        <w:rPr>
          <w:szCs w:val="24"/>
        </w:rPr>
        <w:t xml:space="preserve"> cuyo texto se transcribe a continuación:</w:t>
      </w:r>
    </w:p>
    <w:p w14:paraId="16DD5103" w14:textId="77777777" w:rsidR="000C5764" w:rsidRPr="00906CD0" w:rsidRDefault="000C5764" w:rsidP="000C5764">
      <w:pPr>
        <w:jc w:val="center"/>
        <w:rPr>
          <w:b/>
          <w:szCs w:val="24"/>
        </w:rPr>
      </w:pPr>
    </w:p>
    <w:p w14:paraId="4379A16D" w14:textId="77777777" w:rsidR="000C5764" w:rsidRPr="00906CD0" w:rsidRDefault="000C5764" w:rsidP="000C5764">
      <w:pPr>
        <w:jc w:val="center"/>
        <w:rPr>
          <w:rFonts w:eastAsia="Calibri"/>
          <w:b/>
          <w:bCs/>
          <w:color w:val="000000"/>
          <w:szCs w:val="24"/>
          <w:u w:val="single"/>
          <w:lang w:val="es-AR" w:eastAsia="es-ES"/>
        </w:rPr>
      </w:pPr>
      <w:r w:rsidRPr="00CC66A2">
        <w:rPr>
          <w:rFonts w:eastAsia="Calibri"/>
          <w:b/>
          <w:bCs/>
          <w:color w:val="000000"/>
          <w:szCs w:val="24"/>
          <w:lang w:val="es-AR" w:eastAsia="es-ES"/>
        </w:rPr>
        <w:t>“</w:t>
      </w:r>
      <w:bookmarkStart w:id="1" w:name="_Hlk92720558"/>
      <w:r w:rsidRPr="00906CD0">
        <w:rPr>
          <w:rFonts w:eastAsia="Calibri"/>
          <w:b/>
          <w:bCs/>
          <w:color w:val="000000"/>
          <w:szCs w:val="24"/>
          <w:u w:val="single"/>
          <w:lang w:val="es-AR" w:eastAsia="es-ES"/>
        </w:rPr>
        <w:t>INFO</w:t>
      </w:r>
      <w:r>
        <w:rPr>
          <w:rFonts w:eastAsia="Calibri"/>
          <w:b/>
          <w:bCs/>
          <w:color w:val="000000"/>
          <w:szCs w:val="24"/>
          <w:u w:val="single"/>
          <w:lang w:val="es-AR" w:eastAsia="es-ES"/>
        </w:rPr>
        <w:t>RME ANUAL DEL COMITÉ DE AUDITORÍ</w:t>
      </w:r>
      <w:r w:rsidRPr="00906CD0">
        <w:rPr>
          <w:rFonts w:eastAsia="Calibri"/>
          <w:b/>
          <w:bCs/>
          <w:color w:val="000000"/>
          <w:szCs w:val="24"/>
          <w:u w:val="single"/>
          <w:lang w:val="es-AR" w:eastAsia="es-ES"/>
        </w:rPr>
        <w:t>A</w:t>
      </w:r>
    </w:p>
    <w:p w14:paraId="2C32BB6D" w14:textId="77777777" w:rsidR="000C5764" w:rsidRPr="00906CD0" w:rsidRDefault="000C5764" w:rsidP="000C5764">
      <w:pPr>
        <w:jc w:val="center"/>
        <w:rPr>
          <w:rFonts w:eastAsia="Calibri"/>
          <w:bCs/>
          <w:color w:val="000000"/>
          <w:szCs w:val="24"/>
          <w:u w:val="single"/>
          <w:lang w:val="es-AR" w:eastAsia="es-ES"/>
        </w:rPr>
      </w:pPr>
    </w:p>
    <w:p w14:paraId="314CFC7F" w14:textId="77777777" w:rsidR="000C5764" w:rsidRPr="00906CD0" w:rsidRDefault="000C5764" w:rsidP="000C5764">
      <w:pPr>
        <w:jc w:val="both"/>
        <w:rPr>
          <w:rFonts w:eastAsia="Calibri"/>
          <w:bCs/>
          <w:color w:val="000000"/>
          <w:szCs w:val="24"/>
          <w:u w:val="single"/>
          <w:lang w:val="es-AR" w:eastAsia="es-ES"/>
        </w:rPr>
      </w:pPr>
    </w:p>
    <w:p w14:paraId="717F5AF1" w14:textId="18EF3AA4" w:rsidR="000C5764" w:rsidRPr="00906CD0" w:rsidRDefault="000C5764" w:rsidP="000C5764">
      <w:pPr>
        <w:jc w:val="right"/>
        <w:rPr>
          <w:rFonts w:eastAsia="Calibri"/>
          <w:bCs/>
          <w:color w:val="000000"/>
          <w:szCs w:val="24"/>
          <w:lang w:val="es-AR" w:eastAsia="es-ES"/>
        </w:rPr>
      </w:pPr>
      <w:r w:rsidRPr="00906CD0">
        <w:rPr>
          <w:rFonts w:eastAsia="Calibri"/>
          <w:bCs/>
          <w:color w:val="000000"/>
          <w:szCs w:val="24"/>
          <w:lang w:val="es-AR" w:eastAsia="es-ES"/>
        </w:rPr>
        <w:t>Ciudad Autónoma de Buenos Aires,</w:t>
      </w:r>
      <w:r>
        <w:rPr>
          <w:rFonts w:eastAsia="Calibri"/>
          <w:bCs/>
          <w:color w:val="000000"/>
          <w:szCs w:val="24"/>
          <w:lang w:val="es-AR" w:eastAsia="es-ES"/>
        </w:rPr>
        <w:t xml:space="preserve"> </w:t>
      </w:r>
      <w:r w:rsidR="006531CC">
        <w:rPr>
          <w:rFonts w:eastAsia="Calibri"/>
          <w:bCs/>
          <w:color w:val="000000"/>
          <w:szCs w:val="24"/>
          <w:lang w:val="es-AR" w:eastAsia="es-ES"/>
        </w:rPr>
        <w:t>8</w:t>
      </w:r>
      <w:r>
        <w:rPr>
          <w:rFonts w:eastAsia="Calibri"/>
          <w:bCs/>
          <w:color w:val="000000"/>
          <w:szCs w:val="24"/>
          <w:lang w:val="es-AR" w:eastAsia="es-ES"/>
        </w:rPr>
        <w:t xml:space="preserve"> de enero de 2024</w:t>
      </w:r>
    </w:p>
    <w:p w14:paraId="3DD0C257" w14:textId="77777777" w:rsidR="000C5764" w:rsidRPr="00906CD0" w:rsidRDefault="000C5764" w:rsidP="000C5764">
      <w:pPr>
        <w:jc w:val="both"/>
        <w:rPr>
          <w:rFonts w:eastAsia="Calibri"/>
          <w:bCs/>
          <w:color w:val="000000"/>
          <w:szCs w:val="24"/>
          <w:lang w:val="es-AR" w:eastAsia="es-ES"/>
        </w:rPr>
      </w:pPr>
    </w:p>
    <w:p w14:paraId="0CBC67F0" w14:textId="77777777"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 xml:space="preserve">A los Señores Directores </w:t>
      </w:r>
    </w:p>
    <w:p w14:paraId="32EC1DFB" w14:textId="77777777"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 xml:space="preserve">de </w:t>
      </w:r>
      <w:r>
        <w:rPr>
          <w:rFonts w:eastAsia="Calibri"/>
          <w:bCs/>
          <w:color w:val="000000"/>
          <w:szCs w:val="24"/>
          <w:lang w:val="es-AR" w:eastAsia="es-ES"/>
        </w:rPr>
        <w:t>B- Gaming</w:t>
      </w:r>
      <w:r w:rsidRPr="00906CD0">
        <w:rPr>
          <w:rFonts w:eastAsia="Calibri"/>
          <w:bCs/>
          <w:color w:val="000000"/>
          <w:szCs w:val="24"/>
          <w:lang w:val="es-AR" w:eastAsia="es-ES"/>
        </w:rPr>
        <w:t xml:space="preserve"> S.A.</w:t>
      </w:r>
    </w:p>
    <w:p w14:paraId="7A592445" w14:textId="77777777" w:rsidR="006531CC" w:rsidRDefault="006531CC" w:rsidP="000C5764">
      <w:pPr>
        <w:jc w:val="both"/>
        <w:rPr>
          <w:szCs w:val="24"/>
        </w:rPr>
      </w:pPr>
      <w:r>
        <w:rPr>
          <w:szCs w:val="24"/>
        </w:rPr>
        <w:t>Avenida Caseros 3039, Piso 9</w:t>
      </w:r>
    </w:p>
    <w:p w14:paraId="698DFB36" w14:textId="3268D250" w:rsidR="000C5764" w:rsidRPr="00906CD0" w:rsidRDefault="000C5764" w:rsidP="000C5764">
      <w:pPr>
        <w:jc w:val="both"/>
        <w:rPr>
          <w:rFonts w:eastAsia="Calibri"/>
          <w:bCs/>
          <w:color w:val="000000"/>
          <w:szCs w:val="24"/>
          <w:u w:val="single"/>
          <w:lang w:val="es-AR" w:eastAsia="es-ES"/>
        </w:rPr>
      </w:pPr>
      <w:r w:rsidRPr="00906CD0">
        <w:rPr>
          <w:rFonts w:eastAsia="Calibri"/>
          <w:bCs/>
          <w:color w:val="000000"/>
          <w:szCs w:val="24"/>
          <w:u w:val="single"/>
          <w:lang w:val="es-AR" w:eastAsia="es-ES"/>
        </w:rPr>
        <w:t>Ciudad Autónoma de Buenos Aires</w:t>
      </w:r>
    </w:p>
    <w:p w14:paraId="06EB3E6E" w14:textId="77777777" w:rsidR="000C5764" w:rsidRPr="00906CD0" w:rsidRDefault="000C5764" w:rsidP="000C5764">
      <w:pPr>
        <w:jc w:val="both"/>
        <w:rPr>
          <w:rFonts w:eastAsia="Calibri"/>
          <w:bCs/>
          <w:color w:val="000000"/>
          <w:szCs w:val="24"/>
          <w:u w:val="single"/>
          <w:lang w:val="es-AR" w:eastAsia="es-ES"/>
        </w:rPr>
      </w:pPr>
    </w:p>
    <w:p w14:paraId="09C6C673" w14:textId="24D38A67"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 xml:space="preserve">En nuestro carácter de miembros del Comité de Auditoría de </w:t>
      </w:r>
      <w:r>
        <w:rPr>
          <w:rFonts w:eastAsia="Calibri"/>
          <w:bCs/>
          <w:color w:val="000000"/>
          <w:szCs w:val="24"/>
          <w:lang w:val="es-AR" w:eastAsia="es-ES"/>
        </w:rPr>
        <w:t>B- Gaming</w:t>
      </w:r>
      <w:r w:rsidRPr="00906CD0">
        <w:rPr>
          <w:rFonts w:eastAsia="Calibri"/>
          <w:bCs/>
          <w:color w:val="000000"/>
          <w:szCs w:val="24"/>
          <w:lang w:val="es-AR" w:eastAsia="es-ES"/>
        </w:rPr>
        <w:t xml:space="preserve"> S.A. (en adelante, la “</w:t>
      </w:r>
      <w:r w:rsidRPr="00906CD0">
        <w:rPr>
          <w:rFonts w:eastAsia="Calibri"/>
          <w:bCs/>
          <w:color w:val="000000"/>
          <w:szCs w:val="24"/>
          <w:u w:val="single"/>
          <w:lang w:val="es-AR" w:eastAsia="es-ES"/>
        </w:rPr>
        <w:t>Sociedad</w:t>
      </w:r>
      <w:r w:rsidRPr="00906CD0">
        <w:rPr>
          <w:rFonts w:eastAsia="Calibri"/>
          <w:bCs/>
          <w:color w:val="000000"/>
          <w:szCs w:val="24"/>
          <w:lang w:val="es-AR" w:eastAsia="es-ES"/>
        </w:rPr>
        <w:t>” o “</w:t>
      </w:r>
      <w:r w:rsidRPr="00906CD0">
        <w:rPr>
          <w:rFonts w:eastAsia="Calibri"/>
          <w:bCs/>
          <w:color w:val="000000"/>
          <w:szCs w:val="24"/>
          <w:u w:val="single"/>
          <w:lang w:val="es-AR" w:eastAsia="es-ES"/>
        </w:rPr>
        <w:t>B</w:t>
      </w:r>
      <w:r>
        <w:rPr>
          <w:rFonts w:eastAsia="Calibri"/>
          <w:bCs/>
          <w:color w:val="000000"/>
          <w:szCs w:val="24"/>
          <w:u w:val="single"/>
          <w:lang w:val="es-AR" w:eastAsia="es-ES"/>
        </w:rPr>
        <w:t>G</w:t>
      </w:r>
      <w:r w:rsidRPr="00906CD0">
        <w:rPr>
          <w:rFonts w:eastAsia="Calibri"/>
          <w:bCs/>
          <w:color w:val="000000"/>
          <w:szCs w:val="24"/>
          <w:lang w:val="es-AR" w:eastAsia="es-ES"/>
        </w:rPr>
        <w:t>” indistintamente) y de acuerdo con lo dispuesto en el artículo 18</w:t>
      </w:r>
      <w:r w:rsidRPr="004D0D2B">
        <w:rPr>
          <w:rFonts w:eastAsia="Calibri"/>
          <w:bCs/>
          <w:color w:val="000000"/>
          <w:szCs w:val="24"/>
          <w:lang w:val="es-AR" w:eastAsia="es-ES"/>
        </w:rPr>
        <w:t xml:space="preserve"> </w:t>
      </w:r>
      <w:r w:rsidRPr="00906CD0">
        <w:rPr>
          <w:rFonts w:eastAsia="Calibri"/>
          <w:bCs/>
          <w:color w:val="000000"/>
          <w:szCs w:val="24"/>
          <w:lang w:val="es-AR" w:eastAsia="es-ES"/>
        </w:rPr>
        <w:t xml:space="preserve">inciso c) </w:t>
      </w:r>
      <w:r>
        <w:rPr>
          <w:rFonts w:eastAsia="Calibri"/>
          <w:bCs/>
          <w:color w:val="000000"/>
          <w:szCs w:val="24"/>
          <w:lang w:val="es-AR" w:eastAsia="es-ES"/>
        </w:rPr>
        <w:t>de la</w:t>
      </w:r>
      <w:r w:rsidRPr="00906CD0">
        <w:rPr>
          <w:rFonts w:eastAsia="Calibri"/>
          <w:bCs/>
          <w:color w:val="000000"/>
          <w:szCs w:val="24"/>
          <w:lang w:val="es-AR" w:eastAsia="es-ES"/>
        </w:rPr>
        <w:t xml:space="preserve"> Sección V, Capítulo III, Título</w:t>
      </w:r>
      <w:r>
        <w:rPr>
          <w:rFonts w:eastAsia="Calibri"/>
          <w:bCs/>
          <w:color w:val="000000"/>
          <w:szCs w:val="24"/>
          <w:lang w:val="es-AR" w:eastAsia="es-ES"/>
        </w:rPr>
        <w:t xml:space="preserve"> II </w:t>
      </w:r>
      <w:r w:rsidRPr="00906CD0">
        <w:rPr>
          <w:rFonts w:eastAsia="Calibri"/>
          <w:bCs/>
          <w:color w:val="000000"/>
          <w:szCs w:val="24"/>
          <w:lang w:val="es-AR" w:eastAsia="es-ES"/>
        </w:rPr>
        <w:t xml:space="preserve">de las Normas </w:t>
      </w:r>
      <w:r>
        <w:rPr>
          <w:rFonts w:eastAsia="Calibri"/>
          <w:bCs/>
          <w:color w:val="000000"/>
          <w:szCs w:val="24"/>
          <w:lang w:val="es-AR" w:eastAsia="es-ES"/>
        </w:rPr>
        <w:t xml:space="preserve">de </w:t>
      </w:r>
      <w:r w:rsidRPr="00906CD0">
        <w:rPr>
          <w:rFonts w:eastAsia="Calibri"/>
          <w:bCs/>
          <w:color w:val="000000"/>
          <w:szCs w:val="24"/>
          <w:lang w:val="es-AR" w:eastAsia="es-ES"/>
        </w:rPr>
        <w:t>la Comisión Nacional de Valores (en adelante, las “</w:t>
      </w:r>
      <w:r w:rsidRPr="00906CD0">
        <w:rPr>
          <w:rFonts w:eastAsia="Calibri"/>
          <w:bCs/>
          <w:color w:val="000000"/>
          <w:szCs w:val="24"/>
          <w:u w:val="single"/>
          <w:lang w:val="es-AR" w:eastAsia="es-ES"/>
        </w:rPr>
        <w:t>Normas CNV</w:t>
      </w:r>
      <w:r w:rsidRPr="00906CD0">
        <w:rPr>
          <w:rFonts w:eastAsia="Calibri"/>
          <w:bCs/>
          <w:color w:val="000000"/>
          <w:szCs w:val="24"/>
          <w:lang w:val="es-AR" w:eastAsia="es-ES"/>
        </w:rPr>
        <w:t>”) les presentamos el siguiente informe anual correspondiente al ejercicio fin</w:t>
      </w:r>
      <w:r>
        <w:rPr>
          <w:rFonts w:eastAsia="Calibri"/>
          <w:bCs/>
          <w:color w:val="000000"/>
          <w:szCs w:val="24"/>
          <w:lang w:val="es-AR" w:eastAsia="es-ES"/>
        </w:rPr>
        <w:t>alizado el 31 de octubre de 202</w:t>
      </w:r>
      <w:r w:rsidR="006531CC">
        <w:rPr>
          <w:rFonts w:eastAsia="Calibri"/>
          <w:bCs/>
          <w:color w:val="000000"/>
          <w:szCs w:val="24"/>
          <w:lang w:val="es-AR" w:eastAsia="es-ES"/>
        </w:rPr>
        <w:t>4</w:t>
      </w:r>
      <w:r w:rsidRPr="00906CD0">
        <w:rPr>
          <w:rFonts w:eastAsia="Calibri"/>
          <w:bCs/>
          <w:color w:val="000000"/>
          <w:szCs w:val="24"/>
          <w:lang w:val="es-AR" w:eastAsia="es-ES"/>
        </w:rPr>
        <w:t>, sobre el tratamiento dado a las cuestiones de nuestra competencia previstas en el artículo 110 de la Ley de Mercado de Capitales N° 26.831 y modificatorias (en adelante, la “</w:t>
      </w:r>
      <w:r w:rsidRPr="00906CD0">
        <w:rPr>
          <w:rFonts w:eastAsia="Calibri"/>
          <w:bCs/>
          <w:color w:val="000000"/>
          <w:szCs w:val="24"/>
          <w:u w:val="single"/>
          <w:lang w:val="es-AR" w:eastAsia="es-ES"/>
        </w:rPr>
        <w:t>LMC</w:t>
      </w:r>
      <w:r w:rsidRPr="00906CD0">
        <w:rPr>
          <w:rFonts w:eastAsia="Calibri"/>
          <w:bCs/>
          <w:color w:val="000000"/>
          <w:szCs w:val="24"/>
          <w:lang w:val="es-AR" w:eastAsia="es-ES"/>
        </w:rPr>
        <w:t xml:space="preserve">”) y en </w:t>
      </w:r>
      <w:r>
        <w:rPr>
          <w:rFonts w:eastAsia="Calibri"/>
          <w:bCs/>
          <w:color w:val="000000"/>
          <w:szCs w:val="24"/>
          <w:lang w:val="es-AR" w:eastAsia="es-ES"/>
        </w:rPr>
        <w:t>la</w:t>
      </w:r>
      <w:r w:rsidRPr="00906CD0">
        <w:rPr>
          <w:rFonts w:eastAsia="Calibri"/>
          <w:bCs/>
          <w:color w:val="000000"/>
          <w:szCs w:val="24"/>
          <w:lang w:val="es-AR" w:eastAsia="es-ES"/>
        </w:rPr>
        <w:t xml:space="preserve"> Sección V, Capítulo III, Título</w:t>
      </w:r>
      <w:r>
        <w:rPr>
          <w:rFonts w:eastAsia="Calibri"/>
          <w:bCs/>
          <w:color w:val="000000"/>
          <w:szCs w:val="24"/>
          <w:lang w:val="es-AR" w:eastAsia="es-ES"/>
        </w:rPr>
        <w:t xml:space="preserve"> II </w:t>
      </w:r>
      <w:r w:rsidRPr="00906CD0">
        <w:rPr>
          <w:rFonts w:eastAsia="Calibri"/>
          <w:bCs/>
          <w:color w:val="000000"/>
          <w:szCs w:val="24"/>
          <w:lang w:val="es-AR" w:eastAsia="es-ES"/>
        </w:rPr>
        <w:t>de las Normas CNV.</w:t>
      </w:r>
    </w:p>
    <w:p w14:paraId="29B7DE01" w14:textId="77777777" w:rsidR="000C5764" w:rsidRPr="00906CD0" w:rsidRDefault="000C5764" w:rsidP="000C5764">
      <w:pPr>
        <w:jc w:val="both"/>
        <w:rPr>
          <w:rFonts w:eastAsia="Calibri"/>
          <w:bCs/>
          <w:color w:val="000000"/>
          <w:szCs w:val="24"/>
          <w:lang w:val="es-AR" w:eastAsia="es-ES"/>
        </w:rPr>
      </w:pPr>
    </w:p>
    <w:p w14:paraId="0DCC96FF" w14:textId="77777777"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A los efectos de facilitar su entendimiento, hemos dividido nuestro informe en las siguientes secciones:</w:t>
      </w:r>
    </w:p>
    <w:p w14:paraId="7CC964D0" w14:textId="77777777" w:rsidR="000C5764" w:rsidRPr="00906CD0" w:rsidRDefault="000C5764" w:rsidP="000C5764">
      <w:pPr>
        <w:jc w:val="both"/>
        <w:rPr>
          <w:rFonts w:eastAsia="Calibri"/>
          <w:bCs/>
          <w:color w:val="000000"/>
          <w:szCs w:val="24"/>
          <w:lang w:val="es-AR" w:eastAsia="es-ES"/>
        </w:rPr>
      </w:pPr>
    </w:p>
    <w:p w14:paraId="552D77E5" w14:textId="77777777" w:rsidR="000C5764" w:rsidRPr="00906CD0" w:rsidRDefault="000C5764" w:rsidP="000C5764">
      <w:pPr>
        <w:jc w:val="both"/>
        <w:rPr>
          <w:rFonts w:eastAsia="Calibri"/>
          <w:bCs/>
          <w:color w:val="000000"/>
          <w:szCs w:val="24"/>
          <w:lang w:val="es-AR" w:eastAsia="es-ES"/>
        </w:rPr>
      </w:pPr>
      <w:r>
        <w:rPr>
          <w:rFonts w:eastAsia="Calibri"/>
          <w:bCs/>
          <w:color w:val="000000"/>
          <w:szCs w:val="24"/>
          <w:lang w:val="es-AR" w:eastAsia="es-ES"/>
        </w:rPr>
        <w:t xml:space="preserve">I. </w:t>
      </w:r>
      <w:r w:rsidRPr="00906CD0">
        <w:rPr>
          <w:rFonts w:eastAsia="Calibri"/>
          <w:bCs/>
          <w:color w:val="000000"/>
          <w:szCs w:val="24"/>
          <w:lang w:val="es-AR" w:eastAsia="es-ES"/>
        </w:rPr>
        <w:t>TRATAMIENTO DADO A LAS CUESTIONES DE COMPETENCIA DEL COMITÉ</w:t>
      </w:r>
    </w:p>
    <w:p w14:paraId="4C5D819B" w14:textId="77777777" w:rsidR="000C5764" w:rsidRPr="00906CD0" w:rsidRDefault="000C5764" w:rsidP="000C5764">
      <w:pPr>
        <w:jc w:val="both"/>
        <w:rPr>
          <w:rFonts w:eastAsia="Calibri"/>
          <w:bCs/>
          <w:color w:val="000000"/>
          <w:szCs w:val="24"/>
          <w:lang w:val="es-AR" w:eastAsia="es-ES"/>
        </w:rPr>
      </w:pPr>
      <w:r>
        <w:rPr>
          <w:rFonts w:eastAsia="Calibri"/>
          <w:bCs/>
          <w:color w:val="000000"/>
          <w:szCs w:val="24"/>
          <w:lang w:val="es-AR" w:eastAsia="es-ES"/>
        </w:rPr>
        <w:t>II</w:t>
      </w:r>
      <w:r w:rsidRPr="00906CD0">
        <w:rPr>
          <w:rFonts w:eastAsia="Calibri"/>
          <w:bCs/>
          <w:color w:val="000000"/>
          <w:szCs w:val="24"/>
          <w:lang w:val="es-AR" w:eastAsia="es-ES"/>
        </w:rPr>
        <w:t>.</w:t>
      </w:r>
      <w:r>
        <w:rPr>
          <w:rFonts w:eastAsia="Calibri"/>
          <w:bCs/>
          <w:color w:val="000000"/>
          <w:szCs w:val="24"/>
          <w:lang w:val="es-AR" w:eastAsia="es-ES"/>
        </w:rPr>
        <w:t xml:space="preserve"> </w:t>
      </w:r>
      <w:r w:rsidRPr="00906CD0">
        <w:rPr>
          <w:rFonts w:eastAsia="Calibri"/>
          <w:bCs/>
          <w:color w:val="000000"/>
          <w:szCs w:val="24"/>
          <w:lang w:val="es-AR" w:eastAsia="es-ES"/>
        </w:rPr>
        <w:t>ALCANCE DE LA LABOR Y RESPONSABILIDAD DEL COMITÉ</w:t>
      </w:r>
    </w:p>
    <w:p w14:paraId="3A41E2FD" w14:textId="77777777" w:rsidR="000C5764" w:rsidRPr="00906CD0" w:rsidRDefault="000C5764" w:rsidP="000C5764">
      <w:pPr>
        <w:jc w:val="both"/>
        <w:rPr>
          <w:rFonts w:eastAsia="Calibri"/>
          <w:bCs/>
          <w:color w:val="000000"/>
          <w:szCs w:val="24"/>
          <w:lang w:val="es-AR" w:eastAsia="es-ES"/>
        </w:rPr>
      </w:pPr>
      <w:r>
        <w:rPr>
          <w:rFonts w:eastAsia="Calibri"/>
          <w:bCs/>
          <w:color w:val="000000"/>
          <w:szCs w:val="24"/>
          <w:lang w:val="es-AR" w:eastAsia="es-ES"/>
        </w:rPr>
        <w:t>III</w:t>
      </w:r>
      <w:r w:rsidRPr="00906CD0">
        <w:rPr>
          <w:rFonts w:eastAsia="Calibri"/>
          <w:bCs/>
          <w:color w:val="000000"/>
          <w:szCs w:val="24"/>
          <w:lang w:val="es-AR" w:eastAsia="es-ES"/>
        </w:rPr>
        <w:t>.</w:t>
      </w:r>
      <w:r>
        <w:rPr>
          <w:rFonts w:eastAsia="Calibri"/>
          <w:bCs/>
          <w:color w:val="000000"/>
          <w:szCs w:val="24"/>
          <w:lang w:val="es-AR" w:eastAsia="es-ES"/>
        </w:rPr>
        <w:t xml:space="preserve"> </w:t>
      </w:r>
      <w:r w:rsidRPr="00906CD0">
        <w:rPr>
          <w:rFonts w:eastAsia="Calibri"/>
          <w:bCs/>
          <w:color w:val="000000"/>
          <w:szCs w:val="24"/>
          <w:lang w:val="es-AR" w:eastAsia="es-ES"/>
        </w:rPr>
        <w:t>CONCLUSIÓN GENERAL</w:t>
      </w:r>
    </w:p>
    <w:p w14:paraId="0CADC8EC" w14:textId="77777777" w:rsidR="000C5764" w:rsidRPr="00906CD0" w:rsidRDefault="000C5764" w:rsidP="000C5764">
      <w:pPr>
        <w:jc w:val="both"/>
        <w:rPr>
          <w:rFonts w:eastAsia="Calibri"/>
          <w:bCs/>
          <w:color w:val="000000"/>
          <w:szCs w:val="24"/>
          <w:lang w:val="es-AR" w:eastAsia="es-ES"/>
        </w:rPr>
      </w:pPr>
    </w:p>
    <w:p w14:paraId="0201C461" w14:textId="77777777" w:rsidR="000C5764" w:rsidRPr="00906CD0" w:rsidRDefault="000C5764" w:rsidP="000C5764">
      <w:pPr>
        <w:jc w:val="both"/>
        <w:rPr>
          <w:rFonts w:eastAsia="Calibri"/>
          <w:bCs/>
          <w:color w:val="000000"/>
          <w:szCs w:val="24"/>
          <w:lang w:val="es-AR" w:eastAsia="es-ES"/>
        </w:rPr>
      </w:pPr>
    </w:p>
    <w:p w14:paraId="18D76B06" w14:textId="042DD9EA" w:rsidR="000C5764" w:rsidRPr="00906CD0" w:rsidRDefault="000C5764" w:rsidP="00C369DE">
      <w:pPr>
        <w:numPr>
          <w:ilvl w:val="0"/>
          <w:numId w:val="1"/>
        </w:numPr>
        <w:ind w:left="567" w:hanging="567"/>
        <w:jc w:val="both"/>
        <w:rPr>
          <w:rFonts w:eastAsia="Calibri"/>
          <w:b/>
          <w:bCs/>
          <w:color w:val="000000"/>
          <w:szCs w:val="24"/>
          <w:lang w:val="es-AR" w:eastAsia="es-ES"/>
        </w:rPr>
      </w:pPr>
      <w:r w:rsidRPr="00906CD0">
        <w:rPr>
          <w:rFonts w:eastAsia="Calibri"/>
          <w:b/>
          <w:bCs/>
          <w:color w:val="000000"/>
          <w:szCs w:val="24"/>
          <w:lang w:val="es-AR" w:eastAsia="es-ES"/>
        </w:rPr>
        <w:t>TRATAMIENTO DADO A LAS CUESTIONES DE COMPETENCIA DEL COMITÉ</w:t>
      </w:r>
    </w:p>
    <w:p w14:paraId="1B3177FC" w14:textId="77777777" w:rsidR="000C5764" w:rsidRPr="00906CD0" w:rsidRDefault="000C5764" w:rsidP="000C5764">
      <w:pPr>
        <w:jc w:val="both"/>
        <w:rPr>
          <w:rFonts w:eastAsia="Calibri"/>
          <w:bCs/>
          <w:color w:val="000000"/>
          <w:szCs w:val="24"/>
          <w:lang w:val="es-AR" w:eastAsia="es-ES"/>
        </w:rPr>
      </w:pPr>
    </w:p>
    <w:p w14:paraId="53D4CEDE" w14:textId="74DA3781" w:rsidR="000C5764" w:rsidRPr="00906CD0" w:rsidRDefault="000C5764" w:rsidP="000C5764">
      <w:pPr>
        <w:jc w:val="both"/>
        <w:rPr>
          <w:rFonts w:eastAsia="Calibri"/>
          <w:bCs/>
          <w:color w:val="000000"/>
          <w:szCs w:val="24"/>
          <w:lang w:val="es-AR" w:eastAsia="es-ES"/>
        </w:rPr>
      </w:pPr>
      <w:r>
        <w:rPr>
          <w:rFonts w:eastAsia="Calibri"/>
          <w:bCs/>
          <w:color w:val="000000"/>
          <w:szCs w:val="24"/>
          <w:lang w:val="es-AR" w:eastAsia="es-ES"/>
        </w:rPr>
        <w:t>Seguidamente,</w:t>
      </w:r>
      <w:r w:rsidRPr="00906CD0">
        <w:rPr>
          <w:rFonts w:eastAsia="Calibri"/>
          <w:bCs/>
          <w:color w:val="000000"/>
          <w:szCs w:val="24"/>
          <w:lang w:val="es-AR" w:eastAsia="es-ES"/>
        </w:rPr>
        <w:t xml:space="preserve"> se </w:t>
      </w:r>
      <w:r>
        <w:rPr>
          <w:rFonts w:eastAsia="Calibri"/>
          <w:bCs/>
          <w:color w:val="000000"/>
          <w:szCs w:val="24"/>
          <w:lang w:val="es-AR" w:eastAsia="es-ES"/>
        </w:rPr>
        <w:t>informa</w:t>
      </w:r>
      <w:r w:rsidRPr="00906CD0">
        <w:rPr>
          <w:rFonts w:eastAsia="Calibri"/>
          <w:bCs/>
          <w:color w:val="000000"/>
          <w:szCs w:val="24"/>
          <w:lang w:val="es-AR" w:eastAsia="es-ES"/>
        </w:rPr>
        <w:t xml:space="preserve"> el tratamiento dado por el Comité de Auditoría en el ejercicio iniciado el 1</w:t>
      </w:r>
      <w:r>
        <w:rPr>
          <w:rFonts w:eastAsia="Calibri"/>
          <w:bCs/>
          <w:color w:val="000000"/>
          <w:szCs w:val="24"/>
          <w:lang w:val="es-AR" w:eastAsia="es-ES"/>
        </w:rPr>
        <w:t>°</w:t>
      </w:r>
      <w:r w:rsidRPr="00906CD0">
        <w:rPr>
          <w:rFonts w:eastAsia="Calibri"/>
          <w:bCs/>
          <w:color w:val="000000"/>
          <w:szCs w:val="24"/>
          <w:lang w:val="es-AR" w:eastAsia="es-ES"/>
        </w:rPr>
        <w:t xml:space="preserve"> de noviembre de 20</w:t>
      </w:r>
      <w:r>
        <w:rPr>
          <w:rFonts w:eastAsia="Calibri"/>
          <w:bCs/>
          <w:color w:val="000000"/>
          <w:szCs w:val="24"/>
          <w:lang w:val="es-AR" w:eastAsia="es-ES"/>
        </w:rPr>
        <w:t>2</w:t>
      </w:r>
      <w:r w:rsidR="006531CC">
        <w:rPr>
          <w:rFonts w:eastAsia="Calibri"/>
          <w:bCs/>
          <w:color w:val="000000"/>
          <w:szCs w:val="24"/>
          <w:lang w:val="es-AR" w:eastAsia="es-ES"/>
        </w:rPr>
        <w:t>3</w:t>
      </w:r>
      <w:r w:rsidRPr="00906CD0">
        <w:rPr>
          <w:rFonts w:eastAsia="Calibri"/>
          <w:bCs/>
          <w:color w:val="000000"/>
          <w:szCs w:val="24"/>
          <w:lang w:val="es-AR" w:eastAsia="es-ES"/>
        </w:rPr>
        <w:t xml:space="preserve"> </w:t>
      </w:r>
      <w:r>
        <w:rPr>
          <w:rFonts w:eastAsia="Calibri"/>
          <w:bCs/>
          <w:color w:val="000000"/>
          <w:szCs w:val="24"/>
          <w:lang w:val="es-AR" w:eastAsia="es-ES"/>
        </w:rPr>
        <w:t>y finalizado el 31 de octubre de 202</w:t>
      </w:r>
      <w:r w:rsidR="006531CC">
        <w:rPr>
          <w:rFonts w:eastAsia="Calibri"/>
          <w:bCs/>
          <w:color w:val="000000"/>
          <w:szCs w:val="24"/>
          <w:lang w:val="es-AR" w:eastAsia="es-ES"/>
        </w:rPr>
        <w:t>4</w:t>
      </w:r>
      <w:r>
        <w:rPr>
          <w:rFonts w:eastAsia="Calibri"/>
          <w:bCs/>
          <w:color w:val="000000"/>
          <w:szCs w:val="24"/>
          <w:lang w:val="es-AR" w:eastAsia="es-ES"/>
        </w:rPr>
        <w:t xml:space="preserve"> </w:t>
      </w:r>
      <w:r w:rsidRPr="00906CD0">
        <w:rPr>
          <w:rFonts w:eastAsia="Calibri"/>
          <w:bCs/>
          <w:color w:val="000000"/>
          <w:szCs w:val="24"/>
          <w:lang w:val="es-AR" w:eastAsia="es-ES"/>
        </w:rPr>
        <w:t>a las cuestiones de su competencia.</w:t>
      </w:r>
    </w:p>
    <w:p w14:paraId="26111010" w14:textId="77777777" w:rsidR="000C5764" w:rsidRPr="00906CD0" w:rsidRDefault="000C5764" w:rsidP="000C5764">
      <w:pPr>
        <w:jc w:val="both"/>
        <w:rPr>
          <w:rFonts w:eastAsia="Calibri"/>
          <w:bCs/>
          <w:color w:val="000000"/>
          <w:szCs w:val="24"/>
          <w:lang w:val="es-AR" w:eastAsia="es-ES"/>
        </w:rPr>
      </w:pPr>
    </w:p>
    <w:p w14:paraId="77A2017D" w14:textId="77777777" w:rsidR="000C5764" w:rsidRPr="00906CD0" w:rsidRDefault="000C5764" w:rsidP="000C5764">
      <w:pPr>
        <w:jc w:val="both"/>
        <w:rPr>
          <w:rFonts w:eastAsia="Calibri"/>
          <w:b/>
          <w:bCs/>
          <w:color w:val="000000"/>
          <w:szCs w:val="24"/>
          <w:lang w:val="es-AR" w:eastAsia="es-ES"/>
        </w:rPr>
      </w:pPr>
      <w:r w:rsidRPr="00906CD0">
        <w:rPr>
          <w:rFonts w:eastAsia="Calibri"/>
          <w:b/>
          <w:bCs/>
          <w:color w:val="000000"/>
          <w:szCs w:val="24"/>
          <w:lang w:val="es-AR" w:eastAsia="es-ES"/>
        </w:rPr>
        <w:t>A. Auditoría externa</w:t>
      </w:r>
    </w:p>
    <w:p w14:paraId="1D2003C9" w14:textId="77777777" w:rsidR="000C5764" w:rsidRPr="00906CD0" w:rsidRDefault="000C5764" w:rsidP="000C5764">
      <w:pPr>
        <w:jc w:val="both"/>
        <w:rPr>
          <w:rFonts w:eastAsia="Calibri"/>
          <w:bCs/>
          <w:i/>
          <w:color w:val="000000"/>
          <w:szCs w:val="24"/>
          <w:lang w:val="es-AR" w:eastAsia="es-ES"/>
        </w:rPr>
      </w:pPr>
    </w:p>
    <w:p w14:paraId="703DF4BB" w14:textId="00040048"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El auditor externo para el ejercicio iniciad</w:t>
      </w:r>
      <w:r>
        <w:rPr>
          <w:rFonts w:eastAsia="Calibri"/>
          <w:bCs/>
          <w:color w:val="000000"/>
          <w:szCs w:val="24"/>
          <w:lang w:val="es-AR" w:eastAsia="es-ES"/>
        </w:rPr>
        <w:t>o el 1° de noviembre de 202</w:t>
      </w:r>
      <w:r w:rsidR="006531CC">
        <w:rPr>
          <w:rFonts w:eastAsia="Calibri"/>
          <w:bCs/>
          <w:color w:val="000000"/>
          <w:szCs w:val="24"/>
          <w:lang w:val="es-AR" w:eastAsia="es-ES"/>
        </w:rPr>
        <w:t>3</w:t>
      </w:r>
      <w:r w:rsidRPr="00906CD0">
        <w:rPr>
          <w:rFonts w:eastAsia="Calibri"/>
          <w:bCs/>
          <w:color w:val="000000"/>
          <w:szCs w:val="24"/>
          <w:lang w:val="es-AR" w:eastAsia="es-ES"/>
        </w:rPr>
        <w:t xml:space="preserve"> fue designado por la Asamblea Anual Ordinaria y Extraordinaria de Accionistas de fecha</w:t>
      </w:r>
      <w:r>
        <w:rPr>
          <w:rFonts w:eastAsia="Calibri"/>
          <w:bCs/>
          <w:color w:val="000000"/>
          <w:szCs w:val="24"/>
          <w:lang w:val="es-AR" w:eastAsia="es-ES"/>
        </w:rPr>
        <w:t xml:space="preserve"> </w:t>
      </w:r>
      <w:r w:rsidR="006531CC">
        <w:rPr>
          <w:rFonts w:eastAsia="Calibri"/>
          <w:bCs/>
          <w:color w:val="000000"/>
          <w:szCs w:val="24"/>
          <w:lang w:val="es-AR" w:eastAsia="es-ES"/>
        </w:rPr>
        <w:t xml:space="preserve">27 </w:t>
      </w:r>
      <w:r w:rsidRPr="0045511A">
        <w:rPr>
          <w:rFonts w:eastAsia="Calibri"/>
          <w:bCs/>
          <w:color w:val="000000"/>
          <w:szCs w:val="24"/>
          <w:lang w:val="es-AR" w:eastAsia="es-ES"/>
        </w:rPr>
        <w:t xml:space="preserve">de </w:t>
      </w:r>
      <w:r w:rsidR="006531CC">
        <w:rPr>
          <w:rFonts w:eastAsia="Calibri"/>
          <w:bCs/>
          <w:color w:val="000000"/>
          <w:szCs w:val="24"/>
          <w:lang w:val="es-AR" w:eastAsia="es-ES"/>
        </w:rPr>
        <w:t>febrero</w:t>
      </w:r>
      <w:r w:rsidRPr="0045511A">
        <w:rPr>
          <w:rFonts w:eastAsia="Calibri"/>
          <w:bCs/>
          <w:color w:val="000000"/>
          <w:szCs w:val="24"/>
          <w:lang w:val="es-AR" w:eastAsia="es-ES"/>
        </w:rPr>
        <w:t xml:space="preserve"> de 202</w:t>
      </w:r>
      <w:r w:rsidR="006531CC">
        <w:rPr>
          <w:rFonts w:eastAsia="Calibri"/>
          <w:bCs/>
          <w:color w:val="000000"/>
          <w:szCs w:val="24"/>
          <w:lang w:val="es-AR" w:eastAsia="es-ES"/>
        </w:rPr>
        <w:t>4</w:t>
      </w:r>
      <w:r w:rsidRPr="0045511A">
        <w:rPr>
          <w:rFonts w:eastAsia="Calibri"/>
          <w:bCs/>
          <w:color w:val="000000"/>
          <w:szCs w:val="24"/>
          <w:lang w:val="es-AR" w:eastAsia="es-ES"/>
        </w:rPr>
        <w:t>,</w:t>
      </w:r>
      <w:r>
        <w:rPr>
          <w:rFonts w:eastAsia="Calibri"/>
          <w:bCs/>
          <w:color w:val="000000"/>
          <w:szCs w:val="24"/>
          <w:lang w:val="es-AR" w:eastAsia="es-ES"/>
        </w:rPr>
        <w:t xml:space="preserve"> siendo designada la firma </w:t>
      </w:r>
      <w:r w:rsidRPr="005F1C63">
        <w:rPr>
          <w:szCs w:val="24"/>
        </w:rPr>
        <w:t>de auditoría Becher y Asociados S.R.L. (</w:t>
      </w:r>
      <w:r>
        <w:rPr>
          <w:szCs w:val="24"/>
        </w:rPr>
        <w:t>“</w:t>
      </w:r>
      <w:r w:rsidRPr="00FE0780">
        <w:rPr>
          <w:szCs w:val="24"/>
          <w:u w:val="single"/>
        </w:rPr>
        <w:t>BDO</w:t>
      </w:r>
      <w:r>
        <w:rPr>
          <w:szCs w:val="24"/>
        </w:rPr>
        <w:t>”</w:t>
      </w:r>
      <w:r w:rsidRPr="005F1C63">
        <w:rPr>
          <w:szCs w:val="24"/>
        </w:rPr>
        <w:t>)</w:t>
      </w:r>
      <w:r>
        <w:rPr>
          <w:rFonts w:eastAsia="Calibri"/>
          <w:bCs/>
          <w:color w:val="000000"/>
          <w:szCs w:val="24"/>
          <w:lang w:val="es-AR" w:eastAsia="es-ES"/>
        </w:rPr>
        <w:t xml:space="preserve">, desempeñándose </w:t>
      </w:r>
      <w:r w:rsidR="00766C49">
        <w:rPr>
          <w:rFonts w:eastAsia="Calibri"/>
          <w:bCs/>
          <w:color w:val="000000"/>
          <w:szCs w:val="24"/>
          <w:lang w:val="es-AR" w:eastAsia="es-ES"/>
        </w:rPr>
        <w:t xml:space="preserve">como auditor titular </w:t>
      </w:r>
      <w:r>
        <w:rPr>
          <w:rFonts w:eastAsia="Calibri"/>
          <w:bCs/>
          <w:color w:val="000000"/>
          <w:szCs w:val="24"/>
          <w:lang w:val="es-AR" w:eastAsia="es-ES"/>
        </w:rPr>
        <w:t xml:space="preserve">el Dr. Gustavo Omar Acevedo y </w:t>
      </w:r>
      <w:r w:rsidR="00766C49">
        <w:rPr>
          <w:rFonts w:eastAsia="Calibri"/>
          <w:bCs/>
          <w:color w:val="000000"/>
          <w:szCs w:val="24"/>
          <w:lang w:val="es-AR" w:eastAsia="es-ES"/>
        </w:rPr>
        <w:t xml:space="preserve">como auditora suplente </w:t>
      </w:r>
      <w:r>
        <w:rPr>
          <w:rFonts w:eastAsia="Calibri"/>
          <w:bCs/>
          <w:color w:val="000000"/>
          <w:szCs w:val="24"/>
          <w:lang w:val="es-AR" w:eastAsia="es-ES"/>
        </w:rPr>
        <w:t>la Dra. Nancy García.</w:t>
      </w:r>
      <w:r w:rsidRPr="00906CD0" w:rsidDel="00F90D3D">
        <w:rPr>
          <w:rFonts w:eastAsia="Calibri"/>
          <w:bCs/>
          <w:color w:val="000000"/>
          <w:szCs w:val="24"/>
          <w:lang w:val="es-AR" w:eastAsia="es-ES"/>
        </w:rPr>
        <w:t xml:space="preserve"> </w:t>
      </w:r>
    </w:p>
    <w:p w14:paraId="13E2AB6A" w14:textId="77777777" w:rsidR="000C5764" w:rsidRPr="00906CD0" w:rsidRDefault="000C5764" w:rsidP="000C5764">
      <w:pPr>
        <w:jc w:val="both"/>
        <w:rPr>
          <w:rFonts w:eastAsia="Calibri"/>
          <w:bCs/>
          <w:color w:val="000000"/>
          <w:szCs w:val="24"/>
          <w:lang w:val="es-AR" w:eastAsia="es-ES"/>
        </w:rPr>
      </w:pPr>
    </w:p>
    <w:p w14:paraId="79D6B02F" w14:textId="77777777"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 xml:space="preserve">Con el propósito de evaluar si la calidad de la labor de auditoría externa permite brindar un nivel satisfactorio de confianza sobre los documentos por ella examinados, hemos analizado, entre otras, </w:t>
      </w:r>
      <w:r>
        <w:rPr>
          <w:rFonts w:eastAsia="Calibri"/>
          <w:bCs/>
          <w:color w:val="000000"/>
          <w:szCs w:val="24"/>
          <w:lang w:val="es-AR" w:eastAsia="es-ES"/>
        </w:rPr>
        <w:t>las siguientes cuestiones y/o elementos</w:t>
      </w:r>
      <w:r w:rsidRPr="00906CD0">
        <w:rPr>
          <w:rFonts w:eastAsia="Calibri"/>
          <w:bCs/>
          <w:color w:val="000000"/>
          <w:szCs w:val="24"/>
          <w:lang w:val="es-AR" w:eastAsia="es-ES"/>
        </w:rPr>
        <w:t>, en la medida que se relacionan con dicho objetivo:</w:t>
      </w:r>
    </w:p>
    <w:p w14:paraId="3C32017F" w14:textId="77777777" w:rsidR="000C5764" w:rsidRPr="00906CD0" w:rsidRDefault="000C5764" w:rsidP="000C5764">
      <w:pPr>
        <w:jc w:val="both"/>
        <w:rPr>
          <w:rFonts w:eastAsia="Calibri"/>
          <w:bCs/>
          <w:color w:val="000000"/>
          <w:szCs w:val="24"/>
          <w:lang w:val="es-AR" w:eastAsia="es-ES"/>
        </w:rPr>
      </w:pPr>
    </w:p>
    <w:p w14:paraId="657039E1" w14:textId="226B7F2D"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 xml:space="preserve">1. Los antecedentes de la firma </w:t>
      </w:r>
      <w:r>
        <w:rPr>
          <w:rFonts w:eastAsia="Calibri"/>
          <w:bCs/>
          <w:color w:val="000000"/>
          <w:szCs w:val="24"/>
          <w:lang w:val="es-AR" w:eastAsia="es-ES"/>
        </w:rPr>
        <w:t>BDO</w:t>
      </w:r>
      <w:r w:rsidRPr="00906CD0">
        <w:rPr>
          <w:rFonts w:eastAsia="Calibri"/>
          <w:bCs/>
          <w:color w:val="000000"/>
          <w:szCs w:val="24"/>
          <w:lang w:val="es-AR" w:eastAsia="es-ES"/>
        </w:rPr>
        <w:t xml:space="preserve"> y en particular las condiciones personales y profesionales de los auditores titulares y suplentes en lo que hace a su idoneidad e independencia, lo cual incluyó, entre otras l</w:t>
      </w:r>
      <w:r>
        <w:rPr>
          <w:rFonts w:eastAsia="Calibri"/>
          <w:bCs/>
          <w:color w:val="000000"/>
          <w:szCs w:val="24"/>
          <w:lang w:val="es-AR" w:eastAsia="es-ES"/>
        </w:rPr>
        <w:t>as</w:t>
      </w:r>
      <w:r w:rsidRPr="00906CD0">
        <w:rPr>
          <w:rFonts w:eastAsia="Calibri"/>
          <w:bCs/>
          <w:color w:val="000000"/>
          <w:szCs w:val="24"/>
          <w:lang w:val="es-AR" w:eastAsia="es-ES"/>
        </w:rPr>
        <w:t xml:space="preserve"> siguiente</w:t>
      </w:r>
      <w:r>
        <w:rPr>
          <w:rFonts w:eastAsia="Calibri"/>
          <w:bCs/>
          <w:color w:val="000000"/>
          <w:szCs w:val="24"/>
          <w:lang w:val="es-AR" w:eastAsia="es-ES"/>
        </w:rPr>
        <w:t>s</w:t>
      </w:r>
      <w:r w:rsidR="00AC4A01">
        <w:rPr>
          <w:rFonts w:eastAsia="Calibri"/>
          <w:bCs/>
          <w:color w:val="000000"/>
          <w:szCs w:val="24"/>
          <w:lang w:val="es-AR" w:eastAsia="es-ES"/>
        </w:rPr>
        <w:t xml:space="preserve"> tareas</w:t>
      </w:r>
      <w:r w:rsidRPr="00906CD0">
        <w:rPr>
          <w:rFonts w:eastAsia="Calibri"/>
          <w:bCs/>
          <w:color w:val="000000"/>
          <w:szCs w:val="24"/>
          <w:lang w:val="es-AR" w:eastAsia="es-ES"/>
        </w:rPr>
        <w:t>:</w:t>
      </w:r>
    </w:p>
    <w:p w14:paraId="1D69574A" w14:textId="77777777" w:rsidR="000C5764" w:rsidRPr="00906CD0" w:rsidRDefault="000C5764" w:rsidP="000C5764">
      <w:pPr>
        <w:jc w:val="both"/>
        <w:rPr>
          <w:rFonts w:eastAsia="Calibri"/>
          <w:bCs/>
          <w:color w:val="000000"/>
          <w:szCs w:val="24"/>
          <w:lang w:val="es-AR" w:eastAsia="es-ES"/>
        </w:rPr>
      </w:pPr>
    </w:p>
    <w:p w14:paraId="6D467098" w14:textId="77777777" w:rsidR="000C5764" w:rsidRPr="00906CD0" w:rsidRDefault="000C5764" w:rsidP="000C5764">
      <w:pPr>
        <w:ind w:left="284"/>
        <w:jc w:val="both"/>
        <w:rPr>
          <w:rFonts w:eastAsia="Calibri"/>
          <w:bCs/>
          <w:color w:val="000000"/>
          <w:szCs w:val="24"/>
          <w:lang w:val="es-AR" w:eastAsia="es-ES"/>
        </w:rPr>
      </w:pPr>
      <w:r>
        <w:rPr>
          <w:rFonts w:eastAsia="Calibri"/>
          <w:bCs/>
          <w:color w:val="000000"/>
          <w:szCs w:val="24"/>
          <w:lang w:val="es-AR" w:eastAsia="es-ES"/>
        </w:rPr>
        <w:t xml:space="preserve">a. </w:t>
      </w:r>
      <w:r w:rsidRPr="00906CD0">
        <w:rPr>
          <w:rFonts w:eastAsia="Calibri"/>
          <w:bCs/>
          <w:color w:val="000000"/>
          <w:szCs w:val="24"/>
          <w:lang w:val="es-AR" w:eastAsia="es-ES"/>
        </w:rPr>
        <w:t>Análisis de las políticas de independencia</w:t>
      </w:r>
      <w:r>
        <w:rPr>
          <w:rFonts w:eastAsia="Calibri"/>
          <w:bCs/>
          <w:color w:val="000000"/>
          <w:szCs w:val="24"/>
          <w:lang w:val="es-AR" w:eastAsia="es-ES"/>
        </w:rPr>
        <w:t>, planes de desempeño</w:t>
      </w:r>
      <w:r w:rsidRPr="00906CD0">
        <w:rPr>
          <w:rFonts w:eastAsia="Calibri"/>
          <w:bCs/>
          <w:color w:val="000000"/>
          <w:szCs w:val="24"/>
          <w:lang w:val="es-AR" w:eastAsia="es-ES"/>
        </w:rPr>
        <w:t xml:space="preserve"> y de control de calidad de los auditores</w:t>
      </w:r>
      <w:r>
        <w:rPr>
          <w:rFonts w:eastAsia="Calibri"/>
          <w:bCs/>
          <w:color w:val="000000"/>
          <w:szCs w:val="24"/>
          <w:lang w:val="es-AR" w:eastAsia="es-ES"/>
        </w:rPr>
        <w:t xml:space="preserve"> externos</w:t>
      </w:r>
      <w:r w:rsidRPr="00906CD0">
        <w:rPr>
          <w:rFonts w:eastAsia="Calibri"/>
          <w:bCs/>
          <w:color w:val="000000"/>
          <w:szCs w:val="24"/>
          <w:lang w:val="es-AR" w:eastAsia="es-ES"/>
        </w:rPr>
        <w:t>.</w:t>
      </w:r>
    </w:p>
    <w:p w14:paraId="425A78B2" w14:textId="77777777" w:rsidR="000C5764" w:rsidRPr="00906CD0" w:rsidRDefault="000C5764" w:rsidP="000C5764">
      <w:pPr>
        <w:ind w:left="284"/>
        <w:jc w:val="both"/>
        <w:rPr>
          <w:rFonts w:eastAsia="Calibri"/>
          <w:bCs/>
          <w:color w:val="000000"/>
          <w:szCs w:val="24"/>
          <w:lang w:val="es-AR" w:eastAsia="es-ES"/>
        </w:rPr>
      </w:pPr>
      <w:r>
        <w:rPr>
          <w:rFonts w:eastAsia="Calibri"/>
          <w:bCs/>
          <w:color w:val="000000"/>
          <w:szCs w:val="24"/>
          <w:lang w:val="es-AR" w:eastAsia="es-ES"/>
        </w:rPr>
        <w:t>b</w:t>
      </w:r>
      <w:r w:rsidRPr="00906CD0">
        <w:rPr>
          <w:rFonts w:eastAsia="Calibri"/>
          <w:bCs/>
          <w:color w:val="000000"/>
          <w:szCs w:val="24"/>
          <w:lang w:val="es-AR" w:eastAsia="es-ES"/>
        </w:rPr>
        <w:t>. Obtención de información</w:t>
      </w:r>
      <w:r>
        <w:rPr>
          <w:rFonts w:eastAsia="Calibri"/>
          <w:bCs/>
          <w:color w:val="000000"/>
          <w:szCs w:val="24"/>
          <w:lang w:val="es-AR" w:eastAsia="es-ES"/>
        </w:rPr>
        <w:t xml:space="preserve"> </w:t>
      </w:r>
      <w:r w:rsidRPr="00906CD0">
        <w:rPr>
          <w:rFonts w:eastAsia="Calibri"/>
          <w:bCs/>
          <w:color w:val="000000"/>
          <w:szCs w:val="24"/>
          <w:lang w:val="es-AR" w:eastAsia="es-ES"/>
        </w:rPr>
        <w:t>sobre sus antecedentes, métodos de trabajo, equipo de trabajo y clientes, entre otros.</w:t>
      </w:r>
    </w:p>
    <w:p w14:paraId="23D519B6" w14:textId="77777777" w:rsidR="000C5764" w:rsidRPr="00906CD0" w:rsidRDefault="000C5764" w:rsidP="000C5764">
      <w:pPr>
        <w:ind w:left="284"/>
        <w:jc w:val="both"/>
        <w:rPr>
          <w:rFonts w:eastAsia="Calibri"/>
          <w:bCs/>
          <w:color w:val="000000"/>
          <w:szCs w:val="24"/>
          <w:lang w:val="es-AR" w:eastAsia="es-ES"/>
        </w:rPr>
      </w:pPr>
      <w:r>
        <w:rPr>
          <w:rFonts w:eastAsia="Calibri"/>
          <w:bCs/>
          <w:color w:val="000000"/>
          <w:szCs w:val="24"/>
          <w:lang w:val="es-AR" w:eastAsia="es-ES"/>
        </w:rPr>
        <w:t>c</w:t>
      </w:r>
      <w:r w:rsidRPr="00906CD0">
        <w:rPr>
          <w:rFonts w:eastAsia="Calibri"/>
          <w:bCs/>
          <w:color w:val="000000"/>
          <w:szCs w:val="24"/>
          <w:lang w:val="es-AR" w:eastAsia="es-ES"/>
        </w:rPr>
        <w:t xml:space="preserve">. </w:t>
      </w:r>
      <w:r>
        <w:rPr>
          <w:rFonts w:eastAsia="Calibri"/>
          <w:bCs/>
          <w:color w:val="000000"/>
          <w:szCs w:val="24"/>
          <w:lang w:val="es-AR" w:eastAsia="es-ES"/>
        </w:rPr>
        <w:t>Análisis del informe de los auditores externos sobre los estados financieros individuales y consolidados de la Sociedad.</w:t>
      </w:r>
    </w:p>
    <w:p w14:paraId="414814D0" w14:textId="77777777" w:rsidR="000C5764" w:rsidRPr="00906CD0" w:rsidRDefault="000C5764" w:rsidP="000C5764">
      <w:pPr>
        <w:ind w:left="284"/>
        <w:jc w:val="both"/>
        <w:rPr>
          <w:rFonts w:eastAsia="Calibri"/>
          <w:bCs/>
          <w:color w:val="000000"/>
          <w:szCs w:val="24"/>
          <w:lang w:val="es-AR" w:eastAsia="es-ES"/>
        </w:rPr>
      </w:pPr>
      <w:r>
        <w:rPr>
          <w:rFonts w:eastAsia="Calibri"/>
          <w:bCs/>
          <w:color w:val="000000"/>
          <w:szCs w:val="24"/>
          <w:lang w:val="es-AR" w:eastAsia="es-ES"/>
        </w:rPr>
        <w:t>d</w:t>
      </w:r>
      <w:r w:rsidRPr="00906CD0">
        <w:rPr>
          <w:rFonts w:eastAsia="Calibri"/>
          <w:bCs/>
          <w:color w:val="000000"/>
          <w:szCs w:val="24"/>
          <w:lang w:val="es-AR" w:eastAsia="es-ES"/>
        </w:rPr>
        <w:t>.</w:t>
      </w:r>
      <w:r>
        <w:rPr>
          <w:rFonts w:eastAsia="Calibri"/>
          <w:bCs/>
          <w:color w:val="000000"/>
          <w:szCs w:val="24"/>
          <w:lang w:val="es-AR" w:eastAsia="es-ES"/>
        </w:rPr>
        <w:t xml:space="preserve"> </w:t>
      </w:r>
      <w:r w:rsidRPr="00906CD0">
        <w:rPr>
          <w:rFonts w:eastAsia="Calibri"/>
          <w:bCs/>
          <w:color w:val="000000"/>
          <w:szCs w:val="24"/>
          <w:lang w:val="es-AR" w:eastAsia="es-ES"/>
        </w:rPr>
        <w:t xml:space="preserve">Verificación </w:t>
      </w:r>
      <w:r>
        <w:rPr>
          <w:rFonts w:eastAsia="Calibri"/>
          <w:bCs/>
          <w:color w:val="000000"/>
          <w:szCs w:val="24"/>
          <w:lang w:val="es-AR" w:eastAsia="es-ES"/>
        </w:rPr>
        <w:t>de la inscripción de la firma de auditoría externa en</w:t>
      </w:r>
      <w:r w:rsidRPr="00906CD0">
        <w:rPr>
          <w:rFonts w:eastAsia="Calibri"/>
          <w:bCs/>
          <w:color w:val="000000"/>
          <w:szCs w:val="24"/>
          <w:lang w:val="es-AR" w:eastAsia="es-ES"/>
        </w:rPr>
        <w:t xml:space="preserve"> </w:t>
      </w:r>
      <w:r>
        <w:rPr>
          <w:rFonts w:eastAsia="Calibri"/>
          <w:bCs/>
          <w:color w:val="000000"/>
          <w:szCs w:val="24"/>
          <w:lang w:val="es-AR" w:eastAsia="es-ES"/>
        </w:rPr>
        <w:t>e</w:t>
      </w:r>
      <w:r w:rsidRPr="00906CD0">
        <w:rPr>
          <w:rFonts w:eastAsia="Calibri"/>
          <w:bCs/>
          <w:color w:val="000000"/>
          <w:szCs w:val="24"/>
          <w:lang w:val="es-AR" w:eastAsia="es-ES"/>
        </w:rPr>
        <w:t>l Registro de Audito</w:t>
      </w:r>
      <w:r>
        <w:rPr>
          <w:rFonts w:eastAsia="Calibri"/>
          <w:bCs/>
          <w:color w:val="000000"/>
          <w:szCs w:val="24"/>
          <w:lang w:val="es-AR" w:eastAsia="es-ES"/>
        </w:rPr>
        <w:t>res Externos de la CNV</w:t>
      </w:r>
      <w:r w:rsidRPr="00906CD0">
        <w:rPr>
          <w:rFonts w:eastAsia="Calibri"/>
          <w:bCs/>
          <w:color w:val="000000"/>
          <w:szCs w:val="24"/>
          <w:lang w:val="es-AR" w:eastAsia="es-ES"/>
        </w:rPr>
        <w:t>.</w:t>
      </w:r>
    </w:p>
    <w:p w14:paraId="05534429" w14:textId="77777777" w:rsidR="000C5764" w:rsidRPr="00906CD0" w:rsidRDefault="000C5764" w:rsidP="000C5764">
      <w:pPr>
        <w:jc w:val="both"/>
        <w:rPr>
          <w:rFonts w:eastAsia="Calibri"/>
          <w:bCs/>
          <w:color w:val="000000"/>
          <w:szCs w:val="24"/>
          <w:lang w:val="es-AR" w:eastAsia="es-ES"/>
        </w:rPr>
      </w:pPr>
    </w:p>
    <w:p w14:paraId="666A8F24" w14:textId="5F286F91"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 xml:space="preserve">2. El desarrollo de las tareas </w:t>
      </w:r>
      <w:r>
        <w:rPr>
          <w:rFonts w:eastAsia="Calibri"/>
          <w:bCs/>
          <w:color w:val="000000"/>
          <w:szCs w:val="24"/>
          <w:lang w:val="es-AR" w:eastAsia="es-ES"/>
        </w:rPr>
        <w:t>de BDO en base a las presentaciones por ellos efectuadas en relación</w:t>
      </w:r>
      <w:r w:rsidRPr="00906CD0">
        <w:rPr>
          <w:rFonts w:eastAsia="Calibri"/>
          <w:bCs/>
          <w:color w:val="000000"/>
          <w:szCs w:val="24"/>
          <w:lang w:val="es-AR" w:eastAsia="es-ES"/>
        </w:rPr>
        <w:t xml:space="preserve"> </w:t>
      </w:r>
      <w:r>
        <w:rPr>
          <w:rFonts w:eastAsia="Calibri"/>
          <w:bCs/>
          <w:color w:val="000000"/>
          <w:szCs w:val="24"/>
          <w:lang w:val="es-AR" w:eastAsia="es-ES"/>
        </w:rPr>
        <w:t>con la auditoría externa de la Sociedad al 31 de octubre de 202</w:t>
      </w:r>
      <w:r w:rsidR="006531CC">
        <w:rPr>
          <w:rFonts w:eastAsia="Calibri"/>
          <w:bCs/>
          <w:color w:val="000000"/>
          <w:szCs w:val="24"/>
          <w:lang w:val="es-AR" w:eastAsia="es-ES"/>
        </w:rPr>
        <w:t>4</w:t>
      </w:r>
      <w:r>
        <w:rPr>
          <w:rFonts w:eastAsia="Calibri"/>
          <w:bCs/>
          <w:color w:val="000000"/>
          <w:szCs w:val="24"/>
          <w:lang w:val="es-AR" w:eastAsia="es-ES"/>
        </w:rPr>
        <w:t xml:space="preserve">, manteniendo reuniones virtuales </w:t>
      </w:r>
      <w:r w:rsidRPr="00906CD0">
        <w:rPr>
          <w:rFonts w:eastAsia="Calibri"/>
          <w:bCs/>
          <w:color w:val="000000"/>
          <w:szCs w:val="24"/>
          <w:lang w:val="es-AR" w:eastAsia="es-ES"/>
        </w:rPr>
        <w:t>con los auditores</w:t>
      </w:r>
      <w:r>
        <w:rPr>
          <w:rFonts w:eastAsia="Calibri"/>
          <w:bCs/>
          <w:color w:val="000000"/>
          <w:szCs w:val="24"/>
          <w:lang w:val="es-AR" w:eastAsia="es-ES"/>
        </w:rPr>
        <w:t xml:space="preserve"> externos</w:t>
      </w:r>
      <w:r w:rsidRPr="00906CD0">
        <w:rPr>
          <w:rFonts w:eastAsia="Calibri"/>
          <w:bCs/>
          <w:color w:val="000000"/>
          <w:szCs w:val="24"/>
          <w:lang w:val="es-AR" w:eastAsia="es-ES"/>
        </w:rPr>
        <w:t xml:space="preserve"> y funcionarios c</w:t>
      </w:r>
      <w:r>
        <w:rPr>
          <w:rFonts w:eastAsia="Calibri"/>
          <w:bCs/>
          <w:color w:val="000000"/>
          <w:szCs w:val="24"/>
          <w:lang w:val="es-AR" w:eastAsia="es-ES"/>
        </w:rPr>
        <w:t>lave de la Sociedad.</w:t>
      </w:r>
    </w:p>
    <w:p w14:paraId="21024567" w14:textId="77777777" w:rsidR="000C5764" w:rsidRPr="00906CD0" w:rsidRDefault="000C5764" w:rsidP="000C5764">
      <w:pPr>
        <w:ind w:left="284"/>
        <w:jc w:val="both"/>
        <w:rPr>
          <w:rFonts w:eastAsia="Calibri"/>
          <w:bCs/>
          <w:color w:val="000000"/>
          <w:szCs w:val="24"/>
          <w:lang w:val="es-AR" w:eastAsia="es-ES"/>
        </w:rPr>
      </w:pPr>
    </w:p>
    <w:p w14:paraId="6F2D346A" w14:textId="77777777"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 xml:space="preserve">3. Los informes emitidos por los auditores como resultado de su trabajo, </w:t>
      </w:r>
      <w:r>
        <w:rPr>
          <w:rFonts w:eastAsia="Calibri"/>
          <w:bCs/>
          <w:color w:val="000000"/>
          <w:szCs w:val="24"/>
          <w:lang w:val="es-AR" w:eastAsia="es-ES"/>
        </w:rPr>
        <w:t>a saber</w:t>
      </w:r>
      <w:r w:rsidRPr="00906CD0">
        <w:rPr>
          <w:rFonts w:eastAsia="Calibri"/>
          <w:bCs/>
          <w:color w:val="000000"/>
          <w:szCs w:val="24"/>
          <w:lang w:val="es-AR" w:eastAsia="es-ES"/>
        </w:rPr>
        <w:t>:</w:t>
      </w:r>
    </w:p>
    <w:p w14:paraId="3440C8F6" w14:textId="77777777" w:rsidR="000C5764" w:rsidRPr="00906CD0" w:rsidRDefault="000C5764" w:rsidP="000C5764">
      <w:pPr>
        <w:jc w:val="both"/>
        <w:rPr>
          <w:rFonts w:eastAsia="Calibri"/>
          <w:bCs/>
          <w:color w:val="000000"/>
          <w:szCs w:val="24"/>
          <w:lang w:val="es-AR" w:eastAsia="es-ES"/>
        </w:rPr>
      </w:pPr>
    </w:p>
    <w:p w14:paraId="346A41FC" w14:textId="79E1CA0E" w:rsidR="000C5764" w:rsidRDefault="000C5764" w:rsidP="000C5764">
      <w:pPr>
        <w:ind w:left="284"/>
        <w:jc w:val="both"/>
        <w:rPr>
          <w:rFonts w:eastAsia="Calibri"/>
          <w:bCs/>
          <w:color w:val="000000"/>
          <w:szCs w:val="24"/>
          <w:lang w:val="es-AR" w:eastAsia="es-ES"/>
        </w:rPr>
      </w:pPr>
      <w:r w:rsidRPr="00906CD0">
        <w:rPr>
          <w:rFonts w:eastAsia="Calibri"/>
          <w:bCs/>
          <w:color w:val="000000"/>
          <w:szCs w:val="24"/>
          <w:lang w:val="es-AR" w:eastAsia="es-ES"/>
        </w:rPr>
        <w:t>a. El informe de auditoría sobre los estados fin</w:t>
      </w:r>
      <w:r>
        <w:rPr>
          <w:rFonts w:eastAsia="Calibri"/>
          <w:bCs/>
          <w:color w:val="000000"/>
          <w:szCs w:val="24"/>
          <w:lang w:val="es-AR" w:eastAsia="es-ES"/>
        </w:rPr>
        <w:t>ancieros al 31 de octubre de 202</w:t>
      </w:r>
      <w:r w:rsidR="006531CC">
        <w:rPr>
          <w:rFonts w:eastAsia="Calibri"/>
          <w:bCs/>
          <w:color w:val="000000"/>
          <w:szCs w:val="24"/>
          <w:lang w:val="es-AR" w:eastAsia="es-ES"/>
        </w:rPr>
        <w:t>4</w:t>
      </w:r>
      <w:r w:rsidRPr="00906CD0">
        <w:rPr>
          <w:rFonts w:eastAsia="Calibri"/>
          <w:bCs/>
          <w:color w:val="000000"/>
          <w:szCs w:val="24"/>
          <w:lang w:val="es-AR" w:eastAsia="es-ES"/>
        </w:rPr>
        <w:t xml:space="preserve"> y sobre la revisión de la respectiva Reseña Informativa y de la información complementaria solicitada por Bolsas y Mercados Argentinos</w:t>
      </w:r>
      <w:r>
        <w:rPr>
          <w:rFonts w:eastAsia="Calibri"/>
          <w:bCs/>
          <w:color w:val="000000"/>
          <w:szCs w:val="24"/>
          <w:lang w:val="es-AR" w:eastAsia="es-ES"/>
        </w:rPr>
        <w:t xml:space="preserve"> S.A.</w:t>
      </w:r>
      <w:r w:rsidRPr="00906CD0">
        <w:rPr>
          <w:rFonts w:eastAsia="Calibri"/>
          <w:bCs/>
          <w:color w:val="000000"/>
          <w:szCs w:val="24"/>
          <w:lang w:val="es-AR" w:eastAsia="es-ES"/>
        </w:rPr>
        <w:t xml:space="preserve"> (en adelante, “</w:t>
      </w:r>
      <w:r w:rsidRPr="00906CD0">
        <w:rPr>
          <w:rFonts w:eastAsia="Calibri"/>
          <w:bCs/>
          <w:color w:val="000000"/>
          <w:szCs w:val="24"/>
          <w:u w:val="single"/>
          <w:lang w:val="es-AR" w:eastAsia="es-ES"/>
        </w:rPr>
        <w:t>ByMA</w:t>
      </w:r>
      <w:r w:rsidRPr="00906CD0">
        <w:rPr>
          <w:rFonts w:eastAsia="Calibri"/>
          <w:bCs/>
          <w:color w:val="000000"/>
          <w:szCs w:val="24"/>
          <w:lang w:val="es-AR" w:eastAsia="es-ES"/>
        </w:rPr>
        <w:t>”) y la CNV.</w:t>
      </w:r>
    </w:p>
    <w:p w14:paraId="6B72385C" w14:textId="77777777" w:rsidR="000C5764" w:rsidRPr="00906CD0" w:rsidRDefault="000C5764" w:rsidP="000C5764">
      <w:pPr>
        <w:ind w:left="284"/>
        <w:jc w:val="both"/>
        <w:rPr>
          <w:rFonts w:eastAsia="Calibri"/>
          <w:bCs/>
          <w:color w:val="000000"/>
          <w:szCs w:val="24"/>
          <w:lang w:val="es-AR" w:eastAsia="es-ES"/>
        </w:rPr>
      </w:pPr>
    </w:p>
    <w:p w14:paraId="17E91D22" w14:textId="68BF5FD5" w:rsidR="000C5764" w:rsidRPr="00906CD0" w:rsidRDefault="000C5764" w:rsidP="000C5764">
      <w:pPr>
        <w:ind w:left="284"/>
        <w:jc w:val="both"/>
        <w:rPr>
          <w:rFonts w:eastAsia="Calibri"/>
          <w:bCs/>
          <w:color w:val="000000"/>
          <w:szCs w:val="24"/>
          <w:lang w:val="es-AR" w:eastAsia="es-ES"/>
        </w:rPr>
      </w:pPr>
      <w:r w:rsidRPr="00906CD0">
        <w:rPr>
          <w:rFonts w:eastAsia="Calibri"/>
          <w:bCs/>
          <w:color w:val="000000"/>
          <w:szCs w:val="24"/>
          <w:lang w:val="es-AR" w:eastAsia="es-ES"/>
        </w:rPr>
        <w:t>b. Los informes de revisión limitada correspondientes a los estados financieros de l</w:t>
      </w:r>
      <w:r>
        <w:rPr>
          <w:rFonts w:eastAsia="Calibri"/>
          <w:bCs/>
          <w:color w:val="000000"/>
          <w:szCs w:val="24"/>
          <w:lang w:val="es-AR" w:eastAsia="es-ES"/>
        </w:rPr>
        <w:t>a Sociedad al 31 de enero de 202</w:t>
      </w:r>
      <w:r w:rsidR="006531CC">
        <w:rPr>
          <w:rFonts w:eastAsia="Calibri"/>
          <w:bCs/>
          <w:color w:val="000000"/>
          <w:szCs w:val="24"/>
          <w:lang w:val="es-AR" w:eastAsia="es-ES"/>
        </w:rPr>
        <w:t>4</w:t>
      </w:r>
      <w:r>
        <w:rPr>
          <w:rFonts w:eastAsia="Calibri"/>
          <w:bCs/>
          <w:color w:val="000000"/>
          <w:szCs w:val="24"/>
          <w:lang w:val="es-AR" w:eastAsia="es-ES"/>
        </w:rPr>
        <w:t>, 30 de abril de 202</w:t>
      </w:r>
      <w:r w:rsidR="006531CC">
        <w:rPr>
          <w:rFonts w:eastAsia="Calibri"/>
          <w:bCs/>
          <w:color w:val="000000"/>
          <w:szCs w:val="24"/>
          <w:lang w:val="es-AR" w:eastAsia="es-ES"/>
        </w:rPr>
        <w:t>4</w:t>
      </w:r>
      <w:r>
        <w:rPr>
          <w:rFonts w:eastAsia="Calibri"/>
          <w:bCs/>
          <w:color w:val="000000"/>
          <w:szCs w:val="24"/>
          <w:lang w:val="es-AR" w:eastAsia="es-ES"/>
        </w:rPr>
        <w:t xml:space="preserve"> y 31 de julio de 202</w:t>
      </w:r>
      <w:r w:rsidR="006531CC">
        <w:rPr>
          <w:rFonts w:eastAsia="Calibri"/>
          <w:bCs/>
          <w:color w:val="000000"/>
          <w:szCs w:val="24"/>
          <w:lang w:val="es-AR" w:eastAsia="es-ES"/>
        </w:rPr>
        <w:t>4</w:t>
      </w:r>
      <w:r w:rsidRPr="00906CD0">
        <w:rPr>
          <w:rFonts w:eastAsia="Calibri"/>
          <w:bCs/>
          <w:color w:val="000000"/>
          <w:szCs w:val="24"/>
          <w:lang w:val="es-AR" w:eastAsia="es-ES"/>
        </w:rPr>
        <w:t xml:space="preserve"> y sobre la </w:t>
      </w:r>
      <w:r w:rsidRPr="00906CD0">
        <w:rPr>
          <w:rFonts w:eastAsia="Calibri"/>
          <w:bCs/>
          <w:color w:val="000000"/>
          <w:szCs w:val="24"/>
          <w:lang w:val="es-AR" w:eastAsia="es-ES"/>
        </w:rPr>
        <w:lastRenderedPageBreak/>
        <w:t>revisión de la respectiva Reseña Informativa y de la información complementaria solicitada por ByMA y la CNV.</w:t>
      </w:r>
    </w:p>
    <w:p w14:paraId="650F50A1" w14:textId="77777777" w:rsidR="000C5764" w:rsidRPr="00906CD0" w:rsidRDefault="000C5764" w:rsidP="000C5764">
      <w:pPr>
        <w:jc w:val="both"/>
        <w:rPr>
          <w:rFonts w:eastAsia="Calibri"/>
          <w:bCs/>
          <w:color w:val="000000"/>
          <w:szCs w:val="24"/>
          <w:lang w:val="es-AR" w:eastAsia="es-ES"/>
        </w:rPr>
      </w:pPr>
    </w:p>
    <w:p w14:paraId="179521EF" w14:textId="519F88FE" w:rsidR="000C5764" w:rsidRPr="00906CD0" w:rsidRDefault="000C5764" w:rsidP="000C5764">
      <w:pPr>
        <w:jc w:val="both"/>
        <w:rPr>
          <w:rFonts w:eastAsia="Calibri"/>
          <w:bCs/>
          <w:color w:val="000000"/>
          <w:szCs w:val="24"/>
          <w:lang w:val="es-AR" w:eastAsia="es-ES"/>
        </w:rPr>
      </w:pPr>
      <w:r w:rsidRPr="004C4968">
        <w:rPr>
          <w:rFonts w:eastAsia="Calibri"/>
          <w:bCs/>
          <w:color w:val="000000"/>
          <w:szCs w:val="24"/>
          <w:lang w:val="es-AR" w:eastAsia="es-ES"/>
        </w:rPr>
        <w:t xml:space="preserve">4. Asimismo, hemos considerado los importes facturados por BDO a </w:t>
      </w:r>
      <w:r>
        <w:rPr>
          <w:rFonts w:eastAsia="Calibri"/>
          <w:bCs/>
          <w:color w:val="000000"/>
          <w:szCs w:val="24"/>
          <w:lang w:val="es-AR" w:eastAsia="es-ES"/>
        </w:rPr>
        <w:t>la Sociedad</w:t>
      </w:r>
      <w:r w:rsidRPr="004C4968">
        <w:rPr>
          <w:rFonts w:eastAsia="Calibri"/>
          <w:bCs/>
          <w:color w:val="000000"/>
          <w:szCs w:val="24"/>
          <w:lang w:val="es-AR" w:eastAsia="es-ES"/>
        </w:rPr>
        <w:t xml:space="preserve"> correspondientes a los servicios de auditoría externa </w:t>
      </w:r>
      <w:r w:rsidRPr="00DD52A1">
        <w:rPr>
          <w:rFonts w:eastAsia="Calibri"/>
          <w:bCs/>
          <w:color w:val="000000"/>
          <w:szCs w:val="24"/>
          <w:lang w:val="es-AR" w:eastAsia="es-ES"/>
        </w:rPr>
        <w:t>y otros servicios relacionados destinados a otorgar confianza a terceros, habiendo asce</w:t>
      </w:r>
      <w:r>
        <w:rPr>
          <w:rFonts w:eastAsia="Calibri"/>
          <w:bCs/>
          <w:color w:val="000000"/>
          <w:szCs w:val="24"/>
          <w:lang w:val="es-AR" w:eastAsia="es-ES"/>
        </w:rPr>
        <w:t xml:space="preserve">ndido los mismos a </w:t>
      </w:r>
      <w:r w:rsidRPr="00B86EEC">
        <w:rPr>
          <w:rFonts w:eastAsia="Calibri"/>
          <w:bCs/>
          <w:color w:val="000000"/>
          <w:szCs w:val="24"/>
          <w:lang w:val="es-AR" w:eastAsia="es-ES"/>
        </w:rPr>
        <w:t>$</w:t>
      </w:r>
      <w:r w:rsidR="002D589D">
        <w:rPr>
          <w:rFonts w:eastAsia="Calibri"/>
          <w:bCs/>
          <w:color w:val="000000"/>
          <w:szCs w:val="24"/>
          <w:lang w:val="es-AR" w:eastAsia="es-ES"/>
        </w:rPr>
        <w:t>73.976.</w:t>
      </w:r>
      <w:r w:rsidR="0069643C">
        <w:rPr>
          <w:rFonts w:eastAsia="Calibri"/>
          <w:bCs/>
          <w:color w:val="000000"/>
          <w:szCs w:val="24"/>
          <w:lang w:val="es-AR" w:eastAsia="es-ES"/>
        </w:rPr>
        <w:t>654,56</w:t>
      </w:r>
      <w:r>
        <w:rPr>
          <w:rFonts w:eastAsia="Calibri"/>
          <w:bCs/>
          <w:color w:val="000000"/>
          <w:szCs w:val="24"/>
          <w:lang w:val="es-AR" w:eastAsia="es-ES"/>
        </w:rPr>
        <w:t xml:space="preserve"> (Pesos </w:t>
      </w:r>
      <w:r w:rsidR="0069643C">
        <w:rPr>
          <w:rFonts w:eastAsia="Calibri"/>
          <w:bCs/>
          <w:color w:val="000000"/>
          <w:szCs w:val="24"/>
          <w:lang w:val="es-AR" w:eastAsia="es-ES"/>
        </w:rPr>
        <w:t>setenta y tres millones novecientos setenta y seis mil seis cientos cincuenta y cuatro con cincuenta y seis centavos</w:t>
      </w:r>
      <w:r>
        <w:rPr>
          <w:rFonts w:eastAsia="Calibri"/>
          <w:bCs/>
          <w:color w:val="000000"/>
          <w:szCs w:val="24"/>
          <w:lang w:val="es-AR" w:eastAsia="es-ES"/>
        </w:rPr>
        <w:t>)</w:t>
      </w:r>
      <w:r w:rsidRPr="00252FDE">
        <w:rPr>
          <w:rFonts w:eastAsia="Calibri"/>
          <w:bCs/>
          <w:color w:val="000000"/>
          <w:szCs w:val="24"/>
          <w:lang w:val="es-AR" w:eastAsia="es-ES"/>
        </w:rPr>
        <w:t xml:space="preserve"> </w:t>
      </w:r>
      <w:r>
        <w:rPr>
          <w:rFonts w:eastAsia="Calibri"/>
          <w:bCs/>
          <w:color w:val="000000"/>
          <w:szCs w:val="24"/>
          <w:lang w:eastAsia="es-ES"/>
        </w:rPr>
        <w:t xml:space="preserve">con </w:t>
      </w:r>
      <w:r w:rsidRPr="004C4968">
        <w:rPr>
          <w:rFonts w:eastAsia="Calibri"/>
          <w:bCs/>
          <w:color w:val="000000"/>
          <w:szCs w:val="24"/>
          <w:lang w:eastAsia="es-ES"/>
        </w:rPr>
        <w:t>impuestos incluidos.</w:t>
      </w:r>
    </w:p>
    <w:p w14:paraId="4F438173" w14:textId="77777777" w:rsidR="000C5764" w:rsidRPr="00906CD0" w:rsidRDefault="000C5764" w:rsidP="000C5764">
      <w:pPr>
        <w:jc w:val="both"/>
        <w:rPr>
          <w:rFonts w:eastAsia="Calibri"/>
          <w:bCs/>
          <w:color w:val="000000"/>
          <w:szCs w:val="24"/>
          <w:lang w:val="es-AR" w:eastAsia="es-ES"/>
        </w:rPr>
      </w:pPr>
    </w:p>
    <w:p w14:paraId="6BC9F862" w14:textId="123F5E09"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Como resultado del trabajo realizado y con el objetivo señalado, no hemos tomado conocimiento de ninguna cuestión significativa que debamos observar en relación con los auditores externos designados por la Asamblea para el ejercicio</w:t>
      </w:r>
      <w:r>
        <w:rPr>
          <w:rFonts w:eastAsia="Calibri"/>
          <w:bCs/>
          <w:color w:val="000000"/>
          <w:szCs w:val="24"/>
          <w:lang w:val="es-AR" w:eastAsia="es-ES"/>
        </w:rPr>
        <w:t xml:space="preserve"> cerrado el 31 de octubre de 202</w:t>
      </w:r>
      <w:r w:rsidR="002C1DA9">
        <w:rPr>
          <w:rFonts w:eastAsia="Calibri"/>
          <w:bCs/>
          <w:color w:val="000000"/>
          <w:szCs w:val="24"/>
          <w:lang w:val="es-AR" w:eastAsia="es-ES"/>
        </w:rPr>
        <w:t>4</w:t>
      </w:r>
      <w:r w:rsidRPr="00906CD0">
        <w:rPr>
          <w:rFonts w:eastAsia="Calibri"/>
          <w:bCs/>
          <w:color w:val="000000"/>
          <w:szCs w:val="24"/>
          <w:lang w:val="es-AR" w:eastAsia="es-ES"/>
        </w:rPr>
        <w:t xml:space="preserve">, ya sea </w:t>
      </w:r>
      <w:r>
        <w:rPr>
          <w:rFonts w:eastAsia="Calibri"/>
          <w:bCs/>
          <w:color w:val="000000"/>
          <w:szCs w:val="24"/>
          <w:lang w:val="es-AR" w:eastAsia="es-ES"/>
        </w:rPr>
        <w:t>respecto de</w:t>
      </w:r>
      <w:r w:rsidRPr="00906CD0">
        <w:rPr>
          <w:rFonts w:eastAsia="Calibri"/>
          <w:bCs/>
          <w:color w:val="000000"/>
          <w:szCs w:val="24"/>
          <w:lang w:val="es-AR" w:eastAsia="es-ES"/>
        </w:rPr>
        <w:t xml:space="preserve"> su contratación, su independencia, su idoneidad, su desempeño, sus informes y los servicios que la Sociedad les ha encomendado en dicho ejercicio. </w:t>
      </w:r>
    </w:p>
    <w:p w14:paraId="3E4ABF1D" w14:textId="77777777" w:rsidR="000C5764" w:rsidRPr="00906CD0" w:rsidRDefault="000C5764" w:rsidP="000C5764">
      <w:pPr>
        <w:jc w:val="both"/>
        <w:rPr>
          <w:rFonts w:eastAsia="Calibri"/>
          <w:bCs/>
          <w:color w:val="000000"/>
          <w:szCs w:val="24"/>
          <w:lang w:val="es-AR" w:eastAsia="es-ES"/>
        </w:rPr>
      </w:pPr>
    </w:p>
    <w:p w14:paraId="54928A95" w14:textId="77777777"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En síntesis, consideramos que los auditores externos han satisfecho las condiciones de independencia y</w:t>
      </w:r>
      <w:r>
        <w:rPr>
          <w:rFonts w:eastAsia="Calibri"/>
          <w:bCs/>
          <w:color w:val="000000"/>
          <w:szCs w:val="24"/>
          <w:lang w:val="es-AR" w:eastAsia="es-ES"/>
        </w:rPr>
        <w:t>,</w:t>
      </w:r>
      <w:r w:rsidRPr="00906CD0">
        <w:rPr>
          <w:rFonts w:eastAsia="Calibri"/>
          <w:bCs/>
          <w:color w:val="000000"/>
          <w:szCs w:val="24"/>
          <w:lang w:val="es-AR" w:eastAsia="es-ES"/>
        </w:rPr>
        <w:t xml:space="preserve"> su desempeño, en cuanto a su objetivo de otorgar confiabilidad ante terceros de la información auditada, ha sido cumplido en forma satisfactoria.</w:t>
      </w:r>
    </w:p>
    <w:p w14:paraId="14DB682C" w14:textId="77777777" w:rsidR="000C5764" w:rsidRPr="00906CD0" w:rsidRDefault="000C5764" w:rsidP="000C5764">
      <w:pPr>
        <w:jc w:val="both"/>
        <w:rPr>
          <w:rFonts w:eastAsia="Calibri"/>
          <w:bCs/>
          <w:color w:val="000000"/>
          <w:szCs w:val="24"/>
          <w:lang w:val="es-AR" w:eastAsia="es-ES"/>
        </w:rPr>
      </w:pPr>
    </w:p>
    <w:p w14:paraId="403824FE" w14:textId="77777777" w:rsidR="000C5764" w:rsidRPr="00906CD0" w:rsidRDefault="000C5764" w:rsidP="000C5764">
      <w:pPr>
        <w:jc w:val="both"/>
        <w:rPr>
          <w:rFonts w:eastAsia="Calibri"/>
          <w:b/>
          <w:bCs/>
          <w:color w:val="000000"/>
          <w:szCs w:val="24"/>
          <w:lang w:val="es-AR" w:eastAsia="es-ES"/>
        </w:rPr>
      </w:pPr>
      <w:r w:rsidRPr="00906CD0">
        <w:rPr>
          <w:rFonts w:eastAsia="Calibri"/>
          <w:b/>
          <w:bCs/>
          <w:color w:val="000000"/>
          <w:szCs w:val="24"/>
          <w:lang w:val="es-AR" w:eastAsia="es-ES"/>
        </w:rPr>
        <w:t>B. Sistemas de control interno y administrativo contable.</w:t>
      </w:r>
    </w:p>
    <w:p w14:paraId="44F00947" w14:textId="77777777" w:rsidR="000C5764" w:rsidRPr="00906CD0" w:rsidRDefault="000C5764" w:rsidP="000C5764">
      <w:pPr>
        <w:jc w:val="both"/>
        <w:rPr>
          <w:rFonts w:eastAsia="Calibri"/>
          <w:bCs/>
          <w:i/>
          <w:color w:val="000000"/>
          <w:szCs w:val="24"/>
          <w:lang w:val="es-AR" w:eastAsia="es-ES"/>
        </w:rPr>
      </w:pPr>
    </w:p>
    <w:p w14:paraId="47A0BCF0" w14:textId="77777777" w:rsidR="000C5764" w:rsidRDefault="000C5764" w:rsidP="000C5764">
      <w:pPr>
        <w:jc w:val="both"/>
        <w:rPr>
          <w:rFonts w:eastAsia="Calibri"/>
          <w:bCs/>
          <w:color w:val="000000"/>
          <w:szCs w:val="24"/>
          <w:lang w:val="es-AR" w:eastAsia="es-ES"/>
        </w:rPr>
      </w:pPr>
      <w:r w:rsidRPr="005F47AD">
        <w:rPr>
          <w:rFonts w:eastAsia="Calibri"/>
          <w:bCs/>
          <w:color w:val="000000"/>
          <w:szCs w:val="24"/>
          <w:lang w:val="es-AR" w:eastAsia="es-ES"/>
        </w:rPr>
        <w:t xml:space="preserve">El control interno es un proceso </w:t>
      </w:r>
      <w:r>
        <w:rPr>
          <w:rFonts w:eastAsia="Calibri"/>
          <w:bCs/>
          <w:color w:val="000000"/>
          <w:szCs w:val="24"/>
          <w:lang w:val="es-AR" w:eastAsia="es-ES"/>
        </w:rPr>
        <w:t>que lleva adelante</w:t>
      </w:r>
      <w:r w:rsidRPr="005F47AD">
        <w:rPr>
          <w:rFonts w:eastAsia="Calibri"/>
          <w:bCs/>
          <w:color w:val="000000"/>
          <w:szCs w:val="24"/>
          <w:lang w:val="es-AR" w:eastAsia="es-ES"/>
        </w:rPr>
        <w:t xml:space="preserve"> el Directorio,</w:t>
      </w:r>
      <w:r>
        <w:rPr>
          <w:rFonts w:eastAsia="Calibri"/>
          <w:bCs/>
          <w:color w:val="000000"/>
          <w:szCs w:val="24"/>
          <w:lang w:val="es-AR" w:eastAsia="es-ES"/>
        </w:rPr>
        <w:t xml:space="preserve"> apoyándose en las Gerencias de la Sociedad </w:t>
      </w:r>
      <w:r w:rsidRPr="005F47AD">
        <w:rPr>
          <w:rFonts w:eastAsia="Calibri"/>
          <w:bCs/>
          <w:color w:val="000000"/>
          <w:szCs w:val="24"/>
          <w:lang w:val="es-AR" w:eastAsia="es-ES"/>
        </w:rPr>
        <w:t xml:space="preserve">y otro personal de </w:t>
      </w:r>
      <w:proofErr w:type="gramStart"/>
      <w:r w:rsidRPr="005F47AD">
        <w:rPr>
          <w:rFonts w:eastAsia="Calibri"/>
          <w:bCs/>
          <w:color w:val="000000"/>
          <w:szCs w:val="24"/>
          <w:lang w:val="es-AR" w:eastAsia="es-ES"/>
        </w:rPr>
        <w:t xml:space="preserve">la </w:t>
      </w:r>
      <w:r>
        <w:rPr>
          <w:rFonts w:eastAsia="Calibri"/>
          <w:bCs/>
          <w:color w:val="000000"/>
          <w:szCs w:val="24"/>
          <w:lang w:val="es-AR" w:eastAsia="es-ES"/>
        </w:rPr>
        <w:t>misma</w:t>
      </w:r>
      <w:proofErr w:type="gramEnd"/>
      <w:r w:rsidRPr="005F47AD">
        <w:rPr>
          <w:rFonts w:eastAsia="Calibri"/>
          <w:bCs/>
          <w:color w:val="000000"/>
          <w:szCs w:val="24"/>
          <w:lang w:val="es-AR" w:eastAsia="es-ES"/>
        </w:rPr>
        <w:t xml:space="preserve">, </w:t>
      </w:r>
      <w:r>
        <w:rPr>
          <w:rFonts w:eastAsia="Calibri"/>
          <w:bCs/>
          <w:color w:val="000000"/>
          <w:szCs w:val="24"/>
          <w:lang w:val="es-AR" w:eastAsia="es-ES"/>
        </w:rPr>
        <w:t>destinado a asegurar el cumplimiento</w:t>
      </w:r>
      <w:r w:rsidRPr="005F47AD">
        <w:rPr>
          <w:rFonts w:eastAsia="Calibri"/>
          <w:bCs/>
          <w:color w:val="000000"/>
          <w:szCs w:val="24"/>
          <w:lang w:val="es-AR" w:eastAsia="es-ES"/>
        </w:rPr>
        <w:t xml:space="preserve"> de los objetivos de la organización. </w:t>
      </w:r>
    </w:p>
    <w:p w14:paraId="7C7D1C59" w14:textId="77777777" w:rsidR="000C5764" w:rsidRPr="005F47AD" w:rsidRDefault="000C5764" w:rsidP="000C5764">
      <w:pPr>
        <w:jc w:val="both"/>
        <w:rPr>
          <w:rFonts w:eastAsia="Calibri"/>
          <w:bCs/>
          <w:color w:val="000000"/>
          <w:szCs w:val="24"/>
          <w:lang w:val="es-AR" w:eastAsia="es-ES"/>
        </w:rPr>
      </w:pPr>
    </w:p>
    <w:p w14:paraId="66B58860" w14:textId="69205CFC" w:rsidR="000C5764" w:rsidRDefault="000C5764" w:rsidP="000C5764">
      <w:pPr>
        <w:jc w:val="both"/>
        <w:rPr>
          <w:rFonts w:eastAsia="Calibri"/>
          <w:bCs/>
          <w:color w:val="000000"/>
          <w:szCs w:val="24"/>
          <w:lang w:val="es-AR" w:eastAsia="es-ES"/>
        </w:rPr>
      </w:pPr>
      <w:r w:rsidRPr="005F47AD">
        <w:rPr>
          <w:rFonts w:eastAsia="Calibri"/>
          <w:bCs/>
          <w:color w:val="000000"/>
          <w:szCs w:val="24"/>
          <w:lang w:val="es-AR" w:eastAsia="es-ES"/>
        </w:rPr>
        <w:t xml:space="preserve">Con el propósito de evaluar en qué medida el control interno en la Sociedad </w:t>
      </w:r>
      <w:r>
        <w:rPr>
          <w:rFonts w:eastAsia="Calibri"/>
          <w:bCs/>
          <w:color w:val="000000"/>
          <w:szCs w:val="24"/>
          <w:lang w:val="es-AR" w:eastAsia="es-ES"/>
        </w:rPr>
        <w:t xml:space="preserve">cumple </w:t>
      </w:r>
      <w:r w:rsidR="00735C53">
        <w:rPr>
          <w:rFonts w:eastAsia="Calibri"/>
          <w:bCs/>
          <w:color w:val="000000"/>
          <w:szCs w:val="24"/>
          <w:lang w:val="es-AR" w:eastAsia="es-ES"/>
        </w:rPr>
        <w:t>de forma adecuada</w:t>
      </w:r>
      <w:r>
        <w:rPr>
          <w:rFonts w:eastAsia="Calibri"/>
          <w:bCs/>
          <w:color w:val="000000"/>
          <w:szCs w:val="24"/>
          <w:lang w:val="es-AR" w:eastAsia="es-ES"/>
        </w:rPr>
        <w:t xml:space="preserve"> con su</w:t>
      </w:r>
      <w:r w:rsidRPr="005F47AD">
        <w:rPr>
          <w:rFonts w:eastAsia="Calibri"/>
          <w:bCs/>
          <w:color w:val="000000"/>
          <w:szCs w:val="24"/>
          <w:lang w:val="es-AR" w:eastAsia="es-ES"/>
        </w:rPr>
        <w:t xml:space="preserve"> finalidad, hemos realizado, entre otras, las </w:t>
      </w:r>
      <w:r>
        <w:rPr>
          <w:rFonts w:eastAsia="Calibri"/>
          <w:bCs/>
          <w:color w:val="000000"/>
          <w:szCs w:val="24"/>
          <w:lang w:val="es-AR" w:eastAsia="es-ES"/>
        </w:rPr>
        <w:t>siguientes tareas</w:t>
      </w:r>
      <w:r w:rsidRPr="005F47AD">
        <w:rPr>
          <w:rFonts w:eastAsia="Calibri"/>
          <w:bCs/>
          <w:color w:val="000000"/>
          <w:szCs w:val="24"/>
          <w:lang w:val="es-AR" w:eastAsia="es-ES"/>
        </w:rPr>
        <w:t>:</w:t>
      </w:r>
    </w:p>
    <w:p w14:paraId="5D3DC96D" w14:textId="77777777" w:rsidR="000C5764" w:rsidRPr="005F47AD" w:rsidRDefault="000C5764" w:rsidP="000C5764">
      <w:pPr>
        <w:jc w:val="both"/>
        <w:rPr>
          <w:rFonts w:eastAsia="Calibri"/>
          <w:bCs/>
          <w:color w:val="000000"/>
          <w:szCs w:val="24"/>
          <w:lang w:val="es-AR" w:eastAsia="es-ES"/>
        </w:rPr>
      </w:pPr>
    </w:p>
    <w:p w14:paraId="266552C9" w14:textId="0F0D658B" w:rsidR="000C5764" w:rsidRDefault="000C5764" w:rsidP="000C5764">
      <w:pPr>
        <w:numPr>
          <w:ilvl w:val="0"/>
          <w:numId w:val="2"/>
        </w:numPr>
        <w:jc w:val="both"/>
        <w:rPr>
          <w:rFonts w:eastAsia="Calibri"/>
          <w:bCs/>
          <w:color w:val="000000"/>
          <w:szCs w:val="24"/>
          <w:lang w:val="es-AR" w:eastAsia="es-ES"/>
        </w:rPr>
      </w:pPr>
      <w:r w:rsidRPr="000F4A29">
        <w:rPr>
          <w:rFonts w:eastAsia="Calibri"/>
          <w:bCs/>
          <w:color w:val="000000"/>
          <w:szCs w:val="24"/>
          <w:lang w:val="es-AR" w:eastAsia="es-ES"/>
        </w:rPr>
        <w:t>Re</w:t>
      </w:r>
      <w:r>
        <w:rPr>
          <w:rFonts w:eastAsia="Calibri"/>
          <w:bCs/>
          <w:color w:val="000000"/>
          <w:szCs w:val="24"/>
          <w:lang w:val="es-AR" w:eastAsia="es-ES"/>
        </w:rPr>
        <w:t>levamiento</w:t>
      </w:r>
      <w:r w:rsidRPr="000F4A29">
        <w:rPr>
          <w:rFonts w:eastAsia="Calibri"/>
          <w:bCs/>
          <w:color w:val="000000"/>
          <w:szCs w:val="24"/>
          <w:lang w:val="es-AR" w:eastAsia="es-ES"/>
        </w:rPr>
        <w:t xml:space="preserve"> de</w:t>
      </w:r>
      <w:r>
        <w:rPr>
          <w:rFonts w:eastAsia="Calibri"/>
          <w:bCs/>
          <w:color w:val="000000"/>
          <w:szCs w:val="24"/>
          <w:lang w:val="es-AR" w:eastAsia="es-ES"/>
        </w:rPr>
        <w:t xml:space="preserve"> ciertos </w:t>
      </w:r>
      <w:r w:rsidRPr="000F4A29">
        <w:rPr>
          <w:rFonts w:eastAsia="Calibri"/>
          <w:bCs/>
          <w:color w:val="000000"/>
          <w:szCs w:val="24"/>
          <w:lang w:val="es-AR" w:eastAsia="es-ES"/>
        </w:rPr>
        <w:t>ciclo</w:t>
      </w:r>
      <w:r>
        <w:rPr>
          <w:rFonts w:eastAsia="Calibri"/>
          <w:bCs/>
          <w:color w:val="000000"/>
          <w:szCs w:val="24"/>
          <w:lang w:val="es-AR" w:eastAsia="es-ES"/>
        </w:rPr>
        <w:t>s</w:t>
      </w:r>
      <w:r w:rsidRPr="000F4A29">
        <w:rPr>
          <w:rFonts w:eastAsia="Calibri"/>
          <w:bCs/>
          <w:color w:val="000000"/>
          <w:szCs w:val="24"/>
          <w:lang w:val="es-AR" w:eastAsia="es-ES"/>
        </w:rPr>
        <w:t xml:space="preserve"> operativo</w:t>
      </w:r>
      <w:r>
        <w:rPr>
          <w:rFonts w:eastAsia="Calibri"/>
          <w:bCs/>
          <w:color w:val="000000"/>
          <w:szCs w:val="24"/>
          <w:lang w:val="es-AR" w:eastAsia="es-ES"/>
        </w:rPr>
        <w:t>s</w:t>
      </w:r>
      <w:r w:rsidRPr="000F4A29">
        <w:rPr>
          <w:rFonts w:eastAsia="Calibri"/>
          <w:bCs/>
          <w:color w:val="000000"/>
          <w:szCs w:val="24"/>
          <w:lang w:val="es-AR" w:eastAsia="es-ES"/>
        </w:rPr>
        <w:t xml:space="preserve"> de </w:t>
      </w:r>
      <w:r>
        <w:rPr>
          <w:rFonts w:eastAsia="Calibri"/>
          <w:bCs/>
          <w:color w:val="000000"/>
          <w:szCs w:val="24"/>
          <w:lang w:val="es-AR" w:eastAsia="es-ES"/>
        </w:rPr>
        <w:t>la Sociedad</w:t>
      </w:r>
      <w:r w:rsidRPr="000F4A29">
        <w:rPr>
          <w:rFonts w:eastAsia="Calibri"/>
          <w:bCs/>
          <w:color w:val="000000"/>
          <w:szCs w:val="24"/>
          <w:lang w:val="es-AR" w:eastAsia="es-ES"/>
        </w:rPr>
        <w:t>, a saber:</w:t>
      </w:r>
      <w:r>
        <w:rPr>
          <w:rFonts w:eastAsia="Calibri"/>
          <w:bCs/>
          <w:color w:val="000000"/>
          <w:szCs w:val="24"/>
          <w:lang w:val="es-AR" w:eastAsia="es-ES"/>
        </w:rPr>
        <w:t xml:space="preserve"> </w:t>
      </w:r>
      <w:bookmarkStart w:id="2" w:name="_Hlk155187367"/>
      <w:r>
        <w:rPr>
          <w:rFonts w:eastAsia="Calibri"/>
          <w:bCs/>
          <w:color w:val="000000"/>
          <w:szCs w:val="24"/>
          <w:lang w:val="es-AR" w:eastAsia="es-ES"/>
        </w:rPr>
        <w:t xml:space="preserve">el departamento de </w:t>
      </w:r>
      <w:r w:rsidR="00B14A79">
        <w:rPr>
          <w:rFonts w:eastAsia="Calibri"/>
          <w:bCs/>
          <w:color w:val="000000"/>
          <w:szCs w:val="24"/>
          <w:lang w:val="es-AR" w:eastAsia="es-ES"/>
        </w:rPr>
        <w:t>administración</w:t>
      </w:r>
      <w:r>
        <w:rPr>
          <w:rFonts w:eastAsia="Calibri"/>
          <w:bCs/>
          <w:color w:val="000000"/>
          <w:szCs w:val="24"/>
          <w:lang w:val="es-AR" w:eastAsia="es-ES"/>
        </w:rPr>
        <w:t xml:space="preserve">, </w:t>
      </w:r>
      <w:r w:rsidR="00AC3AFE">
        <w:rPr>
          <w:rFonts w:eastAsia="Calibri"/>
          <w:bCs/>
          <w:color w:val="000000"/>
          <w:szCs w:val="24"/>
          <w:lang w:val="es-AR" w:eastAsia="es-ES"/>
        </w:rPr>
        <w:t xml:space="preserve">la dirección de </w:t>
      </w:r>
      <w:r w:rsidR="00B64D88">
        <w:rPr>
          <w:rFonts w:eastAsia="Calibri"/>
          <w:bCs/>
          <w:color w:val="000000"/>
          <w:szCs w:val="24"/>
          <w:lang w:val="es-AR" w:eastAsia="es-ES"/>
        </w:rPr>
        <w:t>tecnología</w:t>
      </w:r>
      <w:r>
        <w:rPr>
          <w:rFonts w:eastAsia="Calibri"/>
          <w:bCs/>
          <w:color w:val="000000"/>
          <w:szCs w:val="24"/>
          <w:lang w:val="es-AR" w:eastAsia="es-ES"/>
        </w:rPr>
        <w:t xml:space="preserve">, </w:t>
      </w:r>
      <w:bookmarkEnd w:id="2"/>
      <w:r w:rsidR="00AC3AFE">
        <w:rPr>
          <w:rFonts w:eastAsia="Calibri"/>
          <w:bCs/>
          <w:color w:val="000000"/>
          <w:szCs w:val="24"/>
          <w:lang w:val="es-AR" w:eastAsia="es-ES"/>
        </w:rPr>
        <w:t>la dirección</w:t>
      </w:r>
      <w:r w:rsidR="00B64D88">
        <w:rPr>
          <w:rFonts w:eastAsia="Calibri"/>
          <w:bCs/>
          <w:color w:val="000000"/>
          <w:szCs w:val="24"/>
          <w:lang w:val="es-AR" w:eastAsia="es-ES"/>
        </w:rPr>
        <w:t xml:space="preserve"> de planeamiento y control de gestión</w:t>
      </w:r>
      <w:r>
        <w:rPr>
          <w:rFonts w:eastAsia="Calibri"/>
          <w:bCs/>
          <w:color w:val="000000"/>
          <w:szCs w:val="24"/>
          <w:lang w:val="es-AR" w:eastAsia="es-ES"/>
        </w:rPr>
        <w:t>.</w:t>
      </w:r>
    </w:p>
    <w:p w14:paraId="1825A9FC" w14:textId="77777777" w:rsidR="000C5764" w:rsidRPr="000F4A29" w:rsidRDefault="000C5764" w:rsidP="000C5764">
      <w:pPr>
        <w:numPr>
          <w:ilvl w:val="0"/>
          <w:numId w:val="2"/>
        </w:numPr>
        <w:jc w:val="both"/>
        <w:rPr>
          <w:rFonts w:eastAsia="Calibri"/>
          <w:bCs/>
          <w:color w:val="000000"/>
          <w:szCs w:val="24"/>
          <w:lang w:val="es-AR" w:eastAsia="es-ES"/>
        </w:rPr>
      </w:pPr>
      <w:r w:rsidRPr="000F4A29">
        <w:rPr>
          <w:rFonts w:eastAsia="Calibri"/>
          <w:bCs/>
          <w:color w:val="000000"/>
          <w:szCs w:val="24"/>
          <w:lang w:val="es-AR" w:eastAsia="es-ES"/>
        </w:rPr>
        <w:t>Consideración de la labor realizada en la materia por la auditoría externa.</w:t>
      </w:r>
    </w:p>
    <w:p w14:paraId="77F6EE87" w14:textId="77777777" w:rsidR="000C5764" w:rsidRPr="000F4A29" w:rsidRDefault="000C5764" w:rsidP="000C5764">
      <w:pPr>
        <w:numPr>
          <w:ilvl w:val="0"/>
          <w:numId w:val="2"/>
        </w:numPr>
        <w:jc w:val="both"/>
        <w:rPr>
          <w:rFonts w:eastAsia="Calibri"/>
          <w:bCs/>
          <w:color w:val="000000"/>
          <w:szCs w:val="24"/>
          <w:lang w:val="es-AR" w:eastAsia="es-ES"/>
        </w:rPr>
      </w:pPr>
      <w:r w:rsidRPr="000F4A29">
        <w:rPr>
          <w:rFonts w:eastAsia="Calibri"/>
          <w:bCs/>
          <w:color w:val="000000"/>
          <w:szCs w:val="24"/>
          <w:lang w:val="es-AR" w:eastAsia="es-ES"/>
        </w:rPr>
        <w:t>Discusión con directivos de la Sociedad.</w:t>
      </w:r>
    </w:p>
    <w:p w14:paraId="5729A3E8" w14:textId="77777777" w:rsidR="000C5764" w:rsidRPr="005F47AD" w:rsidRDefault="000C5764" w:rsidP="000C5764">
      <w:pPr>
        <w:jc w:val="both"/>
        <w:rPr>
          <w:rFonts w:eastAsia="Calibri"/>
          <w:bCs/>
          <w:color w:val="000000"/>
          <w:szCs w:val="24"/>
          <w:lang w:val="es-AR" w:eastAsia="es-ES"/>
        </w:rPr>
      </w:pPr>
    </w:p>
    <w:p w14:paraId="7381E6A7" w14:textId="77777777" w:rsidR="000C5764" w:rsidRPr="000F4A29" w:rsidRDefault="000C5764" w:rsidP="000C5764">
      <w:pPr>
        <w:jc w:val="both"/>
        <w:rPr>
          <w:rFonts w:eastAsia="Calibri"/>
          <w:bCs/>
          <w:color w:val="000000"/>
          <w:szCs w:val="24"/>
          <w:lang w:val="es-AR" w:eastAsia="es-ES"/>
        </w:rPr>
      </w:pPr>
      <w:r w:rsidRPr="000C5506">
        <w:rPr>
          <w:rFonts w:eastAsia="Calibri"/>
          <w:bCs/>
          <w:color w:val="000000"/>
          <w:szCs w:val="24"/>
          <w:lang w:val="es-AR" w:eastAsia="es-ES"/>
        </w:rPr>
        <w:t>Como consecuencia del trabajo realizado no hemos advertido hechos que nos lleven a sostener que la Sociedad cuenta con procesos de control interno y un sistema administrativo-contable inadecuado a los efectos del cumplimiento de sus objetivos</w:t>
      </w:r>
      <w:r>
        <w:rPr>
          <w:rFonts w:eastAsia="Calibri"/>
          <w:bCs/>
          <w:color w:val="000000"/>
          <w:szCs w:val="24"/>
          <w:lang w:val="es-AR" w:eastAsia="es-ES"/>
        </w:rPr>
        <w:t>, l</w:t>
      </w:r>
      <w:r w:rsidRPr="000C5506">
        <w:rPr>
          <w:rFonts w:eastAsia="Calibri"/>
          <w:bCs/>
          <w:color w:val="000000"/>
          <w:szCs w:val="24"/>
          <w:lang w:val="es-AR" w:eastAsia="es-ES"/>
        </w:rPr>
        <w:t xml:space="preserve">a generación de información financiera fiable y </w:t>
      </w:r>
      <w:r>
        <w:rPr>
          <w:rFonts w:eastAsia="Calibri"/>
          <w:bCs/>
          <w:color w:val="000000"/>
          <w:szCs w:val="24"/>
          <w:lang w:val="es-AR" w:eastAsia="es-ES"/>
        </w:rPr>
        <w:t>la observancia</w:t>
      </w:r>
      <w:r w:rsidRPr="000C5506">
        <w:rPr>
          <w:rFonts w:eastAsia="Calibri"/>
          <w:bCs/>
          <w:color w:val="000000"/>
          <w:szCs w:val="24"/>
          <w:lang w:val="es-AR" w:eastAsia="es-ES"/>
        </w:rPr>
        <w:t xml:space="preserve"> a las normas de aplicación.</w:t>
      </w:r>
    </w:p>
    <w:p w14:paraId="597A79AC" w14:textId="77777777" w:rsidR="000C5764" w:rsidRPr="00906CD0" w:rsidRDefault="000C5764" w:rsidP="000C5764">
      <w:pPr>
        <w:jc w:val="both"/>
        <w:rPr>
          <w:rFonts w:eastAsia="Calibri"/>
          <w:bCs/>
          <w:color w:val="000000"/>
          <w:szCs w:val="24"/>
          <w:highlight w:val="yellow"/>
          <w:lang w:val="es-AR" w:eastAsia="es-ES"/>
        </w:rPr>
      </w:pPr>
    </w:p>
    <w:p w14:paraId="4A9A8FA1" w14:textId="40F05791" w:rsidR="000C5764" w:rsidRPr="00906CD0" w:rsidRDefault="000C5764" w:rsidP="000C5764">
      <w:pPr>
        <w:jc w:val="both"/>
        <w:rPr>
          <w:rFonts w:eastAsia="Calibri"/>
          <w:bCs/>
          <w:color w:val="000000"/>
          <w:szCs w:val="24"/>
          <w:lang w:val="es-AR" w:eastAsia="es-ES"/>
        </w:rPr>
      </w:pPr>
      <w:r>
        <w:rPr>
          <w:rFonts w:eastAsia="Calibri"/>
          <w:bCs/>
          <w:color w:val="000000"/>
          <w:szCs w:val="24"/>
          <w:lang w:val="es-AR" w:eastAsia="es-ES"/>
        </w:rPr>
        <w:t xml:space="preserve">Sin perjuicio de lo anterior, como resultado de los procedimientos implementados en relación con las tareas identificadas en el inciso a) </w:t>
      </w:r>
      <w:r w:rsidRPr="00242F33">
        <w:rPr>
          <w:rFonts w:eastAsia="Calibri"/>
          <w:bCs/>
          <w:color w:val="000000"/>
          <w:szCs w:val="24"/>
          <w:lang w:val="es-AR" w:eastAsia="es-ES"/>
        </w:rPr>
        <w:t xml:space="preserve">precedente, se han identificado ciertas oportunidades de mejora a las que se ha hecho referencia en los informes presentados al Directorio de la Sociedad en fecha </w:t>
      </w:r>
      <w:r w:rsidR="007F0930">
        <w:rPr>
          <w:rFonts w:eastAsia="Calibri"/>
          <w:bCs/>
          <w:color w:val="000000"/>
          <w:szCs w:val="24"/>
          <w:lang w:val="es-AR" w:eastAsia="es-ES"/>
        </w:rPr>
        <w:t>30</w:t>
      </w:r>
      <w:r w:rsidR="00154C04">
        <w:rPr>
          <w:rFonts w:eastAsia="Calibri"/>
          <w:bCs/>
          <w:color w:val="000000"/>
          <w:szCs w:val="24"/>
          <w:lang w:val="es-AR" w:eastAsia="es-ES"/>
        </w:rPr>
        <w:t xml:space="preserve"> </w:t>
      </w:r>
      <w:r w:rsidRPr="00242F33">
        <w:rPr>
          <w:rFonts w:eastAsia="Calibri"/>
          <w:bCs/>
          <w:color w:val="000000"/>
          <w:szCs w:val="24"/>
          <w:lang w:val="es-AR" w:eastAsia="es-ES"/>
        </w:rPr>
        <w:t>de diciembre de 202</w:t>
      </w:r>
      <w:r w:rsidR="002C1DA9" w:rsidRPr="00242F33">
        <w:rPr>
          <w:rFonts w:eastAsia="Calibri"/>
          <w:bCs/>
          <w:color w:val="000000"/>
          <w:szCs w:val="24"/>
          <w:lang w:val="es-AR" w:eastAsia="es-ES"/>
        </w:rPr>
        <w:t>4</w:t>
      </w:r>
      <w:r w:rsidRPr="00242F33">
        <w:rPr>
          <w:rFonts w:eastAsia="Calibri"/>
          <w:bCs/>
          <w:color w:val="000000"/>
          <w:szCs w:val="24"/>
          <w:lang w:val="es-AR" w:eastAsia="es-ES"/>
        </w:rPr>
        <w:t>, cuya implementación</w:t>
      </w:r>
      <w:r>
        <w:rPr>
          <w:rFonts w:eastAsia="Calibri"/>
          <w:bCs/>
          <w:color w:val="000000"/>
          <w:szCs w:val="24"/>
          <w:lang w:val="es-AR" w:eastAsia="es-ES"/>
        </w:rPr>
        <w:t xml:space="preserve"> será monitoreada por este Comité durante el ejercicio iniciado el pasado 1° de noviembre de 202</w:t>
      </w:r>
      <w:r w:rsidR="002C1DA9">
        <w:rPr>
          <w:rFonts w:eastAsia="Calibri"/>
          <w:bCs/>
          <w:color w:val="000000"/>
          <w:szCs w:val="24"/>
          <w:lang w:val="es-AR" w:eastAsia="es-ES"/>
        </w:rPr>
        <w:t>4</w:t>
      </w:r>
      <w:r>
        <w:rPr>
          <w:rFonts w:eastAsia="Calibri"/>
          <w:bCs/>
          <w:color w:val="000000"/>
          <w:szCs w:val="24"/>
          <w:lang w:val="es-AR" w:eastAsia="es-ES"/>
        </w:rPr>
        <w:t xml:space="preserve"> y que finalizará el 31 de octubre de 202</w:t>
      </w:r>
      <w:r w:rsidR="002C1DA9">
        <w:rPr>
          <w:rFonts w:eastAsia="Calibri"/>
          <w:bCs/>
          <w:color w:val="000000"/>
          <w:szCs w:val="24"/>
          <w:lang w:val="es-AR" w:eastAsia="es-ES"/>
        </w:rPr>
        <w:t>5</w:t>
      </w:r>
      <w:r>
        <w:rPr>
          <w:rFonts w:eastAsia="Calibri"/>
          <w:bCs/>
          <w:color w:val="000000"/>
          <w:szCs w:val="24"/>
          <w:lang w:val="es-AR" w:eastAsia="es-ES"/>
        </w:rPr>
        <w:t>.</w:t>
      </w:r>
    </w:p>
    <w:p w14:paraId="2684ECA8" w14:textId="77777777" w:rsidR="000C5764" w:rsidRDefault="000C5764" w:rsidP="000C5764">
      <w:pPr>
        <w:jc w:val="both"/>
        <w:rPr>
          <w:rFonts w:eastAsia="Calibri"/>
          <w:bCs/>
          <w:color w:val="000000"/>
          <w:szCs w:val="24"/>
          <w:lang w:val="es-AR" w:eastAsia="es-ES"/>
        </w:rPr>
      </w:pPr>
    </w:p>
    <w:p w14:paraId="5477A25A" w14:textId="77777777" w:rsidR="000C5764" w:rsidRDefault="000C5764" w:rsidP="000C5764">
      <w:pPr>
        <w:jc w:val="both"/>
        <w:rPr>
          <w:rFonts w:eastAsia="Calibri"/>
          <w:b/>
          <w:bCs/>
          <w:color w:val="000000"/>
          <w:szCs w:val="24"/>
          <w:lang w:val="es-AR" w:eastAsia="es-ES"/>
        </w:rPr>
      </w:pPr>
      <w:r w:rsidRPr="00906CD0">
        <w:rPr>
          <w:rFonts w:eastAsia="Calibri"/>
          <w:b/>
          <w:bCs/>
          <w:color w:val="000000"/>
          <w:szCs w:val="24"/>
          <w:lang w:val="es-AR" w:eastAsia="es-ES"/>
        </w:rPr>
        <w:lastRenderedPageBreak/>
        <w:t>C. Información sobre gestión de riesgos</w:t>
      </w:r>
    </w:p>
    <w:p w14:paraId="0C9C2ED0" w14:textId="77777777" w:rsidR="000C5764" w:rsidRDefault="000C5764" w:rsidP="000C5764">
      <w:pPr>
        <w:jc w:val="both"/>
        <w:rPr>
          <w:rFonts w:eastAsia="Calibri"/>
          <w:b/>
          <w:bCs/>
          <w:color w:val="000000"/>
          <w:szCs w:val="24"/>
          <w:lang w:val="es-AR" w:eastAsia="es-ES"/>
        </w:rPr>
      </w:pPr>
    </w:p>
    <w:p w14:paraId="5EBCAC6A" w14:textId="77777777" w:rsidR="000C5764" w:rsidRDefault="000C5764" w:rsidP="000C5764">
      <w:pPr>
        <w:jc w:val="both"/>
      </w:pPr>
      <w:r>
        <w:t>La Sociedad participa de operaciones que involucran instrumentos financieros registrados en cuentas patrimoniales, destinados a atender las necesidades de la Sociedad, que implican exposición a riesgos de mercado, moneda y tasa de interés. La administración de estos riesgos se basa en el análisis puntual de cada situación, considerando las estimaciones propias y de terceros sobre la evolución de las respectivas variables. La gestión de los principales riesgos financieros, tales como los de tipo de cambio, de tasa de interés, de liquidez y de capital, es monitoreada por la Dirección de Finanzas, la cual identifica, evalúa y cubre los mismos, en coordinación estrecha con las unidades operativas de la Sociedad.</w:t>
      </w:r>
    </w:p>
    <w:p w14:paraId="072F49F5" w14:textId="77777777" w:rsidR="000C5764" w:rsidRDefault="000C5764" w:rsidP="000C5764">
      <w:pPr>
        <w:tabs>
          <w:tab w:val="left" w:pos="4395"/>
        </w:tabs>
        <w:jc w:val="both"/>
      </w:pPr>
    </w:p>
    <w:p w14:paraId="3C35019D" w14:textId="77777777" w:rsidR="000C5764" w:rsidRPr="00C415A9" w:rsidRDefault="000C5764" w:rsidP="000C5764">
      <w:pPr>
        <w:jc w:val="both"/>
      </w:pPr>
      <w:r w:rsidRPr="00C415A9">
        <w:t xml:space="preserve">En relación con nuestra responsabilidad relativa a evaluar el cumplimiento de las políticas de información en materia de gestión de riesgos, no se ha identificado ningún riesgo de importancia crítica </w:t>
      </w:r>
      <w:r>
        <w:t xml:space="preserve">respecto del cual </w:t>
      </w:r>
      <w:r w:rsidRPr="00C415A9">
        <w:t>la Sociedad</w:t>
      </w:r>
      <w:r>
        <w:t xml:space="preserve"> no tenga previsto la información sobre la gestión </w:t>
      </w:r>
      <w:proofErr w:type="gramStart"/>
      <w:r>
        <w:t>del mismo</w:t>
      </w:r>
      <w:proofErr w:type="gramEnd"/>
      <w:r>
        <w:t xml:space="preserve"> de acuerdo con lo dispuesto por la normativa aplicable. </w:t>
      </w:r>
      <w:r w:rsidRPr="00C415A9">
        <w:t xml:space="preserve"> </w:t>
      </w:r>
    </w:p>
    <w:p w14:paraId="588BB40F" w14:textId="77777777" w:rsidR="000C5764" w:rsidRPr="00C415A9" w:rsidRDefault="000C5764" w:rsidP="000C5764">
      <w:pPr>
        <w:tabs>
          <w:tab w:val="left" w:pos="567"/>
        </w:tabs>
        <w:spacing w:before="120"/>
        <w:jc w:val="both"/>
      </w:pPr>
      <w:r w:rsidRPr="00C415A9">
        <w:t xml:space="preserve">Por lo tanto, no tenemos ninguna observación de relevancia que realizar en relación con nuestra responsabilidad </w:t>
      </w:r>
      <w:r>
        <w:t>sobre este punto.</w:t>
      </w:r>
    </w:p>
    <w:p w14:paraId="02877CFE" w14:textId="77777777" w:rsidR="000C5764" w:rsidRPr="00906CD0" w:rsidRDefault="000C5764" w:rsidP="000C5764">
      <w:pPr>
        <w:jc w:val="both"/>
        <w:rPr>
          <w:rFonts w:eastAsia="Calibri"/>
          <w:bCs/>
          <w:color w:val="000000"/>
          <w:szCs w:val="24"/>
          <w:lang w:val="es-AR" w:eastAsia="es-ES"/>
        </w:rPr>
      </w:pPr>
    </w:p>
    <w:p w14:paraId="22D2D213" w14:textId="77777777" w:rsidR="000C5764" w:rsidRPr="00906CD0" w:rsidRDefault="000C5764" w:rsidP="000C5764">
      <w:pPr>
        <w:jc w:val="both"/>
        <w:rPr>
          <w:rFonts w:eastAsia="Calibri"/>
          <w:b/>
          <w:bCs/>
          <w:color w:val="000000"/>
          <w:szCs w:val="24"/>
          <w:lang w:val="es-AR" w:eastAsia="es-ES"/>
        </w:rPr>
      </w:pPr>
      <w:r w:rsidRPr="00906CD0">
        <w:rPr>
          <w:rFonts w:eastAsia="Calibri"/>
          <w:b/>
          <w:bCs/>
          <w:color w:val="000000"/>
          <w:szCs w:val="24"/>
          <w:lang w:val="es-AR" w:eastAsia="es-ES"/>
        </w:rPr>
        <w:t>D. Conflictos de interés</w:t>
      </w:r>
    </w:p>
    <w:p w14:paraId="0CD1E66B" w14:textId="77777777" w:rsidR="000C5764" w:rsidRPr="00906CD0" w:rsidRDefault="000C5764" w:rsidP="000C5764">
      <w:pPr>
        <w:jc w:val="both"/>
        <w:rPr>
          <w:rFonts w:eastAsia="Calibri"/>
          <w:bCs/>
          <w:i/>
          <w:color w:val="000000"/>
          <w:szCs w:val="24"/>
          <w:lang w:val="es-AR" w:eastAsia="es-ES"/>
        </w:rPr>
      </w:pPr>
    </w:p>
    <w:p w14:paraId="6B81543C" w14:textId="24EE95EF" w:rsidR="000C5764" w:rsidRPr="00906CD0" w:rsidRDefault="000C5764" w:rsidP="000C5764">
      <w:pPr>
        <w:jc w:val="both"/>
        <w:rPr>
          <w:rFonts w:eastAsia="Calibri"/>
          <w:bCs/>
          <w:color w:val="000000"/>
          <w:szCs w:val="24"/>
          <w:lang w:val="es-AR" w:eastAsia="es-ES"/>
        </w:rPr>
      </w:pPr>
      <w:r w:rsidRPr="00862948">
        <w:rPr>
          <w:rFonts w:eastAsia="Calibri"/>
          <w:bCs/>
          <w:color w:val="000000"/>
          <w:szCs w:val="24"/>
          <w:lang w:val="es-AR" w:eastAsia="es-ES"/>
        </w:rPr>
        <w:t>Durante el ejercicio</w:t>
      </w:r>
      <w:r>
        <w:rPr>
          <w:rFonts w:eastAsia="Calibri"/>
          <w:bCs/>
          <w:color w:val="000000"/>
          <w:szCs w:val="24"/>
          <w:lang w:val="es-AR" w:eastAsia="es-ES"/>
        </w:rPr>
        <w:t xml:space="preserve"> cerrado el 31 de octubre de 202</w:t>
      </w:r>
      <w:r w:rsidR="002C1DA9">
        <w:rPr>
          <w:rFonts w:eastAsia="Calibri"/>
          <w:bCs/>
          <w:color w:val="000000"/>
          <w:szCs w:val="24"/>
          <w:lang w:val="es-AR" w:eastAsia="es-ES"/>
        </w:rPr>
        <w:t>4</w:t>
      </w:r>
      <w:r w:rsidRPr="00862948">
        <w:rPr>
          <w:rFonts w:eastAsia="Calibri"/>
          <w:bCs/>
          <w:color w:val="000000"/>
          <w:szCs w:val="24"/>
          <w:lang w:val="es-AR" w:eastAsia="es-ES"/>
        </w:rPr>
        <w:t xml:space="preserve"> y en relación a nuestra labor como miembros del Comité de Auditoría y del Directorio de la Sociedad, no hemos tomado conocimiento de ningún caso de relevancia en el cual haya intervenido un integrante de los órganos sociales o accionista controlante afectado por una situación de conflicto de interés, contraviniendo lo dispuesto por las Normas CNV, la Ley General de Sociedades N°19.550 y las normas del Código de Ética y Conducta Empresarial de la Sociedad.</w:t>
      </w:r>
    </w:p>
    <w:p w14:paraId="5B8978EE" w14:textId="77777777" w:rsidR="000C5764" w:rsidRPr="00906CD0" w:rsidRDefault="000C5764" w:rsidP="000C5764">
      <w:pPr>
        <w:jc w:val="both"/>
        <w:rPr>
          <w:rFonts w:eastAsia="Calibri"/>
          <w:b/>
          <w:bCs/>
          <w:color w:val="000000"/>
          <w:szCs w:val="24"/>
          <w:lang w:val="es-AR" w:eastAsia="es-ES"/>
        </w:rPr>
      </w:pPr>
    </w:p>
    <w:p w14:paraId="43F13B78" w14:textId="77777777" w:rsidR="000C5764" w:rsidRPr="005155A7" w:rsidRDefault="000C5764" w:rsidP="000C5764">
      <w:pPr>
        <w:jc w:val="both"/>
        <w:rPr>
          <w:rFonts w:eastAsia="Calibri"/>
          <w:b/>
          <w:bCs/>
          <w:color w:val="000000"/>
          <w:szCs w:val="24"/>
          <w:lang w:val="es-AR" w:eastAsia="es-ES"/>
        </w:rPr>
      </w:pPr>
      <w:r w:rsidRPr="005155A7">
        <w:rPr>
          <w:rFonts w:eastAsia="Calibri"/>
          <w:b/>
          <w:bCs/>
          <w:color w:val="000000"/>
          <w:szCs w:val="24"/>
          <w:lang w:val="es-AR" w:eastAsia="es-ES"/>
        </w:rPr>
        <w:t>E. Operaciones con partes relacionadas</w:t>
      </w:r>
    </w:p>
    <w:p w14:paraId="188351D9" w14:textId="77777777" w:rsidR="000C5764" w:rsidRPr="005155A7" w:rsidRDefault="000C5764" w:rsidP="000C5764">
      <w:pPr>
        <w:jc w:val="both"/>
        <w:rPr>
          <w:rFonts w:eastAsia="Calibri"/>
          <w:bCs/>
          <w:i/>
          <w:color w:val="000000"/>
          <w:szCs w:val="24"/>
          <w:lang w:val="es-AR" w:eastAsia="es-ES"/>
        </w:rPr>
      </w:pPr>
    </w:p>
    <w:p w14:paraId="00E7B0DA" w14:textId="77777777" w:rsidR="000C5764" w:rsidRPr="005155A7" w:rsidRDefault="000C5764" w:rsidP="000C5764">
      <w:pPr>
        <w:pStyle w:val="Default"/>
        <w:jc w:val="both"/>
        <w:rPr>
          <w:rFonts w:eastAsia="Calibri"/>
          <w:color w:val="000000"/>
          <w:sz w:val="24"/>
          <w:szCs w:val="24"/>
        </w:rPr>
      </w:pPr>
      <w:r w:rsidRPr="005155A7">
        <w:rPr>
          <w:rFonts w:eastAsia="Calibri"/>
          <w:bCs/>
          <w:color w:val="000000"/>
          <w:sz w:val="24"/>
          <w:szCs w:val="24"/>
          <w:lang w:val="es-AR"/>
        </w:rPr>
        <w:t>Nuestra responsabilidad</w:t>
      </w:r>
      <w:r>
        <w:rPr>
          <w:rFonts w:eastAsia="Calibri"/>
          <w:bCs/>
          <w:color w:val="000000"/>
          <w:sz w:val="24"/>
          <w:szCs w:val="24"/>
          <w:lang w:val="es-AR"/>
        </w:rPr>
        <w:t xml:space="preserve"> </w:t>
      </w:r>
      <w:r w:rsidRPr="005155A7">
        <w:rPr>
          <w:rFonts w:eastAsia="Calibri"/>
          <w:bCs/>
          <w:color w:val="000000"/>
          <w:sz w:val="24"/>
          <w:szCs w:val="24"/>
          <w:lang w:val="es-AR"/>
        </w:rPr>
        <w:t xml:space="preserve">consiste en </w:t>
      </w:r>
      <w:r>
        <w:rPr>
          <w:rFonts w:eastAsia="Calibri"/>
          <w:bCs/>
          <w:color w:val="000000"/>
          <w:sz w:val="24"/>
          <w:szCs w:val="24"/>
          <w:lang w:val="es-AR"/>
        </w:rPr>
        <w:t xml:space="preserve">emitir opinión respecto a si </w:t>
      </w:r>
      <w:r w:rsidRPr="005155A7">
        <w:rPr>
          <w:rFonts w:eastAsia="Calibri"/>
          <w:bCs/>
          <w:color w:val="000000"/>
          <w:sz w:val="24"/>
          <w:szCs w:val="24"/>
          <w:lang w:val="es-AR"/>
        </w:rPr>
        <w:t xml:space="preserve">la Sociedad ha realizado en condiciones de mercado, actos o contratos por montos relevantes con partes relacionadas, en los términos establecidos por el artículo 72 de la LMC, que hayan sido puestos a </w:t>
      </w:r>
      <w:r>
        <w:rPr>
          <w:rFonts w:eastAsia="Calibri"/>
          <w:bCs/>
          <w:color w:val="000000"/>
          <w:sz w:val="24"/>
          <w:szCs w:val="24"/>
          <w:lang w:val="es-AR"/>
        </w:rPr>
        <w:t>nuestra</w:t>
      </w:r>
      <w:r w:rsidRPr="005155A7">
        <w:rPr>
          <w:rFonts w:eastAsia="Calibri"/>
          <w:bCs/>
          <w:color w:val="000000"/>
          <w:sz w:val="24"/>
          <w:szCs w:val="24"/>
          <w:lang w:val="es-AR"/>
        </w:rPr>
        <w:t xml:space="preserve"> consideración por </w:t>
      </w:r>
      <w:r>
        <w:rPr>
          <w:rFonts w:eastAsia="Calibri"/>
          <w:bCs/>
          <w:color w:val="000000"/>
          <w:sz w:val="24"/>
          <w:szCs w:val="24"/>
          <w:lang w:val="es-AR"/>
        </w:rPr>
        <w:t>parte d</w:t>
      </w:r>
      <w:r w:rsidRPr="005155A7">
        <w:rPr>
          <w:rFonts w:eastAsia="Calibri"/>
          <w:bCs/>
          <w:color w:val="000000"/>
          <w:sz w:val="24"/>
          <w:szCs w:val="24"/>
          <w:lang w:val="es-AR"/>
        </w:rPr>
        <w:t>el Directorio o por alguno de sus integrantes opinando, en su caso, acerca de si se han realizado en condiciones de mercado.</w:t>
      </w:r>
      <w:r w:rsidRPr="005155A7">
        <w:rPr>
          <w:rFonts w:eastAsia="Calibri"/>
          <w:color w:val="000000"/>
          <w:sz w:val="24"/>
          <w:szCs w:val="24"/>
        </w:rPr>
        <w:t xml:space="preserve"> </w:t>
      </w:r>
    </w:p>
    <w:p w14:paraId="53784574" w14:textId="77777777" w:rsidR="000C5764" w:rsidRPr="005155A7" w:rsidRDefault="000C5764" w:rsidP="000C5764">
      <w:pPr>
        <w:pStyle w:val="Default"/>
        <w:rPr>
          <w:rFonts w:eastAsia="Calibri"/>
          <w:color w:val="000000"/>
          <w:sz w:val="24"/>
          <w:szCs w:val="24"/>
        </w:rPr>
      </w:pPr>
    </w:p>
    <w:p w14:paraId="480D5E10" w14:textId="77777777" w:rsidR="000C5764" w:rsidRPr="005155A7" w:rsidRDefault="000C5764" w:rsidP="000C5764">
      <w:pPr>
        <w:jc w:val="both"/>
        <w:rPr>
          <w:rFonts w:eastAsia="Calibri"/>
          <w:bCs/>
          <w:color w:val="000000"/>
          <w:szCs w:val="24"/>
          <w:lang w:val="es-AR" w:eastAsia="es-ES"/>
        </w:rPr>
      </w:pPr>
      <w:r w:rsidRPr="005155A7">
        <w:rPr>
          <w:rFonts w:eastAsia="Calibri"/>
          <w:bCs/>
          <w:color w:val="000000"/>
          <w:szCs w:val="24"/>
          <w:lang w:val="es-AR" w:eastAsia="es-ES"/>
        </w:rPr>
        <w:t xml:space="preserve">De acuerdo con el artículo 72 de la LMC </w:t>
      </w:r>
      <w:r>
        <w:rPr>
          <w:rFonts w:eastAsia="Calibri"/>
          <w:bCs/>
          <w:color w:val="000000"/>
          <w:szCs w:val="24"/>
          <w:lang w:val="es-AR" w:eastAsia="es-ES"/>
        </w:rPr>
        <w:t>el</w:t>
      </w:r>
      <w:r w:rsidRPr="005155A7">
        <w:rPr>
          <w:rFonts w:eastAsia="Calibri"/>
          <w:bCs/>
          <w:color w:val="000000"/>
          <w:szCs w:val="24"/>
          <w:lang w:val="es-AR" w:eastAsia="es-ES"/>
        </w:rPr>
        <w:t xml:space="preserve"> importe relevante </w:t>
      </w:r>
      <w:r>
        <w:rPr>
          <w:rFonts w:eastAsia="Calibri"/>
          <w:bCs/>
          <w:color w:val="000000"/>
          <w:szCs w:val="24"/>
          <w:lang w:val="es-AR" w:eastAsia="es-ES"/>
        </w:rPr>
        <w:t xml:space="preserve">para considerar una transacción con una parte relacionada es </w:t>
      </w:r>
      <w:r w:rsidRPr="005155A7">
        <w:rPr>
          <w:rFonts w:eastAsia="Calibri"/>
          <w:bCs/>
          <w:color w:val="000000"/>
          <w:szCs w:val="24"/>
          <w:lang w:val="es-AR" w:eastAsia="es-ES"/>
        </w:rPr>
        <w:t>el equivalente al 1% del Patrimonio Neto de la Sociedad, según los últimos estados financieros aprobados.</w:t>
      </w:r>
    </w:p>
    <w:p w14:paraId="43DE78D5" w14:textId="77777777" w:rsidR="000C5764" w:rsidRPr="005155A7" w:rsidRDefault="000C5764" w:rsidP="000C5764">
      <w:pPr>
        <w:jc w:val="both"/>
        <w:rPr>
          <w:rFonts w:eastAsia="Calibri"/>
          <w:bCs/>
          <w:color w:val="000000"/>
          <w:szCs w:val="24"/>
          <w:lang w:val="es-AR" w:eastAsia="es-ES"/>
        </w:rPr>
      </w:pPr>
    </w:p>
    <w:p w14:paraId="48CE683B" w14:textId="1D8D4B91" w:rsidR="000C5764" w:rsidRDefault="000C5764" w:rsidP="000C5764">
      <w:pPr>
        <w:shd w:val="clear" w:color="auto" w:fill="FFFFFF"/>
        <w:jc w:val="both"/>
        <w:rPr>
          <w:rFonts w:eastAsia="Calibri"/>
          <w:bCs/>
          <w:color w:val="000000"/>
          <w:szCs w:val="24"/>
          <w:lang w:val="es-AR" w:eastAsia="es-ES"/>
        </w:rPr>
      </w:pPr>
      <w:r>
        <w:rPr>
          <w:rFonts w:eastAsia="Calibri"/>
          <w:bCs/>
          <w:color w:val="000000"/>
          <w:szCs w:val="24"/>
          <w:lang w:eastAsia="es-ES"/>
        </w:rPr>
        <w:t>Durante</w:t>
      </w:r>
      <w:r w:rsidRPr="005155A7">
        <w:rPr>
          <w:rFonts w:eastAsia="Calibri"/>
          <w:bCs/>
          <w:color w:val="000000"/>
          <w:szCs w:val="24"/>
          <w:lang w:val="es-AR" w:eastAsia="es-ES"/>
        </w:rPr>
        <w:t xml:space="preserve"> el transcurso del ejercicio iniciado el 1</w:t>
      </w:r>
      <w:r>
        <w:rPr>
          <w:rFonts w:eastAsia="Calibri"/>
          <w:bCs/>
          <w:color w:val="000000"/>
          <w:szCs w:val="24"/>
          <w:lang w:val="es-AR" w:eastAsia="es-ES"/>
        </w:rPr>
        <w:t>°</w:t>
      </w:r>
      <w:r w:rsidRPr="005155A7">
        <w:rPr>
          <w:rFonts w:eastAsia="Calibri"/>
          <w:bCs/>
          <w:color w:val="000000"/>
          <w:szCs w:val="24"/>
          <w:lang w:val="es-AR" w:eastAsia="es-ES"/>
        </w:rPr>
        <w:t xml:space="preserve"> de noviembre de 20</w:t>
      </w:r>
      <w:r>
        <w:rPr>
          <w:rFonts w:eastAsia="Calibri"/>
          <w:bCs/>
          <w:color w:val="000000"/>
          <w:szCs w:val="24"/>
          <w:lang w:val="es-AR" w:eastAsia="es-ES"/>
        </w:rPr>
        <w:t>2</w:t>
      </w:r>
      <w:r w:rsidR="002C1DA9">
        <w:rPr>
          <w:rFonts w:eastAsia="Calibri"/>
          <w:bCs/>
          <w:color w:val="000000"/>
          <w:szCs w:val="24"/>
          <w:lang w:val="es-AR" w:eastAsia="es-ES"/>
        </w:rPr>
        <w:t>3</w:t>
      </w:r>
      <w:r w:rsidRPr="005155A7">
        <w:rPr>
          <w:rFonts w:eastAsia="Calibri"/>
          <w:bCs/>
          <w:color w:val="000000"/>
          <w:szCs w:val="24"/>
          <w:lang w:val="es-AR" w:eastAsia="es-ES"/>
        </w:rPr>
        <w:t xml:space="preserve"> y cerrado el 31 de octubre de 20</w:t>
      </w:r>
      <w:r>
        <w:rPr>
          <w:rFonts w:eastAsia="Calibri"/>
          <w:bCs/>
          <w:color w:val="000000"/>
          <w:szCs w:val="24"/>
          <w:lang w:val="es-AR" w:eastAsia="es-ES"/>
        </w:rPr>
        <w:t>2</w:t>
      </w:r>
      <w:r w:rsidR="002C1DA9">
        <w:rPr>
          <w:rFonts w:eastAsia="Calibri"/>
          <w:bCs/>
          <w:color w:val="000000"/>
          <w:szCs w:val="24"/>
          <w:lang w:val="es-AR" w:eastAsia="es-ES"/>
        </w:rPr>
        <w:t>4</w:t>
      </w:r>
      <w:r w:rsidRPr="005155A7">
        <w:rPr>
          <w:rFonts w:eastAsia="Calibri"/>
          <w:bCs/>
          <w:color w:val="000000"/>
          <w:szCs w:val="24"/>
          <w:lang w:val="es-AR" w:eastAsia="es-ES"/>
        </w:rPr>
        <w:t>, no se ha sometido a la consideración de este Comité de Auditoría operaciones que superen el monto establecido en el artículo 72 de la LMC (1% del Patrimonio Neto al cierre), por lo que no hemos emitido ningún informe de las características mencionadas</w:t>
      </w:r>
      <w:r>
        <w:rPr>
          <w:rFonts w:eastAsia="Calibri"/>
          <w:bCs/>
          <w:color w:val="000000"/>
          <w:szCs w:val="24"/>
          <w:lang w:val="es-AR" w:eastAsia="es-ES"/>
        </w:rPr>
        <w:t xml:space="preserve"> durante dicho período</w:t>
      </w:r>
      <w:r w:rsidRPr="005155A7">
        <w:rPr>
          <w:rFonts w:eastAsia="Calibri"/>
          <w:bCs/>
          <w:color w:val="000000"/>
          <w:szCs w:val="24"/>
          <w:lang w:val="es-AR" w:eastAsia="es-ES"/>
        </w:rPr>
        <w:t>.</w:t>
      </w:r>
    </w:p>
    <w:p w14:paraId="31818C02" w14:textId="77777777" w:rsidR="000C5764" w:rsidRDefault="000C5764" w:rsidP="000C5764">
      <w:pPr>
        <w:jc w:val="both"/>
        <w:rPr>
          <w:rFonts w:eastAsia="Calibri"/>
          <w:bCs/>
          <w:color w:val="000000"/>
          <w:szCs w:val="24"/>
          <w:lang w:val="es-AR" w:eastAsia="es-ES"/>
        </w:rPr>
      </w:pPr>
    </w:p>
    <w:p w14:paraId="51E4E3C5" w14:textId="77777777" w:rsidR="000C5764" w:rsidRPr="00906CD0" w:rsidRDefault="000C5764" w:rsidP="000C5764">
      <w:pPr>
        <w:jc w:val="both"/>
        <w:rPr>
          <w:rFonts w:eastAsia="Calibri"/>
          <w:b/>
          <w:bCs/>
          <w:color w:val="000000"/>
          <w:szCs w:val="24"/>
          <w:lang w:val="es-AR" w:eastAsia="es-ES"/>
        </w:rPr>
      </w:pPr>
      <w:r w:rsidRPr="00906CD0">
        <w:rPr>
          <w:rFonts w:eastAsia="Calibri"/>
          <w:b/>
          <w:bCs/>
          <w:color w:val="000000"/>
          <w:szCs w:val="24"/>
          <w:lang w:val="es-AR" w:eastAsia="es-ES"/>
        </w:rPr>
        <w:t>F. Normas de Conducta</w:t>
      </w:r>
    </w:p>
    <w:p w14:paraId="5502DB80" w14:textId="77777777" w:rsidR="000C5764" w:rsidRPr="00906CD0" w:rsidRDefault="000C5764" w:rsidP="000C5764">
      <w:pPr>
        <w:jc w:val="both"/>
        <w:rPr>
          <w:rFonts w:eastAsia="Calibri"/>
          <w:bCs/>
          <w:i/>
          <w:color w:val="000000"/>
          <w:szCs w:val="24"/>
          <w:lang w:val="es-AR" w:eastAsia="es-ES"/>
        </w:rPr>
      </w:pPr>
    </w:p>
    <w:p w14:paraId="69AB9CA8" w14:textId="77777777"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Para evaluar el cumplimiento de las normas de conducta aplicables, se han considerado las disposiciones legales y regulatorias aplicables en la materia,</w:t>
      </w:r>
      <w:r>
        <w:rPr>
          <w:rFonts w:eastAsia="Calibri"/>
          <w:bCs/>
          <w:color w:val="000000"/>
          <w:szCs w:val="24"/>
          <w:lang w:val="es-AR" w:eastAsia="es-ES"/>
        </w:rPr>
        <w:t xml:space="preserve"> y las normas del</w:t>
      </w:r>
      <w:r w:rsidRPr="00D0371D">
        <w:t xml:space="preserve"> </w:t>
      </w:r>
      <w:r w:rsidRPr="00D0371D">
        <w:rPr>
          <w:rFonts w:eastAsia="Calibri"/>
          <w:bCs/>
          <w:color w:val="000000"/>
          <w:szCs w:val="24"/>
          <w:lang w:val="es-AR" w:eastAsia="es-ES"/>
        </w:rPr>
        <w:t xml:space="preserve">Código </w:t>
      </w:r>
      <w:r>
        <w:rPr>
          <w:rFonts w:eastAsia="Calibri"/>
          <w:bCs/>
          <w:color w:val="000000"/>
          <w:szCs w:val="24"/>
          <w:lang w:val="es-AR" w:eastAsia="es-ES"/>
        </w:rPr>
        <w:t>de Ética y Conducta Empresarial</w:t>
      </w:r>
      <w:r w:rsidRPr="00D0371D">
        <w:rPr>
          <w:rFonts w:eastAsia="Calibri"/>
          <w:bCs/>
          <w:color w:val="000000"/>
          <w:szCs w:val="24"/>
          <w:lang w:val="es-AR" w:eastAsia="es-ES"/>
        </w:rPr>
        <w:t xml:space="preserve"> de la Sociedad</w:t>
      </w:r>
      <w:r>
        <w:rPr>
          <w:rFonts w:eastAsia="Calibri"/>
          <w:bCs/>
          <w:color w:val="000000"/>
          <w:szCs w:val="24"/>
          <w:lang w:val="es-AR" w:eastAsia="es-ES"/>
        </w:rPr>
        <w:t>,</w:t>
      </w:r>
      <w:r w:rsidRPr="00906CD0">
        <w:rPr>
          <w:rFonts w:eastAsia="Calibri"/>
          <w:bCs/>
          <w:color w:val="000000"/>
          <w:szCs w:val="24"/>
          <w:lang w:val="es-AR" w:eastAsia="es-ES"/>
        </w:rPr>
        <w:t xml:space="preserve"> focalizado nuestra labor en relación con los miembros del órgano de administración de la Sociedad y con los demás funcionarios de las áreas contable y financiera, poniendo especial atención en normas relativas a la </w:t>
      </w:r>
      <w:r>
        <w:rPr>
          <w:rFonts w:eastAsia="Calibri"/>
          <w:bCs/>
          <w:color w:val="000000"/>
          <w:szCs w:val="24"/>
          <w:lang w:val="es-AR" w:eastAsia="es-ES"/>
        </w:rPr>
        <w:t xml:space="preserve">integridad, </w:t>
      </w:r>
      <w:r w:rsidRPr="00906CD0">
        <w:rPr>
          <w:rFonts w:eastAsia="Calibri"/>
          <w:bCs/>
          <w:color w:val="000000"/>
          <w:szCs w:val="24"/>
          <w:lang w:val="es-AR" w:eastAsia="es-ES"/>
        </w:rPr>
        <w:t>transparencia, la confiabilidad y adecuada divulgación de la información financiera y de hechos relevantes.</w:t>
      </w:r>
    </w:p>
    <w:p w14:paraId="77A5CD18" w14:textId="77777777" w:rsidR="000C5764" w:rsidRPr="00906CD0" w:rsidRDefault="000C5764" w:rsidP="000C5764">
      <w:pPr>
        <w:jc w:val="both"/>
        <w:rPr>
          <w:rFonts w:eastAsia="Calibri"/>
          <w:bCs/>
          <w:color w:val="000000"/>
          <w:szCs w:val="24"/>
          <w:lang w:val="es-AR" w:eastAsia="es-ES"/>
        </w:rPr>
      </w:pPr>
    </w:p>
    <w:p w14:paraId="2EB9F96C" w14:textId="77777777" w:rsidR="000C5764"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 xml:space="preserve">Nuestra labor se limitó, esencialmente, a analizar las cuestiones de las cuales hemos tomado conocimiento a través de nuestra actuación como </w:t>
      </w:r>
      <w:proofErr w:type="gramStart"/>
      <w:r w:rsidRPr="00906CD0">
        <w:rPr>
          <w:rFonts w:eastAsia="Calibri"/>
          <w:bCs/>
          <w:color w:val="000000"/>
          <w:szCs w:val="24"/>
          <w:lang w:val="es-AR" w:eastAsia="es-ES"/>
        </w:rPr>
        <w:t>Directores</w:t>
      </w:r>
      <w:proofErr w:type="gramEnd"/>
      <w:r w:rsidRPr="00906CD0">
        <w:rPr>
          <w:rFonts w:eastAsia="Calibri"/>
          <w:bCs/>
          <w:color w:val="000000"/>
          <w:szCs w:val="24"/>
          <w:lang w:val="es-AR" w:eastAsia="es-ES"/>
        </w:rPr>
        <w:t xml:space="preserve"> de la Sociedad, de las labores realizadas en relación con las demás materias de competencia del Comité, y en indagaciones realizadas al respecto a funcionarios clave de la Sociedad</w:t>
      </w:r>
      <w:r>
        <w:rPr>
          <w:rFonts w:eastAsia="Calibri"/>
          <w:bCs/>
          <w:color w:val="000000"/>
          <w:szCs w:val="24"/>
          <w:lang w:val="es-AR" w:eastAsia="es-ES"/>
        </w:rPr>
        <w:t>.</w:t>
      </w:r>
    </w:p>
    <w:p w14:paraId="2FA266B2" w14:textId="77777777" w:rsidR="000C5764" w:rsidRPr="00906CD0" w:rsidRDefault="000C5764" w:rsidP="000C5764">
      <w:pPr>
        <w:jc w:val="both"/>
        <w:rPr>
          <w:rFonts w:eastAsia="Calibri"/>
          <w:bCs/>
          <w:color w:val="000000"/>
          <w:szCs w:val="24"/>
          <w:lang w:val="es-AR" w:eastAsia="es-ES"/>
        </w:rPr>
      </w:pPr>
    </w:p>
    <w:p w14:paraId="044A98EE" w14:textId="77777777" w:rsidR="000C5764" w:rsidRPr="00906CD0" w:rsidRDefault="000C5764" w:rsidP="000C5764">
      <w:pPr>
        <w:jc w:val="both"/>
        <w:rPr>
          <w:rFonts w:eastAsia="Calibri"/>
          <w:bCs/>
          <w:color w:val="000000"/>
          <w:szCs w:val="24"/>
          <w:lang w:val="es-AR" w:eastAsia="es-ES"/>
        </w:rPr>
      </w:pPr>
      <w:r>
        <w:rPr>
          <w:rFonts w:eastAsia="Calibri"/>
          <w:bCs/>
          <w:color w:val="000000"/>
          <w:szCs w:val="24"/>
          <w:lang w:val="es-AR" w:eastAsia="es-ES"/>
        </w:rPr>
        <w:t>Como</w:t>
      </w:r>
      <w:r w:rsidRPr="00906CD0">
        <w:rPr>
          <w:rFonts w:eastAsia="Calibri"/>
          <w:bCs/>
          <w:color w:val="000000"/>
          <w:szCs w:val="24"/>
          <w:lang w:val="es-AR" w:eastAsia="es-ES"/>
        </w:rPr>
        <w:t xml:space="preserve"> resultado de nuestra tarea no hemos tomado conocimiento de ninguna cuestión que signifique un apartamiento relevante de las normas de conducta de la Sociedad</w:t>
      </w:r>
      <w:r>
        <w:rPr>
          <w:rFonts w:eastAsia="Calibri"/>
          <w:bCs/>
          <w:color w:val="000000"/>
          <w:szCs w:val="24"/>
          <w:lang w:val="es-AR" w:eastAsia="es-ES"/>
        </w:rPr>
        <w:t xml:space="preserve">, destacando una </w:t>
      </w:r>
      <w:r w:rsidRPr="001A3C6B">
        <w:rPr>
          <w:rFonts w:eastAsia="Calibri"/>
          <w:bCs/>
          <w:color w:val="000000"/>
          <w:szCs w:val="24"/>
          <w:lang w:val="es-AR" w:eastAsia="es-ES"/>
        </w:rPr>
        <w:t xml:space="preserve">adecuada observancia por parte de los empleados de la organización </w:t>
      </w:r>
      <w:r>
        <w:rPr>
          <w:rFonts w:eastAsia="Calibri"/>
          <w:bCs/>
          <w:color w:val="000000"/>
          <w:szCs w:val="24"/>
          <w:lang w:val="es-AR" w:eastAsia="es-ES"/>
        </w:rPr>
        <w:t>al</w:t>
      </w:r>
      <w:r w:rsidRPr="001A3C6B">
        <w:rPr>
          <w:rFonts w:eastAsia="Calibri"/>
          <w:bCs/>
          <w:color w:val="000000"/>
          <w:szCs w:val="24"/>
          <w:lang w:val="es-AR" w:eastAsia="es-ES"/>
        </w:rPr>
        <w:t xml:space="preserve"> </w:t>
      </w:r>
      <w:r w:rsidRPr="00D0371D">
        <w:rPr>
          <w:rFonts w:eastAsia="Calibri"/>
          <w:bCs/>
          <w:color w:val="000000"/>
          <w:szCs w:val="24"/>
          <w:lang w:val="es-AR" w:eastAsia="es-ES"/>
        </w:rPr>
        <w:t xml:space="preserve">Código </w:t>
      </w:r>
      <w:r>
        <w:rPr>
          <w:rFonts w:eastAsia="Calibri"/>
          <w:bCs/>
          <w:color w:val="000000"/>
          <w:szCs w:val="24"/>
          <w:lang w:val="es-AR" w:eastAsia="es-ES"/>
        </w:rPr>
        <w:t>de Ética y Conducta Empresarial</w:t>
      </w:r>
      <w:r w:rsidRPr="00906CD0">
        <w:rPr>
          <w:rFonts w:eastAsia="Calibri"/>
          <w:bCs/>
          <w:color w:val="000000"/>
          <w:szCs w:val="24"/>
          <w:lang w:val="es-AR" w:eastAsia="es-ES"/>
        </w:rPr>
        <w:t>.</w:t>
      </w:r>
    </w:p>
    <w:p w14:paraId="3CD982E8" w14:textId="77777777" w:rsidR="000C5764" w:rsidRPr="00906CD0" w:rsidRDefault="000C5764" w:rsidP="000C5764">
      <w:pPr>
        <w:jc w:val="both"/>
        <w:rPr>
          <w:rFonts w:eastAsia="Calibri"/>
          <w:bCs/>
          <w:color w:val="000000"/>
          <w:szCs w:val="24"/>
          <w:lang w:val="es-AR" w:eastAsia="es-ES"/>
        </w:rPr>
      </w:pPr>
    </w:p>
    <w:p w14:paraId="7F7FCAB4" w14:textId="77777777" w:rsidR="000C5764" w:rsidRPr="00906CD0" w:rsidRDefault="000C5764" w:rsidP="000C5764">
      <w:pPr>
        <w:jc w:val="both"/>
        <w:rPr>
          <w:rFonts w:eastAsia="Calibri"/>
          <w:b/>
          <w:bCs/>
          <w:color w:val="000000"/>
          <w:szCs w:val="24"/>
          <w:lang w:val="es-AR" w:eastAsia="es-ES"/>
        </w:rPr>
      </w:pPr>
      <w:r w:rsidRPr="00906CD0">
        <w:rPr>
          <w:rFonts w:eastAsia="Calibri"/>
          <w:b/>
          <w:bCs/>
          <w:color w:val="000000"/>
          <w:szCs w:val="24"/>
          <w:lang w:val="es-AR" w:eastAsia="es-ES"/>
        </w:rPr>
        <w:t>G. Información financiera y sobre hechos relevantes</w:t>
      </w:r>
    </w:p>
    <w:p w14:paraId="64906615" w14:textId="77777777" w:rsidR="000C5764" w:rsidRPr="00906CD0" w:rsidRDefault="000C5764" w:rsidP="000C5764">
      <w:pPr>
        <w:jc w:val="both"/>
        <w:rPr>
          <w:rFonts w:eastAsia="Calibri"/>
          <w:bCs/>
          <w:i/>
          <w:color w:val="000000"/>
          <w:szCs w:val="24"/>
          <w:lang w:val="es-AR" w:eastAsia="es-ES"/>
        </w:rPr>
      </w:pPr>
    </w:p>
    <w:p w14:paraId="12A915DD" w14:textId="77777777" w:rsidR="000C5764" w:rsidRPr="00697AF7" w:rsidRDefault="000C5764" w:rsidP="000C5764">
      <w:pPr>
        <w:jc w:val="both"/>
        <w:rPr>
          <w:rFonts w:eastAsia="Calibri"/>
          <w:bCs/>
          <w:color w:val="000000"/>
          <w:szCs w:val="24"/>
          <w:lang w:val="es-AR" w:eastAsia="es-ES"/>
        </w:rPr>
      </w:pPr>
      <w:r w:rsidRPr="00697AF7">
        <w:rPr>
          <w:rFonts w:eastAsia="Calibri"/>
          <w:bCs/>
          <w:color w:val="000000"/>
          <w:szCs w:val="24"/>
          <w:lang w:val="es-AR" w:eastAsia="es-ES"/>
        </w:rPr>
        <w:t xml:space="preserve">Nuestra responsabilidad al respecto consiste en supervisar la fiabilidad de la información financiera y sobre hechos relevantes presentada </w:t>
      </w:r>
      <w:r>
        <w:rPr>
          <w:rFonts w:eastAsia="Calibri"/>
          <w:bCs/>
          <w:color w:val="000000"/>
          <w:szCs w:val="24"/>
          <w:lang w:val="es-AR" w:eastAsia="es-ES"/>
        </w:rPr>
        <w:t xml:space="preserve">por la Sociedad </w:t>
      </w:r>
      <w:r w:rsidRPr="00697AF7">
        <w:rPr>
          <w:rFonts w:eastAsia="Calibri"/>
          <w:bCs/>
          <w:color w:val="000000"/>
          <w:szCs w:val="24"/>
          <w:lang w:val="es-AR" w:eastAsia="es-ES"/>
        </w:rPr>
        <w:t>a la CNV y a ByMA. No incluye la realización de exámenes de acuerdo con normas de auditoría. Nuestra labor se ha limitado a las tareas indicadas más adelante y por lo tanto nuestra conclusión sobre la información mencionada a continuación no debe interpretarse como una opinión profesional sobre la misma, sino que se circunscribe a señalar las observaciones resultantes de la tarea realizada. Con relación a los estados contables del ejercicio,</w:t>
      </w:r>
      <w:r>
        <w:rPr>
          <w:rFonts w:eastAsia="Calibri"/>
          <w:bCs/>
          <w:color w:val="000000"/>
          <w:szCs w:val="24"/>
          <w:lang w:val="es-AR" w:eastAsia="es-ES"/>
        </w:rPr>
        <w:t xml:space="preserve"> destacamos que </w:t>
      </w:r>
      <w:r w:rsidRPr="00697AF7">
        <w:rPr>
          <w:rFonts w:eastAsia="Calibri"/>
          <w:bCs/>
          <w:color w:val="000000"/>
          <w:szCs w:val="24"/>
          <w:lang w:val="es-AR" w:eastAsia="es-ES"/>
        </w:rPr>
        <w:t>el auditor externo y la Comisión Fiscalizadora son quienes emiten un informe al respecto. Nos hemos basado en parte en la labor por ellos realizada. Para la realización de nuestra labor hemos considerado los siguientes documentos:</w:t>
      </w:r>
    </w:p>
    <w:p w14:paraId="7BB877C7" w14:textId="77777777" w:rsidR="000C5764" w:rsidRPr="00697AF7" w:rsidRDefault="000C5764" w:rsidP="000C5764">
      <w:pPr>
        <w:jc w:val="both"/>
        <w:rPr>
          <w:rFonts w:eastAsia="Calibri"/>
          <w:bCs/>
          <w:color w:val="000000"/>
          <w:szCs w:val="24"/>
          <w:lang w:val="es-AR" w:eastAsia="es-ES"/>
        </w:rPr>
      </w:pPr>
    </w:p>
    <w:p w14:paraId="6ED80BD8" w14:textId="53EAB699" w:rsidR="000C5764" w:rsidRPr="00165965" w:rsidRDefault="000C5764" w:rsidP="000C5764">
      <w:pPr>
        <w:tabs>
          <w:tab w:val="num" w:pos="-900"/>
        </w:tabs>
        <w:ind w:left="284"/>
        <w:jc w:val="both"/>
        <w:rPr>
          <w:rFonts w:eastAsia="Calibri"/>
          <w:bCs/>
          <w:color w:val="000000"/>
          <w:szCs w:val="24"/>
          <w:lang w:val="es-AR" w:eastAsia="es-ES"/>
        </w:rPr>
      </w:pPr>
      <w:r w:rsidRPr="00165965">
        <w:rPr>
          <w:rFonts w:eastAsia="Calibri"/>
          <w:bCs/>
          <w:color w:val="000000"/>
          <w:szCs w:val="24"/>
          <w:lang w:val="es-AR" w:eastAsia="es-ES"/>
        </w:rPr>
        <w:t>a. Los estados financieros de cierre del e</w:t>
      </w:r>
      <w:r>
        <w:rPr>
          <w:rFonts w:eastAsia="Calibri"/>
          <w:bCs/>
          <w:color w:val="000000"/>
          <w:szCs w:val="24"/>
          <w:lang w:val="es-AR" w:eastAsia="es-ES"/>
        </w:rPr>
        <w:t>jercicio al 31 de octubre de 202</w:t>
      </w:r>
      <w:r w:rsidR="002C1DA9">
        <w:rPr>
          <w:rFonts w:eastAsia="Calibri"/>
          <w:bCs/>
          <w:color w:val="000000"/>
          <w:szCs w:val="24"/>
          <w:lang w:val="es-AR" w:eastAsia="es-ES"/>
        </w:rPr>
        <w:t>4</w:t>
      </w:r>
      <w:r w:rsidRPr="00165965">
        <w:rPr>
          <w:rFonts w:eastAsia="Calibri"/>
          <w:bCs/>
          <w:color w:val="000000"/>
          <w:szCs w:val="24"/>
          <w:lang w:val="es-AR" w:eastAsia="es-ES"/>
        </w:rPr>
        <w:t xml:space="preserve"> y de los períodos intermedios finalizados el 31 de enero, </w:t>
      </w:r>
      <w:r>
        <w:rPr>
          <w:rFonts w:eastAsia="Calibri"/>
          <w:bCs/>
          <w:color w:val="000000"/>
          <w:szCs w:val="24"/>
          <w:lang w:val="es-AR" w:eastAsia="es-ES"/>
        </w:rPr>
        <w:t>30 de abril y 31 de julio de 202</w:t>
      </w:r>
      <w:r w:rsidR="002C1DA9">
        <w:rPr>
          <w:rFonts w:eastAsia="Calibri"/>
          <w:bCs/>
          <w:color w:val="000000"/>
          <w:szCs w:val="24"/>
          <w:lang w:val="es-AR" w:eastAsia="es-ES"/>
        </w:rPr>
        <w:t>4</w:t>
      </w:r>
      <w:r w:rsidRPr="00165965">
        <w:rPr>
          <w:rFonts w:eastAsia="Calibri"/>
          <w:bCs/>
          <w:color w:val="000000"/>
          <w:szCs w:val="24"/>
          <w:lang w:val="es-AR" w:eastAsia="es-ES"/>
        </w:rPr>
        <w:t>.</w:t>
      </w:r>
    </w:p>
    <w:p w14:paraId="714B55BA" w14:textId="77777777" w:rsidR="000C5764" w:rsidRPr="00165965" w:rsidRDefault="000C5764" w:rsidP="000C5764">
      <w:pPr>
        <w:tabs>
          <w:tab w:val="num" w:pos="-900"/>
        </w:tabs>
        <w:ind w:left="284"/>
        <w:jc w:val="both"/>
        <w:rPr>
          <w:rFonts w:eastAsia="Calibri"/>
          <w:bCs/>
          <w:color w:val="000000"/>
          <w:szCs w:val="24"/>
          <w:lang w:val="es-AR" w:eastAsia="es-ES"/>
        </w:rPr>
      </w:pPr>
      <w:r w:rsidRPr="00165965">
        <w:rPr>
          <w:rFonts w:eastAsia="Calibri"/>
          <w:bCs/>
          <w:color w:val="000000"/>
          <w:szCs w:val="24"/>
          <w:lang w:val="es-AR" w:eastAsia="es-ES"/>
        </w:rPr>
        <w:t>b. Las reseñas informativas requeridas por la CNV correspondientes al cierre del ejercicio y a los períodos mencionados en el punto anterior.</w:t>
      </w:r>
    </w:p>
    <w:p w14:paraId="7224AEF0" w14:textId="77777777" w:rsidR="000C5764" w:rsidRPr="00165965" w:rsidRDefault="000C5764" w:rsidP="000C5764">
      <w:pPr>
        <w:tabs>
          <w:tab w:val="num" w:pos="-900"/>
        </w:tabs>
        <w:ind w:left="284"/>
        <w:jc w:val="both"/>
        <w:rPr>
          <w:rFonts w:eastAsia="Calibri"/>
          <w:bCs/>
          <w:color w:val="000000"/>
          <w:szCs w:val="24"/>
          <w:lang w:val="es-AR" w:eastAsia="es-ES"/>
        </w:rPr>
      </w:pPr>
      <w:r w:rsidRPr="00165965">
        <w:rPr>
          <w:rFonts w:eastAsia="Calibri"/>
          <w:bCs/>
          <w:color w:val="000000"/>
          <w:szCs w:val="24"/>
          <w:lang w:val="es-AR" w:eastAsia="es-ES"/>
        </w:rPr>
        <w:t>c. La información complementaria requerida por ByMA correspondiente al ejercicio y a los períodos mencionados.</w:t>
      </w:r>
    </w:p>
    <w:p w14:paraId="04581C76" w14:textId="3B531D28" w:rsidR="000C5764" w:rsidRPr="00165965" w:rsidRDefault="000C5764" w:rsidP="000C5764">
      <w:pPr>
        <w:tabs>
          <w:tab w:val="num" w:pos="-900"/>
        </w:tabs>
        <w:ind w:left="284"/>
        <w:jc w:val="both"/>
        <w:rPr>
          <w:rFonts w:eastAsia="Calibri"/>
          <w:bCs/>
          <w:color w:val="000000"/>
          <w:szCs w:val="24"/>
          <w:lang w:val="es-AR" w:eastAsia="es-ES"/>
        </w:rPr>
      </w:pPr>
      <w:r w:rsidRPr="00165965">
        <w:rPr>
          <w:rFonts w:eastAsia="Calibri"/>
          <w:bCs/>
          <w:color w:val="000000"/>
          <w:szCs w:val="24"/>
          <w:lang w:val="es-AR" w:eastAsia="es-ES"/>
        </w:rPr>
        <w:t xml:space="preserve">d. Memoria del Directorio e informe requerido por las disposiciones de la Comisión Nacional de Valores (CNV) sobre Gobierno Corporativo, correspondientes al ejercicio </w:t>
      </w:r>
      <w:r>
        <w:rPr>
          <w:rFonts w:eastAsia="Calibri"/>
          <w:bCs/>
          <w:color w:val="000000"/>
          <w:szCs w:val="24"/>
          <w:lang w:val="es-AR" w:eastAsia="es-ES"/>
        </w:rPr>
        <w:t>cerrado el 31 de octubre de 202</w:t>
      </w:r>
      <w:r w:rsidR="002C1DA9">
        <w:rPr>
          <w:rFonts w:eastAsia="Calibri"/>
          <w:bCs/>
          <w:color w:val="000000"/>
          <w:szCs w:val="24"/>
          <w:lang w:val="es-AR" w:eastAsia="es-ES"/>
        </w:rPr>
        <w:t>4</w:t>
      </w:r>
      <w:r w:rsidRPr="00165965">
        <w:rPr>
          <w:rFonts w:eastAsia="Calibri"/>
          <w:bCs/>
          <w:color w:val="000000"/>
          <w:szCs w:val="24"/>
          <w:lang w:val="es-AR" w:eastAsia="es-ES"/>
        </w:rPr>
        <w:t>.</w:t>
      </w:r>
    </w:p>
    <w:p w14:paraId="4348844D" w14:textId="77777777" w:rsidR="000C5764" w:rsidRDefault="000C5764" w:rsidP="000C5764">
      <w:pPr>
        <w:tabs>
          <w:tab w:val="num" w:pos="-900"/>
        </w:tabs>
        <w:ind w:left="284"/>
        <w:jc w:val="both"/>
        <w:rPr>
          <w:rFonts w:eastAsia="Calibri"/>
          <w:bCs/>
          <w:color w:val="000000"/>
          <w:szCs w:val="24"/>
          <w:lang w:val="es-AR" w:eastAsia="es-ES"/>
        </w:rPr>
      </w:pPr>
      <w:r w:rsidRPr="00165965">
        <w:rPr>
          <w:rFonts w:eastAsia="Calibri"/>
          <w:bCs/>
          <w:color w:val="000000"/>
          <w:szCs w:val="24"/>
          <w:lang w:val="es-AR" w:eastAsia="es-ES"/>
        </w:rPr>
        <w:t>e. Las comunicaciones sobre hechos relevantes y sobre información financiera adicional a la mencionada enviadas a la CNV y a ByMA desde el inicio del ejercicio.</w:t>
      </w:r>
    </w:p>
    <w:p w14:paraId="54AF3039" w14:textId="77777777" w:rsidR="00D37DBE" w:rsidRPr="00697AF7" w:rsidRDefault="00D37DBE" w:rsidP="000C5764">
      <w:pPr>
        <w:tabs>
          <w:tab w:val="num" w:pos="-900"/>
        </w:tabs>
        <w:ind w:left="284"/>
        <w:jc w:val="both"/>
        <w:rPr>
          <w:rFonts w:eastAsia="Calibri"/>
          <w:bCs/>
          <w:color w:val="000000"/>
          <w:szCs w:val="24"/>
          <w:lang w:val="es-AR" w:eastAsia="es-ES"/>
        </w:rPr>
      </w:pPr>
    </w:p>
    <w:p w14:paraId="500868F8" w14:textId="77777777" w:rsidR="000C5764" w:rsidRPr="00697AF7" w:rsidRDefault="000C5764" w:rsidP="000C5764">
      <w:pPr>
        <w:spacing w:before="120"/>
        <w:jc w:val="both"/>
        <w:rPr>
          <w:szCs w:val="24"/>
        </w:rPr>
      </w:pPr>
      <w:r w:rsidRPr="00697AF7">
        <w:rPr>
          <w:szCs w:val="24"/>
        </w:rPr>
        <w:t>En relación con dichos documentos y con el objetivo y el alcance indicados, hemos realizado las siguientes tareas:</w:t>
      </w:r>
    </w:p>
    <w:p w14:paraId="6DAFDA9E" w14:textId="77777777" w:rsidR="000C5764" w:rsidRPr="00697AF7" w:rsidRDefault="000C5764" w:rsidP="000C5764">
      <w:pPr>
        <w:spacing w:before="120"/>
        <w:jc w:val="both"/>
        <w:rPr>
          <w:szCs w:val="24"/>
        </w:rPr>
      </w:pPr>
    </w:p>
    <w:p w14:paraId="0E62C827" w14:textId="77777777" w:rsidR="000C5764" w:rsidRPr="00697AF7" w:rsidRDefault="000C5764" w:rsidP="000C5764">
      <w:pPr>
        <w:tabs>
          <w:tab w:val="num" w:pos="-900"/>
        </w:tabs>
        <w:ind w:left="284"/>
        <w:jc w:val="both"/>
        <w:rPr>
          <w:rFonts w:eastAsia="Calibri"/>
          <w:bCs/>
          <w:color w:val="000000"/>
          <w:szCs w:val="24"/>
          <w:lang w:val="es-AR" w:eastAsia="es-ES"/>
        </w:rPr>
      </w:pPr>
      <w:r w:rsidRPr="00697AF7">
        <w:rPr>
          <w:rFonts w:eastAsia="Calibri"/>
          <w:bCs/>
          <w:color w:val="000000"/>
          <w:szCs w:val="24"/>
          <w:lang w:val="es-AR" w:eastAsia="es-ES"/>
        </w:rPr>
        <w:t>1. Análisis de las principales políticas contables de la Sociedad.</w:t>
      </w:r>
    </w:p>
    <w:p w14:paraId="7EA5313E" w14:textId="77777777" w:rsidR="000C5764" w:rsidRPr="00697AF7" w:rsidRDefault="000C5764" w:rsidP="000C5764">
      <w:pPr>
        <w:tabs>
          <w:tab w:val="num" w:pos="-900"/>
        </w:tabs>
        <w:ind w:left="284"/>
        <w:jc w:val="both"/>
        <w:rPr>
          <w:rFonts w:eastAsia="Calibri"/>
          <w:bCs/>
          <w:color w:val="000000"/>
          <w:szCs w:val="24"/>
          <w:lang w:val="es-AR" w:eastAsia="es-ES"/>
        </w:rPr>
      </w:pPr>
      <w:r w:rsidRPr="00697AF7">
        <w:rPr>
          <w:rFonts w:eastAsia="Calibri"/>
          <w:bCs/>
          <w:color w:val="000000"/>
          <w:szCs w:val="24"/>
          <w:lang w:val="es-AR" w:eastAsia="es-ES"/>
        </w:rPr>
        <w:t>2. Consideración de la labor realizada sobre los documentos pertinentes emitidos por la Auditoría Externa, de acuerdo con lo indicado en el apartado A de esta sección.</w:t>
      </w:r>
    </w:p>
    <w:p w14:paraId="225F16C1" w14:textId="77777777" w:rsidR="000C5764" w:rsidRPr="00697AF7" w:rsidRDefault="000C5764" w:rsidP="000C5764">
      <w:pPr>
        <w:tabs>
          <w:tab w:val="num" w:pos="-900"/>
        </w:tabs>
        <w:ind w:left="284"/>
        <w:jc w:val="both"/>
        <w:rPr>
          <w:rFonts w:eastAsia="Calibri"/>
          <w:bCs/>
          <w:color w:val="000000"/>
          <w:szCs w:val="24"/>
          <w:lang w:val="es-AR" w:eastAsia="es-ES"/>
        </w:rPr>
      </w:pPr>
      <w:r w:rsidRPr="00697AF7">
        <w:rPr>
          <w:rFonts w:eastAsia="Calibri"/>
          <w:bCs/>
          <w:color w:val="000000"/>
          <w:szCs w:val="24"/>
          <w:lang w:val="es-AR" w:eastAsia="es-ES"/>
        </w:rPr>
        <w:t>3. Consideración de nuestra labor sobre el control interno en lo que se relaciona con la confiabilidad de la información</w:t>
      </w:r>
      <w:r>
        <w:rPr>
          <w:rFonts w:eastAsia="Calibri"/>
          <w:bCs/>
          <w:color w:val="000000"/>
          <w:szCs w:val="24"/>
          <w:lang w:val="es-AR" w:eastAsia="es-ES"/>
        </w:rPr>
        <w:t>.</w:t>
      </w:r>
    </w:p>
    <w:p w14:paraId="34F8AE13" w14:textId="77777777" w:rsidR="000C5764" w:rsidRPr="00697AF7" w:rsidRDefault="000C5764" w:rsidP="000C5764">
      <w:pPr>
        <w:tabs>
          <w:tab w:val="num" w:pos="-900"/>
        </w:tabs>
        <w:ind w:left="284"/>
        <w:jc w:val="both"/>
        <w:rPr>
          <w:rFonts w:eastAsia="Calibri"/>
          <w:bCs/>
          <w:color w:val="000000"/>
          <w:szCs w:val="24"/>
          <w:lang w:val="es-AR" w:eastAsia="es-ES"/>
        </w:rPr>
      </w:pPr>
      <w:r w:rsidRPr="00697AF7">
        <w:rPr>
          <w:rFonts w:eastAsia="Calibri"/>
          <w:bCs/>
          <w:color w:val="000000"/>
          <w:szCs w:val="24"/>
          <w:lang w:val="es-AR" w:eastAsia="es-ES"/>
        </w:rPr>
        <w:t>4. Consideración de nuestro trabajo sobre el cumplimiento de las normas de conducta aplicables de acuerdo con lo indicado en el apartado F de esta sección.</w:t>
      </w:r>
    </w:p>
    <w:p w14:paraId="433ADF13" w14:textId="77777777" w:rsidR="000C5764" w:rsidRPr="00697AF7" w:rsidRDefault="000C5764" w:rsidP="000C5764">
      <w:pPr>
        <w:jc w:val="both"/>
        <w:rPr>
          <w:rFonts w:eastAsia="Calibri"/>
          <w:bCs/>
          <w:color w:val="000000"/>
          <w:szCs w:val="24"/>
          <w:lang w:eastAsia="es-ES"/>
        </w:rPr>
      </w:pPr>
    </w:p>
    <w:p w14:paraId="448CC361" w14:textId="529CB4F0" w:rsidR="000C5764" w:rsidRPr="00906CD0" w:rsidRDefault="000C5764" w:rsidP="000C5764">
      <w:pPr>
        <w:jc w:val="both"/>
        <w:rPr>
          <w:rFonts w:eastAsia="Calibri"/>
          <w:bCs/>
          <w:color w:val="000000"/>
          <w:szCs w:val="24"/>
          <w:lang w:val="es-AR" w:eastAsia="es-ES"/>
        </w:rPr>
      </w:pPr>
      <w:r w:rsidRPr="005B5CA9">
        <w:rPr>
          <w:rFonts w:eastAsia="Calibri"/>
          <w:bCs/>
          <w:color w:val="000000"/>
          <w:szCs w:val="24"/>
          <w:lang w:val="es-AR" w:eastAsia="es-ES"/>
        </w:rPr>
        <w:t>En base al trabajo realizado, cuyo alcance se describió en forma resumida precedentemente, no hemos tomado conocimiento de observaciones de importancia que debamos efectuar a la información mencionada, ni a las políticas, procedimientos y controles relacionados con su elaboración, que no haya sido adecuadamente considerado por la Sociedad durante el ejercicio fi</w:t>
      </w:r>
      <w:r>
        <w:rPr>
          <w:rFonts w:eastAsia="Calibri"/>
          <w:bCs/>
          <w:color w:val="000000"/>
          <w:szCs w:val="24"/>
          <w:lang w:val="es-AR" w:eastAsia="es-ES"/>
        </w:rPr>
        <w:t>nalizado el 31 de octubre de 202</w:t>
      </w:r>
      <w:r w:rsidR="002C1DA9">
        <w:rPr>
          <w:rFonts w:eastAsia="Calibri"/>
          <w:bCs/>
          <w:color w:val="000000"/>
          <w:szCs w:val="24"/>
          <w:lang w:val="es-AR" w:eastAsia="es-ES"/>
        </w:rPr>
        <w:t>4</w:t>
      </w:r>
      <w:r w:rsidRPr="005B5CA9">
        <w:rPr>
          <w:rFonts w:eastAsia="Calibri"/>
          <w:bCs/>
          <w:color w:val="000000"/>
          <w:szCs w:val="24"/>
          <w:lang w:val="es-AR" w:eastAsia="es-ES"/>
        </w:rPr>
        <w:t>.</w:t>
      </w:r>
    </w:p>
    <w:p w14:paraId="67303428" w14:textId="77777777" w:rsidR="000C5764" w:rsidRPr="00906CD0" w:rsidRDefault="000C5764" w:rsidP="000C5764">
      <w:pPr>
        <w:jc w:val="both"/>
        <w:rPr>
          <w:rFonts w:eastAsia="Calibri"/>
          <w:bCs/>
          <w:color w:val="000000"/>
          <w:szCs w:val="24"/>
          <w:lang w:val="es-AR" w:eastAsia="es-ES"/>
        </w:rPr>
      </w:pPr>
    </w:p>
    <w:p w14:paraId="3F4DCD28" w14:textId="77777777"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En materia de hechos relevantes, se ha verificado que continúan cumplimentándose adecuadamente las exigencias de información de los organismos de contralor.</w:t>
      </w:r>
    </w:p>
    <w:p w14:paraId="26C43D37" w14:textId="77777777" w:rsidR="000C5764" w:rsidRPr="00906CD0" w:rsidRDefault="000C5764" w:rsidP="000C5764">
      <w:pPr>
        <w:jc w:val="both"/>
        <w:rPr>
          <w:rFonts w:eastAsia="Calibri"/>
          <w:bCs/>
          <w:color w:val="000000"/>
          <w:szCs w:val="24"/>
          <w:lang w:val="es-AR" w:eastAsia="es-ES"/>
        </w:rPr>
      </w:pPr>
    </w:p>
    <w:p w14:paraId="516D3DF9" w14:textId="77777777" w:rsidR="000C5764" w:rsidRPr="00906CD0" w:rsidRDefault="000C5764" w:rsidP="000C5764">
      <w:pPr>
        <w:jc w:val="both"/>
        <w:rPr>
          <w:rFonts w:eastAsia="Calibri"/>
          <w:b/>
          <w:bCs/>
          <w:color w:val="000000"/>
          <w:szCs w:val="24"/>
          <w:lang w:val="es-AR" w:eastAsia="es-ES"/>
        </w:rPr>
      </w:pPr>
      <w:r w:rsidRPr="00906CD0">
        <w:rPr>
          <w:rFonts w:eastAsia="Calibri"/>
          <w:b/>
          <w:bCs/>
          <w:color w:val="000000"/>
          <w:szCs w:val="24"/>
          <w:lang w:val="es-AR" w:eastAsia="es-ES"/>
        </w:rPr>
        <w:t>H. Propuesta de Honorarios de Directores.</w:t>
      </w:r>
    </w:p>
    <w:p w14:paraId="66EF4EE0" w14:textId="77777777" w:rsidR="000C5764" w:rsidRPr="00906CD0" w:rsidRDefault="000C5764" w:rsidP="000C5764">
      <w:pPr>
        <w:jc w:val="both"/>
        <w:rPr>
          <w:rFonts w:eastAsia="Calibri"/>
          <w:bCs/>
          <w:color w:val="000000"/>
          <w:szCs w:val="24"/>
          <w:lang w:val="es-AR" w:eastAsia="es-ES"/>
        </w:rPr>
      </w:pPr>
    </w:p>
    <w:p w14:paraId="05B1C3EA" w14:textId="4A90B72B" w:rsidR="000C5764" w:rsidRPr="00906CD0" w:rsidRDefault="000C5764" w:rsidP="000C5764">
      <w:pPr>
        <w:jc w:val="both"/>
        <w:rPr>
          <w:rFonts w:eastAsia="Calibri"/>
          <w:bCs/>
          <w:color w:val="000000"/>
          <w:szCs w:val="24"/>
          <w:lang w:val="es-AR" w:eastAsia="es-ES"/>
        </w:rPr>
      </w:pPr>
      <w:r w:rsidRPr="00906CD0">
        <w:rPr>
          <w:rFonts w:eastAsia="Calibri"/>
          <w:bCs/>
          <w:color w:val="000000"/>
          <w:szCs w:val="24"/>
          <w:lang w:val="es-AR" w:eastAsia="es-ES"/>
        </w:rPr>
        <w:t>Informamos que en fecha de hoy el Comité de Auditoría se pronunció sobre la propuesta de honorarios de los directores de la Sociedad por el ejercicio económico cerrado el 31 de octubre de</w:t>
      </w:r>
      <w:r>
        <w:rPr>
          <w:rFonts w:eastAsia="Calibri"/>
          <w:bCs/>
          <w:color w:val="000000"/>
          <w:szCs w:val="24"/>
          <w:lang w:val="es-AR" w:eastAsia="es-ES"/>
        </w:rPr>
        <w:t xml:space="preserve"> 202</w:t>
      </w:r>
      <w:r w:rsidR="002C1DA9">
        <w:rPr>
          <w:rFonts w:eastAsia="Calibri"/>
          <w:bCs/>
          <w:color w:val="000000"/>
          <w:szCs w:val="24"/>
          <w:lang w:val="es-AR" w:eastAsia="es-ES"/>
        </w:rPr>
        <w:t>4</w:t>
      </w:r>
      <w:r w:rsidRPr="00906CD0">
        <w:rPr>
          <w:rFonts w:eastAsia="Calibri"/>
          <w:bCs/>
          <w:color w:val="000000"/>
          <w:szCs w:val="24"/>
          <w:lang w:val="es-AR" w:eastAsia="es-ES"/>
        </w:rPr>
        <w:t xml:space="preserve">, que el Directorio pondrá a consideración de los señores accionistas. En ese sentido, y </w:t>
      </w:r>
      <w:r w:rsidR="00864624" w:rsidRPr="00906CD0">
        <w:rPr>
          <w:rFonts w:eastAsia="Calibri"/>
          <w:bCs/>
          <w:color w:val="000000"/>
          <w:szCs w:val="24"/>
          <w:lang w:val="es-AR" w:eastAsia="es-ES"/>
        </w:rPr>
        <w:t>de acuerdo con</w:t>
      </w:r>
      <w:r w:rsidRPr="00906CD0">
        <w:rPr>
          <w:rFonts w:eastAsia="Calibri"/>
          <w:bCs/>
          <w:color w:val="000000"/>
          <w:szCs w:val="24"/>
          <w:lang w:val="es-AR" w:eastAsia="es-ES"/>
        </w:rPr>
        <w:t xml:space="preserve"> las consideraciones allí mencionadas, se concluyó que la propuesta referida resulta razonable.</w:t>
      </w:r>
    </w:p>
    <w:p w14:paraId="0FB5A800" w14:textId="77777777" w:rsidR="000C5764" w:rsidRPr="00906CD0" w:rsidRDefault="000C5764" w:rsidP="000C5764">
      <w:pPr>
        <w:jc w:val="both"/>
        <w:rPr>
          <w:rFonts w:eastAsia="Calibri"/>
          <w:bCs/>
          <w:color w:val="000000"/>
          <w:szCs w:val="24"/>
          <w:lang w:val="es-AR" w:eastAsia="es-ES"/>
        </w:rPr>
      </w:pPr>
    </w:p>
    <w:p w14:paraId="46FAC01F" w14:textId="77777777" w:rsidR="000C5764" w:rsidRPr="00906CD0" w:rsidRDefault="000C5764" w:rsidP="000C5764">
      <w:pPr>
        <w:jc w:val="both"/>
        <w:rPr>
          <w:rFonts w:eastAsia="Calibri"/>
          <w:b/>
          <w:bCs/>
          <w:color w:val="000000"/>
          <w:szCs w:val="24"/>
          <w:lang w:val="es-AR" w:eastAsia="es-ES"/>
        </w:rPr>
      </w:pPr>
      <w:r w:rsidRPr="00906CD0">
        <w:rPr>
          <w:rFonts w:eastAsia="Calibri"/>
          <w:b/>
          <w:bCs/>
          <w:color w:val="000000"/>
          <w:szCs w:val="24"/>
          <w:lang w:val="es-AR" w:eastAsia="es-ES"/>
        </w:rPr>
        <w:t>I. Aumentos de capital con exclusión o limitación del derecho de preferencia.</w:t>
      </w:r>
    </w:p>
    <w:p w14:paraId="1CA940FA" w14:textId="77777777" w:rsidR="000C5764" w:rsidRPr="00906CD0" w:rsidRDefault="000C5764" w:rsidP="000C5764">
      <w:pPr>
        <w:jc w:val="both"/>
        <w:rPr>
          <w:rFonts w:eastAsia="Calibri"/>
          <w:bCs/>
          <w:color w:val="000000"/>
          <w:szCs w:val="24"/>
          <w:lang w:val="es-AR" w:eastAsia="es-ES"/>
        </w:rPr>
      </w:pPr>
    </w:p>
    <w:p w14:paraId="242E76E3" w14:textId="03417245" w:rsidR="000C5764" w:rsidRPr="000F3945" w:rsidRDefault="000C5764" w:rsidP="000C5764">
      <w:pPr>
        <w:jc w:val="both"/>
        <w:rPr>
          <w:rFonts w:eastAsia="Calibri"/>
          <w:bCs/>
          <w:color w:val="000000"/>
          <w:szCs w:val="24"/>
          <w:lang w:val="es-AR" w:eastAsia="es-ES"/>
        </w:rPr>
      </w:pPr>
      <w:r w:rsidRPr="000F3945">
        <w:rPr>
          <w:rFonts w:eastAsia="Calibri"/>
          <w:bCs/>
          <w:color w:val="000000"/>
          <w:szCs w:val="24"/>
          <w:lang w:val="es-AR" w:eastAsia="es-ES"/>
        </w:rPr>
        <w:t>Hemos constatado que durante el ejercicio finalizado el 31 de octubre de 202</w:t>
      </w:r>
      <w:r w:rsidR="002C1DA9">
        <w:rPr>
          <w:rFonts w:eastAsia="Calibri"/>
          <w:bCs/>
          <w:color w:val="000000"/>
          <w:szCs w:val="24"/>
          <w:lang w:val="es-AR" w:eastAsia="es-ES"/>
        </w:rPr>
        <w:t>4</w:t>
      </w:r>
      <w:r w:rsidRPr="000F3945">
        <w:rPr>
          <w:rFonts w:eastAsia="Calibri"/>
          <w:bCs/>
          <w:color w:val="000000"/>
          <w:szCs w:val="24"/>
          <w:lang w:val="es-AR" w:eastAsia="es-ES"/>
        </w:rPr>
        <w:t xml:space="preserve"> no hubo aumentos de capital con exclusión o limitación del derecho de preferencia.</w:t>
      </w:r>
    </w:p>
    <w:p w14:paraId="2593A18E" w14:textId="77777777" w:rsidR="000C5764" w:rsidRPr="00906CD0" w:rsidRDefault="000C5764" w:rsidP="000C5764">
      <w:pPr>
        <w:jc w:val="both"/>
        <w:rPr>
          <w:rFonts w:eastAsia="Calibri"/>
          <w:b/>
          <w:bCs/>
          <w:color w:val="000000"/>
          <w:szCs w:val="24"/>
          <w:lang w:val="es-AR" w:eastAsia="es-ES"/>
        </w:rPr>
      </w:pPr>
    </w:p>
    <w:p w14:paraId="2BA99C2E" w14:textId="77777777" w:rsidR="000C5764" w:rsidRPr="00906CD0" w:rsidRDefault="000C5764" w:rsidP="000C5764">
      <w:pPr>
        <w:numPr>
          <w:ilvl w:val="0"/>
          <w:numId w:val="1"/>
        </w:numPr>
        <w:ind w:left="709"/>
        <w:jc w:val="both"/>
        <w:rPr>
          <w:rFonts w:eastAsia="Calibri"/>
          <w:b/>
          <w:bCs/>
          <w:color w:val="000000"/>
          <w:szCs w:val="24"/>
          <w:lang w:val="es-AR" w:eastAsia="es-ES"/>
        </w:rPr>
      </w:pPr>
      <w:r w:rsidRPr="00906CD0">
        <w:rPr>
          <w:rFonts w:eastAsia="Calibri"/>
          <w:b/>
          <w:bCs/>
          <w:color w:val="000000"/>
          <w:szCs w:val="24"/>
          <w:lang w:val="es-AR" w:eastAsia="es-ES"/>
        </w:rPr>
        <w:t xml:space="preserve">ALCANCE DE LA LABOR Y RESPONSABILIDAD DEL COMITÉ. </w:t>
      </w:r>
    </w:p>
    <w:p w14:paraId="24D95127" w14:textId="77777777" w:rsidR="000C5764" w:rsidRPr="00906CD0" w:rsidRDefault="000C5764" w:rsidP="000C5764">
      <w:pPr>
        <w:ind w:left="1146"/>
        <w:jc w:val="both"/>
        <w:rPr>
          <w:rFonts w:eastAsia="Calibri"/>
          <w:b/>
          <w:bCs/>
          <w:color w:val="000000"/>
          <w:szCs w:val="24"/>
          <w:lang w:val="es-AR" w:eastAsia="es-ES"/>
        </w:rPr>
      </w:pPr>
    </w:p>
    <w:p w14:paraId="400B00BC" w14:textId="77777777" w:rsidR="000C5764" w:rsidRPr="00906CD0" w:rsidRDefault="000C5764" w:rsidP="000C5764">
      <w:pPr>
        <w:jc w:val="both"/>
        <w:rPr>
          <w:rFonts w:eastAsia="Calibri"/>
          <w:b/>
          <w:bCs/>
          <w:color w:val="000000"/>
          <w:szCs w:val="24"/>
          <w:lang w:val="es-AR" w:eastAsia="es-ES"/>
        </w:rPr>
      </w:pPr>
      <w:r w:rsidRPr="00906CD0">
        <w:rPr>
          <w:rFonts w:eastAsia="Calibri"/>
          <w:bCs/>
          <w:color w:val="000000"/>
          <w:szCs w:val="24"/>
          <w:lang w:val="es-AR" w:eastAsia="es-ES"/>
        </w:rPr>
        <w:t>La labor reseñada precedentemente se ha cumplido en el marco y con el alcance que las normas legales fijan a las tareas y responsabilidades del Comité de Auditoría. En el sentido expuesto, se deja constancia de que no es responsabilidad del Comité efectuar un control de gestión sobre las operaciones de la Sociedad, ni diseñar el sistema de control interno de la misma, ni tomar decisiones sobre el diseño o implementación de los sistemas de información contable, ni preparar los estados financieros u otra información financiera que emita la Sociedad para uso de terceros, dado que tales funciones son responsabilidad de</w:t>
      </w:r>
      <w:r>
        <w:rPr>
          <w:rFonts w:eastAsia="Calibri"/>
          <w:bCs/>
          <w:color w:val="000000"/>
          <w:szCs w:val="24"/>
          <w:lang w:val="es-AR" w:eastAsia="es-ES"/>
        </w:rPr>
        <w:t>l Directorio y de</w:t>
      </w:r>
      <w:r w:rsidRPr="00906CD0">
        <w:rPr>
          <w:rFonts w:eastAsia="Calibri"/>
          <w:bCs/>
          <w:color w:val="000000"/>
          <w:szCs w:val="24"/>
          <w:lang w:val="es-AR" w:eastAsia="es-ES"/>
        </w:rPr>
        <w:t xml:space="preserve"> la alta gerencia de la Sociedad.</w:t>
      </w:r>
    </w:p>
    <w:p w14:paraId="012815A6" w14:textId="77777777" w:rsidR="000C5764" w:rsidRPr="00906CD0" w:rsidRDefault="000C5764" w:rsidP="000C5764">
      <w:pPr>
        <w:ind w:left="1146"/>
        <w:jc w:val="both"/>
        <w:rPr>
          <w:rFonts w:eastAsia="Calibri"/>
          <w:b/>
          <w:bCs/>
          <w:color w:val="000000"/>
          <w:szCs w:val="24"/>
          <w:lang w:val="es-AR" w:eastAsia="es-ES"/>
        </w:rPr>
      </w:pPr>
    </w:p>
    <w:p w14:paraId="79D3439D" w14:textId="77777777" w:rsidR="000C5764" w:rsidRPr="00906CD0" w:rsidRDefault="000C5764" w:rsidP="000C5764">
      <w:pPr>
        <w:numPr>
          <w:ilvl w:val="0"/>
          <w:numId w:val="1"/>
        </w:numPr>
        <w:ind w:left="709"/>
        <w:jc w:val="both"/>
        <w:rPr>
          <w:rFonts w:eastAsia="Calibri"/>
          <w:b/>
          <w:bCs/>
          <w:color w:val="000000"/>
          <w:szCs w:val="24"/>
          <w:lang w:val="es-AR" w:eastAsia="es-ES"/>
        </w:rPr>
      </w:pPr>
      <w:r w:rsidRPr="00906CD0">
        <w:rPr>
          <w:rFonts w:eastAsia="Calibri"/>
          <w:b/>
          <w:bCs/>
          <w:color w:val="000000"/>
          <w:szCs w:val="24"/>
          <w:lang w:val="es-AR" w:eastAsia="es-ES"/>
        </w:rPr>
        <w:t>CONCLUSIÓN GENERAL</w:t>
      </w:r>
    </w:p>
    <w:p w14:paraId="38D5D4B9" w14:textId="77777777" w:rsidR="000C5764" w:rsidRPr="00906CD0" w:rsidRDefault="000C5764" w:rsidP="000C5764">
      <w:pPr>
        <w:jc w:val="both"/>
        <w:rPr>
          <w:rFonts w:eastAsia="Calibri"/>
          <w:bCs/>
          <w:color w:val="000000"/>
          <w:szCs w:val="24"/>
          <w:lang w:val="es-AR" w:eastAsia="es-ES"/>
        </w:rPr>
      </w:pPr>
    </w:p>
    <w:p w14:paraId="7E4E97CB" w14:textId="2EE60932" w:rsidR="000C5764" w:rsidRPr="00906CD0" w:rsidRDefault="004753B9" w:rsidP="000C5764">
      <w:pPr>
        <w:jc w:val="both"/>
        <w:rPr>
          <w:rFonts w:eastAsia="Calibri"/>
          <w:bCs/>
          <w:color w:val="000000"/>
          <w:szCs w:val="24"/>
          <w:lang w:val="es-AR" w:eastAsia="es-ES"/>
        </w:rPr>
      </w:pPr>
      <w:r w:rsidRPr="00906CD0">
        <w:rPr>
          <w:rFonts w:eastAsia="Calibri"/>
          <w:bCs/>
          <w:color w:val="000000"/>
          <w:szCs w:val="24"/>
          <w:lang w:val="es-AR" w:eastAsia="es-ES"/>
        </w:rPr>
        <w:t>De acuerdo con</w:t>
      </w:r>
      <w:r w:rsidR="000C5764" w:rsidRPr="00906CD0">
        <w:rPr>
          <w:rFonts w:eastAsia="Calibri"/>
          <w:bCs/>
          <w:color w:val="000000"/>
          <w:szCs w:val="24"/>
          <w:lang w:val="es-AR" w:eastAsia="es-ES"/>
        </w:rPr>
        <w:t xml:space="preserve"> lo indicado precedentemente, como miembros del Comité de Auditoría de la</w:t>
      </w:r>
      <w:r w:rsidR="000C5764">
        <w:rPr>
          <w:rFonts w:eastAsia="Calibri"/>
          <w:bCs/>
          <w:color w:val="000000"/>
          <w:szCs w:val="24"/>
          <w:lang w:val="es-AR" w:eastAsia="es-ES"/>
        </w:rPr>
        <w:t xml:space="preserve"> Sociedad hemos llevado a cabo las</w:t>
      </w:r>
      <w:r w:rsidR="000C5764" w:rsidRPr="00906CD0">
        <w:rPr>
          <w:rFonts w:eastAsia="Calibri"/>
          <w:bCs/>
          <w:color w:val="000000"/>
          <w:szCs w:val="24"/>
          <w:lang w:val="es-AR" w:eastAsia="es-ES"/>
        </w:rPr>
        <w:t xml:space="preserve"> tareas</w:t>
      </w:r>
      <w:r w:rsidR="000C5764">
        <w:rPr>
          <w:rFonts w:eastAsia="Calibri"/>
          <w:bCs/>
          <w:color w:val="000000"/>
          <w:szCs w:val="24"/>
          <w:lang w:val="es-AR" w:eastAsia="es-ES"/>
        </w:rPr>
        <w:t xml:space="preserve"> descriptas a lo largo de este informe en el marco y </w:t>
      </w:r>
      <w:r w:rsidR="000C5764">
        <w:rPr>
          <w:rFonts w:eastAsia="Calibri"/>
          <w:bCs/>
          <w:color w:val="000000"/>
          <w:szCs w:val="24"/>
          <w:lang w:val="es-AR" w:eastAsia="es-ES"/>
        </w:rPr>
        <w:lastRenderedPageBreak/>
        <w:t>como ejecución del Plan de Actuación para el ejercicio cerrado el 31 de octubre de 202</w:t>
      </w:r>
      <w:r w:rsidR="002C1DA9">
        <w:rPr>
          <w:rFonts w:eastAsia="Calibri"/>
          <w:bCs/>
          <w:color w:val="000000"/>
          <w:szCs w:val="24"/>
          <w:lang w:val="es-AR" w:eastAsia="es-ES"/>
        </w:rPr>
        <w:t>4</w:t>
      </w:r>
      <w:r w:rsidR="000C5764">
        <w:rPr>
          <w:rFonts w:eastAsia="Calibri"/>
          <w:bCs/>
          <w:color w:val="000000"/>
          <w:szCs w:val="24"/>
          <w:lang w:val="es-AR" w:eastAsia="es-ES"/>
        </w:rPr>
        <w:t xml:space="preserve"> presentado oportunamente ante el Directorio</w:t>
      </w:r>
      <w:r w:rsidR="000C5764" w:rsidRPr="00906CD0">
        <w:rPr>
          <w:rFonts w:eastAsia="Calibri"/>
          <w:bCs/>
          <w:color w:val="000000"/>
          <w:szCs w:val="24"/>
          <w:lang w:val="es-AR" w:eastAsia="es-ES"/>
        </w:rPr>
        <w:t xml:space="preserve">. Como resultado de </w:t>
      </w:r>
      <w:r w:rsidR="000C5764">
        <w:rPr>
          <w:rFonts w:eastAsia="Calibri"/>
          <w:bCs/>
          <w:color w:val="000000"/>
          <w:szCs w:val="24"/>
          <w:lang w:val="es-AR" w:eastAsia="es-ES"/>
        </w:rPr>
        <w:t>ello</w:t>
      </w:r>
      <w:r w:rsidR="000C5764" w:rsidRPr="00906CD0">
        <w:rPr>
          <w:rFonts w:eastAsia="Calibri"/>
          <w:bCs/>
          <w:color w:val="000000"/>
          <w:szCs w:val="24"/>
          <w:lang w:val="es-AR" w:eastAsia="es-ES"/>
        </w:rPr>
        <w:t xml:space="preserve">, </w:t>
      </w:r>
      <w:r w:rsidR="000C5764">
        <w:rPr>
          <w:rFonts w:eastAsia="Calibri"/>
          <w:bCs/>
          <w:color w:val="000000"/>
          <w:szCs w:val="24"/>
          <w:lang w:val="es-AR" w:eastAsia="es-ES"/>
        </w:rPr>
        <w:t xml:space="preserve">surge que este Comité ha dado adecuado cumplimiento al referido Plan de Actuación, sin que hayan surgido, según nuestro criterio, observaciones relevantes que formular </w:t>
      </w:r>
      <w:r w:rsidR="00921FE0">
        <w:rPr>
          <w:rFonts w:eastAsia="Calibri"/>
          <w:bCs/>
          <w:color w:val="000000"/>
          <w:szCs w:val="24"/>
          <w:lang w:val="es-AR" w:eastAsia="es-ES"/>
        </w:rPr>
        <w:t>con relación a</w:t>
      </w:r>
      <w:r w:rsidR="000C5764">
        <w:rPr>
          <w:rFonts w:eastAsia="Calibri"/>
          <w:bCs/>
          <w:color w:val="000000"/>
          <w:szCs w:val="24"/>
          <w:lang w:val="es-AR" w:eastAsia="es-ES"/>
        </w:rPr>
        <w:t xml:space="preserve"> las materias de nuestra competencia</w:t>
      </w:r>
      <w:bookmarkEnd w:id="1"/>
      <w:r w:rsidR="000C5764" w:rsidRPr="00906CD0">
        <w:rPr>
          <w:rFonts w:eastAsia="Calibri"/>
          <w:bCs/>
          <w:color w:val="000000"/>
          <w:szCs w:val="24"/>
          <w:lang w:val="es-AR" w:eastAsia="es-ES"/>
        </w:rPr>
        <w:t>.</w:t>
      </w:r>
      <w:r w:rsidR="000C5764">
        <w:rPr>
          <w:rFonts w:eastAsia="Calibri"/>
          <w:bCs/>
          <w:color w:val="000000"/>
          <w:szCs w:val="24"/>
          <w:lang w:val="es-AR" w:eastAsia="es-ES"/>
        </w:rPr>
        <w:t>”</w:t>
      </w:r>
    </w:p>
    <w:p w14:paraId="282237BD" w14:textId="77777777" w:rsidR="000C5764" w:rsidRPr="00906CD0" w:rsidRDefault="000C5764" w:rsidP="000C5764">
      <w:pPr>
        <w:jc w:val="both"/>
        <w:rPr>
          <w:szCs w:val="24"/>
        </w:rPr>
      </w:pPr>
    </w:p>
    <w:p w14:paraId="43C12434" w14:textId="7E47A12E" w:rsidR="000C5764" w:rsidRDefault="000C5764" w:rsidP="000C5764">
      <w:pPr>
        <w:jc w:val="both"/>
        <w:rPr>
          <w:szCs w:val="24"/>
        </w:rPr>
      </w:pPr>
      <w:r w:rsidRPr="00906CD0">
        <w:rPr>
          <w:szCs w:val="24"/>
        </w:rPr>
        <w:t xml:space="preserve">Luego de un breve intercambio, los miembros del Comité de Auditoría aprueban por unanimidad el informe anual precedentemente transcripto. No habiendo más asuntos que tratar, previa lectura y ratificación de la presente, se levanta la sesión siendo las </w:t>
      </w:r>
      <w:r w:rsidR="005D5E17">
        <w:rPr>
          <w:szCs w:val="24"/>
        </w:rPr>
        <w:t>16:55</w:t>
      </w:r>
      <w:r w:rsidRPr="00A55DE3">
        <w:rPr>
          <w:szCs w:val="24"/>
        </w:rPr>
        <w:t xml:space="preserve"> </w:t>
      </w:r>
      <w:r>
        <w:rPr>
          <w:szCs w:val="24"/>
        </w:rPr>
        <w:t>horas.</w:t>
      </w:r>
    </w:p>
    <w:p w14:paraId="6396B0DC" w14:textId="77777777" w:rsidR="000C5764" w:rsidRDefault="000C5764" w:rsidP="000C5764">
      <w:pPr>
        <w:jc w:val="both"/>
        <w:rPr>
          <w:szCs w:val="24"/>
        </w:rPr>
      </w:pPr>
    </w:p>
    <w:p w14:paraId="270BDD30" w14:textId="10BAA688" w:rsidR="000C5764" w:rsidRPr="00CC66A2" w:rsidRDefault="000C5764" w:rsidP="000C5764">
      <w:pPr>
        <w:jc w:val="both"/>
        <w:rPr>
          <w:szCs w:val="24"/>
        </w:rPr>
      </w:pPr>
      <w:r w:rsidRPr="00CC66A2">
        <w:rPr>
          <w:i/>
          <w:szCs w:val="24"/>
        </w:rPr>
        <w:t>Fdo</w:t>
      </w:r>
      <w:r w:rsidR="005D5E17">
        <w:rPr>
          <w:i/>
          <w:szCs w:val="24"/>
        </w:rPr>
        <w:t>.</w:t>
      </w:r>
      <w:r w:rsidRPr="00CC66A2">
        <w:rPr>
          <w:i/>
          <w:szCs w:val="24"/>
        </w:rPr>
        <w:t xml:space="preserve">: </w:t>
      </w:r>
      <w:r w:rsidRPr="00B35FB3">
        <w:rPr>
          <w:i/>
          <w:szCs w:val="24"/>
          <w:lang w:val="pt-BR" w:eastAsia="es-AR"/>
        </w:rPr>
        <w:t>Fernando P. Tiano (</w:t>
      </w:r>
      <w:proofErr w:type="spellStart"/>
      <w:proofErr w:type="gramStart"/>
      <w:r w:rsidRPr="00B35FB3">
        <w:rPr>
          <w:i/>
          <w:szCs w:val="24"/>
          <w:lang w:val="pt-BR" w:eastAsia="es-AR"/>
        </w:rPr>
        <w:t>Director</w:t>
      </w:r>
      <w:proofErr w:type="spellEnd"/>
      <w:proofErr w:type="gramEnd"/>
      <w:r w:rsidRPr="00B35FB3">
        <w:rPr>
          <w:i/>
          <w:szCs w:val="24"/>
          <w:lang w:val="pt-BR" w:eastAsia="es-AR"/>
        </w:rPr>
        <w:t xml:space="preserve"> titular) – Aníbal B. Pires Bernardo (</w:t>
      </w:r>
      <w:proofErr w:type="spellStart"/>
      <w:r w:rsidRPr="00B35FB3">
        <w:rPr>
          <w:i/>
          <w:szCs w:val="24"/>
          <w:lang w:val="pt-BR" w:eastAsia="es-AR"/>
        </w:rPr>
        <w:t>Director</w:t>
      </w:r>
      <w:proofErr w:type="spellEnd"/>
      <w:r w:rsidRPr="00B35FB3">
        <w:rPr>
          <w:i/>
          <w:szCs w:val="24"/>
          <w:lang w:val="pt-BR" w:eastAsia="es-AR"/>
        </w:rPr>
        <w:t xml:space="preserve"> titular) – Dolly M. </w:t>
      </w:r>
      <w:proofErr w:type="spellStart"/>
      <w:r w:rsidRPr="00B35FB3">
        <w:rPr>
          <w:i/>
          <w:szCs w:val="24"/>
          <w:lang w:val="pt-BR" w:eastAsia="es-AR"/>
        </w:rPr>
        <w:t>Albergoli</w:t>
      </w:r>
      <w:proofErr w:type="spellEnd"/>
      <w:r w:rsidRPr="00B35FB3">
        <w:rPr>
          <w:i/>
          <w:szCs w:val="24"/>
          <w:lang w:val="pt-BR" w:eastAsia="es-AR"/>
        </w:rPr>
        <w:t xml:space="preserve"> (</w:t>
      </w:r>
      <w:proofErr w:type="spellStart"/>
      <w:r w:rsidRPr="00B35FB3">
        <w:rPr>
          <w:i/>
          <w:szCs w:val="24"/>
          <w:lang w:val="pt-BR" w:eastAsia="es-AR"/>
        </w:rPr>
        <w:t>Director</w:t>
      </w:r>
      <w:proofErr w:type="spellEnd"/>
      <w:r w:rsidRPr="00B35FB3">
        <w:rPr>
          <w:i/>
          <w:szCs w:val="24"/>
          <w:lang w:val="pt-BR" w:eastAsia="es-AR"/>
        </w:rPr>
        <w:t xml:space="preserve"> titular).</w:t>
      </w:r>
    </w:p>
    <w:p w14:paraId="0D31382F" w14:textId="77777777" w:rsidR="000C5764" w:rsidRDefault="000C5764" w:rsidP="000C5764">
      <w:pPr>
        <w:jc w:val="both"/>
        <w:rPr>
          <w:szCs w:val="24"/>
        </w:rPr>
      </w:pPr>
    </w:p>
    <w:p w14:paraId="344509F7" w14:textId="77777777" w:rsidR="000C5764" w:rsidRDefault="000C5764" w:rsidP="000C5764">
      <w:pPr>
        <w:jc w:val="both"/>
        <w:rPr>
          <w:szCs w:val="24"/>
        </w:rPr>
      </w:pPr>
    </w:p>
    <w:p w14:paraId="579C069F" w14:textId="77777777" w:rsidR="000C5764" w:rsidRPr="00BD7953" w:rsidRDefault="000C5764" w:rsidP="000C5764">
      <w:pPr>
        <w:jc w:val="center"/>
        <w:rPr>
          <w:szCs w:val="24"/>
        </w:rPr>
      </w:pPr>
    </w:p>
    <w:p w14:paraId="17B6DCF4" w14:textId="77777777" w:rsidR="000C5764" w:rsidRDefault="000C5764" w:rsidP="000C5764"/>
    <w:p w14:paraId="1530CB30" w14:textId="77777777" w:rsidR="00630541" w:rsidRDefault="00630541"/>
    <w:sectPr w:rsidR="00630541" w:rsidSect="00904C02">
      <w:headerReference w:type="even" r:id="rId10"/>
      <w:headerReference w:type="default" r:id="rId11"/>
      <w:footerReference w:type="default" r:id="rId12"/>
      <w:head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CFAF" w14:textId="77777777" w:rsidR="00ED322E" w:rsidRDefault="00ED322E" w:rsidP="000C5764">
      <w:r>
        <w:separator/>
      </w:r>
    </w:p>
  </w:endnote>
  <w:endnote w:type="continuationSeparator" w:id="0">
    <w:p w14:paraId="5DF0DCBF" w14:textId="77777777" w:rsidR="00ED322E" w:rsidRDefault="00ED322E" w:rsidP="000C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66EB" w14:textId="77777777" w:rsidR="00F46ACB" w:rsidRPr="00F46ACB" w:rsidRDefault="000C5764" w:rsidP="00F46ACB">
    <w:pPr>
      <w:pStyle w:val="Piedepgina"/>
      <w:tabs>
        <w:tab w:val="right" w:pos="9720"/>
      </w:tabs>
      <w:ind w:left="-993" w:right="-288" w:hanging="427"/>
      <w:jc w:val="center"/>
      <w:rPr>
        <w:sz w:val="16"/>
        <w:szCs w:val="16"/>
        <w:lang w:val="es-MX"/>
      </w:rPr>
    </w:pPr>
    <w:r>
      <w:rPr>
        <w:noProof/>
      </w:rPr>
      <w:drawing>
        <wp:anchor distT="0" distB="0" distL="114300" distR="114300" simplePos="0" relativeHeight="251663360" behindDoc="0" locked="0" layoutInCell="1" allowOverlap="1" wp14:anchorId="1B9B7943" wp14:editId="0908A7A3">
          <wp:simplePos x="0" y="0"/>
          <wp:positionH relativeFrom="margin">
            <wp:posOffset>-609600</wp:posOffset>
          </wp:positionH>
          <wp:positionV relativeFrom="paragraph">
            <wp:posOffset>-5080</wp:posOffset>
          </wp:positionV>
          <wp:extent cx="339090" cy="42164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31CC">
      <w:rPr>
        <w:sz w:val="16"/>
        <w:szCs w:val="16"/>
        <w:lang w:val="es-MX"/>
      </w:rPr>
      <w:t xml:space="preserve">Avenida Caseros 3039, Piso 9 </w:t>
    </w:r>
    <w:r w:rsidR="00225C93" w:rsidRPr="00ED1786">
      <w:rPr>
        <w:sz w:val="16"/>
        <w:szCs w:val="16"/>
        <w:lang w:val="es-MX"/>
      </w:rPr>
      <w:t xml:space="preserve">- </w:t>
    </w:r>
    <w:r w:rsidR="00F46ACB" w:rsidRPr="00F46ACB">
      <w:rPr>
        <w:sz w:val="16"/>
        <w:szCs w:val="16"/>
        <w:lang w:val="es-MX"/>
      </w:rPr>
      <w:t>C1264AAK - C. Autónoma de Bs As – República Argentina</w:t>
    </w:r>
  </w:p>
  <w:p w14:paraId="6DEF3189" w14:textId="4545208F" w:rsidR="00921FE0" w:rsidRPr="00F46ACB" w:rsidRDefault="00F46ACB" w:rsidP="00F46ACB">
    <w:pPr>
      <w:pStyle w:val="Piedepgina"/>
      <w:tabs>
        <w:tab w:val="clear" w:pos="8504"/>
        <w:tab w:val="right" w:pos="9720"/>
      </w:tabs>
      <w:ind w:left="-993" w:right="-288" w:hanging="427"/>
      <w:jc w:val="center"/>
      <w:rPr>
        <w:lang w:val="en-GB"/>
      </w:rPr>
    </w:pPr>
    <w:r w:rsidRPr="00F46ACB">
      <w:rPr>
        <w:sz w:val="16"/>
        <w:szCs w:val="16"/>
        <w:lang w:val="en-GB"/>
      </w:rPr>
      <w:t>Mail: ComercialBG@bgaming.com.ar – Web: www.bgaming.com.ar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6C43" w14:textId="77777777" w:rsidR="00ED322E" w:rsidRDefault="00ED322E" w:rsidP="000C5764">
      <w:r>
        <w:separator/>
      </w:r>
    </w:p>
  </w:footnote>
  <w:footnote w:type="continuationSeparator" w:id="0">
    <w:p w14:paraId="5D6643D3" w14:textId="77777777" w:rsidR="00ED322E" w:rsidRDefault="00ED322E" w:rsidP="000C5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DFA7" w14:textId="77777777" w:rsidR="00921FE0" w:rsidRDefault="006B3DA5">
    <w:pPr>
      <w:pStyle w:val="Encabezado"/>
    </w:pPr>
    <w:r>
      <w:rPr>
        <w:noProof/>
      </w:rPr>
      <w:pict w14:anchorId="5D473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0860" o:spid="_x0000_s1028" type="#_x0000_t136" style="position:absolute;margin-left:0;margin-top:0;width:498.4pt;height:124.6pt;rotation:315;z-index:-25165414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r>
      <w:rPr>
        <w:noProof/>
      </w:rPr>
      <w:pict w14:anchorId="0F611CD3">
        <v:shape id="PowerPlusWaterMarkObject109953719" o:spid="_x0000_s1026" type="#_x0000_t136" style="position:absolute;margin-left:0;margin-top:0;width:498.4pt;height:124.6pt;rotation:315;z-index:-25165619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9FB8" w14:textId="77777777" w:rsidR="006531CC" w:rsidRDefault="006531CC" w:rsidP="006531CC">
    <w:pPr>
      <w:pStyle w:val="Encabezado"/>
      <w:jc w:val="right"/>
      <w:rPr>
        <w:i/>
      </w:rPr>
    </w:pPr>
  </w:p>
  <w:p w14:paraId="475D5F81" w14:textId="01DC2FD5" w:rsidR="00921FE0" w:rsidRPr="00B42D43" w:rsidRDefault="000C5764" w:rsidP="006531CC">
    <w:pPr>
      <w:pStyle w:val="Encabezado"/>
      <w:jc w:val="right"/>
      <w:rPr>
        <w:rFonts w:ascii="Verdana" w:hAnsi="Verdana"/>
        <w:i/>
        <w:sz w:val="16"/>
        <w:szCs w:val="16"/>
        <w:lang w:val="es-AR"/>
      </w:rPr>
    </w:pPr>
    <w:r>
      <w:rPr>
        <w:noProof/>
      </w:rPr>
      <w:drawing>
        <wp:inline distT="0" distB="0" distL="0" distR="0" wp14:anchorId="05931D12" wp14:editId="156405D4">
          <wp:extent cx="1533525" cy="371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BF2A" w14:textId="77777777" w:rsidR="00921FE0" w:rsidRDefault="006B3DA5">
    <w:pPr>
      <w:pStyle w:val="Encabezado"/>
    </w:pPr>
    <w:r>
      <w:rPr>
        <w:noProof/>
      </w:rPr>
      <w:pict w14:anchorId="3687B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60859" o:spid="_x0000_s1027" type="#_x0000_t136" style="position:absolute;margin-left:0;margin-top:0;width:498.4pt;height:124.6pt;rotation:315;z-index:-25165516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r>
      <w:rPr>
        <w:noProof/>
      </w:rPr>
      <w:pict w14:anchorId="0EC70EE5">
        <v:shape id="PowerPlusWaterMarkObject109953718" o:spid="_x0000_s1025" type="#_x0000_t136" style="position:absolute;margin-left:0;margin-top:0;width:498.4pt;height:124.6pt;rotation:315;z-index:-25165721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D7"/>
    <w:multiLevelType w:val="hybridMultilevel"/>
    <w:tmpl w:val="2A2428EC"/>
    <w:lvl w:ilvl="0" w:tplc="700CFBFA">
      <w:start w:val="1"/>
      <w:numFmt w:val="upperRoman"/>
      <w:lvlText w:val="%1."/>
      <w:lvlJc w:val="left"/>
      <w:pPr>
        <w:ind w:left="1146"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FE5575A"/>
    <w:multiLevelType w:val="hybridMultilevel"/>
    <w:tmpl w:val="C1D69F9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64"/>
    <w:rsid w:val="000C5764"/>
    <w:rsid w:val="0010338F"/>
    <w:rsid w:val="00154C04"/>
    <w:rsid w:val="001941C0"/>
    <w:rsid w:val="0021635F"/>
    <w:rsid w:val="00225C93"/>
    <w:rsid w:val="00242F33"/>
    <w:rsid w:val="002C1DA9"/>
    <w:rsid w:val="002D589D"/>
    <w:rsid w:val="00306468"/>
    <w:rsid w:val="00473F08"/>
    <w:rsid w:val="004753B9"/>
    <w:rsid w:val="005548EE"/>
    <w:rsid w:val="005D5E17"/>
    <w:rsid w:val="00630541"/>
    <w:rsid w:val="006531CC"/>
    <w:rsid w:val="006927E7"/>
    <w:rsid w:val="0069643C"/>
    <w:rsid w:val="006A1F03"/>
    <w:rsid w:val="006B3DA5"/>
    <w:rsid w:val="00735C53"/>
    <w:rsid w:val="00766C49"/>
    <w:rsid w:val="007F0930"/>
    <w:rsid w:val="00846CDE"/>
    <w:rsid w:val="0086374F"/>
    <w:rsid w:val="00864624"/>
    <w:rsid w:val="008D0162"/>
    <w:rsid w:val="00921FE0"/>
    <w:rsid w:val="00930BD9"/>
    <w:rsid w:val="009E62B3"/>
    <w:rsid w:val="00AC3AFE"/>
    <w:rsid w:val="00AC4A01"/>
    <w:rsid w:val="00AD08A0"/>
    <w:rsid w:val="00B14A79"/>
    <w:rsid w:val="00B64D88"/>
    <w:rsid w:val="00C14519"/>
    <w:rsid w:val="00C369DE"/>
    <w:rsid w:val="00C659C9"/>
    <w:rsid w:val="00C75982"/>
    <w:rsid w:val="00D37DBE"/>
    <w:rsid w:val="00E21A31"/>
    <w:rsid w:val="00E617BC"/>
    <w:rsid w:val="00E942D0"/>
    <w:rsid w:val="00ED322E"/>
    <w:rsid w:val="00EF29C3"/>
    <w:rsid w:val="00EF5910"/>
    <w:rsid w:val="00F46A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6A8D"/>
  <w15:chartTrackingRefBased/>
  <w15:docId w15:val="{F1E4D0C9-D2FA-4347-BF11-AD1FC1AE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s-A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764"/>
    <w:rPr>
      <w:rFonts w:eastAsia="Times New Roman"/>
      <w:sz w:val="24"/>
      <w:lang w:val="es-ES"/>
    </w:rPr>
  </w:style>
  <w:style w:type="paragraph" w:styleId="Ttulo1">
    <w:name w:val="heading 1"/>
    <w:basedOn w:val="Normal"/>
    <w:next w:val="Normal"/>
    <w:link w:val="Ttulo1Car"/>
    <w:qFormat/>
    <w:rsid w:val="000C5764"/>
    <w:pPr>
      <w:keepNext/>
      <w:outlineLvl w:val="0"/>
    </w:pPr>
    <w:rPr>
      <w:rFonts w:ascii="Book Antiqua" w:hAnsi="Book Antiqua"/>
      <w:b/>
      <w:sz w:val="4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5764"/>
    <w:rPr>
      <w:rFonts w:ascii="Book Antiqua" w:eastAsia="Times New Roman" w:hAnsi="Book Antiqua"/>
      <w:b/>
      <w:sz w:val="40"/>
      <w:lang w:val="x-none" w:eastAsia="x-none"/>
    </w:rPr>
  </w:style>
  <w:style w:type="paragraph" w:styleId="Encabezado">
    <w:name w:val="header"/>
    <w:basedOn w:val="Normal"/>
    <w:link w:val="EncabezadoCar"/>
    <w:uiPriority w:val="99"/>
    <w:unhideWhenUsed/>
    <w:rsid w:val="000C5764"/>
    <w:pPr>
      <w:tabs>
        <w:tab w:val="center" w:pos="4419"/>
        <w:tab w:val="right" w:pos="8838"/>
      </w:tabs>
    </w:pPr>
    <w:rPr>
      <w:lang w:val="x-none" w:eastAsia="x-none"/>
    </w:rPr>
  </w:style>
  <w:style w:type="character" w:customStyle="1" w:styleId="EncabezadoCar">
    <w:name w:val="Encabezado Car"/>
    <w:basedOn w:val="Fuentedeprrafopredeter"/>
    <w:link w:val="Encabezado"/>
    <w:uiPriority w:val="99"/>
    <w:rsid w:val="000C5764"/>
    <w:rPr>
      <w:rFonts w:eastAsia="Times New Roman"/>
      <w:sz w:val="24"/>
      <w:lang w:val="x-none" w:eastAsia="x-none"/>
    </w:rPr>
  </w:style>
  <w:style w:type="paragraph" w:customStyle="1" w:styleId="Default">
    <w:name w:val="Default"/>
    <w:rsid w:val="000C5764"/>
    <w:pPr>
      <w:widowControl w:val="0"/>
      <w:autoSpaceDE w:val="0"/>
      <w:autoSpaceDN w:val="0"/>
      <w:adjustRightInd w:val="0"/>
    </w:pPr>
    <w:rPr>
      <w:rFonts w:eastAsia="Times New Roman"/>
      <w:lang w:val="es-ES" w:eastAsia="es-ES"/>
    </w:rPr>
  </w:style>
  <w:style w:type="paragraph" w:styleId="Piedepgina">
    <w:name w:val="footer"/>
    <w:basedOn w:val="Normal"/>
    <w:link w:val="PiedepginaCar"/>
    <w:unhideWhenUsed/>
    <w:rsid w:val="000C5764"/>
    <w:pPr>
      <w:tabs>
        <w:tab w:val="center" w:pos="4252"/>
        <w:tab w:val="right" w:pos="8504"/>
      </w:tabs>
    </w:pPr>
    <w:rPr>
      <w:lang w:val="x-none"/>
    </w:rPr>
  </w:style>
  <w:style w:type="character" w:customStyle="1" w:styleId="PiedepginaCar">
    <w:name w:val="Pie de página Car"/>
    <w:basedOn w:val="Fuentedeprrafopredeter"/>
    <w:link w:val="Piedepgina"/>
    <w:rsid w:val="000C5764"/>
    <w:rPr>
      <w:rFonts w:eastAsia="Times New Roman"/>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8642b6-7e63-41f9-9bd3-b8b18ccb5d43" xsi:nil="true"/>
    <lcf76f155ced4ddcb4097134ff3c332f xmlns="f2e97eaf-81e1-4861-a3fb-9f45299652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612461EE22A854A8E5B9B47B32EF8C6" ma:contentTypeVersion="20" ma:contentTypeDescription="Crear nuevo documento." ma:contentTypeScope="" ma:versionID="088f5d0d3d5ba06579e75efe8a7ba73f">
  <xsd:schema xmlns:xsd="http://www.w3.org/2001/XMLSchema" xmlns:xs="http://www.w3.org/2001/XMLSchema" xmlns:p="http://schemas.microsoft.com/office/2006/metadata/properties" xmlns:ns2="f2e97eaf-81e1-4861-a3fb-9f45299652a9" xmlns:ns3="138642b6-7e63-41f9-9bd3-b8b18ccb5d43" targetNamespace="http://schemas.microsoft.com/office/2006/metadata/properties" ma:root="true" ma:fieldsID="2464140bcc7766c1b9703c8b553b5535" ns2:_="" ns3:_="">
    <xsd:import namespace="f2e97eaf-81e1-4861-a3fb-9f45299652a9"/>
    <xsd:import namespace="138642b6-7e63-41f9-9bd3-b8b18ccb5d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7eaf-81e1-4861-a3fb-9f452996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edb0e28-7395-4f1e-b024-6ed1cc5bee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642b6-7e63-41f9-9bd3-b8b18ccb5d4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e3e63728-c2e3-4c1f-8383-e72055c5fbd1}" ma:internalName="TaxCatchAll" ma:showField="CatchAllData" ma:web="138642b6-7e63-41f9-9bd3-b8b18ccb5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E18D6-D681-4451-9FE7-5545A3CD0FEF}">
  <ds:schemaRefs>
    <ds:schemaRef ds:uri="http://schemas.microsoft.com/office/2006/metadata/properties"/>
    <ds:schemaRef ds:uri="http://schemas.microsoft.com/office/infopath/2007/PartnerControls"/>
    <ds:schemaRef ds:uri="138642b6-7e63-41f9-9bd3-b8b18ccb5d43"/>
    <ds:schemaRef ds:uri="f2e97eaf-81e1-4861-a3fb-9f45299652a9"/>
  </ds:schemaRefs>
</ds:datastoreItem>
</file>

<file path=customXml/itemProps2.xml><?xml version="1.0" encoding="utf-8"?>
<ds:datastoreItem xmlns:ds="http://schemas.openxmlformats.org/officeDocument/2006/customXml" ds:itemID="{C30B06BE-F56A-46ED-A953-D1AE6D171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7eaf-81e1-4861-a3fb-9f45299652a9"/>
    <ds:schemaRef ds:uri="138642b6-7e63-41f9-9bd3-b8b18ccb5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7E1EF-6DA5-4D3A-9DD3-FD3C25E9B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2622</Words>
  <Characters>14427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De Alessandre</dc:creator>
  <cp:keywords/>
  <dc:description/>
  <cp:lastModifiedBy>Florencia De Alessandre</cp:lastModifiedBy>
  <cp:revision>2</cp:revision>
  <dcterms:created xsi:type="dcterms:W3CDTF">2025-01-09T13:12:00Z</dcterms:created>
  <dcterms:modified xsi:type="dcterms:W3CDTF">2025-01-09T13:12:00Z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2221e4-2706-4fcd-89cf-23b25a73246f_Enabled">
    <vt:lpwstr>true</vt:lpwstr>
  </property>
  <property fmtid="{D5CDD505-2E9C-101B-9397-08002B2CF9AE}" pid="3" name="MSIP_Label_b82221e4-2706-4fcd-89cf-23b25a73246f_SetDate">
    <vt:lpwstr>2024-01-09T20:36:33Z</vt:lpwstr>
  </property>
  <property fmtid="{D5CDD505-2E9C-101B-9397-08002B2CF9AE}" pid="4" name="MSIP_Label_b82221e4-2706-4fcd-89cf-23b25a73246f_Method">
    <vt:lpwstr>Privileged</vt:lpwstr>
  </property>
  <property fmtid="{D5CDD505-2E9C-101B-9397-08002B2CF9AE}" pid="5" name="MSIP_Label_b82221e4-2706-4fcd-89cf-23b25a73246f_Name">
    <vt:lpwstr>Información Pública</vt:lpwstr>
  </property>
  <property fmtid="{D5CDD505-2E9C-101B-9397-08002B2CF9AE}" pid="6" name="MSIP_Label_b82221e4-2706-4fcd-89cf-23b25a73246f_SiteId">
    <vt:lpwstr>59132fa3-6ab0-488a-a1b6-f8f96893d1b7</vt:lpwstr>
  </property>
  <property fmtid="{D5CDD505-2E9C-101B-9397-08002B2CF9AE}" pid="7" name="MSIP_Label_b82221e4-2706-4fcd-89cf-23b25a73246f_ActionId">
    <vt:lpwstr>826ff84d-0c89-4c41-98d2-aaf0b9a53082</vt:lpwstr>
  </property>
  <property fmtid="{D5CDD505-2E9C-101B-9397-08002B2CF9AE}" pid="8" name="MSIP_Label_b82221e4-2706-4fcd-89cf-23b25a73246f_ContentBits">
    <vt:lpwstr>0</vt:lpwstr>
  </property>
  <property fmtid="{D5CDD505-2E9C-101B-9397-08002B2CF9AE}" pid="9" name="ContentTypeId">
    <vt:lpwstr>0x010100B612461EE22A854A8E5B9B47B32EF8C6</vt:lpwstr>
  </property>
  <property fmtid="{D5CDD505-2E9C-101B-9397-08002B2CF9AE}" pid="10" name="MediaServiceImageTags">
    <vt:lpwstr/>
  </property>
</Properties>
</file>