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79D" w:rsidRPr="008664D6" w:rsidRDefault="00A2679D" w:rsidP="00A267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Times New Roman" w:eastAsia="Times New Roman" w:hAnsi="Times New Roman"/>
          <w:b/>
          <w:u w:val="single"/>
          <w:lang w:val="es-ES" w:eastAsia="es-ES"/>
        </w:rPr>
      </w:pPr>
      <w:r>
        <w:rPr>
          <w:rFonts w:ascii="Times New Roman" w:eastAsia="Times New Roman" w:hAnsi="Times New Roman"/>
          <w:b/>
          <w:u w:val="single"/>
          <w:lang w:val="es-ES" w:eastAsia="es-ES"/>
        </w:rPr>
        <w:t>ACTA DE DIRECTORIO Nº 144</w:t>
      </w:r>
    </w:p>
    <w:p w:rsidR="00A2679D" w:rsidRDefault="00A2679D" w:rsidP="009C71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7" w:firstLine="0"/>
        <w:rPr>
          <w:rFonts w:ascii="Times New Roman" w:hAnsi="Times New Roman"/>
        </w:rPr>
      </w:pPr>
      <w:r w:rsidRPr="00487F5E">
        <w:rPr>
          <w:rFonts w:ascii="Times New Roman" w:hAnsi="Times New Roman"/>
          <w:snapToGrid w:val="0"/>
          <w:lang w:val="es-ES" w:eastAsia="es-ES"/>
        </w:rPr>
        <w:t>En la Ciudad Autónoma</w:t>
      </w:r>
      <w:r w:rsidR="007C539F">
        <w:rPr>
          <w:rFonts w:ascii="Times New Roman" w:hAnsi="Times New Roman"/>
          <w:snapToGrid w:val="0"/>
          <w:lang w:val="es-ES" w:eastAsia="es-ES"/>
        </w:rPr>
        <w:t xml:space="preserve"> de Buenos Aires, al día 11</w:t>
      </w:r>
      <w:r w:rsidRPr="00487F5E">
        <w:rPr>
          <w:rFonts w:ascii="Times New Roman" w:hAnsi="Times New Roman"/>
          <w:snapToGrid w:val="0"/>
          <w:lang w:val="es-ES" w:eastAsia="es-ES"/>
        </w:rPr>
        <w:t xml:space="preserve"> del mes de </w:t>
      </w:r>
      <w:r w:rsidR="007C539F">
        <w:rPr>
          <w:rFonts w:ascii="Times New Roman" w:hAnsi="Times New Roman"/>
          <w:snapToGrid w:val="0"/>
          <w:lang w:val="es-ES" w:eastAsia="es-ES"/>
        </w:rPr>
        <w:t>marzo</w:t>
      </w:r>
      <w:r>
        <w:rPr>
          <w:rFonts w:ascii="Times New Roman" w:hAnsi="Times New Roman"/>
          <w:snapToGrid w:val="0"/>
          <w:lang w:val="es-ES" w:eastAsia="es-ES"/>
        </w:rPr>
        <w:t xml:space="preserve"> </w:t>
      </w:r>
      <w:r w:rsidRPr="00487F5E">
        <w:rPr>
          <w:rFonts w:ascii="Times New Roman" w:hAnsi="Times New Roman"/>
          <w:snapToGrid w:val="0"/>
          <w:lang w:val="es-ES" w:eastAsia="es-ES"/>
        </w:rPr>
        <w:t>de 201</w:t>
      </w:r>
      <w:r>
        <w:rPr>
          <w:rFonts w:ascii="Times New Roman" w:hAnsi="Times New Roman"/>
          <w:snapToGrid w:val="0"/>
          <w:lang w:val="es-ES" w:eastAsia="es-ES"/>
        </w:rPr>
        <w:t>9</w:t>
      </w:r>
      <w:r w:rsidRPr="00487F5E">
        <w:rPr>
          <w:rFonts w:ascii="Times New Roman" w:hAnsi="Times New Roman"/>
          <w:lang w:val="es-ES" w:eastAsia="es-ES"/>
        </w:rPr>
        <w:t xml:space="preserve">, </w:t>
      </w:r>
      <w:r w:rsidRPr="00487F5E">
        <w:rPr>
          <w:rFonts w:ascii="Times New Roman" w:hAnsi="Times New Roman"/>
          <w:lang w:val="es-ES"/>
        </w:rPr>
        <w:t xml:space="preserve">se reúnen en la sede social sita en Av. Corrientes 1174, 7° piso, de esta Ciudad, los Sres. Directores de Crédito Directo S.A. (en adelante denominada la “Sociedad”) </w:t>
      </w:r>
      <w:r w:rsidRPr="00487F5E">
        <w:rPr>
          <w:rFonts w:ascii="Times New Roman" w:hAnsi="Times New Roman"/>
        </w:rPr>
        <w:t xml:space="preserve">que firman al pie de la presente, </w:t>
      </w:r>
      <w:r w:rsidRPr="00487F5E">
        <w:rPr>
          <w:rFonts w:ascii="Times New Roman" w:hAnsi="Times New Roman"/>
          <w:lang w:val="es-ES" w:eastAsia="es-ES"/>
        </w:rPr>
        <w:t xml:space="preserve">bajo la presidencia del Sr. Roberto Domínguez </w:t>
      </w:r>
      <w:r w:rsidRPr="00487F5E">
        <w:rPr>
          <w:rFonts w:ascii="Times New Roman" w:hAnsi="Times New Roman"/>
        </w:rPr>
        <w:t xml:space="preserve">y contando con la asistencia </w:t>
      </w:r>
      <w:r w:rsidRPr="001C0F5A">
        <w:rPr>
          <w:rFonts w:ascii="Times New Roman" w:hAnsi="Times New Roman"/>
        </w:rPr>
        <w:t xml:space="preserve">del Sr. </w:t>
      </w:r>
      <w:r w:rsidR="009F6AC7">
        <w:rPr>
          <w:rFonts w:ascii="Times New Roman" w:hAnsi="Times New Roman"/>
        </w:rPr>
        <w:t>Gabriel Orden</w:t>
      </w:r>
      <w:r w:rsidRPr="001C0F5A">
        <w:rPr>
          <w:rFonts w:ascii="Times New Roman" w:hAnsi="Times New Roman"/>
        </w:rPr>
        <w:t xml:space="preserve"> en representación de </w:t>
      </w:r>
      <w:smartTag w:uri="urn:schemas-microsoft-com:office:smarttags" w:element="PersonName">
        <w:smartTagPr>
          <w:attr w:name="ProductID" w:val="La Comisi￳n Fiscalizadora"/>
        </w:smartTagPr>
        <w:r w:rsidRPr="001C0F5A">
          <w:rPr>
            <w:rFonts w:ascii="Times New Roman" w:hAnsi="Times New Roman"/>
          </w:rPr>
          <w:t>la Comisión Fiscalizadora</w:t>
        </w:r>
      </w:smartTag>
      <w:r w:rsidRPr="001C0F5A">
        <w:rPr>
          <w:rFonts w:ascii="Times New Roman" w:hAnsi="Times New Roman"/>
        </w:rPr>
        <w:t>, cuya firma figura también al p</w:t>
      </w:r>
      <w:r w:rsidR="005F4209">
        <w:rPr>
          <w:rFonts w:ascii="Times New Roman" w:hAnsi="Times New Roman"/>
        </w:rPr>
        <w:t>ie de la presente. Siendo las 17</w:t>
      </w:r>
      <w:r>
        <w:rPr>
          <w:rFonts w:ascii="Times New Roman" w:hAnsi="Times New Roman"/>
        </w:rPr>
        <w:t>:3</w:t>
      </w:r>
      <w:r w:rsidRPr="001C0F5A">
        <w:rPr>
          <w:rFonts w:ascii="Times New Roman" w:hAnsi="Times New Roman"/>
        </w:rPr>
        <w:t xml:space="preserve">0 horas, luego de constatar la existencia de quórum suficiente para sesionar, el Sr. </w:t>
      </w:r>
      <w:proofErr w:type="gramStart"/>
      <w:r w:rsidRPr="001C0F5A">
        <w:rPr>
          <w:rFonts w:ascii="Times New Roman" w:hAnsi="Times New Roman"/>
        </w:rPr>
        <w:t>Presidente</w:t>
      </w:r>
      <w:proofErr w:type="gramEnd"/>
      <w:r w:rsidRPr="001C0F5A">
        <w:rPr>
          <w:rFonts w:ascii="Times New Roman" w:hAnsi="Times New Roman"/>
        </w:rPr>
        <w:t xml:space="preserve"> declara abierto el acto y somete a consideración de los presentes el primer punto del Orden del Día: </w:t>
      </w:r>
      <w:r w:rsidRPr="001C0F5A">
        <w:rPr>
          <w:rFonts w:ascii="Times New Roman" w:hAnsi="Times New Roman"/>
          <w:b/>
        </w:rPr>
        <w:t>1°) “</w:t>
      </w:r>
      <w:r w:rsidRPr="001C0F5A">
        <w:rPr>
          <w:rFonts w:ascii="Times New Roman" w:hAnsi="Times New Roman"/>
          <w:b/>
          <w:u w:val="single"/>
        </w:rPr>
        <w:t>Consideración de la documentación contable correspondiente al ejercicio social finalizado el 31 de diciembre de 2018</w:t>
      </w:r>
      <w:r w:rsidRPr="001C0F5A">
        <w:rPr>
          <w:rFonts w:ascii="Times New Roman" w:hAnsi="Times New Roman"/>
          <w:b/>
        </w:rPr>
        <w:t>.”</w:t>
      </w:r>
      <w:r w:rsidRPr="001C0F5A">
        <w:rPr>
          <w:rFonts w:ascii="Times New Roman" w:hAnsi="Times New Roman"/>
        </w:rPr>
        <w:t xml:space="preserve"> Toma la palabra el Sr. Presidente, quien manifiesta que se encuentra en poder de los Sres. Directores por habérseles distribuido con anterioridad a la celebración de la presente reunión, la documentación contable correspondiente al ejercicio social finalizado el 31 de diciembre de 2018, </w:t>
      </w:r>
      <w:r w:rsidRPr="00E74B6D">
        <w:rPr>
          <w:rFonts w:ascii="Times New Roman" w:hAnsi="Times New Roman"/>
        </w:rPr>
        <w:t>compuesta por Estado de situación</w:t>
      </w:r>
      <w:r>
        <w:rPr>
          <w:rFonts w:ascii="Times New Roman" w:hAnsi="Times New Roman"/>
        </w:rPr>
        <w:t xml:space="preserve"> financiera</w:t>
      </w:r>
      <w:r w:rsidRPr="00E74B6D">
        <w:rPr>
          <w:rFonts w:ascii="Times New Roman" w:hAnsi="Times New Roman"/>
        </w:rPr>
        <w:t>, Estado de resultado</w:t>
      </w:r>
      <w:r>
        <w:rPr>
          <w:rFonts w:ascii="Times New Roman" w:hAnsi="Times New Roman"/>
        </w:rPr>
        <w:t xml:space="preserve"> integral</w:t>
      </w:r>
      <w:r w:rsidRPr="00E74B6D">
        <w:rPr>
          <w:rFonts w:ascii="Times New Roman" w:hAnsi="Times New Roman"/>
        </w:rPr>
        <w:t xml:space="preserve">, Estado de </w:t>
      </w:r>
      <w:r>
        <w:rPr>
          <w:rFonts w:ascii="Times New Roman" w:hAnsi="Times New Roman"/>
        </w:rPr>
        <w:t>cambios en el</w:t>
      </w:r>
      <w:r w:rsidRPr="00E74B6D">
        <w:rPr>
          <w:rFonts w:ascii="Times New Roman" w:hAnsi="Times New Roman"/>
        </w:rPr>
        <w:t xml:space="preserve"> patrimonio, Estado de flujo de efectivo, Notas</w:t>
      </w:r>
      <w:r>
        <w:rPr>
          <w:rFonts w:ascii="Times New Roman" w:hAnsi="Times New Roman"/>
        </w:rPr>
        <w:t xml:space="preserve">, </w:t>
      </w:r>
      <w:r w:rsidRPr="00E74B6D">
        <w:rPr>
          <w:rFonts w:ascii="Times New Roman" w:hAnsi="Times New Roman"/>
        </w:rPr>
        <w:t xml:space="preserve">Anexos, </w:t>
      </w:r>
      <w:r>
        <w:rPr>
          <w:rFonts w:ascii="Times New Roman" w:hAnsi="Times New Roman"/>
        </w:rPr>
        <w:t xml:space="preserve">Reseña Informativa e Informes, </w:t>
      </w:r>
      <w:r w:rsidRPr="00E74B6D">
        <w:rPr>
          <w:rFonts w:ascii="Times New Roman" w:hAnsi="Times New Roman"/>
        </w:rPr>
        <w:t xml:space="preserve">por lo que corresponde completar la misma con </w:t>
      </w:r>
      <w:smartTag w:uri="urn:schemas-microsoft-com:office:smarttags" w:element="PersonName">
        <w:smartTagPr>
          <w:attr w:name="ProductID" w:val="la Memoria"/>
        </w:smartTagPr>
        <w:r w:rsidRPr="00E74B6D">
          <w:rPr>
            <w:rFonts w:ascii="Times New Roman" w:hAnsi="Times New Roman"/>
          </w:rPr>
          <w:t>la Memoria</w:t>
        </w:r>
      </w:smartTag>
      <w:r w:rsidRPr="00E74B6D">
        <w:rPr>
          <w:rFonts w:ascii="Times New Roman" w:hAnsi="Times New Roman"/>
        </w:rPr>
        <w:t xml:space="preserve"> del ejercicio. Tras un breve intercambio de opiniones, los Sres. </w:t>
      </w:r>
      <w:proofErr w:type="gramStart"/>
      <w:r w:rsidRPr="00E74B6D">
        <w:rPr>
          <w:rFonts w:ascii="Times New Roman" w:hAnsi="Times New Roman"/>
        </w:rPr>
        <w:t>Directores</w:t>
      </w:r>
      <w:proofErr w:type="gramEnd"/>
      <w:r w:rsidRPr="00E74B6D">
        <w:rPr>
          <w:rFonts w:ascii="Times New Roman" w:hAnsi="Times New Roman"/>
        </w:rPr>
        <w:t xml:space="preserve"> resuelven por unanimidad de los presentes: (i) omitir su lectura y aprobar la documentación contable detallada precedentemente, la cual se encuentra transcripta en el Libro de Inventario y Balances de </w:t>
      </w:r>
      <w:smartTag w:uri="urn:schemas-microsoft-com:office:smarttags" w:element="PersonName">
        <w:smartTagPr>
          <w:attr w:name="ProductID" w:val="la Sociedad"/>
        </w:smartTagPr>
        <w:r w:rsidRPr="00E74B6D">
          <w:rPr>
            <w:rFonts w:ascii="Times New Roman" w:hAnsi="Times New Roman"/>
          </w:rPr>
          <w:t>la Sociedad</w:t>
        </w:r>
      </w:smartTag>
      <w:r w:rsidRPr="00E74B6D">
        <w:rPr>
          <w:rFonts w:ascii="Times New Roman" w:hAnsi="Times New Roman"/>
        </w:rPr>
        <w:t xml:space="preserve">; y (ii) aprobar el texto de </w:t>
      </w:r>
      <w:smartTag w:uri="urn:schemas-microsoft-com:office:smarttags" w:element="PersonName">
        <w:smartTagPr>
          <w:attr w:name="ProductID" w:val="la Memoria"/>
        </w:smartTagPr>
        <w:r w:rsidRPr="00E74B6D">
          <w:rPr>
            <w:rFonts w:ascii="Times New Roman" w:hAnsi="Times New Roman"/>
          </w:rPr>
          <w:t>la Memoria</w:t>
        </w:r>
      </w:smartTag>
      <w:r w:rsidRPr="00E74B6D">
        <w:rPr>
          <w:rFonts w:ascii="Times New Roman" w:hAnsi="Times New Roman"/>
        </w:rPr>
        <w:t xml:space="preserve"> que a </w:t>
      </w:r>
      <w:r w:rsidRPr="009C7122">
        <w:rPr>
          <w:rFonts w:ascii="Times New Roman" w:hAnsi="Times New Roman"/>
        </w:rPr>
        <w:t>continuación se transcribe:</w:t>
      </w:r>
    </w:p>
    <w:p w:rsidR="009C7122" w:rsidRPr="009C7122" w:rsidRDefault="009C7122" w:rsidP="009C71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7" w:firstLine="0"/>
        <w:rPr>
          <w:rFonts w:ascii="Times New Roman" w:hAnsi="Times New Roman"/>
        </w:rPr>
      </w:pPr>
    </w:p>
    <w:p w:rsidR="009C7122" w:rsidRPr="009C7122" w:rsidRDefault="009C7122" w:rsidP="009C7122">
      <w:pPr>
        <w:spacing w:line="240" w:lineRule="auto"/>
        <w:ind w:right="-316"/>
        <w:jc w:val="center"/>
        <w:rPr>
          <w:rFonts w:ascii="Times New Roman" w:hAnsi="Times New Roman"/>
          <w:b/>
          <w:u w:val="single"/>
        </w:rPr>
      </w:pPr>
      <w:r w:rsidRPr="009C7122">
        <w:rPr>
          <w:rFonts w:ascii="Times New Roman" w:hAnsi="Times New Roman"/>
          <w:b/>
          <w:u w:val="single"/>
        </w:rPr>
        <w:t>MEMORIA</w:t>
      </w:r>
    </w:p>
    <w:p w:rsidR="009C7122" w:rsidRPr="009C7122" w:rsidRDefault="009C7122" w:rsidP="009C7122">
      <w:pPr>
        <w:spacing w:line="240" w:lineRule="auto"/>
        <w:ind w:right="-316"/>
        <w:rPr>
          <w:rFonts w:ascii="Times New Roman" w:hAnsi="Times New Roman"/>
        </w:rPr>
      </w:pPr>
    </w:p>
    <w:p w:rsidR="009C7122" w:rsidRPr="009C7122" w:rsidRDefault="009C7122" w:rsidP="009C7122">
      <w:pPr>
        <w:spacing w:line="240" w:lineRule="auto"/>
        <w:ind w:right="-316" w:firstLine="0"/>
        <w:rPr>
          <w:rFonts w:ascii="Times New Roman" w:hAnsi="Times New Roman"/>
        </w:rPr>
      </w:pPr>
      <w:r w:rsidRPr="009C7122">
        <w:rPr>
          <w:rFonts w:ascii="Times New Roman" w:hAnsi="Times New Roman"/>
        </w:rPr>
        <w:t>Señores Accionistas:</w:t>
      </w:r>
    </w:p>
    <w:p w:rsidR="009C7122" w:rsidRPr="009C7122" w:rsidRDefault="009C7122" w:rsidP="009C7122">
      <w:pPr>
        <w:spacing w:line="240" w:lineRule="auto"/>
        <w:ind w:firstLine="0"/>
        <w:rPr>
          <w:rFonts w:ascii="Times New Roman" w:hAnsi="Times New Roman"/>
        </w:rPr>
      </w:pPr>
      <w:r w:rsidRPr="009C7122">
        <w:rPr>
          <w:rFonts w:ascii="Times New Roman" w:hAnsi="Times New Roman"/>
        </w:rPr>
        <w:t>De conformidad con las disposiciones legales y de acuerdo a lo establecido en el Estatuto de la Sociedad el Directorio de CREDITO DIRECTO S.A. (en adelante la “Sociedad” o “Directo” indistintamente), somete a vuestra consideración la presente Memoria, los Estados de Situación Financiera, de Resultado Integral, de cambios en el Patrimonio Neto, y de Flujo de Efectivo, Notas y Anexos, correspondientes al ejercicio económico Nro.8, comprendido entre el 1 de enero de 2018 y el 31 de diciembre de 2018.</w:t>
      </w:r>
    </w:p>
    <w:p w:rsidR="009C7122" w:rsidRPr="009C7122" w:rsidRDefault="009C7122" w:rsidP="009C7122">
      <w:pPr>
        <w:spacing w:line="240" w:lineRule="auto"/>
        <w:rPr>
          <w:rFonts w:ascii="Times New Roman" w:hAnsi="Times New Roman"/>
          <w:b/>
          <w:u w:val="single"/>
        </w:rPr>
      </w:pPr>
      <w:r w:rsidRPr="009C7122">
        <w:rPr>
          <w:rFonts w:ascii="Times New Roman" w:hAnsi="Times New Roman"/>
          <w:b/>
          <w:u w:val="single"/>
        </w:rPr>
        <w:t>1 – ESCENARIO MACROECONÓMICO</w:t>
      </w:r>
    </w:p>
    <w:p w:rsidR="009C7122" w:rsidRPr="009C7122" w:rsidRDefault="009C7122" w:rsidP="009C7122">
      <w:pPr>
        <w:pStyle w:val="Titulonota"/>
        <w:tabs>
          <w:tab w:val="left" w:pos="142"/>
        </w:tabs>
        <w:jc w:val="both"/>
        <w:rPr>
          <w:rFonts w:ascii="Times New Roman" w:hAnsi="Times New Roman"/>
          <w:caps w:val="0"/>
          <w:szCs w:val="22"/>
          <w:lang w:val="es-ES" w:eastAsia="es-ES"/>
        </w:rPr>
      </w:pPr>
      <w:r w:rsidRPr="009C7122">
        <w:rPr>
          <w:rFonts w:ascii="Times New Roman" w:hAnsi="Times New Roman"/>
          <w:caps w:val="0"/>
          <w:szCs w:val="22"/>
          <w:lang w:val="es-ES" w:eastAsia="es-ES"/>
        </w:rPr>
        <w:t>Economía internacional</w:t>
      </w: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r w:rsidRPr="009C7122">
        <w:rPr>
          <w:rFonts w:ascii="Times New Roman" w:hAnsi="Times New Roman"/>
          <w:b w:val="0"/>
          <w:caps w:val="0"/>
          <w:szCs w:val="22"/>
          <w:lang w:val="es-AR" w:eastAsia="es-ES"/>
        </w:rPr>
        <w:t xml:space="preserve">De acuerdo con el último informe de perspectivas del Fondo Monetario Internacional (FMI) el crecimiento mundial fue de 3,7% en 2018 y se estima un 3,5% para el 2019 y 3,6% para el 2020. </w:t>
      </w: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r w:rsidRPr="009C7122">
        <w:rPr>
          <w:rFonts w:ascii="Times New Roman" w:hAnsi="Times New Roman"/>
          <w:b w:val="0"/>
          <w:caps w:val="0"/>
          <w:szCs w:val="22"/>
          <w:lang w:val="es-AR" w:eastAsia="es-ES"/>
        </w:rPr>
        <w:t xml:space="preserve">Los riesgos para el crecimiento mundial se inclinan a la baja. Por una parte, a raíz de los efectos negativos de los aumentos de aranceles introducidos en Estados Unidos y China, pero también debido a un debilitamiento de la actitud de los mercados financieros y a una contracción en Turquía que ahora se proyecta que será más profunda de lo previsto. </w:t>
      </w: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r w:rsidRPr="009C7122">
        <w:rPr>
          <w:rFonts w:ascii="Times New Roman" w:hAnsi="Times New Roman"/>
          <w:b w:val="0"/>
          <w:caps w:val="0"/>
          <w:szCs w:val="22"/>
          <w:lang w:val="es-AR" w:eastAsia="es-ES"/>
        </w:rPr>
        <w:t xml:space="preserve">Las condiciones financieras se han tornado más restrictivas desde octubre pasado. Varios factores, aparte del recrudecimiento de las tensiones comerciales, podrían provocar un deterioro aun mayor de la actitud frente al riesgo, lo que incidiría negativamente en el crecimiento, especialmente en vista de los altos niveles de deuda pública y privada. </w:t>
      </w: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r w:rsidRPr="009C7122">
        <w:rPr>
          <w:rFonts w:ascii="Times New Roman" w:hAnsi="Times New Roman"/>
          <w:b w:val="0"/>
          <w:caps w:val="0"/>
          <w:szCs w:val="22"/>
          <w:lang w:val="es-AR" w:eastAsia="es-ES"/>
        </w:rPr>
        <w:t>La principal prioridad común en materia de políticas es que los países cooperen y resuelvan pronto sus desavenencias comerciales y resultante incertidumbre en torno a las políticas en lugar de elevar más las barreras perniciosas y desestabilizar una economía mundial que ya está desacelerándose. En todas las economías es fundamental adoptar medidas para estimular el crecimiento del producto potencial, lograr una mayor inclusión y reforzar las defensas fiscales y financieras, en un entorno caracterizado por una pesada carga de la deuda y condiciones financieras más restrictivas.</w:t>
      </w: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r w:rsidRPr="009C7122">
        <w:rPr>
          <w:rFonts w:ascii="Times New Roman" w:hAnsi="Times New Roman"/>
          <w:b w:val="0"/>
          <w:caps w:val="0"/>
          <w:szCs w:val="22"/>
          <w:lang w:val="es-AR" w:eastAsia="es-ES"/>
        </w:rPr>
        <w:t>Los precios del petróleo han sido volátiles desde agosto pasado, debido a factores que influyen en la oferta. La inflación de precios al consumidor ha permanecido en general contenida en los últimos meses en las economías avanzadas, pero ha subido ligeramente en Estados Unidos, donde el crecimiento sigue estando por encima de la tendencia. En las economías emergentes, las presiones inflacionarias están cediendo debido a los menores precios del petróleo. En algunos casos, la moderación de la inflación se ha visto contrarrestada en parte por el efecto de traspaso de las depreciaciones de la moneda a los precios internos.</w:t>
      </w: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r w:rsidRPr="009C7122">
        <w:rPr>
          <w:rFonts w:ascii="Times New Roman" w:hAnsi="Times New Roman"/>
          <w:b w:val="0"/>
          <w:caps w:val="0"/>
          <w:szCs w:val="22"/>
          <w:lang w:val="es-AR" w:eastAsia="es-ES"/>
        </w:rPr>
        <w:t xml:space="preserve">La debilidad observada en el segundo semestre de 2018 persistirá en los próximos trimestres. Esta tendencia obedece a una reducción sostenida de la tasa de crecimiento de las economías avanzadas partiendo de niveles superiores a la tendencia y a una desaceleración temporal de la tasa de crecimiento de las economías de mercados emergentes y en desarrollo en 2019, debido a </w:t>
      </w:r>
      <w:r w:rsidRPr="009C7122">
        <w:rPr>
          <w:rFonts w:ascii="Times New Roman" w:hAnsi="Times New Roman"/>
          <w:b w:val="0"/>
          <w:caps w:val="0"/>
          <w:szCs w:val="22"/>
          <w:lang w:val="es-AR" w:eastAsia="es-ES"/>
        </w:rPr>
        <w:lastRenderedPageBreak/>
        <w:t>contracciones en Argentina y Turquía y al impacto de las medidas comerciales en China y otras economías asiáticas.</w:t>
      </w: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p>
    <w:p w:rsidR="009C7122" w:rsidRPr="009C7122" w:rsidRDefault="009C7122" w:rsidP="009C7122">
      <w:pPr>
        <w:pStyle w:val="Titulonota"/>
        <w:tabs>
          <w:tab w:val="left" w:pos="142"/>
        </w:tabs>
        <w:jc w:val="both"/>
        <w:rPr>
          <w:rFonts w:ascii="Times New Roman" w:hAnsi="Times New Roman"/>
          <w:caps w:val="0"/>
          <w:szCs w:val="22"/>
          <w:lang w:val="es-ES" w:eastAsia="es-ES"/>
        </w:rPr>
      </w:pPr>
      <w:r w:rsidRPr="009C7122">
        <w:rPr>
          <w:rFonts w:ascii="Times New Roman" w:hAnsi="Times New Roman"/>
          <w:caps w:val="0"/>
          <w:szCs w:val="22"/>
          <w:lang w:val="es-ES" w:eastAsia="es-ES"/>
        </w:rPr>
        <w:t>Escenario Local</w:t>
      </w:r>
    </w:p>
    <w:p w:rsidR="009C7122" w:rsidRPr="009C7122" w:rsidRDefault="009C7122" w:rsidP="009C7122">
      <w:pPr>
        <w:pStyle w:val="Titulonota"/>
        <w:tabs>
          <w:tab w:val="left" w:pos="142"/>
        </w:tabs>
        <w:jc w:val="both"/>
        <w:rPr>
          <w:rFonts w:ascii="Times New Roman" w:hAnsi="Times New Roman"/>
          <w:caps w:val="0"/>
          <w:szCs w:val="22"/>
          <w:lang w:val="es-ES" w:eastAsia="es-ES"/>
        </w:rPr>
      </w:pP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r w:rsidRPr="009C7122">
        <w:rPr>
          <w:rFonts w:ascii="Times New Roman" w:hAnsi="Times New Roman"/>
          <w:b w:val="0"/>
          <w:caps w:val="0"/>
          <w:szCs w:val="22"/>
          <w:lang w:val="es-AR" w:eastAsia="es-ES"/>
        </w:rPr>
        <w:t xml:space="preserve">Entre abril y agosto de 2018, la economía argentina experimentó una fuerte volatilidad cambiaria originada por una combinación de factores externos e internos. La suba de la tasa de interés en </w:t>
      </w:r>
      <w:proofErr w:type="gramStart"/>
      <w:r w:rsidRPr="009C7122">
        <w:rPr>
          <w:rFonts w:ascii="Times New Roman" w:hAnsi="Times New Roman"/>
          <w:b w:val="0"/>
          <w:caps w:val="0"/>
          <w:szCs w:val="22"/>
          <w:lang w:val="es-AR" w:eastAsia="es-ES"/>
        </w:rPr>
        <w:t>EE.UU.</w:t>
      </w:r>
      <w:proofErr w:type="gramEnd"/>
      <w:r w:rsidRPr="009C7122">
        <w:rPr>
          <w:rFonts w:ascii="Times New Roman" w:hAnsi="Times New Roman"/>
          <w:b w:val="0"/>
          <w:caps w:val="0"/>
          <w:szCs w:val="22"/>
          <w:lang w:val="es-AR" w:eastAsia="es-ES"/>
        </w:rPr>
        <w:t xml:space="preserve"> y las tensiones comerciales entre ese país y algunos de sus principales socios comerciales desataron una salida de capitales desde las economías emergentes. Este evento se combinó con una de las sequías más pronunciadas en décadas y con errores en la corrección de los desequilibrios que arrastraba la economía argentina. Este conjunto de factores hizo que la economía argentina mostrara una mayor debilidad que el resto de los países emergentes.</w:t>
      </w: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r w:rsidRPr="009C7122">
        <w:rPr>
          <w:rFonts w:ascii="Times New Roman" w:hAnsi="Times New Roman"/>
          <w:b w:val="0"/>
          <w:caps w:val="0"/>
          <w:szCs w:val="22"/>
          <w:lang w:val="es-AR" w:eastAsia="es-ES"/>
        </w:rPr>
        <w:t>Las tensiones en el mercado de cambios generaron una depreciación de la moneda, un incremento de la tasa de inflación observada y esperada, y una caída del nivel de actividad económica (junto con el impacto de la sequía en el segundo trimestre). Así, el tipo de cambio aumentó 101% entre fines de diciembre de 2017 y diciembre de 2018, en tanto la tasa de inflación, que a principios de año se ubicaba en 25% interanual, se incrementó hasta 47,65% interanual en diciembre. A partir de octubre de 2018 la volatilidad cambiaria se redujo fuertemente. El tipo de cambio, luego de tocar $ 40,9 por dólar a fines de septiembre, cayó hasta ubicarse próximo al límite inferior de la zona de no intervención durante los últimos meses del año.</w:t>
      </w: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p>
    <w:p w:rsidR="009C7122" w:rsidRPr="009C7122" w:rsidRDefault="009C7122" w:rsidP="009C7122">
      <w:pPr>
        <w:pStyle w:val="Titulonota"/>
        <w:tabs>
          <w:tab w:val="left" w:pos="142"/>
        </w:tabs>
        <w:jc w:val="both"/>
        <w:rPr>
          <w:rFonts w:ascii="Times New Roman" w:hAnsi="Times New Roman"/>
          <w:b w:val="0"/>
          <w:caps w:val="0"/>
          <w:szCs w:val="22"/>
          <w:lang w:val="es-AR" w:eastAsia="es-ES"/>
        </w:rPr>
      </w:pPr>
      <w:r w:rsidRPr="009C7122">
        <w:rPr>
          <w:rFonts w:ascii="Times New Roman" w:hAnsi="Times New Roman"/>
          <w:b w:val="0"/>
          <w:caps w:val="0"/>
          <w:szCs w:val="22"/>
          <w:lang w:val="es-AR" w:eastAsia="es-ES"/>
        </w:rPr>
        <w:t>Desde el 1° de octubre de 2018, el BCRA lleva adelante un esquema constituido por una meta para el crecimiento de la base monetaria más la definición de zonas de intervención y no intervención cambiaria. Este ha sido implementado ante la insuficiencia del régimen de metas de inflación para asegurar la estabilidad de precios en las condiciones en que se desenvuelve actualmente la economía argentina. En 2019, el BCRA proseguirá implementando este esquema con un crecimiento nulo de la base monetaria hasta el mes de junio y un crecimiento mensual de 1% entre julio y diciembre, por la elevada demanda estacional de dinero. Los límites de la zona de no intervención se actualizarán diariamente a una tasa mensual del 2% entre el 1 de enero y el 31 de marzo de 2019, tomando como referencia los vigentes al 31 de diciembre de 2018.</w:t>
      </w:r>
    </w:p>
    <w:p w:rsidR="009C7122" w:rsidRPr="009C7122" w:rsidRDefault="009C7122" w:rsidP="009C7122">
      <w:pPr>
        <w:autoSpaceDE w:val="0"/>
        <w:autoSpaceDN w:val="0"/>
        <w:adjustRightInd w:val="0"/>
        <w:spacing w:line="240" w:lineRule="auto"/>
        <w:rPr>
          <w:rFonts w:ascii="Times New Roman" w:hAnsi="Times New Roman"/>
        </w:rPr>
      </w:pPr>
    </w:p>
    <w:p w:rsidR="009C7122" w:rsidRPr="009C7122" w:rsidRDefault="009C7122" w:rsidP="009C7122">
      <w:pPr>
        <w:autoSpaceDE w:val="0"/>
        <w:autoSpaceDN w:val="0"/>
        <w:adjustRightInd w:val="0"/>
        <w:spacing w:line="240" w:lineRule="auto"/>
        <w:ind w:firstLine="0"/>
        <w:rPr>
          <w:rFonts w:ascii="Times New Roman" w:hAnsi="Times New Roman"/>
        </w:rPr>
      </w:pPr>
      <w:r w:rsidRPr="009C7122">
        <w:rPr>
          <w:rFonts w:ascii="Times New Roman" w:hAnsi="Times New Roman"/>
        </w:rPr>
        <w:t xml:space="preserve">El BCRA finalizó con el proceso de desarme del stock de LEBAC. La expansión monetaria generada por el vencimiento de estos títulos resultó sólo parcialmente compensada mediante LELIQ, lo que permitió atender tanto la recuperación parcial como el aumento estacional de la demanda de dinero transaccional. </w:t>
      </w:r>
    </w:p>
    <w:p w:rsidR="009C7122" w:rsidRPr="009C7122" w:rsidRDefault="009C7122" w:rsidP="009C7122">
      <w:pPr>
        <w:autoSpaceDE w:val="0"/>
        <w:autoSpaceDN w:val="0"/>
        <w:adjustRightInd w:val="0"/>
        <w:spacing w:line="240" w:lineRule="auto"/>
        <w:ind w:firstLine="0"/>
        <w:rPr>
          <w:rFonts w:ascii="Times New Roman" w:hAnsi="Times New Roman"/>
        </w:rPr>
      </w:pPr>
      <w:r w:rsidRPr="009C7122">
        <w:rPr>
          <w:rFonts w:ascii="Times New Roman" w:hAnsi="Times New Roman"/>
        </w:rPr>
        <w:t>Las tasas de interés pagadas por los depósitos a plazo en pesos disminuyeron respecto a noviembre, reflejando parte del cambio de tendencia de la tasa de LELIQ. En particular, la BADLAR de bancos privados finalizó diciembre en 49,5%.</w:t>
      </w:r>
    </w:p>
    <w:p w:rsidR="009C7122" w:rsidRPr="009C7122" w:rsidRDefault="009C7122" w:rsidP="009C7122">
      <w:pPr>
        <w:autoSpaceDE w:val="0"/>
        <w:autoSpaceDN w:val="0"/>
        <w:adjustRightInd w:val="0"/>
        <w:spacing w:line="240" w:lineRule="auto"/>
        <w:ind w:firstLine="0"/>
        <w:rPr>
          <w:rFonts w:ascii="Times New Roman" w:hAnsi="Times New Roman"/>
        </w:rPr>
      </w:pPr>
      <w:r w:rsidRPr="009C7122">
        <w:rPr>
          <w:rFonts w:ascii="Times New Roman" w:hAnsi="Times New Roman"/>
        </w:rPr>
        <w:t xml:space="preserve">Con el objetivo de contribuir a la consecución de la política monetaria y asegurar las condiciones locales de estabilidad, desde mediados de 2018 el BCRA dispuso diversos cambios en el esquema local de encajes bancarios. Entre el 21 de junio y el 14 de septiembre se introdujeron subas en las alícuotas del régimen de efectivo mínimo. A fines de septiembre, el BCRA resolvió que los requisitos de efectivo mínimo por el aumento de depósitos a plazo fijo pudieran ser integrables enteramente en Letras de Liquidez (LELIQ). </w:t>
      </w:r>
    </w:p>
    <w:p w:rsidR="009C7122" w:rsidRPr="009C7122" w:rsidRDefault="009C7122" w:rsidP="009C7122">
      <w:pPr>
        <w:autoSpaceDE w:val="0"/>
        <w:autoSpaceDN w:val="0"/>
        <w:adjustRightInd w:val="0"/>
        <w:spacing w:line="240" w:lineRule="auto"/>
        <w:rPr>
          <w:rFonts w:ascii="Times New Roman" w:hAnsi="Times New Roman"/>
        </w:rPr>
      </w:pPr>
    </w:p>
    <w:p w:rsidR="009C7122" w:rsidRPr="009C7122" w:rsidRDefault="009C7122" w:rsidP="009C7122">
      <w:pPr>
        <w:autoSpaceDE w:val="0"/>
        <w:autoSpaceDN w:val="0"/>
        <w:adjustRightInd w:val="0"/>
        <w:spacing w:line="240" w:lineRule="auto"/>
        <w:rPr>
          <w:rFonts w:ascii="Times New Roman" w:hAnsi="Times New Roman"/>
        </w:rPr>
      </w:pPr>
      <w:r w:rsidRPr="009C7122">
        <w:rPr>
          <w:rFonts w:ascii="Times New Roman" w:hAnsi="Times New Roman"/>
        </w:rPr>
        <w:t xml:space="preserve">A lo largo de 2019 este Banco Central mantendrá como uno de sus objetivos lograr un mayor grado de profundidad del sistema financiero, estimulando la canalización del ahorro de los hogares y de las firmas a través </w:t>
      </w:r>
      <w:proofErr w:type="gramStart"/>
      <w:r w:rsidRPr="009C7122">
        <w:rPr>
          <w:rFonts w:ascii="Times New Roman" w:hAnsi="Times New Roman"/>
        </w:rPr>
        <w:t>del mismo</w:t>
      </w:r>
      <w:proofErr w:type="gramEnd"/>
      <w:r w:rsidRPr="009C7122">
        <w:rPr>
          <w:rFonts w:ascii="Times New Roman" w:hAnsi="Times New Roman"/>
        </w:rPr>
        <w:t>. De esta manera, se fortalecerán las condiciones para ampliar la intermediación de recursos destinados a la financiación de la actividad productiva y el consumo. En este marco, se impulsará el desarrollo e incorporación de innovaciones tecnológicas que ayuden a reducir los costos bancarios, alentando mayor eficiencia y competencia en el sector. El marco regulatorio seguirá progresando, teniendo en consideración las mejores prácticas y recomendaciones internacionales que contribuyan a la estabilidad financiera, sin perder de vista las características particulares del sistema financiero local.</w:t>
      </w:r>
    </w:p>
    <w:p w:rsidR="009C7122" w:rsidRDefault="009C7122" w:rsidP="00192CC0">
      <w:pPr>
        <w:autoSpaceDE w:val="0"/>
        <w:autoSpaceDN w:val="0"/>
        <w:adjustRightInd w:val="0"/>
        <w:spacing w:line="240" w:lineRule="auto"/>
        <w:ind w:firstLine="0"/>
        <w:rPr>
          <w:rFonts w:ascii="Times New Roman" w:hAnsi="Times New Roman"/>
        </w:rPr>
      </w:pPr>
      <w:r w:rsidRPr="009C7122">
        <w:rPr>
          <w:rFonts w:ascii="Times New Roman" w:hAnsi="Times New Roman"/>
        </w:rPr>
        <w:t>Para 2019 se prevé que la actividad económica inicie una gradual recuperación sobre bases sustentables, generando cierta reactivación en el proceso de intermediación financiera de los bancos. En este marco, se estima que las tasas de interés activas nominales disminuirán en línea con las menores expectativas de inflación, favoreciendo así la recuperación de la generación cr</w:t>
      </w:r>
      <w:r w:rsidR="007C539F">
        <w:rPr>
          <w:rFonts w:ascii="Times New Roman" w:hAnsi="Times New Roman"/>
        </w:rPr>
        <w:t>editicia a empresas y familias.</w:t>
      </w:r>
    </w:p>
    <w:p w:rsidR="009C7122" w:rsidRPr="00192CC0" w:rsidRDefault="009C7122" w:rsidP="00192CC0">
      <w:pPr>
        <w:spacing w:before="23" w:line="240" w:lineRule="auto"/>
        <w:ind w:firstLine="0"/>
        <w:rPr>
          <w:rFonts w:ascii="Times New Roman" w:hAnsi="Times New Roman"/>
        </w:rPr>
      </w:pPr>
      <w:r w:rsidRPr="00192CC0">
        <w:rPr>
          <w:rFonts w:ascii="Times New Roman" w:hAnsi="Times New Roman"/>
          <w:shd w:val="clear" w:color="auto" w:fill="FFFFFF"/>
        </w:rPr>
        <w:t>Localmente, el comienzo del año muestra dos ejes sobre los que se moverá la información en 2019: el año electoral, por un lado, y la endeblez económico-financiera de la Argentina, por el otro.</w:t>
      </w:r>
    </w:p>
    <w:p w:rsidR="009C7122" w:rsidRPr="009C7122" w:rsidRDefault="009C7122" w:rsidP="009C7122">
      <w:pPr>
        <w:spacing w:line="240" w:lineRule="auto"/>
        <w:rPr>
          <w:rFonts w:ascii="Times New Roman" w:hAnsi="Times New Roman"/>
          <w:b/>
          <w:u w:val="single"/>
        </w:rPr>
      </w:pPr>
      <w:r w:rsidRPr="009C7122">
        <w:rPr>
          <w:rFonts w:ascii="Times New Roman" w:hAnsi="Times New Roman"/>
          <w:b/>
          <w:u w:val="single"/>
        </w:rPr>
        <w:t>2 – DESCRIPCIÓN DEL NEGOCIO</w:t>
      </w:r>
    </w:p>
    <w:p w:rsidR="009C7122" w:rsidRPr="009C7122" w:rsidRDefault="009C7122" w:rsidP="009C7122">
      <w:pPr>
        <w:spacing w:line="240" w:lineRule="auto"/>
        <w:rPr>
          <w:rFonts w:ascii="Times New Roman" w:hAnsi="Times New Roman"/>
        </w:rPr>
      </w:pPr>
    </w:p>
    <w:p w:rsidR="009C7122" w:rsidRPr="007C539F" w:rsidRDefault="009C7122" w:rsidP="007C539F">
      <w:pPr>
        <w:spacing w:line="240" w:lineRule="auto"/>
        <w:rPr>
          <w:rFonts w:ascii="Times New Roman" w:hAnsi="Times New Roman"/>
          <w:b/>
          <w:u w:val="single"/>
        </w:rPr>
      </w:pPr>
      <w:r w:rsidRPr="009C7122">
        <w:rPr>
          <w:rFonts w:ascii="Times New Roman" w:hAnsi="Times New Roman"/>
          <w:b/>
        </w:rPr>
        <w:lastRenderedPageBreak/>
        <w:t xml:space="preserve">2.1. </w:t>
      </w:r>
      <w:r w:rsidR="007C539F">
        <w:rPr>
          <w:rFonts w:ascii="Times New Roman" w:hAnsi="Times New Roman"/>
          <w:b/>
          <w:u w:val="single"/>
        </w:rPr>
        <w:t>Fortalezas de la Sociedad</w:t>
      </w:r>
    </w:p>
    <w:p w:rsidR="009C7122" w:rsidRPr="009C7122" w:rsidRDefault="009C7122" w:rsidP="007C539F">
      <w:pPr>
        <w:spacing w:line="240" w:lineRule="auto"/>
        <w:rPr>
          <w:rFonts w:ascii="Times New Roman" w:hAnsi="Times New Roman"/>
          <w:lang w:eastAsia="en-US"/>
        </w:rPr>
      </w:pPr>
      <w:r w:rsidRPr="009C7122">
        <w:rPr>
          <w:rFonts w:ascii="Times New Roman" w:hAnsi="Times New Roman"/>
          <w:lang w:eastAsia="en-US"/>
        </w:rPr>
        <w:t>Directo se apoya en su demostrada capacidad de ejecución y las siguientes fortalezas para alcanzar y concreta</w:t>
      </w:r>
      <w:r w:rsidR="007C539F">
        <w:rPr>
          <w:rFonts w:ascii="Times New Roman" w:hAnsi="Times New Roman"/>
          <w:lang w:eastAsia="en-US"/>
        </w:rPr>
        <w:t>r las oportunidades de negocio:</w:t>
      </w:r>
    </w:p>
    <w:p w:rsidR="009C7122" w:rsidRPr="009C7122" w:rsidRDefault="009C7122" w:rsidP="009C7122">
      <w:pPr>
        <w:numPr>
          <w:ilvl w:val="0"/>
          <w:numId w:val="3"/>
        </w:numPr>
        <w:spacing w:after="0" w:line="240" w:lineRule="auto"/>
        <w:rPr>
          <w:rFonts w:ascii="Times New Roman" w:hAnsi="Times New Roman"/>
        </w:rPr>
      </w:pPr>
      <w:r w:rsidRPr="009C7122">
        <w:rPr>
          <w:rFonts w:ascii="Times New Roman" w:hAnsi="Times New Roman"/>
        </w:rPr>
        <w:t>Bajos costos de estructura fija, ya que posee la capacidad de gestionar eficazmente acuerdos con socios estratégicos que le brindan el soporte necesario para su negocio.</w:t>
      </w:r>
    </w:p>
    <w:p w:rsidR="009C7122" w:rsidRPr="009C7122" w:rsidRDefault="009C7122" w:rsidP="009C7122">
      <w:pPr>
        <w:numPr>
          <w:ilvl w:val="0"/>
          <w:numId w:val="3"/>
        </w:numPr>
        <w:spacing w:after="0" w:line="240" w:lineRule="auto"/>
        <w:rPr>
          <w:rFonts w:ascii="Times New Roman" w:hAnsi="Times New Roman"/>
        </w:rPr>
      </w:pPr>
      <w:r w:rsidRPr="009C7122">
        <w:rPr>
          <w:rFonts w:ascii="Times New Roman" w:hAnsi="Times New Roman"/>
        </w:rPr>
        <w:t>Flexible esquema de comercialización, implementado mediante contratos con desarrolladores comerciales independientes, lo que a su vez dan una rápida capacidad de expansión.</w:t>
      </w:r>
    </w:p>
    <w:p w:rsidR="009C7122" w:rsidRPr="009C7122" w:rsidRDefault="009C7122" w:rsidP="009C7122">
      <w:pPr>
        <w:numPr>
          <w:ilvl w:val="0"/>
          <w:numId w:val="3"/>
        </w:numPr>
        <w:spacing w:after="0" w:line="240" w:lineRule="auto"/>
        <w:rPr>
          <w:rFonts w:ascii="Times New Roman" w:hAnsi="Times New Roman"/>
        </w:rPr>
      </w:pPr>
      <w:r w:rsidRPr="009C7122">
        <w:rPr>
          <w:rFonts w:ascii="Times New Roman" w:hAnsi="Times New Roman"/>
        </w:rPr>
        <w:t>Continuidad de fondeo garantizada a través de acuerdos estratégicos.</w:t>
      </w:r>
    </w:p>
    <w:p w:rsidR="009C7122" w:rsidRPr="009C7122" w:rsidRDefault="009C7122" w:rsidP="009C7122">
      <w:pPr>
        <w:numPr>
          <w:ilvl w:val="0"/>
          <w:numId w:val="3"/>
        </w:numPr>
        <w:spacing w:after="0" w:line="240" w:lineRule="auto"/>
        <w:rPr>
          <w:rFonts w:ascii="Times New Roman" w:hAnsi="Times New Roman"/>
        </w:rPr>
      </w:pPr>
      <w:r w:rsidRPr="009C7122">
        <w:rPr>
          <w:rFonts w:ascii="Times New Roman" w:hAnsi="Times New Roman"/>
        </w:rPr>
        <w:t>Know-how de Grupo ST, al cual pertenece Directo (en adelante el “Grupo”) en el negocio de consumo aplicado a la lógica parametrizada en un motor de decisión crediticia.</w:t>
      </w:r>
    </w:p>
    <w:p w:rsidR="009C7122" w:rsidRPr="009C7122" w:rsidRDefault="009C7122" w:rsidP="009C7122">
      <w:pPr>
        <w:numPr>
          <w:ilvl w:val="0"/>
          <w:numId w:val="3"/>
        </w:numPr>
        <w:spacing w:after="0" w:line="240" w:lineRule="auto"/>
        <w:rPr>
          <w:rFonts w:ascii="Times New Roman" w:hAnsi="Times New Roman"/>
        </w:rPr>
      </w:pPr>
      <w:r w:rsidRPr="009C7122">
        <w:rPr>
          <w:rFonts w:ascii="Times New Roman" w:hAnsi="Times New Roman"/>
        </w:rPr>
        <w:t>Rapidez y agilidad para el punto de venta, que se obtiene gracias a un proceso de calificación vía web que minimiza la carga de datos y ofrece una oferta conclusiva con mínimos datos y en segundos (decisión 100% automática).</w:t>
      </w:r>
    </w:p>
    <w:p w:rsidR="009C7122" w:rsidRPr="009C7122" w:rsidRDefault="009C7122" w:rsidP="009C7122">
      <w:pPr>
        <w:numPr>
          <w:ilvl w:val="0"/>
          <w:numId w:val="2"/>
        </w:numPr>
        <w:spacing w:after="0" w:line="240" w:lineRule="auto"/>
        <w:rPr>
          <w:rFonts w:ascii="Times New Roman" w:hAnsi="Times New Roman"/>
          <w:lang w:eastAsia="en-US"/>
        </w:rPr>
      </w:pPr>
      <w:r w:rsidRPr="009C7122">
        <w:rPr>
          <w:rFonts w:ascii="Times New Roman" w:hAnsi="Times New Roman"/>
        </w:rPr>
        <w:t xml:space="preserve">Administración de legajos soportada por un </w:t>
      </w:r>
      <w:proofErr w:type="spellStart"/>
      <w:r w:rsidRPr="009C7122">
        <w:rPr>
          <w:rFonts w:ascii="Times New Roman" w:hAnsi="Times New Roman"/>
        </w:rPr>
        <w:t>workflow</w:t>
      </w:r>
      <w:proofErr w:type="spellEnd"/>
      <w:r w:rsidRPr="009C7122">
        <w:rPr>
          <w:rFonts w:ascii="Times New Roman" w:hAnsi="Times New Roman"/>
        </w:rPr>
        <w:t xml:space="preserve"> e imágenes digitalizadas, que garantizan la trazabilidad de los legajos y operaciones, minimiza el movimiento de documentación y asegura la correcta guarda de la misma</w:t>
      </w:r>
      <w:r w:rsidRPr="009C7122">
        <w:rPr>
          <w:rFonts w:ascii="Times New Roman" w:hAnsi="Times New Roman"/>
          <w:lang w:eastAsia="en-US"/>
        </w:rPr>
        <w:t>.</w:t>
      </w:r>
    </w:p>
    <w:p w:rsidR="009C7122" w:rsidRPr="009C7122" w:rsidRDefault="009C7122" w:rsidP="009C7122">
      <w:pPr>
        <w:spacing w:line="240" w:lineRule="auto"/>
        <w:rPr>
          <w:rFonts w:ascii="Times New Roman" w:hAnsi="Times New Roman"/>
          <w:lang w:eastAsia="en-US"/>
        </w:rPr>
      </w:pPr>
    </w:p>
    <w:p w:rsidR="009C7122" w:rsidRPr="009C7122" w:rsidRDefault="009C7122" w:rsidP="009C7122">
      <w:pPr>
        <w:spacing w:line="240" w:lineRule="auto"/>
        <w:rPr>
          <w:rFonts w:ascii="Times New Roman" w:hAnsi="Times New Roman"/>
          <w:b/>
        </w:rPr>
      </w:pPr>
      <w:r w:rsidRPr="009C7122">
        <w:rPr>
          <w:rFonts w:ascii="Times New Roman" w:hAnsi="Times New Roman"/>
          <w:b/>
        </w:rPr>
        <w:t xml:space="preserve">2.2. </w:t>
      </w:r>
      <w:r w:rsidRPr="009C7122">
        <w:rPr>
          <w:rFonts w:ascii="Times New Roman" w:hAnsi="Times New Roman"/>
          <w:b/>
          <w:u w:val="single"/>
        </w:rPr>
        <w:t>Estrategia de negocio</w:t>
      </w:r>
    </w:p>
    <w:p w:rsidR="009C7122" w:rsidRPr="009C7122" w:rsidRDefault="009C7122" w:rsidP="009C7122">
      <w:pPr>
        <w:spacing w:line="240" w:lineRule="auto"/>
        <w:rPr>
          <w:rFonts w:ascii="Times New Roman" w:hAnsi="Times New Roman"/>
          <w:b/>
        </w:rPr>
      </w:pPr>
    </w:p>
    <w:p w:rsidR="009C7122" w:rsidRPr="009C7122" w:rsidRDefault="009C7122" w:rsidP="007C539F">
      <w:pPr>
        <w:spacing w:line="240" w:lineRule="auto"/>
        <w:rPr>
          <w:rFonts w:ascii="Times New Roman" w:hAnsi="Times New Roman"/>
        </w:rPr>
      </w:pPr>
      <w:r w:rsidRPr="009C7122">
        <w:rPr>
          <w:rFonts w:ascii="Times New Roman" w:hAnsi="Times New Roman"/>
        </w:rPr>
        <w:t>El eje de la estrategia de negocios de Directo gira en to</w:t>
      </w:r>
      <w:r w:rsidR="007C539F">
        <w:rPr>
          <w:rFonts w:ascii="Times New Roman" w:hAnsi="Times New Roman"/>
        </w:rPr>
        <w:t>rno a los siguientes objetivos:</w:t>
      </w:r>
    </w:p>
    <w:p w:rsidR="009C7122" w:rsidRPr="009C7122" w:rsidRDefault="009C7122" w:rsidP="009C7122">
      <w:pPr>
        <w:numPr>
          <w:ilvl w:val="0"/>
          <w:numId w:val="2"/>
        </w:numPr>
        <w:spacing w:after="0" w:line="240" w:lineRule="auto"/>
        <w:rPr>
          <w:rFonts w:ascii="Times New Roman" w:hAnsi="Times New Roman"/>
        </w:rPr>
      </w:pPr>
      <w:r w:rsidRPr="009C7122">
        <w:rPr>
          <w:rFonts w:ascii="Times New Roman" w:hAnsi="Times New Roman"/>
        </w:rPr>
        <w:t>El desarrollo balanceado de las líneas de negocios, por medio de productos y servicios ágiles y flexibles, orientados a un segmento sub-atendido por la banca tradicional;</w:t>
      </w:r>
    </w:p>
    <w:p w:rsidR="009C7122" w:rsidRPr="009C7122" w:rsidRDefault="009C7122" w:rsidP="009C7122">
      <w:pPr>
        <w:numPr>
          <w:ilvl w:val="0"/>
          <w:numId w:val="2"/>
        </w:numPr>
        <w:spacing w:after="0" w:line="240" w:lineRule="auto"/>
        <w:rPr>
          <w:rFonts w:ascii="Times New Roman" w:hAnsi="Times New Roman"/>
        </w:rPr>
      </w:pPr>
      <w:r w:rsidRPr="009C7122">
        <w:rPr>
          <w:rFonts w:ascii="Times New Roman" w:hAnsi="Times New Roman"/>
        </w:rPr>
        <w:t>La diversificación de la cartera de préstamos, de manera de obtener rentabilidad en cada una de las líneas de negocio y al mismo tiempo mitigar los riesgos asociados; y</w:t>
      </w:r>
    </w:p>
    <w:p w:rsidR="009C7122" w:rsidRPr="009C7122" w:rsidRDefault="009C7122" w:rsidP="009C7122">
      <w:pPr>
        <w:numPr>
          <w:ilvl w:val="0"/>
          <w:numId w:val="2"/>
        </w:numPr>
        <w:spacing w:after="0" w:line="240" w:lineRule="auto"/>
        <w:rPr>
          <w:rFonts w:ascii="Times New Roman" w:hAnsi="Times New Roman"/>
        </w:rPr>
      </w:pPr>
      <w:r w:rsidRPr="009C7122">
        <w:rPr>
          <w:rFonts w:ascii="Times New Roman" w:hAnsi="Times New Roman"/>
        </w:rPr>
        <w:t>El acuerdo de alianzas estratégicas con los comercios referentes de cada ramo, que venden sus productos al consumidor final y cuya adquisición puede ser financiada por Directo.</w:t>
      </w:r>
    </w:p>
    <w:p w:rsidR="009C7122" w:rsidRPr="009C7122" w:rsidRDefault="009C7122" w:rsidP="009C7122">
      <w:pPr>
        <w:spacing w:line="240" w:lineRule="auto"/>
        <w:rPr>
          <w:rFonts w:ascii="Times New Roman" w:hAnsi="Times New Roman"/>
          <w:b/>
        </w:rPr>
      </w:pPr>
    </w:p>
    <w:p w:rsidR="009C7122" w:rsidRPr="009C7122" w:rsidRDefault="009C7122" w:rsidP="007C539F">
      <w:pPr>
        <w:spacing w:line="240" w:lineRule="auto"/>
        <w:rPr>
          <w:rFonts w:ascii="Times New Roman" w:hAnsi="Times New Roman"/>
          <w:b/>
        </w:rPr>
      </w:pPr>
      <w:r w:rsidRPr="009C7122">
        <w:rPr>
          <w:rFonts w:ascii="Times New Roman" w:hAnsi="Times New Roman"/>
          <w:b/>
        </w:rPr>
        <w:t xml:space="preserve">2.3. </w:t>
      </w:r>
      <w:r w:rsidRPr="009C7122">
        <w:rPr>
          <w:rFonts w:ascii="Times New Roman" w:hAnsi="Times New Roman"/>
          <w:b/>
          <w:u w:val="single"/>
        </w:rPr>
        <w:t>Estrategia comercial</w:t>
      </w:r>
    </w:p>
    <w:p w:rsidR="009C7122" w:rsidRPr="009C7122" w:rsidRDefault="009C7122" w:rsidP="009C7122">
      <w:pPr>
        <w:spacing w:line="240" w:lineRule="auto"/>
        <w:rPr>
          <w:rFonts w:ascii="Times New Roman" w:hAnsi="Times New Roman"/>
        </w:rPr>
      </w:pPr>
      <w:r w:rsidRPr="009C7122">
        <w:rPr>
          <w:rFonts w:ascii="Times New Roman" w:hAnsi="Times New Roman"/>
        </w:rPr>
        <w:t xml:space="preserve">Los accionistas y la alta dirección de la Sociedad definieron como factor crítico para el éxito y la sustentabilidad del negocio a largo plazo, y como parte de su “ADN”, contar con una estructura propia reducida, de gran capacidad de gestión, y con alianzas con empresas de servicios con experiencia reconocida en sus respectivas áreas de actuación, para darle soporte operativo. </w:t>
      </w:r>
    </w:p>
    <w:p w:rsidR="009C7122" w:rsidRPr="009C7122" w:rsidRDefault="009C7122" w:rsidP="009C7122">
      <w:pPr>
        <w:spacing w:line="240" w:lineRule="auto"/>
        <w:rPr>
          <w:rFonts w:ascii="Times New Roman" w:hAnsi="Times New Roman"/>
          <w:b/>
        </w:rPr>
      </w:pPr>
      <w:r w:rsidRPr="009C7122">
        <w:rPr>
          <w:rFonts w:ascii="Times New Roman" w:hAnsi="Times New Roman"/>
        </w:rPr>
        <w:t>Este modelo permite adecuarse a los distintos ciclos económicos y de negocios, gracias al bajo costo fijo de una estructura propia y la flexibilidad y capacidad de reacción que le aportan los terceros.</w:t>
      </w:r>
      <w:r w:rsidRPr="009C7122">
        <w:rPr>
          <w:rFonts w:ascii="Times New Roman" w:hAnsi="Times New Roman"/>
          <w:highlight w:val="yellow"/>
        </w:rPr>
        <w:t xml:space="preserve"> </w:t>
      </w:r>
    </w:p>
    <w:p w:rsidR="009C7122" w:rsidRPr="009C7122" w:rsidRDefault="009C7122" w:rsidP="009C7122">
      <w:pPr>
        <w:spacing w:line="240" w:lineRule="auto"/>
        <w:rPr>
          <w:rFonts w:ascii="Times New Roman" w:hAnsi="Times New Roman"/>
          <w:b/>
        </w:rPr>
      </w:pPr>
    </w:p>
    <w:p w:rsidR="009C7122" w:rsidRPr="009C7122" w:rsidRDefault="009C7122" w:rsidP="007C539F">
      <w:pPr>
        <w:spacing w:line="240" w:lineRule="auto"/>
        <w:rPr>
          <w:rFonts w:ascii="Times New Roman" w:hAnsi="Times New Roman"/>
          <w:b/>
        </w:rPr>
      </w:pPr>
      <w:r w:rsidRPr="009C7122">
        <w:rPr>
          <w:rFonts w:ascii="Times New Roman" w:hAnsi="Times New Roman"/>
          <w:b/>
        </w:rPr>
        <w:t xml:space="preserve">2.4. </w:t>
      </w:r>
      <w:r w:rsidRPr="009C7122">
        <w:rPr>
          <w:rFonts w:ascii="Times New Roman" w:hAnsi="Times New Roman"/>
          <w:b/>
          <w:u w:val="single"/>
        </w:rPr>
        <w:t>Oportunidad de negocio</w:t>
      </w:r>
    </w:p>
    <w:p w:rsidR="009C7122" w:rsidRPr="009C7122" w:rsidRDefault="009C7122" w:rsidP="009C7122">
      <w:pPr>
        <w:spacing w:line="240" w:lineRule="auto"/>
        <w:rPr>
          <w:rFonts w:ascii="Times New Roman" w:hAnsi="Times New Roman"/>
        </w:rPr>
      </w:pPr>
      <w:r w:rsidRPr="009C7122">
        <w:rPr>
          <w:rFonts w:ascii="Times New Roman" w:hAnsi="Times New Roman"/>
        </w:rPr>
        <w:t xml:space="preserve">El conocimiento desarrollado y la experiencia adquirida por el Grupo en la </w:t>
      </w:r>
      <w:proofErr w:type="spellStart"/>
      <w:r w:rsidRPr="009C7122">
        <w:rPr>
          <w:rFonts w:ascii="Times New Roman" w:hAnsi="Times New Roman"/>
        </w:rPr>
        <w:t>originación</w:t>
      </w:r>
      <w:proofErr w:type="spellEnd"/>
      <w:r w:rsidRPr="009C7122">
        <w:rPr>
          <w:rFonts w:ascii="Times New Roman" w:hAnsi="Times New Roman"/>
        </w:rPr>
        <w:t xml:space="preserve"> y administración de carteras de consumo, desde la adquisición de </w:t>
      </w:r>
      <w:proofErr w:type="spellStart"/>
      <w:r w:rsidRPr="009C7122">
        <w:rPr>
          <w:rFonts w:ascii="Times New Roman" w:hAnsi="Times New Roman"/>
        </w:rPr>
        <w:t>Credilogros</w:t>
      </w:r>
      <w:proofErr w:type="spellEnd"/>
      <w:r w:rsidRPr="009C7122">
        <w:rPr>
          <w:rFonts w:ascii="Times New Roman" w:hAnsi="Times New Roman"/>
        </w:rPr>
        <w:t xml:space="preserve"> Compañía Financiera S.A. al Banco Francés en el año 2006, posibilita la aplicación de técnicas innovadoras en la colocación de los préstamos y permite operar en pleno control de los riesgos asociados a la </w:t>
      </w:r>
      <w:proofErr w:type="spellStart"/>
      <w:r w:rsidRPr="009C7122">
        <w:rPr>
          <w:rFonts w:ascii="Times New Roman" w:hAnsi="Times New Roman"/>
        </w:rPr>
        <w:t>originación</w:t>
      </w:r>
      <w:proofErr w:type="spellEnd"/>
      <w:r w:rsidRPr="009C7122">
        <w:rPr>
          <w:rFonts w:ascii="Times New Roman" w:hAnsi="Times New Roman"/>
        </w:rPr>
        <w:t xml:space="preserve"> realizada a través de canales de comercialización. Asimismo, su experiencia le permite también tener una visión global y un entendimiento de las necesidades de los distintos actores, de las oportunidades y los factores claves para poder materializar las mismas. </w:t>
      </w:r>
    </w:p>
    <w:p w:rsidR="009C7122" w:rsidRPr="009C7122" w:rsidRDefault="009C7122" w:rsidP="009C7122">
      <w:pPr>
        <w:spacing w:line="240" w:lineRule="auto"/>
        <w:rPr>
          <w:rFonts w:ascii="Times New Roman" w:hAnsi="Times New Roman"/>
        </w:rPr>
      </w:pPr>
      <w:r w:rsidRPr="009C7122">
        <w:rPr>
          <w:rFonts w:ascii="Times New Roman" w:hAnsi="Times New Roman"/>
        </w:rPr>
        <w:t>Desde la perspectiva externa, factores relacionados con la competitividad de algunos referentes del sector y las necesidades propias de los comercios, generaron un contexto favorable para Directo, que rápidamente logró posicionarse como un proveedor confiable y ágil de servicios financieros en comercios, mutuales y cooperativas.</w:t>
      </w:r>
    </w:p>
    <w:p w:rsidR="009C7122" w:rsidRPr="009C7122" w:rsidRDefault="009C7122" w:rsidP="009C7122">
      <w:pPr>
        <w:spacing w:line="240" w:lineRule="auto"/>
        <w:rPr>
          <w:rFonts w:ascii="Times New Roman" w:hAnsi="Times New Roman"/>
        </w:rPr>
      </w:pPr>
      <w:r w:rsidRPr="009C7122">
        <w:rPr>
          <w:rFonts w:ascii="Times New Roman" w:hAnsi="Times New Roman"/>
        </w:rPr>
        <w:t>Desde la perspectiva de los comercios, la necesidad de mitigar la contracción del comercio y defender su rentabilidad, los obliga a tener que aplicar una mayor porción de capital a su negocio tradicional, reduciendo así el volumen de crédito que pueden colocar con capitales propios. Esto permite que la participación de terceros en porción de ventas financiadas sea mayor.</w:t>
      </w:r>
    </w:p>
    <w:p w:rsidR="009C7122" w:rsidRPr="009C7122" w:rsidRDefault="009C7122" w:rsidP="009C7122">
      <w:pPr>
        <w:spacing w:line="240" w:lineRule="auto"/>
        <w:rPr>
          <w:rFonts w:ascii="Times New Roman" w:hAnsi="Times New Roman"/>
        </w:rPr>
      </w:pPr>
      <w:r w:rsidRPr="009C7122">
        <w:rPr>
          <w:rFonts w:ascii="Times New Roman" w:hAnsi="Times New Roman"/>
        </w:rPr>
        <w:t xml:space="preserve">Existen también cuestiones propias de Directo que le permiten ofrecer productos diferenciales, que implican una ventaja competitiva a mediano plazo, tanto a través de su red de comercios asociados como a través de internet o dispositivos móviles. </w:t>
      </w:r>
    </w:p>
    <w:p w:rsidR="009C7122" w:rsidRPr="009C7122" w:rsidRDefault="009C7122" w:rsidP="009C7122">
      <w:pPr>
        <w:spacing w:line="240" w:lineRule="auto"/>
        <w:rPr>
          <w:rFonts w:ascii="Times New Roman" w:hAnsi="Times New Roman"/>
        </w:rPr>
      </w:pPr>
      <w:r w:rsidRPr="009C7122">
        <w:rPr>
          <w:rFonts w:ascii="Times New Roman" w:hAnsi="Times New Roman"/>
        </w:rPr>
        <w:t>Finalmente, Directo orienta su estrategia de producto, canales de distribución y de servicio a cubrir las necesidades de financiamiento de los segmentos sub-atendidos por la banca tradicional.</w:t>
      </w:r>
    </w:p>
    <w:p w:rsidR="009C7122" w:rsidRPr="009C7122" w:rsidRDefault="009C7122" w:rsidP="009C7122">
      <w:pPr>
        <w:spacing w:line="240" w:lineRule="auto"/>
        <w:rPr>
          <w:rFonts w:ascii="Times New Roman" w:hAnsi="Times New Roman"/>
        </w:rPr>
      </w:pPr>
    </w:p>
    <w:p w:rsidR="009C7122" w:rsidRPr="009C7122" w:rsidRDefault="009C7122" w:rsidP="009C7122">
      <w:pPr>
        <w:spacing w:line="240" w:lineRule="auto"/>
        <w:rPr>
          <w:rFonts w:ascii="Times New Roman" w:hAnsi="Times New Roman"/>
          <w:b/>
        </w:rPr>
      </w:pPr>
      <w:r w:rsidRPr="009C7122">
        <w:rPr>
          <w:rFonts w:ascii="Times New Roman" w:hAnsi="Times New Roman"/>
          <w:b/>
        </w:rPr>
        <w:t xml:space="preserve">2.5. </w:t>
      </w:r>
      <w:r w:rsidRPr="009C7122">
        <w:rPr>
          <w:rFonts w:ascii="Times New Roman" w:hAnsi="Times New Roman"/>
          <w:b/>
          <w:u w:val="single"/>
        </w:rPr>
        <w:t>Descripción del negocio</w:t>
      </w:r>
    </w:p>
    <w:p w:rsidR="009C7122" w:rsidRPr="009C7122" w:rsidRDefault="009C7122" w:rsidP="009C7122">
      <w:pPr>
        <w:spacing w:line="240" w:lineRule="auto"/>
        <w:rPr>
          <w:rFonts w:ascii="Times New Roman" w:hAnsi="Times New Roman"/>
          <w:b/>
        </w:rPr>
      </w:pPr>
    </w:p>
    <w:p w:rsidR="009C7122" w:rsidRPr="009C7122" w:rsidRDefault="009C7122" w:rsidP="007C539F">
      <w:pPr>
        <w:spacing w:line="240" w:lineRule="auto"/>
        <w:rPr>
          <w:rFonts w:ascii="Times New Roman" w:hAnsi="Times New Roman"/>
        </w:rPr>
      </w:pPr>
      <w:r w:rsidRPr="009C7122">
        <w:rPr>
          <w:rFonts w:ascii="Times New Roman" w:hAnsi="Times New Roman"/>
        </w:rPr>
        <w:t>Directo brinda asistencia financiara exclusivamente a personas físicas a trav</w:t>
      </w:r>
      <w:r w:rsidR="007C539F">
        <w:rPr>
          <w:rFonts w:ascii="Times New Roman" w:hAnsi="Times New Roman"/>
        </w:rPr>
        <w:t>és de los siguientes productos:</w:t>
      </w:r>
    </w:p>
    <w:p w:rsidR="009C7122" w:rsidRPr="009C7122" w:rsidRDefault="009C7122" w:rsidP="009C7122">
      <w:pPr>
        <w:numPr>
          <w:ilvl w:val="0"/>
          <w:numId w:val="2"/>
        </w:numPr>
        <w:spacing w:after="0" w:line="240" w:lineRule="auto"/>
        <w:rPr>
          <w:rFonts w:ascii="Times New Roman" w:hAnsi="Times New Roman"/>
        </w:rPr>
      </w:pPr>
      <w:r w:rsidRPr="009C7122">
        <w:rPr>
          <w:rFonts w:ascii="Times New Roman" w:hAnsi="Times New Roman"/>
        </w:rPr>
        <w:t>Préstamos en efectivo de pago voluntario.</w:t>
      </w:r>
    </w:p>
    <w:p w:rsidR="009C7122" w:rsidRPr="009C7122" w:rsidRDefault="009C7122" w:rsidP="009C7122">
      <w:pPr>
        <w:numPr>
          <w:ilvl w:val="0"/>
          <w:numId w:val="2"/>
        </w:numPr>
        <w:spacing w:after="0" w:line="240" w:lineRule="auto"/>
        <w:rPr>
          <w:rFonts w:ascii="Times New Roman" w:hAnsi="Times New Roman"/>
        </w:rPr>
      </w:pPr>
      <w:r w:rsidRPr="009C7122">
        <w:rPr>
          <w:rFonts w:ascii="Times New Roman" w:hAnsi="Times New Roman"/>
        </w:rPr>
        <w:t>Préstamos de consumo.</w:t>
      </w:r>
    </w:p>
    <w:p w:rsidR="009C7122" w:rsidRPr="009C7122" w:rsidRDefault="009C7122" w:rsidP="009C7122">
      <w:pPr>
        <w:numPr>
          <w:ilvl w:val="0"/>
          <w:numId w:val="2"/>
        </w:numPr>
        <w:spacing w:after="0" w:line="240" w:lineRule="auto"/>
        <w:rPr>
          <w:rFonts w:ascii="Times New Roman" w:hAnsi="Times New Roman"/>
        </w:rPr>
      </w:pPr>
      <w:r w:rsidRPr="009C7122">
        <w:rPr>
          <w:rFonts w:ascii="Times New Roman" w:hAnsi="Times New Roman"/>
        </w:rPr>
        <w:t>Préstamos en efectivo con descuento en haberes.</w:t>
      </w:r>
    </w:p>
    <w:p w:rsidR="009C7122" w:rsidRPr="009C7122" w:rsidRDefault="009C7122" w:rsidP="009C7122">
      <w:pPr>
        <w:spacing w:line="240" w:lineRule="auto"/>
        <w:rPr>
          <w:rFonts w:ascii="Times New Roman" w:hAnsi="Times New Roman"/>
          <w:i/>
        </w:rPr>
      </w:pPr>
    </w:p>
    <w:p w:rsidR="009C7122" w:rsidRPr="009C7122" w:rsidRDefault="009C7122" w:rsidP="009C7122">
      <w:pPr>
        <w:spacing w:line="240" w:lineRule="auto"/>
        <w:rPr>
          <w:rFonts w:ascii="Times New Roman" w:hAnsi="Times New Roman"/>
          <w:i/>
        </w:rPr>
      </w:pPr>
      <w:r w:rsidRPr="009C7122">
        <w:rPr>
          <w:rFonts w:ascii="Times New Roman" w:hAnsi="Times New Roman"/>
          <w:i/>
        </w:rPr>
        <w:t>Préstamos en efectivo de pago voluntario:</w:t>
      </w:r>
    </w:p>
    <w:p w:rsidR="009C7122" w:rsidRPr="009C7122" w:rsidRDefault="009C7122" w:rsidP="009C7122">
      <w:pPr>
        <w:spacing w:line="240" w:lineRule="auto"/>
        <w:rPr>
          <w:rFonts w:ascii="Times New Roman" w:hAnsi="Times New Roman"/>
        </w:rPr>
      </w:pPr>
      <w:r w:rsidRPr="009C7122">
        <w:rPr>
          <w:rFonts w:ascii="Times New Roman" w:hAnsi="Times New Roman"/>
        </w:rPr>
        <w:t xml:space="preserve">En la actualidad estos préstamos son otorgados a clientes con un comportamiento crediticio comprobado y precalificados. Se comercializan mediante venta telefónica y por terceros, encuadrándose dentro del esquema de pago voluntario. </w:t>
      </w:r>
    </w:p>
    <w:p w:rsidR="009C7122" w:rsidRDefault="007C539F" w:rsidP="007C539F">
      <w:pPr>
        <w:spacing w:line="240" w:lineRule="auto"/>
        <w:rPr>
          <w:rFonts w:ascii="Times New Roman" w:hAnsi="Times New Roman"/>
          <w:i/>
        </w:rPr>
      </w:pPr>
      <w:r>
        <w:rPr>
          <w:rFonts w:ascii="Times New Roman" w:hAnsi="Times New Roman"/>
          <w:i/>
        </w:rPr>
        <w:t>Préstamos de consumo:</w:t>
      </w:r>
    </w:p>
    <w:p w:rsidR="009C7122" w:rsidRPr="009C7122" w:rsidRDefault="009C7122" w:rsidP="009C7122">
      <w:pPr>
        <w:spacing w:line="240" w:lineRule="auto"/>
        <w:rPr>
          <w:rFonts w:ascii="Times New Roman" w:hAnsi="Times New Roman"/>
        </w:rPr>
      </w:pPr>
      <w:r w:rsidRPr="009C7122">
        <w:rPr>
          <w:rFonts w:ascii="Times New Roman" w:hAnsi="Times New Roman"/>
        </w:rPr>
        <w:t>Representa la mejor opción en financiamiento de productos para el hogar, de construcción y motocicletas, ya que se obtiene una aprobación automática y con mínimos requisitos. Los préstamos de consumo se generan a través de la red de comercios asociados al sistema de financiación de Directo. Este producto también se encuentra dentro del esquema de pago voluntario.</w:t>
      </w:r>
    </w:p>
    <w:p w:rsidR="009C7122" w:rsidRPr="009C7122" w:rsidRDefault="009C7122" w:rsidP="009C7122">
      <w:pPr>
        <w:spacing w:line="240" w:lineRule="auto"/>
        <w:rPr>
          <w:rFonts w:ascii="Times New Roman" w:hAnsi="Times New Roman"/>
        </w:rPr>
      </w:pPr>
      <w:r w:rsidRPr="009C7122">
        <w:rPr>
          <w:rFonts w:ascii="Times New Roman" w:hAnsi="Times New Roman"/>
          <w:i/>
        </w:rPr>
        <w:t>Préstamos en efectivo con descuento en haberes</w:t>
      </w:r>
      <w:r w:rsidRPr="009C7122">
        <w:rPr>
          <w:rFonts w:ascii="Times New Roman" w:hAnsi="Times New Roman"/>
        </w:rPr>
        <w:t>:</w:t>
      </w:r>
    </w:p>
    <w:p w:rsidR="009C7122" w:rsidRPr="009C7122" w:rsidRDefault="009C7122" w:rsidP="009C7122">
      <w:pPr>
        <w:spacing w:line="240" w:lineRule="auto"/>
        <w:rPr>
          <w:rFonts w:ascii="Times New Roman" w:hAnsi="Times New Roman"/>
        </w:rPr>
      </w:pPr>
      <w:r w:rsidRPr="009C7122">
        <w:rPr>
          <w:rFonts w:ascii="Times New Roman" w:hAnsi="Times New Roman"/>
        </w:rPr>
        <w:t xml:space="preserve">Estos préstamos están dirigidos al otorgamiento de asistencia financiera a empleados del sector público y la colocación se realiza a través de mutuales, cooperativas y sindicatos, quienes a su vez tienen </w:t>
      </w:r>
      <w:r w:rsidR="007C539F" w:rsidRPr="009C7122">
        <w:rPr>
          <w:rFonts w:ascii="Times New Roman" w:hAnsi="Times New Roman"/>
        </w:rPr>
        <w:t>suscriptos convenios</w:t>
      </w:r>
      <w:r w:rsidRPr="009C7122">
        <w:rPr>
          <w:rFonts w:ascii="Times New Roman" w:hAnsi="Times New Roman"/>
        </w:rPr>
        <w:t xml:space="preserve"> con organismos dependientes del gobierno nacional, provincial y/o municipal, los que les facilitan la cobranza de las cuotas mediante el descuento sobre los haberes que les corresponda percibir. El cobro de estos préstamos es por intermedio de códigos de descuento, en un esquema de “</w:t>
      </w:r>
      <w:r w:rsidRPr="009C7122">
        <w:rPr>
          <w:rFonts w:ascii="Times New Roman" w:hAnsi="Times New Roman"/>
          <w:i/>
        </w:rPr>
        <w:t>pago compulsivo</w:t>
      </w:r>
      <w:r w:rsidRPr="009C7122">
        <w:rPr>
          <w:rFonts w:ascii="Times New Roman" w:hAnsi="Times New Roman"/>
        </w:rPr>
        <w:t>”.</w:t>
      </w:r>
    </w:p>
    <w:p w:rsidR="009C7122" w:rsidRPr="009C7122" w:rsidRDefault="009C7122" w:rsidP="009C7122">
      <w:pPr>
        <w:spacing w:line="240" w:lineRule="auto"/>
        <w:rPr>
          <w:rFonts w:ascii="Times New Roman" w:hAnsi="Times New Roman"/>
          <w:i/>
        </w:rPr>
      </w:pPr>
      <w:r w:rsidRPr="009C7122">
        <w:rPr>
          <w:rFonts w:ascii="Times New Roman" w:hAnsi="Times New Roman"/>
          <w:i/>
        </w:rPr>
        <w:t>Resumen de las condiciones de los productos</w:t>
      </w:r>
    </w:p>
    <w:p w:rsidR="009C7122" w:rsidRPr="009C7122" w:rsidRDefault="009C7122" w:rsidP="007C539F">
      <w:pPr>
        <w:spacing w:line="240" w:lineRule="auto"/>
        <w:ind w:firstLine="0"/>
        <w:jc w:val="center"/>
        <w:rPr>
          <w:rFonts w:ascii="Times New Roman" w:hAnsi="Times New Roman"/>
          <w:b/>
        </w:rPr>
      </w:pPr>
      <w:r w:rsidRPr="009C7122">
        <w:rPr>
          <w:rFonts w:ascii="Times New Roman" w:hAnsi="Times New Roman"/>
          <w:noProof/>
          <w:lang w:eastAsia="es-AR"/>
        </w:rPr>
        <w:drawing>
          <wp:inline distT="0" distB="0" distL="0" distR="0" wp14:anchorId="03EAF827" wp14:editId="683EA79D">
            <wp:extent cx="5850890" cy="13354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50890" cy="1335405"/>
                    </a:xfrm>
                    <a:prstGeom prst="rect">
                      <a:avLst/>
                    </a:prstGeom>
                  </pic:spPr>
                </pic:pic>
              </a:graphicData>
            </a:graphic>
          </wp:inline>
        </w:drawing>
      </w:r>
    </w:p>
    <w:p w:rsidR="009C7122" w:rsidRPr="009C7122" w:rsidRDefault="009C7122" w:rsidP="009C7122">
      <w:pPr>
        <w:spacing w:line="240" w:lineRule="auto"/>
        <w:rPr>
          <w:rFonts w:ascii="Times New Roman" w:hAnsi="Times New Roman"/>
          <w:b/>
        </w:rPr>
      </w:pPr>
    </w:p>
    <w:p w:rsidR="009C7122" w:rsidRPr="009C7122" w:rsidRDefault="009C7122" w:rsidP="009C7122">
      <w:pPr>
        <w:spacing w:line="240" w:lineRule="auto"/>
        <w:rPr>
          <w:rFonts w:ascii="Times New Roman" w:hAnsi="Times New Roman"/>
          <w:b/>
        </w:rPr>
      </w:pPr>
      <w:r w:rsidRPr="009C7122">
        <w:rPr>
          <w:rFonts w:ascii="Times New Roman" w:hAnsi="Times New Roman"/>
          <w:b/>
        </w:rPr>
        <w:t xml:space="preserve">2.6. </w:t>
      </w:r>
      <w:r w:rsidRPr="009C7122">
        <w:rPr>
          <w:rFonts w:ascii="Times New Roman" w:hAnsi="Times New Roman"/>
          <w:b/>
          <w:u w:val="single"/>
        </w:rPr>
        <w:t>Ámbito geográfico</w:t>
      </w:r>
    </w:p>
    <w:p w:rsidR="009C7122" w:rsidRPr="009C7122" w:rsidRDefault="009C7122" w:rsidP="009C7122">
      <w:pPr>
        <w:spacing w:line="240" w:lineRule="auto"/>
        <w:rPr>
          <w:rFonts w:ascii="Times New Roman" w:hAnsi="Times New Roman"/>
        </w:rPr>
      </w:pPr>
      <w:r w:rsidRPr="009C7122">
        <w:rPr>
          <w:rFonts w:ascii="Times New Roman" w:hAnsi="Times New Roman"/>
        </w:rPr>
        <w:t>Directo tiene la capacidad de ofrecer sus productos en todo el territorio nacional a través de sus distintos canales de comercialización.</w:t>
      </w:r>
    </w:p>
    <w:p w:rsidR="009C7122" w:rsidRPr="009C7122" w:rsidRDefault="009C7122" w:rsidP="009C7122">
      <w:pPr>
        <w:spacing w:line="240" w:lineRule="auto"/>
        <w:rPr>
          <w:rFonts w:ascii="Times New Roman" w:hAnsi="Times New Roman"/>
        </w:rPr>
      </w:pPr>
      <w:r w:rsidRPr="009C7122">
        <w:rPr>
          <w:rFonts w:ascii="Times New Roman" w:hAnsi="Times New Roman"/>
        </w:rPr>
        <w:t xml:space="preserve">Al 31 de diciembre de 2018, Directo contaba con una red de comercios asociados a su sistema de financiación de adquisición de productos de más de 2.000 comercios, totalizando más de 4.600 puntos de venta distribuidos en 22 provincias. </w:t>
      </w:r>
    </w:p>
    <w:p w:rsidR="009C7122" w:rsidRPr="009C7122" w:rsidRDefault="009C7122" w:rsidP="009C7122">
      <w:pPr>
        <w:spacing w:line="240" w:lineRule="auto"/>
        <w:rPr>
          <w:rFonts w:ascii="Times New Roman" w:hAnsi="Times New Roman"/>
          <w:b/>
        </w:rPr>
      </w:pPr>
      <w:r w:rsidRPr="009C7122">
        <w:rPr>
          <w:rFonts w:ascii="Times New Roman" w:hAnsi="Times New Roman"/>
          <w:b/>
        </w:rPr>
        <w:t xml:space="preserve">2.7.  </w:t>
      </w:r>
      <w:r w:rsidRPr="009C7122">
        <w:rPr>
          <w:rFonts w:ascii="Times New Roman" w:hAnsi="Times New Roman"/>
          <w:b/>
          <w:u w:val="single"/>
        </w:rPr>
        <w:t>Descripción de la Cartera</w:t>
      </w:r>
    </w:p>
    <w:p w:rsidR="009C7122" w:rsidRPr="009C7122" w:rsidRDefault="009C7122" w:rsidP="009C7122">
      <w:pPr>
        <w:spacing w:line="240" w:lineRule="auto"/>
        <w:rPr>
          <w:rFonts w:ascii="Times New Roman" w:hAnsi="Times New Roman"/>
        </w:rPr>
      </w:pPr>
      <w:r w:rsidRPr="009C7122">
        <w:rPr>
          <w:rFonts w:ascii="Times New Roman" w:hAnsi="Times New Roman"/>
        </w:rPr>
        <w:t>Durante el ejercicio finalizado el 31 de diciembre de 2018, Directo originó el siguiente volumen de operaciones:</w:t>
      </w:r>
    </w:p>
    <w:p w:rsidR="009C7122" w:rsidRPr="009C7122" w:rsidRDefault="009C7122" w:rsidP="007C539F">
      <w:pPr>
        <w:spacing w:line="240" w:lineRule="auto"/>
        <w:ind w:firstLine="0"/>
        <w:jc w:val="center"/>
        <w:rPr>
          <w:rFonts w:ascii="Times New Roman" w:hAnsi="Times New Roman"/>
        </w:rPr>
      </w:pPr>
      <w:r w:rsidRPr="009C7122">
        <w:rPr>
          <w:rFonts w:ascii="Times New Roman" w:hAnsi="Times New Roman"/>
          <w:noProof/>
          <w:lang w:eastAsia="es-AR"/>
        </w:rPr>
        <w:drawing>
          <wp:inline distT="0" distB="0" distL="0" distR="0" wp14:anchorId="46B11BC2" wp14:editId="1382C6A2">
            <wp:extent cx="5850890" cy="135382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50890" cy="1353820"/>
                    </a:xfrm>
                    <a:prstGeom prst="rect">
                      <a:avLst/>
                    </a:prstGeom>
                  </pic:spPr>
                </pic:pic>
              </a:graphicData>
            </a:graphic>
          </wp:inline>
        </w:drawing>
      </w:r>
    </w:p>
    <w:p w:rsidR="009C7122" w:rsidRPr="009C7122" w:rsidRDefault="009C7122" w:rsidP="009C7122">
      <w:pPr>
        <w:spacing w:line="240" w:lineRule="auto"/>
        <w:rPr>
          <w:rFonts w:ascii="Times New Roman" w:hAnsi="Times New Roman"/>
        </w:rPr>
      </w:pPr>
      <w:r w:rsidRPr="009C7122">
        <w:rPr>
          <w:rFonts w:ascii="Times New Roman" w:hAnsi="Times New Roman"/>
        </w:rPr>
        <w:t xml:space="preserve">La cartera de préstamos de </w:t>
      </w:r>
      <w:proofErr w:type="gramStart"/>
      <w:r w:rsidRPr="009C7122">
        <w:rPr>
          <w:rFonts w:ascii="Times New Roman" w:hAnsi="Times New Roman"/>
        </w:rPr>
        <w:t>consumo  al</w:t>
      </w:r>
      <w:proofErr w:type="gramEnd"/>
      <w:r w:rsidRPr="009C7122">
        <w:rPr>
          <w:rFonts w:ascii="Times New Roman" w:hAnsi="Times New Roman"/>
        </w:rPr>
        <w:t xml:space="preserve"> 31 de diciembre de 2018 neto de previsiones asciende a la suma de $896.871.343, siendo una característica a resaltar, la atomización de la misma por el bajo monto de capital financiado. Esta cartera se encuentra expuesta en el Estado de Situación Patrimonial en el rubro Créditos por préstamos personales corrientes y no corrientes. </w:t>
      </w:r>
    </w:p>
    <w:p w:rsidR="009C7122" w:rsidRPr="009C7122" w:rsidRDefault="009C7122" w:rsidP="009C7122">
      <w:pPr>
        <w:spacing w:line="240" w:lineRule="auto"/>
        <w:rPr>
          <w:rFonts w:ascii="Times New Roman" w:hAnsi="Times New Roman"/>
        </w:rPr>
      </w:pPr>
      <w:r w:rsidRPr="009C7122">
        <w:rPr>
          <w:rFonts w:ascii="Times New Roman" w:hAnsi="Times New Roman"/>
        </w:rPr>
        <w:t>El siguiente gráfico muestra la proporción de cada línea de negocio en la cartera de préstamos personales al 31 de diciembre de 2018:</w:t>
      </w:r>
    </w:p>
    <w:p w:rsidR="009C7122" w:rsidRPr="007C539F" w:rsidRDefault="009C7122" w:rsidP="007C539F">
      <w:pPr>
        <w:spacing w:line="240" w:lineRule="auto"/>
        <w:jc w:val="center"/>
        <w:rPr>
          <w:rFonts w:ascii="Times New Roman" w:hAnsi="Times New Roman"/>
        </w:rPr>
      </w:pPr>
      <w:r w:rsidRPr="009C7122">
        <w:rPr>
          <w:rFonts w:ascii="Times New Roman" w:hAnsi="Times New Roman"/>
          <w:noProof/>
          <w:lang w:eastAsia="es-AR"/>
        </w:rPr>
        <w:lastRenderedPageBreak/>
        <w:drawing>
          <wp:inline distT="0" distB="0" distL="0" distR="0" wp14:anchorId="1B0AF092" wp14:editId="0DBBE1F7">
            <wp:extent cx="4960620" cy="253683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72024" cy="2542671"/>
                    </a:xfrm>
                    <a:prstGeom prst="rect">
                      <a:avLst/>
                    </a:prstGeom>
                  </pic:spPr>
                </pic:pic>
              </a:graphicData>
            </a:graphic>
          </wp:inline>
        </w:drawing>
      </w:r>
    </w:p>
    <w:p w:rsidR="009C7122" w:rsidRPr="009C7122" w:rsidRDefault="009C7122" w:rsidP="009C7122">
      <w:pPr>
        <w:spacing w:line="240" w:lineRule="auto"/>
        <w:rPr>
          <w:rFonts w:ascii="Times New Roman" w:hAnsi="Times New Roman"/>
          <w:b/>
          <w:u w:val="single"/>
        </w:rPr>
      </w:pPr>
      <w:r w:rsidRPr="009C7122">
        <w:rPr>
          <w:rFonts w:ascii="Times New Roman" w:hAnsi="Times New Roman"/>
          <w:b/>
        </w:rPr>
        <w:t xml:space="preserve">2.8. </w:t>
      </w:r>
      <w:r w:rsidRPr="009C7122">
        <w:rPr>
          <w:rFonts w:ascii="Times New Roman" w:hAnsi="Times New Roman"/>
          <w:b/>
          <w:u w:val="single"/>
        </w:rPr>
        <w:t>Estructura de Financiación</w:t>
      </w:r>
    </w:p>
    <w:p w:rsidR="009C7122" w:rsidRPr="009C7122" w:rsidRDefault="009C7122" w:rsidP="009C7122">
      <w:pPr>
        <w:spacing w:line="240" w:lineRule="auto"/>
        <w:rPr>
          <w:rFonts w:ascii="Times New Roman" w:hAnsi="Times New Roman"/>
        </w:rPr>
      </w:pPr>
      <w:r w:rsidRPr="009C7122">
        <w:rPr>
          <w:rFonts w:ascii="Times New Roman" w:hAnsi="Times New Roman"/>
        </w:rPr>
        <w:t xml:space="preserve">La obtención de financiación oportuna y a costos convenientes para las actividades de Directo es de suma importancia al momento de medir la solidez de la estructura del negocio y la rentabilidad de sus actividades. La Sociedad se propuso contar con mayores alternativas de financiamiento, diversificando las fuentes de fondeo y mejorando el portafolio de deuda a través de préstamos sindicados, la emisión bajo el régimen de oferta pública de valores representativos de deuda de corto plazo, obligaciones negociables, la </w:t>
      </w:r>
      <w:proofErr w:type="spellStart"/>
      <w:r w:rsidRPr="009C7122">
        <w:rPr>
          <w:rFonts w:ascii="Times New Roman" w:hAnsi="Times New Roman"/>
        </w:rPr>
        <w:t>securitización</w:t>
      </w:r>
      <w:proofErr w:type="spellEnd"/>
      <w:r w:rsidRPr="009C7122">
        <w:rPr>
          <w:rFonts w:ascii="Times New Roman" w:hAnsi="Times New Roman"/>
        </w:rPr>
        <w:t xml:space="preserve"> de cartera mediante la constitución de fideicomisos financieros y otros préstamos.</w:t>
      </w:r>
    </w:p>
    <w:p w:rsidR="009C7122" w:rsidRPr="009C7122" w:rsidRDefault="009C7122" w:rsidP="009C7122">
      <w:pPr>
        <w:spacing w:line="240" w:lineRule="auto"/>
        <w:rPr>
          <w:rFonts w:ascii="Times New Roman" w:hAnsi="Times New Roman"/>
        </w:rPr>
      </w:pPr>
      <w:r w:rsidRPr="009C7122">
        <w:rPr>
          <w:rFonts w:ascii="Times New Roman" w:hAnsi="Times New Roman"/>
        </w:rPr>
        <w:t>En función de lo antedicho Directo fondeo su plan de negocios con los siguientes recursos:</w:t>
      </w:r>
    </w:p>
    <w:p w:rsidR="009C7122" w:rsidRPr="009C7122" w:rsidRDefault="009C7122" w:rsidP="009C7122">
      <w:pPr>
        <w:spacing w:line="240" w:lineRule="auto"/>
        <w:rPr>
          <w:rFonts w:ascii="Times New Roman" w:hAnsi="Times New Roman"/>
          <w:highlight w:val="yellow"/>
        </w:rPr>
      </w:pPr>
    </w:p>
    <w:p w:rsidR="009C7122" w:rsidRPr="009C7122" w:rsidRDefault="009C7122" w:rsidP="009C7122">
      <w:pPr>
        <w:numPr>
          <w:ilvl w:val="0"/>
          <w:numId w:val="2"/>
        </w:numPr>
        <w:spacing w:after="0" w:line="240" w:lineRule="auto"/>
        <w:rPr>
          <w:rFonts w:ascii="Times New Roman" w:hAnsi="Times New Roman"/>
        </w:rPr>
      </w:pPr>
      <w:r w:rsidRPr="009C7122">
        <w:rPr>
          <w:rFonts w:ascii="Times New Roman" w:hAnsi="Times New Roman"/>
          <w:b/>
          <w:i/>
        </w:rPr>
        <w:t>Recursos propios:</w:t>
      </w:r>
      <w:r w:rsidRPr="009C7122">
        <w:rPr>
          <w:rFonts w:ascii="Times New Roman" w:hAnsi="Times New Roman"/>
          <w:i/>
        </w:rPr>
        <w:t xml:space="preserve"> </w:t>
      </w:r>
      <w:r w:rsidRPr="009C7122">
        <w:rPr>
          <w:rFonts w:ascii="Times New Roman" w:hAnsi="Times New Roman"/>
        </w:rPr>
        <w:t xml:space="preserve">comprende los sucesivos aportes efectuados por los accionistas y la decisión de reinversión de la rentabilidad generada en el giro de los negocios. </w:t>
      </w:r>
    </w:p>
    <w:p w:rsidR="009C7122" w:rsidRPr="009C7122" w:rsidRDefault="009C7122" w:rsidP="009C7122">
      <w:pPr>
        <w:numPr>
          <w:ilvl w:val="0"/>
          <w:numId w:val="2"/>
        </w:numPr>
        <w:spacing w:after="0" w:line="240" w:lineRule="auto"/>
        <w:rPr>
          <w:rFonts w:ascii="Times New Roman" w:hAnsi="Times New Roman"/>
        </w:rPr>
      </w:pPr>
      <w:r w:rsidRPr="009C7122">
        <w:rPr>
          <w:rFonts w:ascii="Times New Roman" w:hAnsi="Times New Roman"/>
          <w:b/>
          <w:i/>
        </w:rPr>
        <w:t>Préstamos financieros</w:t>
      </w:r>
      <w:r w:rsidRPr="009C7122">
        <w:rPr>
          <w:rFonts w:ascii="Times New Roman" w:hAnsi="Times New Roman"/>
          <w:b/>
        </w:rPr>
        <w:t>:</w:t>
      </w:r>
      <w:r w:rsidRPr="009C7122">
        <w:rPr>
          <w:rFonts w:ascii="Times New Roman" w:hAnsi="Times New Roman"/>
        </w:rPr>
        <w:t xml:space="preserve"> el financiamiento proveniente de entidades financieras de primera línea. Cabe mencionar que Crédito Directo S.A., se encuentra habilitada para recibir financiamiento de </w:t>
      </w:r>
      <w:proofErr w:type="gramStart"/>
      <w:r w:rsidRPr="009C7122">
        <w:rPr>
          <w:rFonts w:ascii="Times New Roman" w:hAnsi="Times New Roman"/>
        </w:rPr>
        <w:t>éste</w:t>
      </w:r>
      <w:proofErr w:type="gramEnd"/>
      <w:r w:rsidRPr="009C7122">
        <w:rPr>
          <w:rFonts w:ascii="Times New Roman" w:hAnsi="Times New Roman"/>
        </w:rPr>
        <w:t xml:space="preserve"> tipo ya que en cumplimiento de lo dispuesto por Comunicación “A” 5593 del Banco Central, se encuentra inscripto en el “</w:t>
      </w:r>
      <w:r w:rsidRPr="009C7122">
        <w:rPr>
          <w:rFonts w:ascii="Times New Roman" w:hAnsi="Times New Roman"/>
          <w:i/>
        </w:rPr>
        <w:t>Registro de otros proveedores de crédito no financiero</w:t>
      </w:r>
      <w:r w:rsidRPr="009C7122">
        <w:rPr>
          <w:rFonts w:ascii="Times New Roman" w:hAnsi="Times New Roman"/>
        </w:rPr>
        <w:t>” bajo en número 55094.</w:t>
      </w:r>
    </w:p>
    <w:p w:rsidR="009C7122" w:rsidRPr="009C7122" w:rsidRDefault="009C7122" w:rsidP="009C7122">
      <w:pPr>
        <w:numPr>
          <w:ilvl w:val="0"/>
          <w:numId w:val="2"/>
        </w:numPr>
        <w:spacing w:after="0" w:line="240" w:lineRule="auto"/>
        <w:rPr>
          <w:rFonts w:ascii="Times New Roman" w:hAnsi="Times New Roman"/>
        </w:rPr>
      </w:pPr>
      <w:r w:rsidRPr="009C7122">
        <w:rPr>
          <w:rFonts w:ascii="Times New Roman" w:hAnsi="Times New Roman"/>
          <w:b/>
          <w:i/>
        </w:rPr>
        <w:t>Otros Préstamos</w:t>
      </w:r>
      <w:r w:rsidRPr="009C7122">
        <w:rPr>
          <w:rFonts w:ascii="Times New Roman" w:hAnsi="Times New Roman"/>
          <w:b/>
        </w:rPr>
        <w:t>:</w:t>
      </w:r>
      <w:r w:rsidRPr="009C7122">
        <w:rPr>
          <w:rFonts w:ascii="Times New Roman" w:hAnsi="Times New Roman"/>
        </w:rPr>
        <w:t xml:space="preserve"> el financiamiento proveniente de personas físicas y jurídicas, tanto </w:t>
      </w:r>
      <w:proofErr w:type="gramStart"/>
      <w:r w:rsidRPr="009C7122">
        <w:rPr>
          <w:rFonts w:ascii="Times New Roman" w:hAnsi="Times New Roman"/>
        </w:rPr>
        <w:t>el pesos</w:t>
      </w:r>
      <w:proofErr w:type="gramEnd"/>
      <w:r w:rsidRPr="009C7122">
        <w:rPr>
          <w:rFonts w:ascii="Times New Roman" w:hAnsi="Times New Roman"/>
        </w:rPr>
        <w:t xml:space="preserve"> como </w:t>
      </w:r>
      <w:proofErr w:type="spellStart"/>
      <w:r w:rsidRPr="009C7122">
        <w:rPr>
          <w:rFonts w:ascii="Times New Roman" w:hAnsi="Times New Roman"/>
        </w:rPr>
        <w:t>el</w:t>
      </w:r>
      <w:proofErr w:type="spellEnd"/>
      <w:r w:rsidRPr="009C7122">
        <w:rPr>
          <w:rFonts w:ascii="Times New Roman" w:hAnsi="Times New Roman"/>
        </w:rPr>
        <w:t xml:space="preserve"> dólares.</w:t>
      </w:r>
    </w:p>
    <w:p w:rsidR="009C7122" w:rsidRPr="009C7122" w:rsidRDefault="009C7122" w:rsidP="009C7122">
      <w:pPr>
        <w:pStyle w:val="Prrafodelista"/>
        <w:numPr>
          <w:ilvl w:val="0"/>
          <w:numId w:val="2"/>
        </w:numPr>
        <w:jc w:val="both"/>
        <w:rPr>
          <w:b/>
          <w:sz w:val="22"/>
          <w:szCs w:val="22"/>
        </w:rPr>
      </w:pPr>
      <w:r w:rsidRPr="009C7122">
        <w:rPr>
          <w:b/>
          <w:i/>
          <w:sz w:val="22"/>
          <w:szCs w:val="22"/>
          <w:lang w:val="es-MX"/>
        </w:rPr>
        <w:t>Fideicomisos</w:t>
      </w:r>
      <w:r w:rsidRPr="009C7122">
        <w:rPr>
          <w:b/>
          <w:sz w:val="22"/>
          <w:szCs w:val="22"/>
        </w:rPr>
        <w:t xml:space="preserve">: </w:t>
      </w:r>
      <w:r w:rsidRPr="009C7122">
        <w:rPr>
          <w:sz w:val="22"/>
          <w:szCs w:val="22"/>
        </w:rPr>
        <w:t>Con fecha 20 de abril de 2017 el Directorio aprobó la constitución del Fideicomiso Financiero “</w:t>
      </w:r>
      <w:proofErr w:type="spellStart"/>
      <w:r w:rsidRPr="009C7122">
        <w:rPr>
          <w:sz w:val="22"/>
          <w:szCs w:val="22"/>
        </w:rPr>
        <w:t>Best</w:t>
      </w:r>
      <w:proofErr w:type="spellEnd"/>
      <w:r w:rsidRPr="009C7122">
        <w:rPr>
          <w:sz w:val="22"/>
          <w:szCs w:val="22"/>
        </w:rPr>
        <w:t xml:space="preserve"> </w:t>
      </w:r>
      <w:proofErr w:type="spellStart"/>
      <w:r w:rsidRPr="009C7122">
        <w:rPr>
          <w:sz w:val="22"/>
          <w:szCs w:val="22"/>
        </w:rPr>
        <w:t>Consumer</w:t>
      </w:r>
      <w:proofErr w:type="spellEnd"/>
      <w:r w:rsidRPr="009C7122">
        <w:rPr>
          <w:sz w:val="22"/>
          <w:szCs w:val="22"/>
        </w:rPr>
        <w:t xml:space="preserve"> Directo Serie III” y posteriormente con fecha</w:t>
      </w:r>
    </w:p>
    <w:p w:rsidR="009C7122" w:rsidRDefault="009C7122" w:rsidP="007C539F">
      <w:pPr>
        <w:spacing w:line="240" w:lineRule="auto"/>
        <w:ind w:left="786"/>
        <w:rPr>
          <w:rFonts w:ascii="Times New Roman" w:hAnsi="Times New Roman"/>
          <w:b/>
        </w:rPr>
      </w:pPr>
      <w:r w:rsidRPr="009C7122">
        <w:rPr>
          <w:rFonts w:ascii="Times New Roman" w:hAnsi="Times New Roman"/>
        </w:rPr>
        <w:t xml:space="preserve">9 de agosto de 2018, aprobó la ampliación del monto de emisión </w:t>
      </w:r>
      <w:proofErr w:type="gramStart"/>
      <w:r w:rsidRPr="009C7122">
        <w:rPr>
          <w:rFonts w:ascii="Times New Roman" w:hAnsi="Times New Roman"/>
        </w:rPr>
        <w:t>del mismo</w:t>
      </w:r>
      <w:proofErr w:type="gramEnd"/>
      <w:r w:rsidRPr="009C7122">
        <w:rPr>
          <w:rFonts w:ascii="Times New Roman" w:hAnsi="Times New Roman"/>
        </w:rPr>
        <w:t xml:space="preserve"> de máximo de V/N $150.000.000 (Pesos ciento cincuenta millones) a V/N $ 250.000.000 (Pesos doscientos cincuenta millones) o su equivalente en otras monedas. </w:t>
      </w:r>
    </w:p>
    <w:p w:rsidR="009C7122" w:rsidRPr="009C7122" w:rsidRDefault="009C7122" w:rsidP="009C7122">
      <w:pPr>
        <w:spacing w:line="240" w:lineRule="auto"/>
        <w:ind w:left="786"/>
        <w:rPr>
          <w:rFonts w:ascii="Times New Roman" w:hAnsi="Times New Roman"/>
        </w:rPr>
      </w:pPr>
      <w:r w:rsidRPr="009C7122">
        <w:rPr>
          <w:rFonts w:ascii="Times New Roman" w:hAnsi="Times New Roman"/>
        </w:rPr>
        <w:t>En fecha 26 de septiembre de 2017 se constituyó el Fideicomiso Financiero “</w:t>
      </w:r>
      <w:proofErr w:type="spellStart"/>
      <w:r w:rsidRPr="009C7122">
        <w:rPr>
          <w:rFonts w:ascii="Times New Roman" w:hAnsi="Times New Roman"/>
        </w:rPr>
        <w:t>Best</w:t>
      </w:r>
      <w:proofErr w:type="spellEnd"/>
      <w:r w:rsidRPr="009C7122">
        <w:rPr>
          <w:rFonts w:ascii="Times New Roman" w:hAnsi="Times New Roman"/>
        </w:rPr>
        <w:t xml:space="preserve"> </w:t>
      </w:r>
      <w:proofErr w:type="spellStart"/>
      <w:r w:rsidRPr="009C7122">
        <w:rPr>
          <w:rFonts w:ascii="Times New Roman" w:hAnsi="Times New Roman"/>
        </w:rPr>
        <w:t>Consumer</w:t>
      </w:r>
      <w:proofErr w:type="spellEnd"/>
      <w:r w:rsidRPr="009C7122">
        <w:rPr>
          <w:rFonts w:ascii="Times New Roman" w:hAnsi="Times New Roman"/>
        </w:rPr>
        <w:t xml:space="preserve"> Directo Serie III” mediante la celebración en forma privada de un contrato de fideicomiso el cual fue reemplazado y modificado por el contrato a oferta pública de </w:t>
      </w:r>
      <w:proofErr w:type="gramStart"/>
      <w:r w:rsidRPr="009C7122">
        <w:rPr>
          <w:rFonts w:ascii="Times New Roman" w:hAnsi="Times New Roman"/>
        </w:rPr>
        <w:t>fecha  8</w:t>
      </w:r>
      <w:proofErr w:type="gramEnd"/>
      <w:r w:rsidRPr="009C7122">
        <w:rPr>
          <w:rFonts w:ascii="Times New Roman" w:hAnsi="Times New Roman"/>
        </w:rPr>
        <w:t xml:space="preserve"> noviembre de 2018. En virtud del Fideicomiso Financiero, el Fiduciario emitió una serie de Valores Fiduciarios conjuntamente por hasta V/N $200.000.000 (pesos doscientos millones), distribuidos en valores representativos de deuda clase A, B, C y certificados de participación.</w:t>
      </w:r>
    </w:p>
    <w:p w:rsidR="009C7122" w:rsidRDefault="009C7122" w:rsidP="009C7122">
      <w:pPr>
        <w:spacing w:line="240" w:lineRule="auto"/>
        <w:ind w:left="786"/>
        <w:rPr>
          <w:rFonts w:ascii="Times New Roman" w:hAnsi="Times New Roman"/>
        </w:rPr>
      </w:pPr>
      <w:r w:rsidRPr="009C7122">
        <w:rPr>
          <w:rFonts w:ascii="Times New Roman" w:hAnsi="Times New Roman"/>
        </w:rPr>
        <w:t>A continuación, se detalla los Valores Fiduciarios emitidos y aquellos en poder de la Sociedad al 31 de diciembre de 2018:</w:t>
      </w:r>
    </w:p>
    <w:p w:rsidR="007C539F" w:rsidRPr="009C7122" w:rsidRDefault="007C539F" w:rsidP="009C7122">
      <w:pPr>
        <w:spacing w:line="240" w:lineRule="auto"/>
        <w:ind w:left="786"/>
        <w:rPr>
          <w:rFonts w:ascii="Times New Roman" w:hAnsi="Times New Roman"/>
        </w:rPr>
      </w:pPr>
    </w:p>
    <w:p w:rsidR="009C7122" w:rsidRPr="009C7122" w:rsidRDefault="009C7122" w:rsidP="007C539F">
      <w:pPr>
        <w:spacing w:line="240" w:lineRule="auto"/>
        <w:ind w:left="786" w:hanging="360"/>
        <w:rPr>
          <w:rFonts w:ascii="Times New Roman" w:hAnsi="Times New Roman"/>
        </w:rPr>
      </w:pPr>
      <w:r w:rsidRPr="009C7122">
        <w:rPr>
          <w:rFonts w:ascii="Times New Roman" w:hAnsi="Times New Roman"/>
          <w:noProof/>
          <w:lang w:eastAsia="es-AR"/>
        </w:rPr>
        <w:drawing>
          <wp:inline distT="0" distB="0" distL="0" distR="0" wp14:anchorId="7BD87ACC" wp14:editId="3AEBDB8C">
            <wp:extent cx="5387340" cy="1760504"/>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29950" cy="1774428"/>
                    </a:xfrm>
                    <a:prstGeom prst="rect">
                      <a:avLst/>
                    </a:prstGeom>
                  </pic:spPr>
                </pic:pic>
              </a:graphicData>
            </a:graphic>
          </wp:inline>
        </w:drawing>
      </w:r>
    </w:p>
    <w:p w:rsidR="009C7122" w:rsidRPr="009C7122" w:rsidRDefault="009C7122" w:rsidP="009C7122">
      <w:pPr>
        <w:spacing w:line="240" w:lineRule="auto"/>
        <w:rPr>
          <w:rFonts w:ascii="Times New Roman" w:hAnsi="Times New Roman"/>
        </w:rPr>
      </w:pPr>
    </w:p>
    <w:p w:rsidR="009C7122" w:rsidRPr="009C7122" w:rsidRDefault="009C7122" w:rsidP="009C7122">
      <w:pPr>
        <w:spacing w:line="240" w:lineRule="auto"/>
        <w:ind w:left="786"/>
        <w:rPr>
          <w:rFonts w:ascii="Times New Roman" w:hAnsi="Times New Roman"/>
        </w:rPr>
      </w:pPr>
      <w:r w:rsidRPr="009C7122">
        <w:rPr>
          <w:rFonts w:ascii="Times New Roman" w:hAnsi="Times New Roman"/>
        </w:rPr>
        <w:lastRenderedPageBreak/>
        <w:t>Adicionalmente, con fecha 28 de diciembre de 2018, se constituyó el Fideicomiso Financiero Privado Directo I. En virtud de dicho fideicomiso, el Fiduciario emitió Certificados de Participación Lote 1 por un total de $50.190.684,18 (pesos cincuenta millones ciento noventa mil seiscientos ochenta y cuatro con 18/100), distribuidos en Certificados de Participación Senior Lote 1 por un V/N de $45.171.615,76 (pesos cuarenta y cinco millones ciento setenta y un mil seiscientos quince con  76/100) y Certificados de Participación Junior Lote 1 por un V/N de $5.019.068,42 (pesos cinco millones diecinueve mil sesenta y ocho con 42/100).</w:t>
      </w:r>
    </w:p>
    <w:p w:rsidR="009C7122" w:rsidRPr="009C7122" w:rsidRDefault="009C7122" w:rsidP="009C7122">
      <w:pPr>
        <w:numPr>
          <w:ilvl w:val="0"/>
          <w:numId w:val="2"/>
        </w:numPr>
        <w:spacing w:after="0" w:line="240" w:lineRule="auto"/>
        <w:rPr>
          <w:rFonts w:ascii="Times New Roman" w:hAnsi="Times New Roman"/>
        </w:rPr>
      </w:pPr>
      <w:r w:rsidRPr="009C7122">
        <w:rPr>
          <w:rFonts w:ascii="Times New Roman" w:hAnsi="Times New Roman"/>
          <w:b/>
          <w:i/>
        </w:rPr>
        <w:t>Valores de Corto Plazo (VCP)</w:t>
      </w:r>
      <w:r w:rsidRPr="009C7122">
        <w:rPr>
          <w:rFonts w:ascii="Times New Roman" w:hAnsi="Times New Roman"/>
          <w:b/>
        </w:rPr>
        <w:t>:</w:t>
      </w:r>
      <w:r w:rsidRPr="009C7122">
        <w:rPr>
          <w:rFonts w:ascii="Times New Roman" w:hAnsi="Times New Roman"/>
        </w:rPr>
        <w:t xml:space="preserve"> a través de la Resolución 17.880 de fecha 05 de </w:t>
      </w:r>
      <w:proofErr w:type="gramStart"/>
      <w:r w:rsidRPr="009C7122">
        <w:rPr>
          <w:rFonts w:ascii="Times New Roman" w:hAnsi="Times New Roman"/>
        </w:rPr>
        <w:t>Noviembre</w:t>
      </w:r>
      <w:proofErr w:type="gramEnd"/>
      <w:r w:rsidRPr="009C7122">
        <w:rPr>
          <w:rFonts w:ascii="Times New Roman" w:hAnsi="Times New Roman"/>
        </w:rPr>
        <w:t xml:space="preserve"> de 2015, la Comisión Nacional de Valores (CNV) autorizó el Programa Global de Emisión de Valores Representativos de Deuda de Corto Plazo por hasta un monto de valor nominal de pesos quinientos millones (V/N $500.000.000) o su equivalente en otras monedas. Con fecha 07 de septiembre de 2017, la Comisión Nacional de Valores (CNV) por Resolución 18.920 resuelve ampliar el monto máximo del citado programa a valor nominal pesos ochocientos millones (V/N $800.000.000) o su equivalente en otras monedas.</w:t>
      </w:r>
    </w:p>
    <w:p w:rsidR="009C7122" w:rsidRPr="009C7122" w:rsidRDefault="009C7122" w:rsidP="009C7122">
      <w:pPr>
        <w:spacing w:line="240" w:lineRule="auto"/>
        <w:ind w:left="786"/>
        <w:rPr>
          <w:rFonts w:ascii="Times New Roman" w:hAnsi="Times New Roman"/>
        </w:rPr>
      </w:pPr>
      <w:r w:rsidRPr="009C7122">
        <w:rPr>
          <w:rFonts w:ascii="Times New Roman" w:hAnsi="Times New Roman"/>
        </w:rPr>
        <w:t>Con fecha 10 de mayo de 2018, el directorio aprobó la actualización de la información contenida en el prospecto de dicho programa global.</w:t>
      </w:r>
    </w:p>
    <w:p w:rsidR="009C7122" w:rsidRPr="009C7122" w:rsidRDefault="009C7122" w:rsidP="009C7122">
      <w:pPr>
        <w:spacing w:line="240" w:lineRule="auto"/>
        <w:ind w:left="786"/>
        <w:rPr>
          <w:rFonts w:ascii="Times New Roman" w:hAnsi="Times New Roman"/>
        </w:rPr>
      </w:pPr>
      <w:r w:rsidRPr="009C7122">
        <w:rPr>
          <w:rFonts w:ascii="Times New Roman" w:hAnsi="Times New Roman"/>
        </w:rPr>
        <w:t>Al 31 de diciembre de 2018 se han emitido 12 (doce) series de Valores Representativos de Deuda de Corto Plazo (</w:t>
      </w:r>
      <w:proofErr w:type="spellStart"/>
      <w:r w:rsidRPr="009C7122">
        <w:rPr>
          <w:rFonts w:ascii="Times New Roman" w:hAnsi="Times New Roman"/>
        </w:rPr>
        <w:t>VCPs</w:t>
      </w:r>
      <w:proofErr w:type="spellEnd"/>
      <w:r w:rsidRPr="009C7122">
        <w:rPr>
          <w:rFonts w:ascii="Times New Roman" w:hAnsi="Times New Roman"/>
        </w:rPr>
        <w:t xml:space="preserve">) y se encuentran vigentes los siguientes:  </w:t>
      </w:r>
    </w:p>
    <w:p w:rsidR="009C7122" w:rsidRPr="009C7122" w:rsidRDefault="009C7122" w:rsidP="007C539F">
      <w:pPr>
        <w:spacing w:line="240" w:lineRule="auto"/>
        <w:ind w:left="786" w:hanging="77"/>
        <w:rPr>
          <w:rFonts w:ascii="Times New Roman" w:hAnsi="Times New Roman"/>
        </w:rPr>
      </w:pPr>
      <w:r w:rsidRPr="009C7122">
        <w:rPr>
          <w:rFonts w:ascii="Times New Roman" w:hAnsi="Times New Roman"/>
          <w:noProof/>
          <w:lang w:eastAsia="es-AR"/>
        </w:rPr>
        <w:drawing>
          <wp:inline distT="0" distB="0" distL="0" distR="0" wp14:anchorId="05525205" wp14:editId="42213A38">
            <wp:extent cx="5372100" cy="684485"/>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47777" cy="694127"/>
                    </a:xfrm>
                    <a:prstGeom prst="rect">
                      <a:avLst/>
                    </a:prstGeom>
                  </pic:spPr>
                </pic:pic>
              </a:graphicData>
            </a:graphic>
          </wp:inline>
        </w:drawing>
      </w:r>
    </w:p>
    <w:p w:rsidR="009C7122" w:rsidRPr="009C7122" w:rsidRDefault="009C7122" w:rsidP="009C7122">
      <w:pPr>
        <w:spacing w:line="240" w:lineRule="auto"/>
        <w:ind w:left="786"/>
        <w:rPr>
          <w:rFonts w:ascii="Times New Roman" w:hAnsi="Times New Roman"/>
        </w:rPr>
      </w:pPr>
      <w:r w:rsidRPr="009C7122">
        <w:rPr>
          <w:rFonts w:ascii="Times New Roman" w:hAnsi="Times New Roman"/>
        </w:rPr>
        <w:t>Adicionalmente, en acta N°111 de fecha 14 de febrero de 2018 el Directorio de la Sociedad aprobó la emisión, bajo el Programa, de la décimo tercera clase de valores representativos de deuda de corto plazo por un valor nominal total en circulación de hasta $200.000.000 (Pesos doscientos millones), o su equivalente en otras monedas (los “VCP Clase XIII”). Los mismos no fueron emitidos a la fecha.</w:t>
      </w:r>
    </w:p>
    <w:p w:rsidR="009C7122" w:rsidRPr="009C7122" w:rsidRDefault="009C7122" w:rsidP="009C7122">
      <w:pPr>
        <w:spacing w:line="240" w:lineRule="auto"/>
        <w:ind w:left="786"/>
        <w:rPr>
          <w:rFonts w:ascii="Times New Roman" w:hAnsi="Times New Roman"/>
        </w:rPr>
      </w:pPr>
      <w:r w:rsidRPr="009C7122">
        <w:rPr>
          <w:rFonts w:ascii="Times New Roman" w:hAnsi="Times New Roman"/>
        </w:rPr>
        <w:t xml:space="preserve">Con fecha 23 de julio de 2018, el Directorio aprobó la emisión de la décima </w:t>
      </w:r>
      <w:proofErr w:type="gramStart"/>
      <w:r w:rsidRPr="009C7122">
        <w:rPr>
          <w:rFonts w:ascii="Times New Roman" w:hAnsi="Times New Roman"/>
        </w:rPr>
        <w:t>tercera  y</w:t>
      </w:r>
      <w:proofErr w:type="gramEnd"/>
      <w:r w:rsidRPr="009C7122">
        <w:rPr>
          <w:rFonts w:ascii="Times New Roman" w:hAnsi="Times New Roman"/>
        </w:rPr>
        <w:t xml:space="preserve"> décima cuarta clase de valores representativos de deuda de corto plazo  por un valor nominal total en circulación de hasta $150.000.000 (Pesos ciento cincuenta millones), o su equivalente en otras monedas (los “VCP Clase XIII” y los “VCP Clase XIV”) </w:t>
      </w:r>
    </w:p>
    <w:p w:rsidR="009C7122" w:rsidRPr="009C7122" w:rsidRDefault="009C7122" w:rsidP="009C7122">
      <w:pPr>
        <w:numPr>
          <w:ilvl w:val="0"/>
          <w:numId w:val="2"/>
        </w:numPr>
        <w:spacing w:after="0" w:line="240" w:lineRule="auto"/>
        <w:rPr>
          <w:rFonts w:ascii="Times New Roman" w:hAnsi="Times New Roman"/>
        </w:rPr>
      </w:pPr>
      <w:r w:rsidRPr="009C7122">
        <w:rPr>
          <w:rFonts w:ascii="Times New Roman" w:hAnsi="Times New Roman"/>
          <w:b/>
          <w:i/>
        </w:rPr>
        <w:t>Obligaciones Negociables</w:t>
      </w:r>
      <w:r w:rsidRPr="009C7122">
        <w:rPr>
          <w:rFonts w:ascii="Times New Roman" w:hAnsi="Times New Roman"/>
          <w:b/>
        </w:rPr>
        <w:t>:</w:t>
      </w:r>
      <w:r w:rsidRPr="009C7122">
        <w:rPr>
          <w:rFonts w:ascii="Times New Roman" w:hAnsi="Times New Roman"/>
        </w:rPr>
        <w:t xml:space="preserve"> a través de la Resolución 18.903 de fecha 17 de agosto de 2017, la Comisión Nacional de Valores (CNV) autorizó el Programa Global de Emisión de Obligaciones Negociables Simples (no convertibles en acciones) por hasta $800.000.000 (o su equivalente en otras monedas). </w:t>
      </w:r>
    </w:p>
    <w:p w:rsidR="009C7122" w:rsidRPr="009C7122" w:rsidRDefault="009C7122" w:rsidP="009C7122">
      <w:pPr>
        <w:spacing w:line="240" w:lineRule="auto"/>
        <w:ind w:left="786"/>
        <w:rPr>
          <w:rFonts w:ascii="Times New Roman" w:hAnsi="Times New Roman"/>
        </w:rPr>
      </w:pPr>
      <w:r w:rsidRPr="009C7122">
        <w:rPr>
          <w:rFonts w:ascii="Times New Roman" w:hAnsi="Times New Roman"/>
        </w:rPr>
        <w:t>Con fecha 23 de julio de 2018, el directorio aprobó la actualización del prospecto del programa global para la emisión de obligaciones negociables.</w:t>
      </w:r>
    </w:p>
    <w:p w:rsidR="009C7122" w:rsidRPr="009C7122" w:rsidRDefault="009C7122" w:rsidP="009C7122">
      <w:pPr>
        <w:spacing w:line="240" w:lineRule="auto"/>
        <w:ind w:left="786"/>
        <w:rPr>
          <w:rFonts w:ascii="Times New Roman" w:hAnsi="Times New Roman"/>
        </w:rPr>
      </w:pPr>
      <w:r w:rsidRPr="009C7122">
        <w:rPr>
          <w:rFonts w:ascii="Times New Roman" w:hAnsi="Times New Roman"/>
        </w:rPr>
        <w:t>Al 31 de diciembre de 2018 se han emitido 4 (cuatro) Series de obligaciones negociables y se encuentran vigentes las siguientes:</w:t>
      </w:r>
    </w:p>
    <w:p w:rsidR="009C7122" w:rsidRPr="009C7122" w:rsidRDefault="009C7122" w:rsidP="007C539F">
      <w:pPr>
        <w:spacing w:line="240" w:lineRule="auto"/>
        <w:ind w:left="786" w:hanging="360"/>
        <w:rPr>
          <w:rFonts w:ascii="Times New Roman" w:hAnsi="Times New Roman"/>
        </w:rPr>
      </w:pPr>
      <w:r w:rsidRPr="009C7122">
        <w:rPr>
          <w:rFonts w:ascii="Times New Roman" w:hAnsi="Times New Roman"/>
          <w:noProof/>
          <w:lang w:eastAsia="es-AR"/>
        </w:rPr>
        <w:drawing>
          <wp:inline distT="0" distB="0" distL="0" distR="0" wp14:anchorId="0FC35D39" wp14:editId="54DC163E">
            <wp:extent cx="5400822" cy="1196340"/>
            <wp:effectExtent l="0" t="0" r="9525"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24000" cy="1201474"/>
                    </a:xfrm>
                    <a:prstGeom prst="rect">
                      <a:avLst/>
                    </a:prstGeom>
                  </pic:spPr>
                </pic:pic>
              </a:graphicData>
            </a:graphic>
          </wp:inline>
        </w:drawing>
      </w:r>
    </w:p>
    <w:p w:rsidR="009C7122" w:rsidRPr="009C7122" w:rsidRDefault="009C7122" w:rsidP="009C7122">
      <w:pPr>
        <w:spacing w:line="240" w:lineRule="auto"/>
        <w:ind w:left="708"/>
        <w:rPr>
          <w:rFonts w:ascii="Times New Roman" w:hAnsi="Times New Roman"/>
        </w:rPr>
      </w:pPr>
      <w:r w:rsidRPr="009C7122">
        <w:rPr>
          <w:rFonts w:ascii="Times New Roman" w:hAnsi="Times New Roman"/>
        </w:rPr>
        <w:t>Cabe destacar que al momento de la emisión de:</w:t>
      </w:r>
    </w:p>
    <w:p w:rsidR="009C7122" w:rsidRPr="009C7122" w:rsidRDefault="009C7122" w:rsidP="009C7122">
      <w:pPr>
        <w:spacing w:line="240" w:lineRule="auto"/>
        <w:ind w:left="708"/>
        <w:rPr>
          <w:rFonts w:ascii="Times New Roman" w:hAnsi="Times New Roman"/>
        </w:rPr>
      </w:pPr>
      <w:r w:rsidRPr="009C7122">
        <w:rPr>
          <w:rFonts w:ascii="Times New Roman" w:hAnsi="Times New Roman"/>
        </w:rPr>
        <w:t>- las Obligaciones Negociables Clase I, se procedió a canjear Valores de Corto Plazo Clase V y Clase VI, quedando éstos en cartera de la Sociedad hasta la fecha de vencimiento de los mencionados Valores de Corto Plazo.</w:t>
      </w:r>
    </w:p>
    <w:p w:rsidR="009C7122" w:rsidRPr="009C7122" w:rsidRDefault="009C7122" w:rsidP="009C7122">
      <w:pPr>
        <w:spacing w:line="240" w:lineRule="auto"/>
        <w:ind w:left="708"/>
        <w:rPr>
          <w:rFonts w:ascii="Times New Roman" w:hAnsi="Times New Roman"/>
        </w:rPr>
      </w:pPr>
      <w:r w:rsidRPr="009C7122">
        <w:rPr>
          <w:rFonts w:ascii="Times New Roman" w:hAnsi="Times New Roman"/>
        </w:rPr>
        <w:t xml:space="preserve">- las Obligaciones Negociables Clase III, se procedió a canjear Valores de Corto Plazo Clase VIII, quedando este último en cartera de la Sociedad hasta la fecha de vencimiento </w:t>
      </w:r>
      <w:proofErr w:type="gramStart"/>
      <w:r w:rsidRPr="009C7122">
        <w:rPr>
          <w:rFonts w:ascii="Times New Roman" w:hAnsi="Times New Roman"/>
        </w:rPr>
        <w:t>del mismo</w:t>
      </w:r>
      <w:proofErr w:type="gramEnd"/>
      <w:r w:rsidRPr="009C7122">
        <w:rPr>
          <w:rFonts w:ascii="Times New Roman" w:hAnsi="Times New Roman"/>
        </w:rPr>
        <w:t>.</w:t>
      </w:r>
    </w:p>
    <w:p w:rsidR="009C7122" w:rsidRPr="009C7122" w:rsidRDefault="009C7122" w:rsidP="009C7122">
      <w:pPr>
        <w:spacing w:line="240" w:lineRule="auto"/>
        <w:ind w:left="708"/>
        <w:rPr>
          <w:rFonts w:ascii="Times New Roman" w:hAnsi="Times New Roman"/>
        </w:rPr>
      </w:pPr>
      <w:r w:rsidRPr="009C7122">
        <w:rPr>
          <w:rFonts w:ascii="Times New Roman" w:hAnsi="Times New Roman"/>
        </w:rPr>
        <w:t>Adicionalmente, en acta N°120 de fecha 23 de abril de 2018 el Directorio de la Sociedad aprobó la emisión de Obligaciones Negociables clase V y VI, cada una, por un valor nominal total en circulación de hasta $100.000.000 (pesos cien millones) ampliable hasta $300.000.000 (Pesos trescientos millones) o su equivalente en otras monedas.</w:t>
      </w:r>
    </w:p>
    <w:p w:rsidR="009C7122" w:rsidRPr="009C7122" w:rsidRDefault="009C7122" w:rsidP="009C7122">
      <w:pPr>
        <w:spacing w:line="240" w:lineRule="auto"/>
        <w:rPr>
          <w:rFonts w:ascii="Times New Roman" w:hAnsi="Times New Roman"/>
          <w:b/>
          <w:u w:val="single"/>
        </w:rPr>
      </w:pPr>
      <w:r w:rsidRPr="009C7122">
        <w:rPr>
          <w:rFonts w:ascii="Times New Roman" w:hAnsi="Times New Roman"/>
          <w:b/>
          <w:u w:val="single"/>
        </w:rPr>
        <w:t>3 – ESTRUCTURA Y ORGANIZACIÓN DE LA SOCIEDAD</w:t>
      </w:r>
    </w:p>
    <w:p w:rsidR="009C7122" w:rsidRPr="009C7122" w:rsidRDefault="009C7122" w:rsidP="009C7122">
      <w:pPr>
        <w:spacing w:line="240" w:lineRule="auto"/>
        <w:rPr>
          <w:rFonts w:ascii="Times New Roman" w:hAnsi="Times New Roman"/>
          <w:b/>
          <w:u w:val="single"/>
        </w:rPr>
      </w:pPr>
    </w:p>
    <w:p w:rsidR="009C7122" w:rsidRPr="009C7122" w:rsidRDefault="009C7122" w:rsidP="009C7122">
      <w:pPr>
        <w:spacing w:line="240" w:lineRule="auto"/>
        <w:rPr>
          <w:rFonts w:ascii="Times New Roman" w:hAnsi="Times New Roman"/>
          <w:b/>
          <w:u w:val="single"/>
        </w:rPr>
      </w:pPr>
      <w:r w:rsidRPr="009C7122">
        <w:rPr>
          <w:rFonts w:ascii="Times New Roman" w:hAnsi="Times New Roman"/>
          <w:b/>
          <w:u w:val="single"/>
        </w:rPr>
        <w:lastRenderedPageBreak/>
        <w:t>3.1. Composición Accionaria</w:t>
      </w:r>
    </w:p>
    <w:p w:rsidR="009C7122" w:rsidRPr="009C7122" w:rsidRDefault="009C7122" w:rsidP="009C7122">
      <w:pPr>
        <w:spacing w:line="240" w:lineRule="auto"/>
        <w:rPr>
          <w:rFonts w:ascii="Times New Roman" w:hAnsi="Times New Roman"/>
          <w:u w:val="single"/>
        </w:rPr>
      </w:pPr>
    </w:p>
    <w:p w:rsidR="009C7122" w:rsidRPr="009C7122" w:rsidRDefault="009C7122" w:rsidP="009C7122">
      <w:pPr>
        <w:spacing w:line="240" w:lineRule="auto"/>
        <w:rPr>
          <w:rFonts w:ascii="Times New Roman" w:hAnsi="Times New Roman"/>
          <w:u w:val="single"/>
        </w:rPr>
      </w:pPr>
      <w:r w:rsidRPr="009C7122">
        <w:rPr>
          <w:rFonts w:ascii="Times New Roman" w:hAnsi="Times New Roman"/>
          <w:noProof/>
          <w:lang w:eastAsia="es-AR"/>
        </w:rPr>
        <w:drawing>
          <wp:inline distT="0" distB="0" distL="0" distR="0" wp14:anchorId="1A4E2DC1" wp14:editId="443E07CD">
            <wp:extent cx="4312920" cy="295641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39538" cy="2974661"/>
                    </a:xfrm>
                    <a:prstGeom prst="rect">
                      <a:avLst/>
                    </a:prstGeom>
                  </pic:spPr>
                </pic:pic>
              </a:graphicData>
            </a:graphic>
          </wp:inline>
        </w:drawing>
      </w:r>
    </w:p>
    <w:p w:rsidR="009C7122" w:rsidRPr="009C7122" w:rsidRDefault="009C7122" w:rsidP="009C7122">
      <w:pPr>
        <w:spacing w:line="240" w:lineRule="auto"/>
        <w:rPr>
          <w:rFonts w:ascii="Times New Roman" w:hAnsi="Times New Roman"/>
          <w:b/>
          <w:u w:val="single"/>
        </w:rPr>
      </w:pPr>
      <w:r w:rsidRPr="009C7122">
        <w:rPr>
          <w:rFonts w:ascii="Times New Roman" w:hAnsi="Times New Roman"/>
          <w:b/>
          <w:u w:val="single"/>
        </w:rPr>
        <w:t>3.2. Política ambiental</w:t>
      </w:r>
    </w:p>
    <w:p w:rsidR="009C7122" w:rsidRPr="009C7122" w:rsidRDefault="009C7122" w:rsidP="009C7122">
      <w:pPr>
        <w:spacing w:line="240" w:lineRule="auto"/>
        <w:rPr>
          <w:rFonts w:ascii="Times New Roman" w:hAnsi="Times New Roman"/>
        </w:rPr>
      </w:pPr>
      <w:r w:rsidRPr="009C7122">
        <w:rPr>
          <w:rFonts w:ascii="Times New Roman" w:hAnsi="Times New Roman"/>
        </w:rPr>
        <w:t xml:space="preserve">Respecto de la política ambiental o de sustentabilidad, la Sociedad no cuenta con políticas y/o indicadores de desempeño en dicha materia.  Sin perjuicio de ello, y en el marco del desarrollo de políticas tendientes a implementar acciones de Responsabilidad Social y </w:t>
      </w:r>
      <w:proofErr w:type="gramStart"/>
      <w:r w:rsidRPr="009C7122">
        <w:rPr>
          <w:rFonts w:ascii="Times New Roman" w:hAnsi="Times New Roman"/>
        </w:rPr>
        <w:t>Ambiental,  la</w:t>
      </w:r>
      <w:proofErr w:type="gramEnd"/>
      <w:r w:rsidRPr="009C7122">
        <w:rPr>
          <w:rFonts w:ascii="Times New Roman" w:hAnsi="Times New Roman"/>
        </w:rPr>
        <w:t xml:space="preserve"> Sociedad adhiere a pautas para la reducción del consumo de papel y energías no renovables, así como también a edificios libres de humo.</w:t>
      </w:r>
    </w:p>
    <w:p w:rsidR="009C7122" w:rsidRPr="009C7122" w:rsidRDefault="009C7122" w:rsidP="009C7122">
      <w:pPr>
        <w:spacing w:line="240" w:lineRule="auto"/>
        <w:rPr>
          <w:rFonts w:ascii="Times New Roman" w:hAnsi="Times New Roman"/>
          <w:b/>
          <w:u w:val="single"/>
        </w:rPr>
      </w:pPr>
      <w:r w:rsidRPr="009C7122">
        <w:rPr>
          <w:rFonts w:ascii="Times New Roman" w:hAnsi="Times New Roman"/>
          <w:b/>
          <w:u w:val="single"/>
        </w:rPr>
        <w:t>3.3. Organización de la toma de decisiones</w:t>
      </w:r>
    </w:p>
    <w:p w:rsidR="009C7122" w:rsidRPr="009C7122" w:rsidRDefault="009C7122" w:rsidP="009C7122">
      <w:pPr>
        <w:spacing w:line="240" w:lineRule="auto"/>
        <w:rPr>
          <w:rFonts w:ascii="Times New Roman" w:hAnsi="Times New Roman"/>
          <w:lang w:val="es-ES_tradnl"/>
        </w:rPr>
      </w:pPr>
      <w:r w:rsidRPr="009C7122">
        <w:rPr>
          <w:rFonts w:ascii="Times New Roman" w:hAnsi="Times New Roman"/>
          <w:lang w:val="es-ES_tradnl"/>
        </w:rPr>
        <w:t>Existen cuatro niveles bien definidos que se complementan y trabajan en equipo, con el fin de cumplir con los objetivos de la Sociedad:</w:t>
      </w:r>
    </w:p>
    <w:p w:rsidR="009C7122" w:rsidRPr="009C7122" w:rsidRDefault="009C7122" w:rsidP="009C7122">
      <w:pPr>
        <w:pStyle w:val="Prrafodelista"/>
        <w:numPr>
          <w:ilvl w:val="0"/>
          <w:numId w:val="4"/>
        </w:numPr>
        <w:jc w:val="both"/>
        <w:rPr>
          <w:sz w:val="22"/>
          <w:szCs w:val="22"/>
          <w:lang w:val="es-ES_tradnl"/>
        </w:rPr>
      </w:pPr>
      <w:r w:rsidRPr="009C7122">
        <w:rPr>
          <w:sz w:val="22"/>
          <w:szCs w:val="22"/>
          <w:u w:val="single"/>
          <w:lang w:val="es-ES_tradnl"/>
        </w:rPr>
        <w:t>Directores</w:t>
      </w:r>
      <w:r w:rsidRPr="009C7122">
        <w:rPr>
          <w:sz w:val="22"/>
          <w:szCs w:val="22"/>
          <w:lang w:val="es-ES_tradnl"/>
        </w:rPr>
        <w:t>: Tienen a su cargo la definición de políticas y el control de su ejecución, como así también la aprobación de los Planes de Negocios.</w:t>
      </w:r>
    </w:p>
    <w:p w:rsidR="009C7122" w:rsidRPr="009C7122" w:rsidRDefault="009C7122" w:rsidP="009C7122">
      <w:pPr>
        <w:pStyle w:val="Prrafodelista"/>
        <w:numPr>
          <w:ilvl w:val="0"/>
          <w:numId w:val="4"/>
        </w:numPr>
        <w:jc w:val="both"/>
        <w:rPr>
          <w:sz w:val="22"/>
          <w:szCs w:val="22"/>
          <w:lang w:val="es-ES_tradnl"/>
        </w:rPr>
      </w:pPr>
      <w:r w:rsidRPr="009C7122">
        <w:rPr>
          <w:sz w:val="22"/>
          <w:szCs w:val="22"/>
          <w:u w:val="single"/>
          <w:lang w:val="es-ES_tradnl"/>
        </w:rPr>
        <w:t>Gerente General</w:t>
      </w:r>
      <w:r w:rsidRPr="009C7122">
        <w:rPr>
          <w:sz w:val="22"/>
          <w:szCs w:val="22"/>
          <w:lang w:val="es-ES_tradnl"/>
        </w:rPr>
        <w:t xml:space="preserve">: Entre sus funciones se encuentra definir el perfil de negocios adaptable a las políticas aprobadas por el Directorio y el Plan Anual Estratégico de la Sociedad, supervisando el cumplimiento </w:t>
      </w:r>
      <w:proofErr w:type="gramStart"/>
      <w:r w:rsidRPr="009C7122">
        <w:rPr>
          <w:sz w:val="22"/>
          <w:szCs w:val="22"/>
          <w:lang w:val="es-ES_tradnl"/>
        </w:rPr>
        <w:t>del mismo</w:t>
      </w:r>
      <w:proofErr w:type="gramEnd"/>
      <w:r w:rsidRPr="009C7122">
        <w:rPr>
          <w:sz w:val="22"/>
          <w:szCs w:val="22"/>
          <w:lang w:val="es-ES_tradnl"/>
        </w:rPr>
        <w:t xml:space="preserve"> por cada una de las áreas e informando los avances de su gestión.</w:t>
      </w:r>
    </w:p>
    <w:p w:rsidR="009C7122" w:rsidRPr="009C7122" w:rsidRDefault="009C7122" w:rsidP="009C7122">
      <w:pPr>
        <w:pStyle w:val="Prrafodelista"/>
        <w:numPr>
          <w:ilvl w:val="0"/>
          <w:numId w:val="4"/>
        </w:numPr>
        <w:jc w:val="both"/>
        <w:rPr>
          <w:sz w:val="22"/>
          <w:szCs w:val="22"/>
          <w:lang w:val="es-ES_tradnl"/>
        </w:rPr>
      </w:pPr>
      <w:r w:rsidRPr="009C7122">
        <w:rPr>
          <w:sz w:val="22"/>
          <w:szCs w:val="22"/>
          <w:u w:val="single"/>
          <w:lang w:val="es-ES_tradnl"/>
        </w:rPr>
        <w:t>Gerentes</w:t>
      </w:r>
      <w:r w:rsidRPr="009C7122">
        <w:rPr>
          <w:sz w:val="22"/>
          <w:szCs w:val="22"/>
          <w:lang w:val="es-ES_tradnl"/>
        </w:rPr>
        <w:t xml:space="preserve">: Son los responsables de elevar los presupuestos y los planes específicos de sus áreas (en función a los lineamientos del Directorio y a las indicaciones del Gerente General), </w:t>
      </w:r>
      <w:proofErr w:type="gramStart"/>
      <w:r w:rsidRPr="009C7122">
        <w:rPr>
          <w:sz w:val="22"/>
          <w:szCs w:val="22"/>
          <w:lang w:val="es-ES_tradnl"/>
        </w:rPr>
        <w:t>ejecutando  los</w:t>
      </w:r>
      <w:proofErr w:type="gramEnd"/>
      <w:r w:rsidRPr="009C7122">
        <w:rPr>
          <w:sz w:val="22"/>
          <w:szCs w:val="22"/>
          <w:lang w:val="es-ES_tradnl"/>
        </w:rPr>
        <w:t xml:space="preserve"> mismos una vez aprobados.</w:t>
      </w:r>
    </w:p>
    <w:p w:rsidR="009C7122" w:rsidRPr="009C7122" w:rsidRDefault="009C7122" w:rsidP="009C7122">
      <w:pPr>
        <w:pStyle w:val="Prrafodelista"/>
        <w:numPr>
          <w:ilvl w:val="0"/>
          <w:numId w:val="4"/>
        </w:numPr>
        <w:jc w:val="both"/>
        <w:rPr>
          <w:sz w:val="22"/>
          <w:szCs w:val="22"/>
          <w:lang w:val="es-ES_tradnl"/>
        </w:rPr>
      </w:pPr>
      <w:r w:rsidRPr="009C7122">
        <w:rPr>
          <w:sz w:val="22"/>
          <w:szCs w:val="22"/>
          <w:u w:val="single"/>
          <w:lang w:val="es-ES_tradnl"/>
        </w:rPr>
        <w:t>Colaboradores</w:t>
      </w:r>
      <w:r w:rsidRPr="009C7122">
        <w:rPr>
          <w:sz w:val="22"/>
          <w:szCs w:val="22"/>
          <w:lang w:val="es-ES_tradnl"/>
        </w:rPr>
        <w:t>: Desarrollan las tareas necesarias a los efectos de lograr el cumplimiento del presupuesto. Siguiendo las indicaciones de los Gerentes.</w:t>
      </w:r>
    </w:p>
    <w:p w:rsidR="00192CC0" w:rsidRDefault="00192CC0" w:rsidP="009C7122">
      <w:pPr>
        <w:spacing w:line="240" w:lineRule="auto"/>
        <w:rPr>
          <w:rFonts w:ascii="Times New Roman" w:hAnsi="Times New Roman"/>
          <w:lang w:val="es-ES_tradnl"/>
        </w:rPr>
      </w:pPr>
    </w:p>
    <w:p w:rsidR="009C7122" w:rsidRPr="009C7122" w:rsidRDefault="009C7122" w:rsidP="009C7122">
      <w:pPr>
        <w:spacing w:line="240" w:lineRule="auto"/>
        <w:rPr>
          <w:rFonts w:ascii="Times New Roman" w:hAnsi="Times New Roman"/>
          <w:lang w:val="es-ES_tradnl"/>
        </w:rPr>
      </w:pPr>
      <w:r w:rsidRPr="009C7122">
        <w:rPr>
          <w:rFonts w:ascii="Times New Roman" w:hAnsi="Times New Roman"/>
          <w:lang w:val="es-ES_tradnl"/>
        </w:rPr>
        <w:t>Los miembros del Directorio participan activamente en el seguimiento de la evolución del Plan Anual y de los riesgos asociados a través de la participación en las reuniones de los Gerentes.</w:t>
      </w:r>
    </w:p>
    <w:p w:rsidR="009C7122" w:rsidRPr="009C7122" w:rsidRDefault="009C7122" w:rsidP="009C7122">
      <w:pPr>
        <w:spacing w:line="240" w:lineRule="auto"/>
        <w:rPr>
          <w:rFonts w:ascii="Times New Roman" w:hAnsi="Times New Roman"/>
          <w:lang w:val="es-ES_tradnl"/>
        </w:rPr>
      </w:pPr>
      <w:r w:rsidRPr="009C7122">
        <w:rPr>
          <w:rFonts w:ascii="Times New Roman" w:hAnsi="Times New Roman"/>
          <w:lang w:val="es-ES_tradnl"/>
        </w:rPr>
        <w:t>En ese ámbito se realiza el análisis de los desvíos que se producen respecto de las metas fijadas y se plantean las acciones correctivas que se estimen pertinentes.</w:t>
      </w:r>
    </w:p>
    <w:p w:rsidR="00192CC0" w:rsidRDefault="00192CC0" w:rsidP="009C7122">
      <w:pPr>
        <w:spacing w:line="240" w:lineRule="auto"/>
        <w:rPr>
          <w:rFonts w:ascii="Times New Roman" w:hAnsi="Times New Roman"/>
          <w:b/>
          <w:u w:val="single"/>
        </w:rPr>
      </w:pPr>
    </w:p>
    <w:p w:rsidR="009C7122" w:rsidRPr="009C7122" w:rsidRDefault="009C7122" w:rsidP="009C7122">
      <w:pPr>
        <w:spacing w:line="240" w:lineRule="auto"/>
        <w:rPr>
          <w:rFonts w:ascii="Times New Roman" w:hAnsi="Times New Roman"/>
          <w:b/>
          <w:u w:val="single"/>
        </w:rPr>
      </w:pPr>
      <w:r w:rsidRPr="009C7122">
        <w:rPr>
          <w:rFonts w:ascii="Times New Roman" w:hAnsi="Times New Roman"/>
          <w:b/>
          <w:u w:val="single"/>
        </w:rPr>
        <w:t>3.4. Gobierno Societario</w:t>
      </w:r>
    </w:p>
    <w:p w:rsidR="009C7122" w:rsidRPr="009C7122" w:rsidRDefault="009C7122" w:rsidP="009C7122">
      <w:pPr>
        <w:spacing w:line="240" w:lineRule="auto"/>
        <w:rPr>
          <w:rFonts w:ascii="Times New Roman" w:hAnsi="Times New Roman"/>
          <w:lang w:val="es-ES_tradnl"/>
        </w:rPr>
      </w:pPr>
      <w:r w:rsidRPr="009C7122">
        <w:rPr>
          <w:rFonts w:ascii="Times New Roman" w:hAnsi="Times New Roman"/>
          <w:lang w:val="es-ES_tradnl"/>
        </w:rPr>
        <w:t>La Sociedad de conformidad con lo establecido en la Resolución 622/2013 (T.O. 2013) de la Comisión Nacional de Valores, adjunta como Anexo I a la presente Memoria el Informe Anual sobre el grado de cumplimiento del Código de Gobierno Societario.</w:t>
      </w:r>
    </w:p>
    <w:p w:rsidR="00192CC0" w:rsidRDefault="00192CC0" w:rsidP="009C7122">
      <w:pPr>
        <w:spacing w:line="240" w:lineRule="auto"/>
        <w:rPr>
          <w:rFonts w:ascii="Times New Roman" w:hAnsi="Times New Roman"/>
          <w:b/>
          <w:u w:val="single"/>
        </w:rPr>
      </w:pPr>
    </w:p>
    <w:p w:rsidR="009C7122" w:rsidRPr="009C7122" w:rsidRDefault="009C7122" w:rsidP="009C7122">
      <w:pPr>
        <w:spacing w:line="240" w:lineRule="auto"/>
        <w:rPr>
          <w:rFonts w:ascii="Times New Roman" w:hAnsi="Times New Roman"/>
        </w:rPr>
      </w:pPr>
      <w:r w:rsidRPr="009C7122">
        <w:rPr>
          <w:rFonts w:ascii="Times New Roman" w:hAnsi="Times New Roman"/>
          <w:b/>
          <w:u w:val="single"/>
        </w:rPr>
        <w:t>4– INFORMACIÓN RESUMIDA SOBRE LA SITUACIÓN PATRIMONIAL, LOS RESULTADOS Y LA GENERACIÓN Y APLICACIÓN DE FONDOS</w:t>
      </w:r>
      <w:r w:rsidRPr="009C7122">
        <w:rPr>
          <w:rFonts w:ascii="Times New Roman" w:hAnsi="Times New Roman"/>
        </w:rPr>
        <w:t xml:space="preserve"> </w:t>
      </w:r>
    </w:p>
    <w:p w:rsidR="009C7122" w:rsidRPr="009C7122" w:rsidRDefault="009C7122" w:rsidP="009C7122">
      <w:pPr>
        <w:spacing w:line="240" w:lineRule="auto"/>
        <w:rPr>
          <w:rFonts w:ascii="Times New Roman" w:hAnsi="Times New Roman"/>
          <w:b/>
          <w:u w:val="single"/>
        </w:rPr>
      </w:pPr>
      <w:r w:rsidRPr="009C7122">
        <w:rPr>
          <w:rFonts w:ascii="Times New Roman" w:hAnsi="Times New Roman"/>
        </w:rPr>
        <w:t>(cifras expresadas en $)</w:t>
      </w:r>
    </w:p>
    <w:p w:rsidR="009C7122" w:rsidRPr="009C7122" w:rsidRDefault="009C7122" w:rsidP="009C7122">
      <w:pPr>
        <w:spacing w:line="240" w:lineRule="auto"/>
        <w:rPr>
          <w:rFonts w:ascii="Times New Roman" w:hAnsi="Times New Roman"/>
        </w:rPr>
      </w:pPr>
      <w:r w:rsidRPr="009C7122">
        <w:rPr>
          <w:rFonts w:ascii="Times New Roman" w:hAnsi="Times New Roman"/>
        </w:rPr>
        <w:t>Estructura patrimonial al 31 de diciembre de 2018 comparativa con el ejercicio finalizado el 31 de diciembre de 2017:</w:t>
      </w:r>
    </w:p>
    <w:p w:rsidR="009C7122" w:rsidRPr="009C7122" w:rsidRDefault="009C7122" w:rsidP="009C7122">
      <w:pPr>
        <w:spacing w:line="240" w:lineRule="auto"/>
        <w:jc w:val="center"/>
        <w:rPr>
          <w:rFonts w:ascii="Times New Roman" w:hAnsi="Times New Roman"/>
        </w:rPr>
      </w:pPr>
      <w:r w:rsidRPr="009C7122">
        <w:rPr>
          <w:rFonts w:ascii="Times New Roman" w:hAnsi="Times New Roman"/>
          <w:noProof/>
          <w:lang w:eastAsia="es-AR"/>
        </w:rPr>
        <w:lastRenderedPageBreak/>
        <w:drawing>
          <wp:inline distT="0" distB="0" distL="0" distR="0" wp14:anchorId="1ABE1047" wp14:editId="08832E3E">
            <wp:extent cx="4320540" cy="2577600"/>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23212" cy="2579194"/>
                    </a:xfrm>
                    <a:prstGeom prst="rect">
                      <a:avLst/>
                    </a:prstGeom>
                  </pic:spPr>
                </pic:pic>
              </a:graphicData>
            </a:graphic>
          </wp:inline>
        </w:drawing>
      </w:r>
    </w:p>
    <w:p w:rsidR="009C7122" w:rsidRPr="009C7122" w:rsidRDefault="009C7122" w:rsidP="009C7122">
      <w:pPr>
        <w:spacing w:line="240" w:lineRule="auto"/>
        <w:rPr>
          <w:rFonts w:ascii="Times New Roman" w:hAnsi="Times New Roman"/>
        </w:rPr>
      </w:pPr>
    </w:p>
    <w:p w:rsidR="009C7122" w:rsidRPr="009C7122" w:rsidRDefault="009C7122" w:rsidP="009C7122">
      <w:pPr>
        <w:spacing w:line="240" w:lineRule="auto"/>
        <w:rPr>
          <w:rFonts w:ascii="Times New Roman" w:hAnsi="Times New Roman"/>
        </w:rPr>
      </w:pPr>
      <w:r w:rsidRPr="009C7122">
        <w:rPr>
          <w:rFonts w:ascii="Times New Roman" w:hAnsi="Times New Roman"/>
        </w:rPr>
        <w:t>Estructura de resultados al 31 de diciembre de 2018 comparativa con el ejercicio finalizado el 31 de diciembre de 2017:</w:t>
      </w:r>
    </w:p>
    <w:p w:rsidR="009C7122" w:rsidRPr="009C7122" w:rsidRDefault="009C7122" w:rsidP="009C7122">
      <w:pPr>
        <w:spacing w:line="240" w:lineRule="auto"/>
        <w:jc w:val="center"/>
        <w:rPr>
          <w:rFonts w:ascii="Times New Roman" w:hAnsi="Times New Roman"/>
        </w:rPr>
      </w:pPr>
      <w:r w:rsidRPr="009C7122">
        <w:rPr>
          <w:rFonts w:ascii="Times New Roman" w:hAnsi="Times New Roman"/>
          <w:noProof/>
          <w:lang w:eastAsia="es-AR"/>
        </w:rPr>
        <w:drawing>
          <wp:inline distT="0" distB="0" distL="0" distR="0" wp14:anchorId="2B91A7B6" wp14:editId="0DDBCAE2">
            <wp:extent cx="4311084" cy="29565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19641" cy="2962429"/>
                    </a:xfrm>
                    <a:prstGeom prst="rect">
                      <a:avLst/>
                    </a:prstGeom>
                  </pic:spPr>
                </pic:pic>
              </a:graphicData>
            </a:graphic>
          </wp:inline>
        </w:drawing>
      </w:r>
    </w:p>
    <w:p w:rsidR="009C7122" w:rsidRPr="009C7122" w:rsidRDefault="009C7122" w:rsidP="009C7122">
      <w:pPr>
        <w:spacing w:line="240" w:lineRule="auto"/>
        <w:rPr>
          <w:rFonts w:ascii="Times New Roman" w:hAnsi="Times New Roman"/>
        </w:rPr>
      </w:pPr>
      <w:r w:rsidRPr="009C7122">
        <w:rPr>
          <w:rFonts w:ascii="Times New Roman" w:hAnsi="Times New Roman"/>
        </w:rPr>
        <w:t>Estructura de generación o aplicación de fondos al 31 de diciembre de 2018 comparativa con el ejercicio finalizado el 31 de diciembre de 2017:</w:t>
      </w:r>
    </w:p>
    <w:p w:rsidR="009C7122" w:rsidRPr="009C7122" w:rsidRDefault="009C7122" w:rsidP="009C7122">
      <w:pPr>
        <w:spacing w:line="240" w:lineRule="auto"/>
        <w:jc w:val="center"/>
        <w:rPr>
          <w:rFonts w:ascii="Times New Roman" w:hAnsi="Times New Roman"/>
          <w:b/>
          <w:u w:val="single"/>
        </w:rPr>
      </w:pPr>
      <w:r w:rsidRPr="009C7122">
        <w:rPr>
          <w:rFonts w:ascii="Times New Roman" w:hAnsi="Times New Roman"/>
          <w:noProof/>
          <w:lang w:eastAsia="es-AR"/>
        </w:rPr>
        <w:drawing>
          <wp:inline distT="0" distB="0" distL="0" distR="0" wp14:anchorId="44030ACE" wp14:editId="43C25E59">
            <wp:extent cx="5850890" cy="9728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50890" cy="972820"/>
                    </a:xfrm>
                    <a:prstGeom prst="rect">
                      <a:avLst/>
                    </a:prstGeom>
                  </pic:spPr>
                </pic:pic>
              </a:graphicData>
            </a:graphic>
          </wp:inline>
        </w:drawing>
      </w:r>
    </w:p>
    <w:p w:rsidR="009C7122" w:rsidRPr="009C7122" w:rsidRDefault="009C7122" w:rsidP="009C7122">
      <w:pPr>
        <w:spacing w:line="240" w:lineRule="auto"/>
        <w:rPr>
          <w:rFonts w:ascii="Times New Roman" w:hAnsi="Times New Roman"/>
          <w:b/>
          <w:u w:val="single"/>
        </w:rPr>
      </w:pPr>
    </w:p>
    <w:p w:rsidR="009C7122" w:rsidRPr="009C7122" w:rsidRDefault="009C7122" w:rsidP="009C7122">
      <w:pPr>
        <w:spacing w:line="240" w:lineRule="auto"/>
        <w:rPr>
          <w:rFonts w:ascii="Times New Roman" w:hAnsi="Times New Roman"/>
          <w:b/>
          <w:u w:val="single"/>
        </w:rPr>
      </w:pPr>
      <w:r w:rsidRPr="009C7122">
        <w:rPr>
          <w:rFonts w:ascii="Times New Roman" w:hAnsi="Times New Roman"/>
          <w:b/>
          <w:u w:val="single"/>
        </w:rPr>
        <w:t>5 – INDICADORES</w:t>
      </w:r>
    </w:p>
    <w:p w:rsidR="009C7122" w:rsidRPr="009C7122" w:rsidRDefault="009C7122" w:rsidP="007C539F">
      <w:pPr>
        <w:spacing w:line="240" w:lineRule="auto"/>
        <w:ind w:firstLine="0"/>
        <w:jc w:val="center"/>
        <w:rPr>
          <w:rFonts w:ascii="Times New Roman" w:hAnsi="Times New Roman"/>
          <w:b/>
          <w:u w:val="single"/>
        </w:rPr>
      </w:pPr>
      <w:r w:rsidRPr="009C7122">
        <w:rPr>
          <w:rFonts w:ascii="Times New Roman" w:hAnsi="Times New Roman"/>
          <w:noProof/>
          <w:lang w:eastAsia="es-AR"/>
        </w:rPr>
        <w:lastRenderedPageBreak/>
        <w:drawing>
          <wp:inline distT="0" distB="0" distL="0" distR="0" wp14:anchorId="12AA4A30" wp14:editId="29ECBC5A">
            <wp:extent cx="5850890" cy="310705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50890" cy="3107055"/>
                    </a:xfrm>
                    <a:prstGeom prst="rect">
                      <a:avLst/>
                    </a:prstGeom>
                  </pic:spPr>
                </pic:pic>
              </a:graphicData>
            </a:graphic>
          </wp:inline>
        </w:drawing>
      </w:r>
    </w:p>
    <w:p w:rsidR="009C7122" w:rsidRPr="009C7122" w:rsidRDefault="009C7122" w:rsidP="009C7122">
      <w:pPr>
        <w:spacing w:line="240" w:lineRule="auto"/>
        <w:rPr>
          <w:rFonts w:ascii="Times New Roman" w:hAnsi="Times New Roman"/>
          <w:b/>
          <w:u w:val="single"/>
        </w:rPr>
      </w:pPr>
    </w:p>
    <w:p w:rsidR="009C7122" w:rsidRPr="009C7122" w:rsidRDefault="009C7122" w:rsidP="009C7122">
      <w:pPr>
        <w:spacing w:line="240" w:lineRule="auto"/>
        <w:rPr>
          <w:rFonts w:ascii="Times New Roman" w:hAnsi="Times New Roman"/>
          <w:b/>
          <w:u w:val="single"/>
        </w:rPr>
      </w:pPr>
      <w:r w:rsidRPr="009C7122">
        <w:rPr>
          <w:rFonts w:ascii="Times New Roman" w:hAnsi="Times New Roman"/>
          <w:b/>
          <w:u w:val="single"/>
        </w:rPr>
        <w:t>6– ANÁLISIS DE LOS CAMBIOS MÁS IMPORTANTES EN LA SITUACIÓN PATRIMONIAL Y EN LOS RESULTADOS</w:t>
      </w:r>
    </w:p>
    <w:p w:rsidR="009C7122" w:rsidRPr="009C7122" w:rsidRDefault="009C7122" w:rsidP="009C7122">
      <w:pPr>
        <w:spacing w:line="240" w:lineRule="auto"/>
        <w:rPr>
          <w:rFonts w:ascii="Times New Roman" w:hAnsi="Times New Roman"/>
        </w:rPr>
      </w:pPr>
    </w:p>
    <w:p w:rsidR="009C7122" w:rsidRPr="009C7122" w:rsidRDefault="009C7122" w:rsidP="009C7122">
      <w:pPr>
        <w:spacing w:line="240" w:lineRule="auto"/>
        <w:rPr>
          <w:rFonts w:ascii="Times New Roman" w:hAnsi="Times New Roman"/>
        </w:rPr>
      </w:pPr>
      <w:r w:rsidRPr="009C7122">
        <w:rPr>
          <w:rFonts w:ascii="Times New Roman" w:hAnsi="Times New Roman"/>
        </w:rPr>
        <w:t>El total de activos de la Sociedad al 31 de diciembre de 2018 fue de $1.056.948.476, registrando una disminución de $</w:t>
      </w:r>
      <w:r w:rsidRPr="009C7122">
        <w:rPr>
          <w:rFonts w:ascii="Times New Roman" w:hAnsi="Times New Roman"/>
          <w:color w:val="000000"/>
        </w:rPr>
        <w:t xml:space="preserve">698.866.449 </w:t>
      </w:r>
      <w:r w:rsidRPr="009C7122">
        <w:rPr>
          <w:rFonts w:ascii="Times New Roman" w:hAnsi="Times New Roman"/>
        </w:rPr>
        <w:t xml:space="preserve">en comparación con el ejercicio anterior finalizado el 31 de diciembre de 2017 debido a la </w:t>
      </w:r>
      <w:proofErr w:type="spellStart"/>
      <w:r w:rsidRPr="009C7122">
        <w:rPr>
          <w:rFonts w:ascii="Times New Roman" w:hAnsi="Times New Roman"/>
        </w:rPr>
        <w:t>reexpresión</w:t>
      </w:r>
      <w:proofErr w:type="spellEnd"/>
      <w:r w:rsidRPr="009C7122">
        <w:rPr>
          <w:rFonts w:ascii="Times New Roman" w:hAnsi="Times New Roman"/>
        </w:rPr>
        <w:t xml:space="preserve"> de los saldos comparativos a moneda homogénea. Sin dicha aplicación la disminución del activo está dada principalmente por la contracción del mercado de préstamos lo que produjo una disminución en la cartera de Créditos por préstamos personales. </w:t>
      </w:r>
    </w:p>
    <w:p w:rsidR="009C7122" w:rsidRPr="009C7122" w:rsidRDefault="009C7122" w:rsidP="009C7122">
      <w:pPr>
        <w:spacing w:line="240" w:lineRule="auto"/>
        <w:rPr>
          <w:rFonts w:ascii="Times New Roman" w:hAnsi="Times New Roman"/>
        </w:rPr>
      </w:pPr>
    </w:p>
    <w:p w:rsidR="009C7122" w:rsidRPr="009C7122" w:rsidRDefault="009C7122" w:rsidP="009C7122">
      <w:pPr>
        <w:spacing w:line="240" w:lineRule="auto"/>
        <w:rPr>
          <w:rFonts w:ascii="Times New Roman" w:hAnsi="Times New Roman"/>
        </w:rPr>
      </w:pPr>
      <w:r w:rsidRPr="009C7122">
        <w:rPr>
          <w:rFonts w:ascii="Times New Roman" w:hAnsi="Times New Roman"/>
        </w:rPr>
        <w:t xml:space="preserve">El total de pasivos al cierre del ejercicio fue de $ 881.448.599 y están relacionados en su mayoría con Préstamos (obligaciones negociables, valores representativos de deuda de corto plazo, préstamos con entidades financieras y otros préstamos). Por su parte, el pasivo también disminuyó respecto el ejercicio anterior en $654.660.789 producto de la variación por la </w:t>
      </w:r>
      <w:proofErr w:type="spellStart"/>
      <w:r w:rsidRPr="009C7122">
        <w:rPr>
          <w:rFonts w:ascii="Times New Roman" w:hAnsi="Times New Roman"/>
        </w:rPr>
        <w:t>reexpresión</w:t>
      </w:r>
      <w:proofErr w:type="spellEnd"/>
      <w:r w:rsidRPr="009C7122">
        <w:rPr>
          <w:rFonts w:ascii="Times New Roman" w:hAnsi="Times New Roman"/>
        </w:rPr>
        <w:t xml:space="preserve"> a moneda homogénea.</w:t>
      </w:r>
    </w:p>
    <w:p w:rsidR="009C7122" w:rsidRPr="009C7122" w:rsidRDefault="009C7122" w:rsidP="009C7122">
      <w:pPr>
        <w:spacing w:line="240" w:lineRule="auto"/>
        <w:rPr>
          <w:rFonts w:ascii="Times New Roman" w:hAnsi="Times New Roman"/>
        </w:rPr>
      </w:pPr>
      <w:r w:rsidRPr="009C7122">
        <w:rPr>
          <w:rFonts w:ascii="Times New Roman" w:hAnsi="Times New Roman"/>
        </w:rPr>
        <w:t xml:space="preserve">El resultado del ejercicio finalizado el 31 de diciembre de 2018 arrojó una pérdida de $44.205.654 afectado principalmente por la aplicación del método de </w:t>
      </w:r>
      <w:proofErr w:type="spellStart"/>
      <w:r w:rsidRPr="009C7122">
        <w:rPr>
          <w:rFonts w:ascii="Times New Roman" w:hAnsi="Times New Roman"/>
        </w:rPr>
        <w:t>reexpresión</w:t>
      </w:r>
      <w:proofErr w:type="spellEnd"/>
      <w:r w:rsidRPr="009C7122">
        <w:rPr>
          <w:rFonts w:ascii="Times New Roman" w:hAnsi="Times New Roman"/>
        </w:rPr>
        <w:t xml:space="preserve"> de estados financieros en moneda homogénea conforme a la NIC 29, tal como fue reglamentado por la Comisión Nacional de Valores (CNV) mediante la Resolución General RG N°777. </w:t>
      </w:r>
    </w:p>
    <w:p w:rsidR="009C7122" w:rsidRPr="009C7122" w:rsidRDefault="009C7122" w:rsidP="009C7122">
      <w:pPr>
        <w:spacing w:line="240" w:lineRule="auto"/>
        <w:rPr>
          <w:rFonts w:ascii="Times New Roman" w:hAnsi="Times New Roman"/>
        </w:rPr>
      </w:pPr>
      <w:r w:rsidRPr="009C7122">
        <w:rPr>
          <w:rFonts w:ascii="Times New Roman" w:hAnsi="Times New Roman"/>
        </w:rPr>
        <w:t>De no haber aplicado dicha normativa, el resultado del ejercicio finalizado al 31 de diciembre de 2018 hubiese arrojado un resultado positivo de $28.840.315.</w:t>
      </w:r>
    </w:p>
    <w:p w:rsidR="009C7122" w:rsidRPr="009C7122" w:rsidRDefault="009C7122" w:rsidP="009C7122">
      <w:pPr>
        <w:spacing w:line="240" w:lineRule="auto"/>
        <w:rPr>
          <w:rFonts w:ascii="Times New Roman" w:hAnsi="Times New Roman"/>
        </w:rPr>
      </w:pPr>
      <w:r w:rsidRPr="009C7122">
        <w:rPr>
          <w:rFonts w:ascii="Times New Roman" w:hAnsi="Times New Roman"/>
        </w:rPr>
        <w:t>Al resultado del ejercicio se lleva producto de los ingresos de actividades ordinarias de la Sociedad que ascendieron a $827.905.255 neto del Resultado por cambios del poder adquisitivo de la moneda “RECPAM” que originó una pérdida de $73.045.969, la pérdida por deterioro de préstamos personales por $344.569.733, los gastos de administración y comercialización que totalizaron $ 439.413.795 y el cargo de impuesto de las ganancias por $15.081.412.</w:t>
      </w:r>
    </w:p>
    <w:p w:rsidR="00192CC0" w:rsidRDefault="00192CC0" w:rsidP="009C7122">
      <w:pPr>
        <w:spacing w:line="240" w:lineRule="auto"/>
        <w:rPr>
          <w:rFonts w:ascii="Times New Roman" w:hAnsi="Times New Roman"/>
          <w:b/>
          <w:u w:val="single"/>
        </w:rPr>
      </w:pPr>
    </w:p>
    <w:p w:rsidR="009C7122" w:rsidRPr="009C7122" w:rsidRDefault="009C7122" w:rsidP="009C7122">
      <w:pPr>
        <w:spacing w:line="240" w:lineRule="auto"/>
        <w:rPr>
          <w:rFonts w:ascii="Times New Roman" w:hAnsi="Times New Roman"/>
          <w:b/>
          <w:u w:val="single"/>
        </w:rPr>
      </w:pPr>
      <w:r w:rsidRPr="009C7122">
        <w:rPr>
          <w:rFonts w:ascii="Times New Roman" w:hAnsi="Times New Roman"/>
          <w:b/>
          <w:u w:val="single"/>
        </w:rPr>
        <w:t>7 – DESCRIPCIÓN DE LAS PRINCIPALES OPERACIONES REALIZADAS ENTRE PARTES RELACIONADAS.</w:t>
      </w:r>
    </w:p>
    <w:p w:rsidR="009C7122" w:rsidRPr="009C7122" w:rsidRDefault="009C7122" w:rsidP="009C7122">
      <w:pPr>
        <w:spacing w:line="240" w:lineRule="auto"/>
        <w:rPr>
          <w:rFonts w:ascii="Times New Roman" w:hAnsi="Times New Roman"/>
        </w:rPr>
      </w:pPr>
      <w:r w:rsidRPr="009C7122">
        <w:rPr>
          <w:rFonts w:ascii="Times New Roman" w:hAnsi="Times New Roman"/>
        </w:rPr>
        <w:t>Los saldos y operaciones realizadas entre partes relacionadas se encuentran detallados en Nota de los Estados Contables correspondientes al ejercicio finalizado el 31 de diciembre de 2018.</w:t>
      </w:r>
    </w:p>
    <w:p w:rsidR="009C7122" w:rsidRPr="009C7122" w:rsidRDefault="009C7122" w:rsidP="009C7122">
      <w:pPr>
        <w:spacing w:line="240" w:lineRule="auto"/>
        <w:rPr>
          <w:rFonts w:ascii="Times New Roman" w:hAnsi="Times New Roman"/>
        </w:rPr>
      </w:pPr>
    </w:p>
    <w:p w:rsidR="009C7122" w:rsidRPr="009C7122" w:rsidRDefault="009C7122" w:rsidP="009C7122">
      <w:pPr>
        <w:spacing w:line="240" w:lineRule="auto"/>
        <w:rPr>
          <w:rFonts w:ascii="Times New Roman" w:hAnsi="Times New Roman"/>
          <w:b/>
          <w:u w:val="single"/>
        </w:rPr>
      </w:pPr>
      <w:r w:rsidRPr="009C7122">
        <w:rPr>
          <w:rFonts w:ascii="Times New Roman" w:hAnsi="Times New Roman"/>
          <w:b/>
          <w:u w:val="single"/>
        </w:rPr>
        <w:t>8 – OBJETIVOS Y PERSPECTIVA PARA EL SIGUIENTE EJERCICIO</w:t>
      </w:r>
    </w:p>
    <w:p w:rsidR="009C7122" w:rsidRPr="009C7122" w:rsidRDefault="009C7122" w:rsidP="009C7122">
      <w:pPr>
        <w:pStyle w:val="Default"/>
        <w:rPr>
          <w:rFonts w:ascii="Times New Roman" w:hAnsi="Times New Roman" w:cs="Times New Roman"/>
          <w:sz w:val="22"/>
          <w:szCs w:val="22"/>
          <w:highlight w:val="yellow"/>
        </w:rPr>
      </w:pPr>
    </w:p>
    <w:p w:rsidR="009C7122" w:rsidRPr="009C7122" w:rsidRDefault="009C7122" w:rsidP="009C7122">
      <w:pPr>
        <w:spacing w:line="240" w:lineRule="auto"/>
        <w:rPr>
          <w:rFonts w:ascii="Times New Roman" w:hAnsi="Times New Roman"/>
        </w:rPr>
      </w:pPr>
      <w:r w:rsidRPr="009C7122">
        <w:rPr>
          <w:rFonts w:ascii="Times New Roman" w:hAnsi="Times New Roman"/>
        </w:rPr>
        <w:t>Para el año 2019, la Sociedad ha decidido mantener vigente la totalidad de los productos financieros y continuar adhiriendo comercios que financien sus ventas a través de nuestros productos.</w:t>
      </w:r>
    </w:p>
    <w:p w:rsidR="009C7122" w:rsidRPr="009C7122" w:rsidRDefault="009C7122" w:rsidP="009C7122">
      <w:pPr>
        <w:pStyle w:val="Default"/>
        <w:jc w:val="both"/>
        <w:rPr>
          <w:rFonts w:ascii="Times New Roman" w:hAnsi="Times New Roman" w:cs="Times New Roman"/>
          <w:color w:val="auto"/>
          <w:sz w:val="22"/>
          <w:szCs w:val="22"/>
          <w:lang w:val="es-ES" w:eastAsia="es-ES"/>
        </w:rPr>
      </w:pPr>
      <w:r w:rsidRPr="009C7122">
        <w:rPr>
          <w:rFonts w:ascii="Times New Roman" w:hAnsi="Times New Roman" w:cs="Times New Roman"/>
          <w:color w:val="auto"/>
          <w:sz w:val="22"/>
          <w:szCs w:val="22"/>
          <w:lang w:val="es-ES" w:eastAsia="es-ES"/>
        </w:rPr>
        <w:t xml:space="preserve">La Compañía tiene como visión estratégica ser líder de financiación de bienes de consumo en Comercios Asociados, tanto en los rubros más tradicionales (Moto y Electro) como en otros rubros con potencial (Materiales de Construcción, Auto, </w:t>
      </w:r>
      <w:proofErr w:type="spellStart"/>
      <w:r w:rsidRPr="009C7122">
        <w:rPr>
          <w:rFonts w:ascii="Times New Roman" w:hAnsi="Times New Roman" w:cs="Times New Roman"/>
          <w:color w:val="auto"/>
          <w:sz w:val="22"/>
          <w:szCs w:val="22"/>
          <w:lang w:val="es-ES" w:eastAsia="es-ES"/>
        </w:rPr>
        <w:t>etc</w:t>
      </w:r>
      <w:proofErr w:type="spellEnd"/>
      <w:r w:rsidRPr="009C7122">
        <w:rPr>
          <w:rFonts w:ascii="Times New Roman" w:hAnsi="Times New Roman" w:cs="Times New Roman"/>
          <w:color w:val="auto"/>
          <w:sz w:val="22"/>
          <w:szCs w:val="22"/>
          <w:lang w:val="es-ES" w:eastAsia="es-ES"/>
        </w:rPr>
        <w:t>).</w:t>
      </w:r>
    </w:p>
    <w:p w:rsidR="009C7122" w:rsidRPr="009C7122" w:rsidRDefault="009C7122" w:rsidP="009C7122">
      <w:pPr>
        <w:pStyle w:val="Default"/>
        <w:rPr>
          <w:rFonts w:ascii="Times New Roman" w:hAnsi="Times New Roman" w:cs="Times New Roman"/>
          <w:color w:val="auto"/>
          <w:sz w:val="22"/>
          <w:szCs w:val="22"/>
          <w:highlight w:val="yellow"/>
          <w:lang w:val="es-ES" w:eastAsia="es-ES"/>
        </w:rPr>
      </w:pPr>
    </w:p>
    <w:p w:rsidR="009C7122" w:rsidRPr="009C7122" w:rsidRDefault="009C7122" w:rsidP="009C7122">
      <w:pPr>
        <w:pStyle w:val="Default"/>
        <w:jc w:val="both"/>
        <w:rPr>
          <w:rFonts w:ascii="Times New Roman" w:hAnsi="Times New Roman" w:cs="Times New Roman"/>
          <w:sz w:val="22"/>
          <w:szCs w:val="22"/>
        </w:rPr>
      </w:pPr>
      <w:r w:rsidRPr="009C7122">
        <w:rPr>
          <w:rFonts w:ascii="Times New Roman" w:hAnsi="Times New Roman" w:cs="Times New Roman"/>
          <w:sz w:val="22"/>
          <w:szCs w:val="22"/>
        </w:rPr>
        <w:lastRenderedPageBreak/>
        <w:t>Para ello, se propone para el año 2019 las siguientes metas:</w:t>
      </w:r>
    </w:p>
    <w:p w:rsidR="009C7122" w:rsidRPr="009C7122" w:rsidRDefault="009C7122" w:rsidP="009C7122">
      <w:pPr>
        <w:pStyle w:val="Default"/>
        <w:numPr>
          <w:ilvl w:val="0"/>
          <w:numId w:val="5"/>
        </w:numPr>
        <w:jc w:val="both"/>
        <w:rPr>
          <w:rFonts w:ascii="Times New Roman" w:hAnsi="Times New Roman" w:cs="Times New Roman"/>
          <w:sz w:val="22"/>
          <w:szCs w:val="22"/>
        </w:rPr>
      </w:pPr>
      <w:r w:rsidRPr="009C7122">
        <w:rPr>
          <w:rFonts w:ascii="Times New Roman" w:hAnsi="Times New Roman" w:cs="Times New Roman"/>
          <w:sz w:val="22"/>
          <w:szCs w:val="22"/>
        </w:rPr>
        <w:t xml:space="preserve">Financiar el 5% de los </w:t>
      </w:r>
      <w:proofErr w:type="spellStart"/>
      <w:r w:rsidRPr="009C7122">
        <w:rPr>
          <w:rFonts w:ascii="Times New Roman" w:hAnsi="Times New Roman" w:cs="Times New Roman"/>
          <w:sz w:val="22"/>
          <w:szCs w:val="22"/>
        </w:rPr>
        <w:t>patentamientos</w:t>
      </w:r>
      <w:proofErr w:type="spellEnd"/>
      <w:r w:rsidRPr="009C7122">
        <w:rPr>
          <w:rFonts w:ascii="Times New Roman" w:hAnsi="Times New Roman" w:cs="Times New Roman"/>
          <w:sz w:val="22"/>
          <w:szCs w:val="22"/>
        </w:rPr>
        <w:t xml:space="preserve"> de moto</w:t>
      </w:r>
    </w:p>
    <w:p w:rsidR="009C7122" w:rsidRPr="009C7122" w:rsidRDefault="009C7122" w:rsidP="009C7122">
      <w:pPr>
        <w:pStyle w:val="Default"/>
        <w:numPr>
          <w:ilvl w:val="0"/>
          <w:numId w:val="5"/>
        </w:numPr>
        <w:jc w:val="both"/>
        <w:rPr>
          <w:rFonts w:ascii="Times New Roman" w:hAnsi="Times New Roman" w:cs="Times New Roman"/>
          <w:sz w:val="22"/>
          <w:szCs w:val="22"/>
        </w:rPr>
      </w:pPr>
      <w:r w:rsidRPr="009C7122">
        <w:rPr>
          <w:rFonts w:ascii="Times New Roman" w:hAnsi="Times New Roman" w:cs="Times New Roman"/>
          <w:sz w:val="22"/>
          <w:szCs w:val="22"/>
        </w:rPr>
        <w:t xml:space="preserve">Acompañar a los comercios de electro, financiando a sus clientes para facilitar la </w:t>
      </w:r>
      <w:proofErr w:type="spellStart"/>
      <w:r w:rsidRPr="009C7122">
        <w:rPr>
          <w:rFonts w:ascii="Times New Roman" w:hAnsi="Times New Roman" w:cs="Times New Roman"/>
          <w:sz w:val="22"/>
          <w:szCs w:val="22"/>
        </w:rPr>
        <w:t>adquisión</w:t>
      </w:r>
      <w:proofErr w:type="spellEnd"/>
      <w:r w:rsidRPr="009C7122">
        <w:rPr>
          <w:rFonts w:ascii="Times New Roman" w:hAnsi="Times New Roman" w:cs="Times New Roman"/>
          <w:sz w:val="22"/>
          <w:szCs w:val="22"/>
        </w:rPr>
        <w:t xml:space="preserve"> de los productos que ofrecen. A pesar, de la contracción de las ventas Directo tiene el objetivo de seguir financiando una cantidad de bienes similar a la del año 2018.</w:t>
      </w:r>
    </w:p>
    <w:p w:rsidR="009C7122" w:rsidRPr="009C7122" w:rsidRDefault="009C7122" w:rsidP="009C7122">
      <w:pPr>
        <w:pStyle w:val="Default"/>
        <w:numPr>
          <w:ilvl w:val="0"/>
          <w:numId w:val="5"/>
        </w:numPr>
        <w:jc w:val="both"/>
        <w:rPr>
          <w:rFonts w:ascii="Times New Roman" w:hAnsi="Times New Roman" w:cs="Times New Roman"/>
          <w:sz w:val="22"/>
          <w:szCs w:val="22"/>
        </w:rPr>
      </w:pPr>
      <w:r w:rsidRPr="009C7122">
        <w:rPr>
          <w:rFonts w:ascii="Times New Roman" w:hAnsi="Times New Roman" w:cs="Times New Roman"/>
          <w:sz w:val="22"/>
          <w:szCs w:val="22"/>
        </w:rPr>
        <w:t>Desarrollar canal digital para la financiación de los clientes en forma directa.</w:t>
      </w:r>
    </w:p>
    <w:p w:rsidR="009C7122" w:rsidRPr="009C7122" w:rsidRDefault="009C7122" w:rsidP="009C7122">
      <w:pPr>
        <w:spacing w:line="240" w:lineRule="auto"/>
        <w:rPr>
          <w:rFonts w:ascii="Times New Roman" w:hAnsi="Times New Roman"/>
          <w:highlight w:val="yellow"/>
        </w:rPr>
      </w:pPr>
    </w:p>
    <w:p w:rsidR="009C7122" w:rsidRPr="009C7122" w:rsidRDefault="009C7122" w:rsidP="009C7122">
      <w:pPr>
        <w:spacing w:line="240" w:lineRule="auto"/>
        <w:rPr>
          <w:rFonts w:ascii="Times New Roman" w:hAnsi="Times New Roman"/>
          <w:u w:val="single"/>
        </w:rPr>
      </w:pPr>
      <w:r w:rsidRPr="009C7122">
        <w:rPr>
          <w:rFonts w:ascii="Times New Roman" w:hAnsi="Times New Roman"/>
          <w:u w:val="single"/>
        </w:rPr>
        <w:t>8.1. Estrategia de financiamiento</w:t>
      </w:r>
    </w:p>
    <w:p w:rsidR="009C7122" w:rsidRPr="009C7122" w:rsidRDefault="009C7122" w:rsidP="009C7122">
      <w:pPr>
        <w:spacing w:line="240" w:lineRule="auto"/>
        <w:rPr>
          <w:rFonts w:ascii="Times New Roman" w:hAnsi="Times New Roman"/>
        </w:rPr>
      </w:pPr>
      <w:r w:rsidRPr="009C7122">
        <w:rPr>
          <w:rFonts w:ascii="Times New Roman" w:hAnsi="Times New Roman"/>
        </w:rPr>
        <w:t>La Sociedad proyecta continuar desarrollando las alternativas de financiamiento ya desarrolladas durante el año 2018, diversificando aún más las fuentes de fondeo y mejorando el perfil de deuda a través de Préstamos Sindicados, la emisión de Valores de Corto Plazo, Obligaciones Negociables y Fideicomisos Financieros de cartera de consumo, instrumentados con oferta pública.</w:t>
      </w:r>
    </w:p>
    <w:p w:rsidR="009C7122" w:rsidRPr="009C7122" w:rsidRDefault="009C7122" w:rsidP="009C7122">
      <w:pPr>
        <w:spacing w:line="240" w:lineRule="auto"/>
        <w:rPr>
          <w:rFonts w:ascii="Times New Roman" w:hAnsi="Times New Roman"/>
        </w:rPr>
      </w:pPr>
      <w:r w:rsidRPr="009C7122">
        <w:rPr>
          <w:rFonts w:ascii="Times New Roman" w:hAnsi="Times New Roman"/>
        </w:rPr>
        <w:t>En función de lo antedicho la Sociedad tiene previsto fondear su plan de negocios con los siguientes recursos:</w:t>
      </w:r>
    </w:p>
    <w:p w:rsidR="009C7122" w:rsidRPr="009C7122" w:rsidRDefault="009C7122" w:rsidP="009C7122">
      <w:pPr>
        <w:numPr>
          <w:ilvl w:val="0"/>
          <w:numId w:val="1"/>
        </w:numPr>
        <w:spacing w:after="0" w:line="240" w:lineRule="auto"/>
        <w:rPr>
          <w:rFonts w:ascii="Times New Roman" w:hAnsi="Times New Roman"/>
        </w:rPr>
      </w:pPr>
      <w:r w:rsidRPr="009C7122">
        <w:rPr>
          <w:rFonts w:ascii="Times New Roman" w:hAnsi="Times New Roman"/>
        </w:rPr>
        <w:t xml:space="preserve">Recursos propios: comprende los sucesivos aportes efectuados por los accionistas y la decisión de reinversión de la rentabilidad generada en el giro de los negocios. </w:t>
      </w:r>
    </w:p>
    <w:p w:rsidR="009C7122" w:rsidRPr="009C7122" w:rsidRDefault="009C7122" w:rsidP="009C7122">
      <w:pPr>
        <w:spacing w:line="240" w:lineRule="auto"/>
        <w:ind w:left="360"/>
        <w:rPr>
          <w:rFonts w:ascii="Times New Roman" w:hAnsi="Times New Roman"/>
        </w:rPr>
      </w:pPr>
    </w:p>
    <w:p w:rsidR="009C7122" w:rsidRPr="009C7122" w:rsidRDefault="009C7122" w:rsidP="009C7122">
      <w:pPr>
        <w:numPr>
          <w:ilvl w:val="0"/>
          <w:numId w:val="1"/>
        </w:numPr>
        <w:spacing w:after="0" w:line="240" w:lineRule="auto"/>
        <w:rPr>
          <w:rFonts w:ascii="Times New Roman" w:hAnsi="Times New Roman"/>
        </w:rPr>
      </w:pPr>
      <w:r w:rsidRPr="009C7122">
        <w:rPr>
          <w:rFonts w:ascii="Times New Roman" w:hAnsi="Times New Roman"/>
        </w:rPr>
        <w:t>Préstamos financieros, incluyendo Préstamos Sindicados</w:t>
      </w:r>
    </w:p>
    <w:p w:rsidR="009C7122" w:rsidRPr="009C7122" w:rsidRDefault="009C7122" w:rsidP="009C7122">
      <w:pPr>
        <w:pStyle w:val="Prrafodelista"/>
        <w:rPr>
          <w:sz w:val="22"/>
          <w:szCs w:val="22"/>
        </w:rPr>
      </w:pPr>
    </w:p>
    <w:p w:rsidR="009C7122" w:rsidRPr="009C7122" w:rsidRDefault="009C7122" w:rsidP="009C7122">
      <w:pPr>
        <w:numPr>
          <w:ilvl w:val="0"/>
          <w:numId w:val="1"/>
        </w:numPr>
        <w:spacing w:after="0" w:line="240" w:lineRule="auto"/>
        <w:rPr>
          <w:rFonts w:ascii="Times New Roman" w:hAnsi="Times New Roman"/>
        </w:rPr>
      </w:pPr>
      <w:r w:rsidRPr="009C7122">
        <w:rPr>
          <w:rFonts w:ascii="Times New Roman" w:hAnsi="Times New Roman"/>
        </w:rPr>
        <w:t>Otros préstamos, tanto en pesos como dólares</w:t>
      </w:r>
    </w:p>
    <w:p w:rsidR="009C7122" w:rsidRPr="009C7122" w:rsidRDefault="009C7122" w:rsidP="009C7122">
      <w:pPr>
        <w:pStyle w:val="Prrafodelista"/>
        <w:rPr>
          <w:sz w:val="22"/>
          <w:szCs w:val="22"/>
        </w:rPr>
      </w:pPr>
    </w:p>
    <w:p w:rsidR="009C7122" w:rsidRPr="009C7122" w:rsidRDefault="009C7122" w:rsidP="009C7122">
      <w:pPr>
        <w:numPr>
          <w:ilvl w:val="0"/>
          <w:numId w:val="1"/>
        </w:numPr>
        <w:spacing w:after="0" w:line="240" w:lineRule="auto"/>
        <w:rPr>
          <w:rFonts w:ascii="Times New Roman" w:hAnsi="Times New Roman"/>
        </w:rPr>
      </w:pPr>
      <w:r w:rsidRPr="009C7122">
        <w:rPr>
          <w:rFonts w:ascii="Times New Roman" w:hAnsi="Times New Roman"/>
        </w:rPr>
        <w:t>Valores de Corto Plazo con oferta pública</w:t>
      </w:r>
    </w:p>
    <w:p w:rsidR="009C7122" w:rsidRPr="009C7122" w:rsidRDefault="009C7122" w:rsidP="009C7122">
      <w:pPr>
        <w:pStyle w:val="Prrafodelista"/>
        <w:rPr>
          <w:sz w:val="22"/>
          <w:szCs w:val="22"/>
        </w:rPr>
      </w:pPr>
    </w:p>
    <w:p w:rsidR="009C7122" w:rsidRPr="009C7122" w:rsidRDefault="009C7122" w:rsidP="009C7122">
      <w:pPr>
        <w:numPr>
          <w:ilvl w:val="0"/>
          <w:numId w:val="1"/>
        </w:numPr>
        <w:spacing w:after="0" w:line="240" w:lineRule="auto"/>
        <w:rPr>
          <w:rFonts w:ascii="Times New Roman" w:hAnsi="Times New Roman"/>
        </w:rPr>
      </w:pPr>
      <w:r w:rsidRPr="009C7122">
        <w:rPr>
          <w:rFonts w:ascii="Times New Roman" w:hAnsi="Times New Roman"/>
        </w:rPr>
        <w:t>Obligaciones Negociables</w:t>
      </w:r>
    </w:p>
    <w:p w:rsidR="009C7122" w:rsidRPr="009C7122" w:rsidRDefault="009C7122" w:rsidP="009C7122">
      <w:pPr>
        <w:spacing w:line="240" w:lineRule="auto"/>
        <w:rPr>
          <w:rFonts w:ascii="Times New Roman" w:hAnsi="Times New Roman"/>
          <w:b/>
          <w:u w:val="single"/>
        </w:rPr>
      </w:pPr>
      <w:r w:rsidRPr="009C7122">
        <w:rPr>
          <w:rFonts w:ascii="Times New Roman" w:hAnsi="Times New Roman"/>
          <w:b/>
          <w:u w:val="single"/>
        </w:rPr>
        <w:t>9 – DESTINO DE LOS RESULTADOS</w:t>
      </w:r>
    </w:p>
    <w:p w:rsidR="009C7122" w:rsidRPr="009C7122" w:rsidRDefault="009C7122" w:rsidP="009C7122">
      <w:pPr>
        <w:spacing w:line="240" w:lineRule="auto"/>
        <w:rPr>
          <w:rFonts w:ascii="Times New Roman" w:hAnsi="Times New Roman"/>
          <w:b/>
          <w:u w:val="single"/>
        </w:rPr>
      </w:pPr>
    </w:p>
    <w:p w:rsidR="009C7122" w:rsidRPr="009C7122" w:rsidRDefault="009C7122" w:rsidP="009C7122">
      <w:pPr>
        <w:spacing w:line="240" w:lineRule="auto"/>
        <w:rPr>
          <w:rFonts w:ascii="Times New Roman" w:hAnsi="Times New Roman"/>
        </w:rPr>
      </w:pPr>
      <w:r w:rsidRPr="009C7122">
        <w:rPr>
          <w:rFonts w:ascii="Times New Roman" w:hAnsi="Times New Roman"/>
        </w:rPr>
        <w:t xml:space="preserve">Producto de la aplicación del método de </w:t>
      </w:r>
      <w:proofErr w:type="spellStart"/>
      <w:r w:rsidRPr="009C7122">
        <w:rPr>
          <w:rFonts w:ascii="Times New Roman" w:hAnsi="Times New Roman"/>
        </w:rPr>
        <w:t>reexpresión</w:t>
      </w:r>
      <w:proofErr w:type="spellEnd"/>
      <w:r w:rsidRPr="009C7122">
        <w:rPr>
          <w:rFonts w:ascii="Times New Roman" w:hAnsi="Times New Roman"/>
        </w:rPr>
        <w:t xml:space="preserve"> de estados financieros en moneda homogénea conforme a la NIC 29, la Sociedad ha registrado una pérdida del ejercicio finalizado el 31 de diciembre de 2018 de $44.205.654. A dicha fecha, los Resultados no asignados totalizan un resultado negativo por $91.285.156, para los cuales se propone, a fin de absorber la totalidad de la pérdida que registra la sociedad:</w:t>
      </w:r>
    </w:p>
    <w:p w:rsidR="009C7122" w:rsidRPr="009C7122" w:rsidRDefault="009C7122" w:rsidP="009C7122">
      <w:pPr>
        <w:pStyle w:val="Prrafodelista"/>
        <w:numPr>
          <w:ilvl w:val="0"/>
          <w:numId w:val="5"/>
        </w:numPr>
        <w:jc w:val="both"/>
        <w:rPr>
          <w:sz w:val="22"/>
          <w:szCs w:val="22"/>
        </w:rPr>
      </w:pPr>
      <w:r w:rsidRPr="009C7122">
        <w:rPr>
          <w:sz w:val="22"/>
          <w:szCs w:val="22"/>
        </w:rPr>
        <w:t>Desafectar Reserva Facultativa por la suma de $1.523.969</w:t>
      </w:r>
    </w:p>
    <w:p w:rsidR="009C7122" w:rsidRPr="009C7122" w:rsidRDefault="009C7122" w:rsidP="009C7122">
      <w:pPr>
        <w:pStyle w:val="Prrafodelista"/>
        <w:numPr>
          <w:ilvl w:val="0"/>
          <w:numId w:val="5"/>
        </w:numPr>
        <w:jc w:val="both"/>
        <w:rPr>
          <w:sz w:val="22"/>
          <w:szCs w:val="22"/>
        </w:rPr>
      </w:pPr>
      <w:r w:rsidRPr="009C7122">
        <w:rPr>
          <w:sz w:val="22"/>
          <w:szCs w:val="22"/>
        </w:rPr>
        <w:t>Desafectar Reserva Legal por la suma de $10.606.340</w:t>
      </w:r>
    </w:p>
    <w:p w:rsidR="009C7122" w:rsidRPr="009C7122" w:rsidRDefault="009C7122" w:rsidP="009C7122">
      <w:pPr>
        <w:pStyle w:val="Prrafodelista"/>
        <w:numPr>
          <w:ilvl w:val="0"/>
          <w:numId w:val="5"/>
        </w:numPr>
        <w:jc w:val="both"/>
        <w:rPr>
          <w:sz w:val="22"/>
          <w:szCs w:val="22"/>
        </w:rPr>
      </w:pPr>
      <w:r w:rsidRPr="009C7122">
        <w:rPr>
          <w:sz w:val="22"/>
          <w:szCs w:val="22"/>
        </w:rPr>
        <w:t>Desafectar de la cuenta ajuste de capital la suma de $ 79.154.847</w:t>
      </w:r>
    </w:p>
    <w:p w:rsidR="009C7122" w:rsidRPr="009C7122" w:rsidRDefault="009C7122" w:rsidP="009C7122">
      <w:pPr>
        <w:spacing w:line="240" w:lineRule="auto"/>
        <w:rPr>
          <w:rFonts w:ascii="Times New Roman" w:hAnsi="Times New Roman"/>
          <w:highlight w:val="yellow"/>
        </w:rPr>
      </w:pPr>
    </w:p>
    <w:p w:rsidR="009C7122" w:rsidRPr="009C7122" w:rsidRDefault="009C7122" w:rsidP="009C7122">
      <w:pPr>
        <w:spacing w:line="240" w:lineRule="auto"/>
        <w:rPr>
          <w:rFonts w:ascii="Times New Roman" w:hAnsi="Times New Roman"/>
        </w:rPr>
      </w:pPr>
      <w:r w:rsidRPr="009C7122">
        <w:rPr>
          <w:rFonts w:ascii="Times New Roman" w:hAnsi="Times New Roman"/>
        </w:rPr>
        <w:t>Sin otro particular, y a la espera de que la documentación acompañada merezca vuestra aprobación, los saludamos con nuestra consideración más distinguida.</w:t>
      </w:r>
    </w:p>
    <w:p w:rsidR="009C7122" w:rsidRPr="00192CC0" w:rsidRDefault="009C7122" w:rsidP="009C7122">
      <w:pPr>
        <w:pStyle w:val="Textoindependiente"/>
        <w:rPr>
          <w:color w:val="auto"/>
          <w:sz w:val="22"/>
          <w:szCs w:val="22"/>
          <w:lang w:val="es-MX"/>
        </w:rPr>
      </w:pPr>
    </w:p>
    <w:p w:rsidR="00192CC0" w:rsidRPr="009C7122" w:rsidRDefault="00192CC0" w:rsidP="00192CC0">
      <w:pPr>
        <w:spacing w:line="240" w:lineRule="auto"/>
        <w:ind w:right="-316"/>
        <w:jc w:val="right"/>
        <w:rPr>
          <w:rFonts w:ascii="Times New Roman" w:hAnsi="Times New Roman"/>
        </w:rPr>
      </w:pPr>
      <w:r w:rsidRPr="009C7122">
        <w:rPr>
          <w:rFonts w:ascii="Times New Roman" w:hAnsi="Times New Roman"/>
        </w:rPr>
        <w:t>Ciudad Autónoma de Buenos Aires, 11 de marzo de 2019</w:t>
      </w:r>
    </w:p>
    <w:p w:rsidR="009C7122" w:rsidRPr="00192CC0" w:rsidRDefault="009C7122" w:rsidP="009C7122">
      <w:pPr>
        <w:pStyle w:val="Textoindependiente"/>
        <w:jc w:val="both"/>
        <w:rPr>
          <w:color w:val="auto"/>
          <w:sz w:val="22"/>
          <w:szCs w:val="22"/>
          <w:lang w:val="es-MX"/>
        </w:rPr>
      </w:pPr>
    </w:p>
    <w:p w:rsidR="00192CC0" w:rsidRPr="009C7122" w:rsidRDefault="00192CC0" w:rsidP="00192CC0">
      <w:pPr>
        <w:pStyle w:val="Textoindependiente"/>
        <w:jc w:val="right"/>
        <w:rPr>
          <w:b/>
          <w:sz w:val="22"/>
          <w:szCs w:val="22"/>
        </w:rPr>
      </w:pPr>
      <w:r w:rsidRPr="009C7122">
        <w:rPr>
          <w:b/>
          <w:sz w:val="22"/>
          <w:szCs w:val="22"/>
        </w:rPr>
        <w:t>EL DIRECTORIO</w:t>
      </w:r>
    </w:p>
    <w:p w:rsidR="00192CC0" w:rsidRPr="00192CC0" w:rsidRDefault="00192CC0" w:rsidP="009C7122">
      <w:pPr>
        <w:pStyle w:val="Textoindependiente"/>
        <w:jc w:val="both"/>
        <w:rPr>
          <w:color w:val="auto"/>
          <w:sz w:val="22"/>
          <w:szCs w:val="22"/>
          <w:lang w:val="es-MX"/>
        </w:rPr>
      </w:pPr>
    </w:p>
    <w:p w:rsidR="00192CC0" w:rsidRPr="009C7122" w:rsidRDefault="00192CC0" w:rsidP="009C7122">
      <w:pPr>
        <w:pStyle w:val="Textoindependiente"/>
        <w:jc w:val="both"/>
        <w:rPr>
          <w:color w:val="auto"/>
          <w:sz w:val="22"/>
          <w:szCs w:val="22"/>
        </w:rPr>
      </w:pPr>
    </w:p>
    <w:p w:rsidR="009C7122" w:rsidRPr="009C7122" w:rsidRDefault="009C7122" w:rsidP="009C7122">
      <w:pPr>
        <w:pStyle w:val="Textoindependiente"/>
        <w:jc w:val="both"/>
        <w:rPr>
          <w:b/>
          <w:color w:val="auto"/>
          <w:sz w:val="22"/>
          <w:szCs w:val="22"/>
          <w:u w:val="single"/>
        </w:rPr>
      </w:pPr>
      <w:r w:rsidRPr="009C7122">
        <w:rPr>
          <w:b/>
          <w:color w:val="auto"/>
          <w:sz w:val="22"/>
          <w:szCs w:val="22"/>
          <w:u w:val="single"/>
        </w:rPr>
        <w:t>Anexo I</w:t>
      </w:r>
    </w:p>
    <w:p w:rsidR="009C7122" w:rsidRPr="009C7122" w:rsidRDefault="009C7122" w:rsidP="009C7122">
      <w:pPr>
        <w:pStyle w:val="Textoindependiente"/>
        <w:jc w:val="both"/>
        <w:rPr>
          <w:color w:val="auto"/>
          <w:sz w:val="22"/>
          <w:szCs w:val="22"/>
          <w:u w:val="single"/>
        </w:rPr>
      </w:pPr>
    </w:p>
    <w:p w:rsidR="009C7122" w:rsidRPr="009C7122" w:rsidRDefault="009C7122" w:rsidP="009C7122">
      <w:pPr>
        <w:pStyle w:val="Textoindependiente"/>
        <w:jc w:val="both"/>
        <w:rPr>
          <w:color w:val="auto"/>
          <w:sz w:val="22"/>
          <w:szCs w:val="22"/>
          <w:u w:val="single"/>
        </w:rPr>
      </w:pPr>
      <w:r w:rsidRPr="009C7122">
        <w:rPr>
          <w:sz w:val="22"/>
          <w:szCs w:val="22"/>
        </w:rPr>
        <w:t>Informe sobre el grado de cumplimiento del Código de Gobierno Societario al 31-12-2018</w:t>
      </w:r>
    </w:p>
    <w:p w:rsidR="009C7122" w:rsidRDefault="009C7122" w:rsidP="009C7122">
      <w:pPr>
        <w:pStyle w:val="Textoindependiente"/>
        <w:jc w:val="both"/>
        <w:rPr>
          <w:b/>
          <w:color w:val="auto"/>
          <w:sz w:val="22"/>
          <w:szCs w:val="22"/>
          <w:u w:val="single"/>
        </w:rPr>
      </w:pPr>
    </w:p>
    <w:p w:rsidR="009C7122" w:rsidRDefault="009C7122" w:rsidP="009C7122">
      <w:pPr>
        <w:pStyle w:val="Textoindependiente"/>
        <w:jc w:val="both"/>
        <w:rPr>
          <w:b/>
          <w:color w:val="auto"/>
          <w:sz w:val="22"/>
          <w:szCs w:val="22"/>
          <w:u w:val="single"/>
        </w:rPr>
      </w:pPr>
    </w:p>
    <w:p w:rsidR="009C7122" w:rsidRDefault="009C7122" w:rsidP="009C7122">
      <w:pPr>
        <w:pStyle w:val="Textoindependiente"/>
        <w:jc w:val="both"/>
        <w:rPr>
          <w:b/>
          <w:color w:val="auto"/>
          <w:sz w:val="22"/>
          <w:szCs w:val="22"/>
          <w:u w:val="single"/>
        </w:rPr>
      </w:pPr>
    </w:p>
    <w:tbl>
      <w:tblPr>
        <w:tblpPr w:leftFromText="141" w:rightFromText="141" w:vertAnchor="text" w:tblpXSpec="center" w:tblpY="1"/>
        <w:tblOverlap w:val="never"/>
        <w:tblW w:w="9747"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1"/>
        <w:gridCol w:w="16"/>
        <w:gridCol w:w="15"/>
        <w:gridCol w:w="913"/>
        <w:gridCol w:w="814"/>
        <w:gridCol w:w="1084"/>
        <w:gridCol w:w="3924"/>
      </w:tblGrid>
      <w:tr w:rsidR="009C7122" w:rsidRPr="00F423CC" w:rsidTr="003E047F">
        <w:trPr>
          <w:trHeight w:val="144"/>
        </w:trPr>
        <w:tc>
          <w:tcPr>
            <w:tcW w:w="9747" w:type="dxa"/>
            <w:gridSpan w:val="7"/>
            <w:shd w:val="clear" w:color="auto" w:fill="F2F2F2"/>
          </w:tcPr>
          <w:tbl>
            <w:tblPr>
              <w:tblW w:w="9843"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A0" w:firstRow="1" w:lastRow="0" w:firstColumn="1" w:lastColumn="0" w:noHBand="0" w:noVBand="0"/>
            </w:tblPr>
            <w:tblGrid>
              <w:gridCol w:w="3079"/>
              <w:gridCol w:w="1599"/>
              <w:gridCol w:w="1362"/>
              <w:gridCol w:w="3803"/>
            </w:tblGrid>
            <w:tr w:rsidR="009C7122" w:rsidRPr="009C7122" w:rsidTr="003E047F">
              <w:trPr>
                <w:trHeight w:val="292"/>
              </w:trPr>
              <w:tc>
                <w:tcPr>
                  <w:tcW w:w="1564" w:type="pct"/>
                  <w:tcBorders>
                    <w:top w:val="single" w:sz="4" w:space="0" w:color="auto"/>
                    <w:bottom w:val="single" w:sz="4" w:space="0" w:color="auto"/>
                    <w:right w:val="single" w:sz="4" w:space="0" w:color="auto"/>
                  </w:tcBorders>
                  <w:shd w:val="clear" w:color="auto" w:fill="F2F2F2"/>
                </w:tcPr>
                <w:p w:rsidR="009C7122" w:rsidRPr="009C7122" w:rsidRDefault="009C7122" w:rsidP="003E047F">
                  <w:pPr>
                    <w:framePr w:hSpace="141" w:wrap="around" w:vAnchor="text" w:hAnchor="text" w:xAlign="center" w:y="1"/>
                    <w:widowControl w:val="0"/>
                    <w:tabs>
                      <w:tab w:val="right" w:leader="dot" w:pos="8494"/>
                    </w:tabs>
                    <w:suppressAutoHyphens/>
                    <w:spacing w:before="120"/>
                    <w:suppressOverlap/>
                    <w:rPr>
                      <w:rFonts w:ascii="Times New Roman" w:hAnsi="Times New Roman"/>
                      <w:b/>
                      <w:snapToGrid w:val="0"/>
                      <w:sz w:val="20"/>
                      <w:szCs w:val="20"/>
                      <w:lang w:val="es-ES_tradnl"/>
                    </w:rPr>
                  </w:pPr>
                </w:p>
              </w:tc>
              <w:tc>
                <w:tcPr>
                  <w:tcW w:w="812" w:type="pct"/>
                  <w:tcBorders>
                    <w:top w:val="single" w:sz="4" w:space="0" w:color="auto"/>
                    <w:left w:val="single" w:sz="4" w:space="0" w:color="auto"/>
                    <w:bottom w:val="single" w:sz="4" w:space="0" w:color="auto"/>
                    <w:right w:val="single" w:sz="4" w:space="0" w:color="auto"/>
                  </w:tcBorders>
                  <w:shd w:val="clear" w:color="auto" w:fill="F2F2F2"/>
                </w:tcPr>
                <w:p w:rsidR="009C7122" w:rsidRPr="009C7122" w:rsidRDefault="009C7122" w:rsidP="009C7122">
                  <w:pPr>
                    <w:framePr w:hSpace="141" w:wrap="around" w:vAnchor="text" w:hAnchor="text" w:xAlign="center" w:y="1"/>
                    <w:widowControl w:val="0"/>
                    <w:suppressAutoHyphens/>
                    <w:autoSpaceDE w:val="0"/>
                    <w:autoSpaceDN w:val="0"/>
                    <w:adjustRightInd w:val="0"/>
                    <w:spacing w:before="120"/>
                    <w:ind w:firstLine="0"/>
                    <w:suppressOverlap/>
                    <w:jc w:val="left"/>
                    <w:rPr>
                      <w:rFonts w:ascii="Times New Roman" w:hAnsi="Times New Roman"/>
                      <w:b/>
                      <w:snapToGrid w:val="0"/>
                      <w:sz w:val="20"/>
                      <w:szCs w:val="20"/>
                      <w:lang w:val="es-ES_tradnl"/>
                    </w:rPr>
                  </w:pPr>
                  <w:r w:rsidRPr="009C7122">
                    <w:rPr>
                      <w:rFonts w:ascii="Times New Roman" w:hAnsi="Times New Roman"/>
                      <w:b/>
                      <w:snapToGrid w:val="0"/>
                      <w:sz w:val="20"/>
                      <w:szCs w:val="20"/>
                      <w:lang w:val="es-ES_tradnl"/>
                    </w:rPr>
                    <w:t xml:space="preserve">Cumplimiento Total   </w:t>
                  </w:r>
                  <w:proofErr w:type="gramStart"/>
                  <w:r w:rsidRPr="009C7122">
                    <w:rPr>
                      <w:rFonts w:ascii="Times New Roman" w:hAnsi="Times New Roman"/>
                      <w:b/>
                      <w:snapToGrid w:val="0"/>
                      <w:sz w:val="20"/>
                      <w:szCs w:val="20"/>
                      <w:lang w:val="es-ES_tradnl"/>
                    </w:rPr>
                    <w:t>-  Parcial</w:t>
                  </w:r>
                  <w:proofErr w:type="gramEnd"/>
                </w:p>
                <w:p w:rsidR="009C7122" w:rsidRPr="009C7122" w:rsidRDefault="009C7122" w:rsidP="009C7122">
                  <w:pPr>
                    <w:framePr w:hSpace="141" w:wrap="around" w:vAnchor="text" w:hAnchor="text" w:xAlign="center" w:y="1"/>
                    <w:widowControl w:val="0"/>
                    <w:suppressAutoHyphens/>
                    <w:autoSpaceDE w:val="0"/>
                    <w:autoSpaceDN w:val="0"/>
                    <w:adjustRightInd w:val="0"/>
                    <w:spacing w:before="120"/>
                    <w:suppressOverlap/>
                    <w:jc w:val="left"/>
                    <w:rPr>
                      <w:rFonts w:ascii="Times New Roman" w:hAnsi="Times New Roman"/>
                      <w:b/>
                      <w:snapToGrid w:val="0"/>
                      <w:sz w:val="20"/>
                      <w:szCs w:val="20"/>
                      <w:lang w:val="es-ES_tradnl"/>
                    </w:rPr>
                  </w:pPr>
                </w:p>
              </w:tc>
              <w:tc>
                <w:tcPr>
                  <w:tcW w:w="692" w:type="pct"/>
                  <w:tcBorders>
                    <w:top w:val="single" w:sz="4" w:space="0" w:color="auto"/>
                    <w:left w:val="single" w:sz="4" w:space="0" w:color="auto"/>
                    <w:bottom w:val="single" w:sz="4" w:space="0" w:color="auto"/>
                  </w:tcBorders>
                  <w:shd w:val="clear" w:color="auto" w:fill="F2F2F2"/>
                </w:tcPr>
                <w:p w:rsidR="009C7122" w:rsidRPr="009C7122" w:rsidRDefault="009C7122" w:rsidP="009C7122">
                  <w:pPr>
                    <w:framePr w:hSpace="141" w:wrap="around" w:vAnchor="text" w:hAnchor="text" w:xAlign="center" w:y="1"/>
                    <w:widowControl w:val="0"/>
                    <w:suppressAutoHyphens/>
                    <w:autoSpaceDE w:val="0"/>
                    <w:autoSpaceDN w:val="0"/>
                    <w:adjustRightInd w:val="0"/>
                    <w:suppressOverlap/>
                    <w:jc w:val="left"/>
                    <w:rPr>
                      <w:rFonts w:ascii="Times New Roman" w:hAnsi="Times New Roman"/>
                      <w:b/>
                      <w:snapToGrid w:val="0"/>
                      <w:sz w:val="20"/>
                      <w:szCs w:val="20"/>
                      <w:lang w:val="es-ES_tradnl"/>
                    </w:rPr>
                  </w:pPr>
                </w:p>
                <w:p w:rsidR="009C7122" w:rsidRPr="009C7122" w:rsidRDefault="009C7122" w:rsidP="009C7122">
                  <w:pPr>
                    <w:framePr w:hSpace="141" w:wrap="around" w:vAnchor="text" w:hAnchor="text" w:xAlign="center" w:y="1"/>
                    <w:widowControl w:val="0"/>
                    <w:suppressAutoHyphens/>
                    <w:autoSpaceDE w:val="0"/>
                    <w:autoSpaceDN w:val="0"/>
                    <w:adjustRightInd w:val="0"/>
                    <w:ind w:firstLine="0"/>
                    <w:suppressOverlap/>
                    <w:jc w:val="left"/>
                    <w:rPr>
                      <w:rFonts w:ascii="Times New Roman" w:hAnsi="Times New Roman"/>
                      <w:b/>
                      <w:snapToGrid w:val="0"/>
                      <w:sz w:val="20"/>
                      <w:szCs w:val="20"/>
                      <w:lang w:val="es-ES_tradnl"/>
                    </w:rPr>
                  </w:pPr>
                  <w:r w:rsidRPr="009C7122">
                    <w:rPr>
                      <w:rFonts w:ascii="Times New Roman" w:hAnsi="Times New Roman"/>
                      <w:b/>
                      <w:snapToGrid w:val="0"/>
                      <w:sz w:val="20"/>
                      <w:szCs w:val="20"/>
                      <w:lang w:val="es-ES_tradnl"/>
                    </w:rPr>
                    <w:t>Incumplí-</w:t>
                  </w:r>
                </w:p>
                <w:p w:rsidR="009C7122" w:rsidRPr="009C7122" w:rsidRDefault="009C7122" w:rsidP="009C7122">
                  <w:pPr>
                    <w:framePr w:hSpace="141" w:wrap="around" w:vAnchor="text" w:hAnchor="text" w:xAlign="center" w:y="1"/>
                    <w:widowControl w:val="0"/>
                    <w:suppressAutoHyphens/>
                    <w:autoSpaceDE w:val="0"/>
                    <w:autoSpaceDN w:val="0"/>
                    <w:adjustRightInd w:val="0"/>
                    <w:ind w:firstLine="0"/>
                    <w:suppressOverlap/>
                    <w:jc w:val="left"/>
                    <w:rPr>
                      <w:rFonts w:ascii="Times New Roman" w:hAnsi="Times New Roman"/>
                      <w:b/>
                      <w:snapToGrid w:val="0"/>
                      <w:sz w:val="20"/>
                      <w:szCs w:val="20"/>
                      <w:lang w:val="es-ES_tradnl"/>
                    </w:rPr>
                  </w:pPr>
                  <w:r w:rsidRPr="009C7122">
                    <w:rPr>
                      <w:rFonts w:ascii="Times New Roman" w:hAnsi="Times New Roman"/>
                      <w:b/>
                      <w:snapToGrid w:val="0"/>
                      <w:sz w:val="20"/>
                      <w:szCs w:val="20"/>
                      <w:lang w:val="es-ES_tradnl"/>
                    </w:rPr>
                    <w:t>miento</w:t>
                  </w:r>
                </w:p>
                <w:p w:rsidR="009C7122" w:rsidRPr="009C7122" w:rsidRDefault="009C7122" w:rsidP="009C7122">
                  <w:pPr>
                    <w:framePr w:hSpace="141" w:wrap="around" w:vAnchor="text" w:hAnchor="text" w:xAlign="center" w:y="1"/>
                    <w:widowControl w:val="0"/>
                    <w:suppressAutoHyphens/>
                    <w:autoSpaceDE w:val="0"/>
                    <w:autoSpaceDN w:val="0"/>
                    <w:adjustRightInd w:val="0"/>
                    <w:suppressOverlap/>
                    <w:jc w:val="left"/>
                    <w:rPr>
                      <w:rFonts w:ascii="Times New Roman" w:hAnsi="Times New Roman"/>
                      <w:b/>
                      <w:snapToGrid w:val="0"/>
                      <w:sz w:val="20"/>
                      <w:szCs w:val="20"/>
                      <w:lang w:val="es-ES_tradnl"/>
                    </w:rPr>
                  </w:pPr>
                  <w:r w:rsidRPr="009C7122">
                    <w:rPr>
                      <w:rFonts w:ascii="Times New Roman" w:hAnsi="Times New Roman"/>
                      <w:b/>
                      <w:snapToGrid w:val="0"/>
                      <w:sz w:val="20"/>
                      <w:szCs w:val="20"/>
                      <w:lang w:val="es-ES_tradnl"/>
                    </w:rPr>
                    <w:t>(1)</w:t>
                  </w:r>
                </w:p>
              </w:tc>
              <w:tc>
                <w:tcPr>
                  <w:tcW w:w="1932" w:type="pct"/>
                  <w:tcBorders>
                    <w:top w:val="single" w:sz="4" w:space="0" w:color="auto"/>
                    <w:bottom w:val="single" w:sz="4" w:space="0" w:color="auto"/>
                  </w:tcBorders>
                  <w:shd w:val="clear" w:color="auto" w:fill="F2F2F2"/>
                </w:tcPr>
                <w:p w:rsidR="009C7122" w:rsidRPr="009C7122" w:rsidRDefault="009C7122" w:rsidP="009C7122">
                  <w:pPr>
                    <w:framePr w:hSpace="141" w:wrap="around" w:vAnchor="text" w:hAnchor="text" w:xAlign="center" w:y="1"/>
                    <w:widowControl w:val="0"/>
                    <w:suppressAutoHyphens/>
                    <w:autoSpaceDE w:val="0"/>
                    <w:autoSpaceDN w:val="0"/>
                    <w:adjustRightInd w:val="0"/>
                    <w:spacing w:before="120"/>
                    <w:suppressOverlap/>
                    <w:jc w:val="left"/>
                    <w:rPr>
                      <w:rFonts w:ascii="Times New Roman" w:hAnsi="Times New Roman"/>
                      <w:b/>
                      <w:snapToGrid w:val="0"/>
                      <w:sz w:val="20"/>
                      <w:szCs w:val="20"/>
                      <w:lang w:val="es-ES_tradnl"/>
                    </w:rPr>
                  </w:pPr>
                </w:p>
                <w:p w:rsidR="009C7122" w:rsidRPr="009C7122" w:rsidRDefault="009C7122" w:rsidP="009C7122">
                  <w:pPr>
                    <w:framePr w:hSpace="141" w:wrap="around" w:vAnchor="text" w:hAnchor="text" w:xAlign="center" w:y="1"/>
                    <w:widowControl w:val="0"/>
                    <w:suppressAutoHyphens/>
                    <w:autoSpaceDE w:val="0"/>
                    <w:autoSpaceDN w:val="0"/>
                    <w:adjustRightInd w:val="0"/>
                    <w:spacing w:before="120"/>
                    <w:ind w:firstLine="0"/>
                    <w:suppressOverlap/>
                    <w:jc w:val="left"/>
                    <w:rPr>
                      <w:rFonts w:ascii="Times New Roman" w:hAnsi="Times New Roman"/>
                      <w:b/>
                      <w:snapToGrid w:val="0"/>
                      <w:sz w:val="20"/>
                      <w:szCs w:val="20"/>
                      <w:lang w:val="es-ES_tradnl"/>
                    </w:rPr>
                  </w:pPr>
                  <w:r w:rsidRPr="009C7122">
                    <w:rPr>
                      <w:rFonts w:ascii="Times New Roman" w:hAnsi="Times New Roman"/>
                      <w:b/>
                      <w:snapToGrid w:val="0"/>
                      <w:sz w:val="20"/>
                      <w:szCs w:val="20"/>
                      <w:lang w:val="es-ES_tradnl"/>
                    </w:rPr>
                    <w:t>Informar (2) o Explicar (3)</w:t>
                  </w:r>
                </w:p>
              </w:tc>
            </w:tr>
          </w:tbl>
          <w:p w:rsidR="009C7122" w:rsidRPr="00F423CC" w:rsidRDefault="009C7122" w:rsidP="003E047F">
            <w:pPr>
              <w:tabs>
                <w:tab w:val="left" w:pos="1240"/>
                <w:tab w:val="right" w:pos="7880"/>
                <w:tab w:val="right" w:pos="9680"/>
              </w:tabs>
              <w:rPr>
                <w:b/>
              </w:rPr>
            </w:pPr>
          </w:p>
        </w:tc>
      </w:tr>
      <w:tr w:rsidR="009C7122" w:rsidRPr="00F423CC" w:rsidTr="003E047F">
        <w:trPr>
          <w:trHeight w:val="144"/>
        </w:trPr>
        <w:tc>
          <w:tcPr>
            <w:tcW w:w="9747" w:type="dxa"/>
            <w:gridSpan w:val="7"/>
            <w:shd w:val="clear" w:color="auto" w:fill="F2F2F2"/>
          </w:tcPr>
          <w:p w:rsidR="009C7122" w:rsidRPr="009C7122" w:rsidRDefault="009C7122" w:rsidP="009C7122">
            <w:pPr>
              <w:tabs>
                <w:tab w:val="left" w:pos="1240"/>
                <w:tab w:val="right" w:pos="7880"/>
                <w:tab w:val="right" w:pos="9680"/>
              </w:tabs>
              <w:ind w:firstLine="0"/>
              <w:rPr>
                <w:rFonts w:ascii="Times New Roman" w:hAnsi="Times New Roman"/>
                <w:b/>
              </w:rPr>
            </w:pPr>
            <w:r w:rsidRPr="009C7122">
              <w:rPr>
                <w:rFonts w:ascii="Times New Roman" w:hAnsi="Times New Roman"/>
                <w:b/>
              </w:rPr>
              <w:t>PRINCIPIO I. TRANSPARENTAR LA RELACION ENTRE LA EMISORA, EL GRUPO ECONÓMICO QUE ENCABEZA Y/O INTEGRA Y SUS PARTES RELACIONADAS</w:t>
            </w:r>
          </w:p>
          <w:p w:rsidR="009C7122" w:rsidRPr="00F423CC" w:rsidRDefault="009C7122" w:rsidP="003E047F">
            <w:pPr>
              <w:tabs>
                <w:tab w:val="left" w:pos="1240"/>
                <w:tab w:val="right" w:pos="7880"/>
                <w:tab w:val="right" w:pos="9680"/>
              </w:tabs>
            </w:pPr>
          </w:p>
        </w:tc>
      </w:tr>
      <w:tr w:rsidR="009C7122" w:rsidRPr="00F423CC" w:rsidTr="003E047F">
        <w:trPr>
          <w:trHeight w:val="2913"/>
        </w:trPr>
        <w:tc>
          <w:tcPr>
            <w:tcW w:w="2981" w:type="dxa"/>
            <w:tcBorders>
              <w:bottom w:val="single" w:sz="4" w:space="0" w:color="auto"/>
            </w:tcBorders>
          </w:tcPr>
          <w:p w:rsidR="009C7122" w:rsidRPr="009C7122" w:rsidRDefault="009C7122" w:rsidP="009C7122">
            <w:pPr>
              <w:tabs>
                <w:tab w:val="left" w:pos="1240"/>
                <w:tab w:val="right" w:pos="7880"/>
                <w:tab w:val="right" w:pos="9680"/>
              </w:tabs>
              <w:spacing w:line="240" w:lineRule="auto"/>
              <w:ind w:firstLine="0"/>
              <w:rPr>
                <w:rFonts w:ascii="Times New Roman" w:hAnsi="Times New Roman"/>
              </w:rPr>
            </w:pPr>
            <w:r w:rsidRPr="009C7122">
              <w:rPr>
                <w:rFonts w:ascii="Times New Roman" w:hAnsi="Times New Roman"/>
              </w:rPr>
              <w:lastRenderedPageBreak/>
              <w:t>Recomendación I.1.: Garantizar la divulgación por parte del Órgano de Administración de políticas aplicables a la relación de la Emisora con el grupo económico que encabeza y/o integra y con sus partes relacionadas.</w:t>
            </w:r>
          </w:p>
        </w:tc>
        <w:tc>
          <w:tcPr>
            <w:tcW w:w="944" w:type="dxa"/>
            <w:gridSpan w:val="3"/>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bottom w:val="single" w:sz="4" w:space="0" w:color="auto"/>
            </w:tcBorders>
          </w:tcPr>
          <w:p w:rsidR="009C7122" w:rsidRPr="009C7122" w:rsidRDefault="009C7122" w:rsidP="009C7122">
            <w:pPr>
              <w:widowControl w:val="0"/>
              <w:adjustRightInd w:val="0"/>
              <w:spacing w:before="120" w:line="240" w:lineRule="auto"/>
              <w:ind w:firstLine="0"/>
              <w:contextualSpacing/>
              <w:rPr>
                <w:rFonts w:ascii="Times New Roman" w:hAnsi="Times New Roman"/>
              </w:rPr>
            </w:pPr>
            <w:r w:rsidRPr="009C7122">
              <w:rPr>
                <w:rFonts w:ascii="Times New Roman" w:hAnsi="Times New Roman"/>
              </w:rPr>
              <w:t>La Sociedad adopta una política de transparencia que consiste en proveer una apropiada divulgación de la información hacia el depositante, inversor, accionista y público en general. La misma uti</w:t>
            </w:r>
            <w:r>
              <w:rPr>
                <w:rFonts w:ascii="Times New Roman" w:hAnsi="Times New Roman"/>
              </w:rPr>
              <w:t xml:space="preserve">liza como </w:t>
            </w:r>
            <w:proofErr w:type="gramStart"/>
            <w:r>
              <w:rPr>
                <w:rFonts w:ascii="Times New Roman" w:hAnsi="Times New Roman"/>
              </w:rPr>
              <w:t xml:space="preserve">mecanismo </w:t>
            </w:r>
            <w:r w:rsidRPr="009C7122">
              <w:rPr>
                <w:rFonts w:ascii="Times New Roman" w:hAnsi="Times New Roman"/>
              </w:rPr>
              <w:t>idóneos</w:t>
            </w:r>
            <w:proofErr w:type="gramEnd"/>
            <w:r w:rsidRPr="009C7122">
              <w:rPr>
                <w:rFonts w:ascii="Times New Roman" w:hAnsi="Times New Roman"/>
              </w:rPr>
              <w:t xml:space="preserve"> para suministrar información la página de la Comisión Nacional de Valores (CNV)</w:t>
            </w:r>
          </w:p>
          <w:p w:rsidR="009C7122" w:rsidRPr="009C7122" w:rsidRDefault="009C7122" w:rsidP="009C7122">
            <w:pPr>
              <w:widowControl w:val="0"/>
              <w:adjustRightInd w:val="0"/>
              <w:spacing w:before="120" w:line="240" w:lineRule="auto"/>
              <w:contextualSpacing/>
              <w:rPr>
                <w:rFonts w:ascii="Times New Roman" w:hAnsi="Times New Roman"/>
              </w:rPr>
            </w:pPr>
          </w:p>
          <w:p w:rsidR="009C7122" w:rsidRPr="009C7122" w:rsidRDefault="009C7122" w:rsidP="009C7122">
            <w:pPr>
              <w:widowControl w:val="0"/>
              <w:adjustRightInd w:val="0"/>
              <w:spacing w:before="120" w:line="240" w:lineRule="auto"/>
              <w:contextualSpacing/>
              <w:rPr>
                <w:rFonts w:ascii="Times New Roman" w:hAnsi="Times New Roman"/>
              </w:rPr>
            </w:pPr>
            <w:r w:rsidRPr="009C7122">
              <w:rPr>
                <w:rFonts w:ascii="Times New Roman" w:hAnsi="Times New Roman"/>
              </w:rPr>
              <w:t xml:space="preserve"> Adicionalmente, las transacciones con partes relacionadas se encuentran explicitadas en los Estados Contables.  </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blPrEx>
          <w:tblBorders>
            <w:bottom w:val="single" w:sz="4" w:space="0" w:color="000000"/>
          </w:tblBorders>
        </w:tblPrEx>
        <w:trPr>
          <w:trHeight w:val="1951"/>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I.2.: Asegurar la existencia de mecanismos preventivos de conflictos de interés.</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Los mecanismos preventivos de conflictos de interés se encuentran contemplados en el Código de Gobierno Societario y en el Código de Ética y Conducta. </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Respecto a la prevención y resolución de estos conflictos dentro del Directorio, los mismos se gestionarán dentro de este órgano y se documentarán a través de las actas. </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Asimismo, se establecen ciertas pautas para todos los colaboradores de la Sociedad, que contienen estándares profesionales y valores societarios, tendientes a evitar todo tipo de conflicto de interés.</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Adicionalmente, la Comisión de Recursos Humanos y/o el Directorio según corresponda, son los órganos que intervendrán en todos los casos u operaciones en las cuales exista o pueda existir conflicto de interés. </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280"/>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I.3.: Prevenir el uso indebido de información privilegiada.</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Este aspecto se encuentra considerado en el Código de Ética y Conducta. Todos los colaboradores de la Sociedad suscriben un compromiso de confidencialidad, mediante el cual toman conocimiento del carácter reservado de la información a la que tendrán acceso y toman conocimiento de todas las obligaciones y recomendaciones establecidas en dicho compromiso, que acepta expresamente y se obliga a cumplir. </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Adicionalmente, en el Código de Gobierno Societario se expresa que los miembros del Directorio deberán obrar con lealtad.</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421"/>
        </w:trPr>
        <w:tc>
          <w:tcPr>
            <w:tcW w:w="9747" w:type="dxa"/>
            <w:gridSpan w:val="7"/>
            <w:tcBorders>
              <w:top w:val="single" w:sz="4" w:space="0" w:color="auto"/>
              <w:left w:val="single" w:sz="4" w:space="0" w:color="auto"/>
              <w:bottom w:val="single" w:sz="4" w:space="0" w:color="auto"/>
              <w:right w:val="single" w:sz="4" w:space="0" w:color="auto"/>
            </w:tcBorders>
            <w:shd w:val="clear" w:color="auto" w:fill="F2F2F2"/>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b/>
              </w:rPr>
              <w:t>PRINCIPIO II. SENTAR LAS BASES PARA UNA SÓLIDA ADMINISTRACIÓN Y SUPERVISIÓN DE LA EMISORA</w:t>
            </w:r>
          </w:p>
        </w:tc>
      </w:tr>
      <w:tr w:rsidR="009C7122" w:rsidRPr="00F423CC" w:rsidTr="003E047F">
        <w:trPr>
          <w:trHeight w:val="144"/>
        </w:trPr>
        <w:tc>
          <w:tcPr>
            <w:tcW w:w="2981"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II. 1.: Garantizar que el Órgano de Administración asuma la administración y supervisión de la Emisora y su orientación estratégica.</w:t>
            </w:r>
          </w:p>
        </w:tc>
        <w:tc>
          <w:tcPr>
            <w:tcW w:w="944" w:type="dxa"/>
            <w:gridSpan w:val="3"/>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Sociedad estableció diversos comités considerando su dimensión, complejidad, importancia económica, el perfil de riesgo de sus negocios y su grupo económico.</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El Directorio, en su conjunto, toma conocimiento de las actuaciones y decisiones de los comités, en las reuniones </w:t>
            </w:r>
            <w:r w:rsidRPr="009C7122">
              <w:rPr>
                <w:rFonts w:ascii="Times New Roman" w:hAnsi="Times New Roman"/>
              </w:rPr>
              <w:lastRenderedPageBreak/>
              <w:t>trimestrales, dejando constancia de ello en Actas de Directorio.</w:t>
            </w:r>
          </w:p>
        </w:tc>
      </w:tr>
      <w:tr w:rsidR="009C7122" w:rsidRPr="00F423CC" w:rsidTr="003E047F">
        <w:trPr>
          <w:trHeight w:val="144"/>
        </w:trPr>
        <w:tc>
          <w:tcPr>
            <w:tcW w:w="2981" w:type="dxa"/>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lastRenderedPageBreak/>
              <w:t>II.1.1. Responder si:</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el Órgano de Administración aprueba:</w:t>
            </w:r>
          </w:p>
        </w:tc>
        <w:tc>
          <w:tcPr>
            <w:tcW w:w="944" w:type="dxa"/>
            <w:gridSpan w:val="3"/>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81" w:type="dxa"/>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II.1.1.1. el plan estratégico o de negocio, así como los objetivos de gestión y presupuestos anuales,</w:t>
            </w:r>
          </w:p>
        </w:tc>
        <w:tc>
          <w:tcPr>
            <w:tcW w:w="944" w:type="dxa"/>
            <w:gridSpan w:val="3"/>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Pr>
          <w:p w:rsidR="009C7122" w:rsidRPr="009C7122" w:rsidRDefault="009C7122" w:rsidP="009C7122">
            <w:pPr>
              <w:tabs>
                <w:tab w:val="left" w:pos="1240"/>
                <w:tab w:val="right" w:pos="7880"/>
                <w:tab w:val="right" w:pos="9680"/>
              </w:tabs>
              <w:spacing w:line="240" w:lineRule="auto"/>
              <w:rPr>
                <w:rFonts w:ascii="Times New Roman" w:hAnsi="Times New Roman"/>
                <w:highlight w:val="yellow"/>
              </w:rPr>
            </w:pPr>
          </w:p>
        </w:tc>
        <w:tc>
          <w:tcPr>
            <w:tcW w:w="1084" w:type="dxa"/>
          </w:tcPr>
          <w:p w:rsidR="009C7122" w:rsidRPr="009C7122" w:rsidRDefault="009C7122" w:rsidP="009C7122">
            <w:pPr>
              <w:tabs>
                <w:tab w:val="left" w:pos="1240"/>
                <w:tab w:val="right" w:pos="7880"/>
                <w:tab w:val="right" w:pos="9680"/>
              </w:tabs>
              <w:spacing w:line="240" w:lineRule="auto"/>
              <w:rPr>
                <w:rFonts w:ascii="Times New Roman" w:hAnsi="Times New Roman"/>
                <w:highlight w:val="yellow"/>
              </w:rPr>
            </w:pPr>
          </w:p>
        </w:tc>
        <w:tc>
          <w:tcPr>
            <w:tcW w:w="3924" w:type="dxa"/>
          </w:tcPr>
          <w:p w:rsidR="009C7122" w:rsidRPr="009C7122" w:rsidRDefault="009C7122" w:rsidP="009C7122">
            <w:pPr>
              <w:tabs>
                <w:tab w:val="left" w:pos="1240"/>
                <w:tab w:val="right" w:pos="7880"/>
                <w:tab w:val="right" w:pos="9680"/>
              </w:tabs>
              <w:spacing w:line="240" w:lineRule="auto"/>
              <w:rPr>
                <w:rFonts w:ascii="Times New Roman" w:hAnsi="Times New Roman"/>
                <w:highlight w:val="yellow"/>
              </w:rPr>
            </w:pPr>
            <w:r w:rsidRPr="009C7122">
              <w:rPr>
                <w:rFonts w:ascii="Times New Roman" w:hAnsi="Times New Roman"/>
              </w:rPr>
              <w:t>En términos generales el plan de negocio como el presupuesto anual se aprueba en el Comité de Gestión y son cuyas resoluciones son sometidas a consideración del Directorio.</w:t>
            </w:r>
          </w:p>
        </w:tc>
      </w:tr>
      <w:tr w:rsidR="009C7122" w:rsidRPr="00F423CC" w:rsidTr="003E047F">
        <w:trPr>
          <w:trHeight w:val="144"/>
        </w:trPr>
        <w:tc>
          <w:tcPr>
            <w:tcW w:w="2981"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II.1.1.2. la política de inversiones (en activos financieros y en bienes de capital), y de financiación,</w:t>
            </w:r>
          </w:p>
        </w:tc>
        <w:tc>
          <w:tcPr>
            <w:tcW w:w="944" w:type="dxa"/>
            <w:gridSpan w:val="3"/>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highlight w:val="yellow"/>
              </w:rPr>
            </w:pPr>
            <w:r w:rsidRPr="009C7122">
              <w:rPr>
                <w:rFonts w:ascii="Times New Roman" w:hAnsi="Times New Roman"/>
              </w:rPr>
              <w:t>En términos generales el plan de inversiones se aprueba en el Comité de Gestión y cuyas resoluciones son sometidas a consideración del Directorio.</w:t>
            </w:r>
          </w:p>
        </w:tc>
      </w:tr>
      <w:tr w:rsidR="009C7122" w:rsidRPr="00F423CC"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II.1.1.3. la política de gobierno societario (cumplimiento Código de Gobierno Societario),</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El Directorio aprobó, mediante Acta de Directorio N°109 de fecha </w:t>
            </w:r>
            <w:smartTag w:uri="urn:schemas-microsoft-com:office:smarttags" w:element="date">
              <w:smartTagPr>
                <w:attr w:name="ls" w:val="trans"/>
                <w:attr w:name="Month" w:val="12"/>
                <w:attr w:name="Day" w:val="28"/>
                <w:attr w:name="Year" w:val="2017"/>
              </w:smartTagPr>
              <w:r w:rsidRPr="009C7122">
                <w:rPr>
                  <w:rFonts w:ascii="Times New Roman" w:hAnsi="Times New Roman"/>
                </w:rPr>
                <w:t>28 de diciembre de 2017</w:t>
              </w:r>
            </w:smartTag>
            <w:r w:rsidRPr="009C7122">
              <w:rPr>
                <w:rFonts w:ascii="Times New Roman" w:hAnsi="Times New Roman"/>
              </w:rPr>
              <w:t>, el Código de Gobierno Societario.</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Dicho código establece las prácticas de Gobierno Societario de Crédito Directo SA, las que determinan la forma en que el Directorio gobierna la Sociedad.</w:t>
            </w:r>
          </w:p>
        </w:tc>
      </w:tr>
      <w:tr w:rsidR="009C7122" w:rsidRPr="00F423CC" w:rsidTr="003E047F">
        <w:trPr>
          <w:trHeight w:val="870"/>
        </w:trPr>
        <w:tc>
          <w:tcPr>
            <w:tcW w:w="2981"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II.1.1.4. la política de selección, evaluación y remuneración de los gerentes de primera línea,</w:t>
            </w:r>
          </w:p>
        </w:tc>
        <w:tc>
          <w:tcPr>
            <w:tcW w:w="944" w:type="dxa"/>
            <w:gridSpan w:val="3"/>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selección de los gerentes se encuentra monitoreada por la Comisión de Recursos Humanos (RRHH).</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Asimismo, la remuneración una vez fijada por la Comisión de RRHH es aprobada por un </w:t>
            </w:r>
            <w:proofErr w:type="gramStart"/>
            <w:r w:rsidRPr="009C7122">
              <w:rPr>
                <w:rFonts w:ascii="Times New Roman" w:hAnsi="Times New Roman"/>
              </w:rPr>
              <w:t>Director</w:t>
            </w:r>
            <w:proofErr w:type="gramEnd"/>
            <w:r w:rsidRPr="009C7122">
              <w:rPr>
                <w:rFonts w:ascii="Times New Roman" w:hAnsi="Times New Roman"/>
              </w:rPr>
              <w:t>.</w:t>
            </w:r>
          </w:p>
        </w:tc>
      </w:tr>
      <w:tr w:rsidR="009C7122" w:rsidRPr="00B31102" w:rsidTr="003E047F">
        <w:trPr>
          <w:trHeight w:val="144"/>
        </w:trPr>
        <w:tc>
          <w:tcPr>
            <w:tcW w:w="2981" w:type="dxa"/>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II.1.1.5. la política de asignación de responsabilidades a los gerentes de primera línea,</w:t>
            </w:r>
          </w:p>
        </w:tc>
        <w:tc>
          <w:tcPr>
            <w:tcW w:w="944" w:type="dxa"/>
            <w:gridSpan w:val="3"/>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Sociedad cuenta con un Manual de Funciones Gerencial el cual contempla la asignación de responsabilidades a los gerentes de primera línea el cual es aprobado y monitoreado por la Comisión de RRHH.</w:t>
            </w:r>
          </w:p>
        </w:tc>
      </w:tr>
      <w:tr w:rsidR="009C7122" w:rsidRPr="00B31102" w:rsidTr="003E047F">
        <w:trPr>
          <w:trHeight w:val="144"/>
        </w:trPr>
        <w:tc>
          <w:tcPr>
            <w:tcW w:w="2981"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II.1.1.6. la supervisión de los planes de sucesión de los gerentes de primera línea,</w:t>
            </w:r>
          </w:p>
        </w:tc>
        <w:tc>
          <w:tcPr>
            <w:tcW w:w="944" w:type="dxa"/>
            <w:gridSpan w:val="3"/>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highlight w:val="yellow"/>
              </w:rPr>
            </w:pP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highlight w:val="yellow"/>
              </w:rPr>
            </w:pPr>
            <w:r w:rsidRPr="009C7122">
              <w:rPr>
                <w:rFonts w:ascii="Times New Roman" w:hAnsi="Times New Roman"/>
              </w:rPr>
              <w:t>X</w:t>
            </w: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highlight w:val="yellow"/>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La Comisión de RRHH finalizará en el primer trimestre de 2019 una propuesta para la implementación de planes de sucesión y selección de ejecutivos. Dicha propuesta incluye un proceso de selección de puestos claves y la determinación de las competencias que deberán reunir los candidatos para la ocupación de dichos puestos. Adicionalmente, la propuesta preverá un sistema de selección de candidatos para el reemplazo de puestos claves en caso de vacancia de </w:t>
            </w:r>
            <w:proofErr w:type="gramStart"/>
            <w:r w:rsidRPr="009C7122">
              <w:rPr>
                <w:rFonts w:ascii="Times New Roman" w:hAnsi="Times New Roman"/>
              </w:rPr>
              <w:t>los mismos</w:t>
            </w:r>
            <w:proofErr w:type="gramEnd"/>
            <w:r w:rsidRPr="009C7122">
              <w:rPr>
                <w:rFonts w:ascii="Times New Roman" w:hAnsi="Times New Roman"/>
              </w:rPr>
              <w:t>.</w:t>
            </w:r>
          </w:p>
        </w:tc>
      </w:tr>
      <w:tr w:rsidR="009C7122" w:rsidRPr="00B31102"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II.1.1.7. la política de responsabilidad social empresaria,</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spacing w:line="240" w:lineRule="auto"/>
              <w:rPr>
                <w:rFonts w:ascii="Times New Roman" w:hAnsi="Times New Roman"/>
              </w:rPr>
            </w:pPr>
            <w:r w:rsidRPr="009C7122">
              <w:rPr>
                <w:rFonts w:ascii="Times New Roman" w:hAnsi="Times New Roman"/>
              </w:rPr>
              <w:t>En el marco del desarrollo de políticas tendientes a implementar acciones de Responsabilidad Social y Ambiental, Crédito Directo SA, adhiere a pautas para la reducción del consumo de papel y energías no renovables, así como también a edificios libres de humo.</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81"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II.1.1.8. las políticas de gestión integral de riesgos y de control interno, y de prevención de fraudes,</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tcBorders>
          </w:tcPr>
          <w:p w:rsidR="009C7122" w:rsidRPr="009C7122" w:rsidRDefault="009C7122" w:rsidP="009C7122">
            <w:pPr>
              <w:tabs>
                <w:tab w:val="left" w:pos="1240"/>
                <w:tab w:val="left" w:pos="7880"/>
                <w:tab w:val="left" w:pos="9680"/>
              </w:tabs>
              <w:autoSpaceDE w:val="0"/>
              <w:autoSpaceDN w:val="0"/>
              <w:adjustRightInd w:val="0"/>
              <w:spacing w:line="240" w:lineRule="auto"/>
              <w:rPr>
                <w:rFonts w:ascii="Times New Roman" w:hAnsi="Times New Roman"/>
              </w:rPr>
            </w:pPr>
            <w:r w:rsidRPr="009C7122">
              <w:rPr>
                <w:rFonts w:ascii="Times New Roman" w:hAnsi="Times New Roman"/>
              </w:rPr>
              <w:t xml:space="preserve">La política de gestión de riesgos es competencia del Comité de Riesgos y Cobranzas, cual está integrado por dos Directores, </w:t>
            </w:r>
            <w:proofErr w:type="gramStart"/>
            <w:r w:rsidRPr="009C7122">
              <w:rPr>
                <w:rFonts w:ascii="Times New Roman" w:hAnsi="Times New Roman"/>
              </w:rPr>
              <w:t>quienes  informan</w:t>
            </w:r>
            <w:proofErr w:type="gramEnd"/>
            <w:r w:rsidRPr="009C7122">
              <w:rPr>
                <w:rFonts w:ascii="Times New Roman" w:hAnsi="Times New Roman"/>
              </w:rPr>
              <w:t xml:space="preserve"> lo actuado al resto de los integrantes del Órgano de Administración.</w:t>
            </w:r>
          </w:p>
          <w:p w:rsidR="009C7122" w:rsidRPr="009C7122" w:rsidRDefault="009C7122" w:rsidP="009C7122">
            <w:pPr>
              <w:tabs>
                <w:tab w:val="left" w:pos="1240"/>
                <w:tab w:val="left" w:pos="7880"/>
                <w:tab w:val="left" w:pos="9680"/>
              </w:tabs>
              <w:autoSpaceDE w:val="0"/>
              <w:autoSpaceDN w:val="0"/>
              <w:adjustRightInd w:val="0"/>
              <w:spacing w:line="240" w:lineRule="auto"/>
              <w:rPr>
                <w:rFonts w:ascii="Times New Roman" w:hAnsi="Times New Roman"/>
              </w:rPr>
            </w:pPr>
          </w:p>
          <w:p w:rsidR="009C7122" w:rsidRPr="009C7122" w:rsidRDefault="009C7122" w:rsidP="009C7122">
            <w:pPr>
              <w:tabs>
                <w:tab w:val="left" w:pos="1240"/>
                <w:tab w:val="left" w:pos="7880"/>
                <w:tab w:val="left" w:pos="9680"/>
              </w:tabs>
              <w:autoSpaceDE w:val="0"/>
              <w:autoSpaceDN w:val="0"/>
              <w:adjustRightInd w:val="0"/>
              <w:spacing w:line="240" w:lineRule="auto"/>
              <w:rPr>
                <w:rFonts w:ascii="Times New Roman" w:hAnsi="Times New Roman"/>
              </w:rPr>
            </w:pPr>
            <w:proofErr w:type="gramStart"/>
            <w:r w:rsidRPr="009C7122">
              <w:rPr>
                <w:rFonts w:ascii="Times New Roman" w:hAnsi="Times New Roman"/>
              </w:rPr>
              <w:t>Asimismo</w:t>
            </w:r>
            <w:proofErr w:type="gramEnd"/>
            <w:r w:rsidRPr="009C7122">
              <w:rPr>
                <w:rFonts w:ascii="Times New Roman" w:hAnsi="Times New Roman"/>
              </w:rPr>
              <w:t xml:space="preserve"> en el Código de Gobierno Societario, se especifican las políticas de control interno aplicables a la Sociedad.</w:t>
            </w:r>
          </w:p>
          <w:p w:rsidR="009C7122" w:rsidRPr="009C7122" w:rsidRDefault="009C7122" w:rsidP="009C7122">
            <w:pPr>
              <w:tabs>
                <w:tab w:val="left" w:pos="1240"/>
                <w:tab w:val="left" w:pos="7880"/>
                <w:tab w:val="left" w:pos="9680"/>
              </w:tabs>
              <w:autoSpaceDE w:val="0"/>
              <w:autoSpaceDN w:val="0"/>
              <w:adjustRightInd w:val="0"/>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En cuanto a las políticas de Prevención de Fraudes, las mismas se encuentran plasmadas en la Política de Gestión de Riesgos. En esta línea en dicha Política se detallan los procesos de control tendientes a prevenir y detectar fraudes y posibles operaciones sospechosas; así como también, el Código de </w:t>
            </w:r>
            <w:proofErr w:type="spellStart"/>
            <w:r w:rsidRPr="009C7122">
              <w:rPr>
                <w:rFonts w:ascii="Times New Roman" w:hAnsi="Times New Roman"/>
              </w:rPr>
              <w:t>de</w:t>
            </w:r>
            <w:proofErr w:type="spellEnd"/>
            <w:r w:rsidRPr="009C7122">
              <w:rPr>
                <w:rFonts w:ascii="Times New Roman" w:hAnsi="Times New Roman"/>
              </w:rPr>
              <w:t xml:space="preserve"> Ética y Conducta, contemplan aspectos en esta materia.</w:t>
            </w:r>
          </w:p>
        </w:tc>
      </w:tr>
      <w:tr w:rsidR="009C7122" w:rsidRPr="00A00880"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lastRenderedPageBreak/>
              <w:t>II.1.1.9. la política de capacitación y entrenamiento continuo para miembros del Órgano de Administración y de los gerentes de primera línea,</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highlight w:val="yellow"/>
              </w:rPr>
            </w:pPr>
            <w:r w:rsidRPr="009C7122">
              <w:rPr>
                <w:rFonts w:ascii="Times New Roman" w:hAnsi="Times New Roman"/>
              </w:rPr>
              <w:t xml:space="preserve">La Comisión de RRHH, en virtud de las necesidades de los diferentes sectores de la Sociedad y considerando la estructura de la misma, ha implementado en el transcurso del año capacitaciones internas destinadas a los Sres. </w:t>
            </w:r>
            <w:proofErr w:type="gramStart"/>
            <w:r w:rsidRPr="009C7122">
              <w:rPr>
                <w:rFonts w:ascii="Times New Roman" w:hAnsi="Times New Roman"/>
              </w:rPr>
              <w:t>Directores</w:t>
            </w:r>
            <w:proofErr w:type="gramEnd"/>
            <w:r w:rsidRPr="009C7122">
              <w:rPr>
                <w:rFonts w:ascii="Times New Roman" w:hAnsi="Times New Roman"/>
              </w:rPr>
              <w:t xml:space="preserve"> y a la Gerencia.</w:t>
            </w:r>
          </w:p>
        </w:tc>
      </w:tr>
      <w:tr w:rsidR="009C7122" w:rsidRPr="00F423CC" w:rsidTr="003E047F">
        <w:tblPrEx>
          <w:tblBorders>
            <w:bottom w:val="single" w:sz="4" w:space="0" w:color="000000"/>
          </w:tblBorders>
        </w:tblPrEx>
        <w:trPr>
          <w:trHeight w:val="1883"/>
        </w:trPr>
        <w:tc>
          <w:tcPr>
            <w:tcW w:w="2981"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II.1.2. De considerar relevante, agregar otras políticas aplicadas por el Órgano de Administración que no han sido mencionadas y detallar los puntos significativos.</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II.1.3. La Emisora cuenta con una política tendiente a garantizar la disponibilidad de información relevante para la toma de decisiones de su Órgano de Administración y una vía de consulta directa de las líneas gerenciales, de un modo que resulte simétrico para todos sus miembros (ejecutivos, externos e independientes) por igual y con una antelación suficiente, que permita el adecuado análisis de su contenido.  Explicitar.</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La Sociedad cuenta con diversos Comités integrados por </w:t>
            </w:r>
            <w:proofErr w:type="gramStart"/>
            <w:r w:rsidRPr="009C7122">
              <w:rPr>
                <w:rFonts w:ascii="Times New Roman" w:hAnsi="Times New Roman"/>
              </w:rPr>
              <w:t>Directores</w:t>
            </w:r>
            <w:proofErr w:type="gramEnd"/>
            <w:r w:rsidRPr="009C7122">
              <w:rPr>
                <w:rFonts w:ascii="Times New Roman" w:hAnsi="Times New Roman"/>
              </w:rPr>
              <w:t xml:space="preserve"> y Gerentes que tratan temas de interés de la Sociedad, los que se someten trimestralmente a consideración del Directorio de la misma.</w:t>
            </w:r>
          </w:p>
        </w:tc>
      </w:tr>
      <w:tr w:rsidR="009C7122" w:rsidRPr="00F423CC" w:rsidTr="003E047F">
        <w:trPr>
          <w:trHeight w:val="144"/>
        </w:trPr>
        <w:tc>
          <w:tcPr>
            <w:tcW w:w="2981" w:type="dxa"/>
            <w:tcBorders>
              <w:top w:val="single" w:sz="4" w:space="0" w:color="auto"/>
              <w:lef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II.1.4. Los temas sometidos a consideración del Órgano de Administración son acompañados por un análisis de los riesgos asociados a las decisiones que puedan ser adoptadas, teniendo en cuenta el nivel de riesgo empresarial </w:t>
            </w:r>
            <w:r w:rsidRPr="009C7122">
              <w:rPr>
                <w:rFonts w:ascii="Times New Roman" w:hAnsi="Times New Roman"/>
              </w:rPr>
              <w:lastRenderedPageBreak/>
              <w:t>definido como aceptable por la Emisora.  Explicitar.</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44" w:type="dxa"/>
            <w:gridSpan w:val="3"/>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lastRenderedPageBreak/>
              <w:t>X</w:t>
            </w:r>
          </w:p>
        </w:tc>
        <w:tc>
          <w:tcPr>
            <w:tcW w:w="81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El Comité de Riesgos y Cobranzas tiene como funciones principales </w:t>
            </w:r>
            <w:proofErr w:type="gramStart"/>
            <w:r w:rsidRPr="009C7122">
              <w:rPr>
                <w:rFonts w:ascii="Times New Roman" w:hAnsi="Times New Roman"/>
              </w:rPr>
              <w:t>delinear  las</w:t>
            </w:r>
            <w:proofErr w:type="gramEnd"/>
            <w:r w:rsidRPr="009C7122">
              <w:rPr>
                <w:rFonts w:ascii="Times New Roman" w:hAnsi="Times New Roman"/>
              </w:rPr>
              <w:t xml:space="preserve"> estrategias para la gestión del riesgo, en base a la información y desarrollo de modelos,  y realizar  el seguimiento de las actividades de la Gerencia relacionadas con la gestión de los riesgos de crédito y fraude, de mercado y de liquidez. Asimismo, asesora al Directorio sobre el </w:t>
            </w:r>
            <w:r w:rsidRPr="009C7122">
              <w:rPr>
                <w:rFonts w:ascii="Times New Roman" w:hAnsi="Times New Roman"/>
              </w:rPr>
              <w:lastRenderedPageBreak/>
              <w:t>perfil de riesgo de la Sociedad y posibles acciones de mitigación.</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Gerencia de Riesgos es quien tiene entre sus funciones supervisar la implementación de un marco de gestión integral para identificar, medir, limitar y controlar los diferentes tipos de riesgos a los que está expuesta la Sociedad.</w:t>
            </w:r>
          </w:p>
        </w:tc>
      </w:tr>
      <w:tr w:rsidR="009C7122" w:rsidRPr="00F423CC" w:rsidTr="003E047F">
        <w:trPr>
          <w:trHeight w:val="144"/>
        </w:trPr>
        <w:tc>
          <w:tcPr>
            <w:tcW w:w="2981" w:type="dxa"/>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lastRenderedPageBreak/>
              <w:t>Recomendación II.2.: Asegurar un efectivo Control de la Gestión empresarial.</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Responder si:</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El Órgano de Administración verifica.</w:t>
            </w:r>
          </w:p>
        </w:tc>
        <w:tc>
          <w:tcPr>
            <w:tcW w:w="944" w:type="dxa"/>
            <w:gridSpan w:val="3"/>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81"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II.2.1. el cumplimiento del presupuesto anual y del plan de negocios,</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44" w:type="dxa"/>
            <w:gridSpan w:val="3"/>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Mensualmente el Comité de Gestión trata el cumplimiento del presupuesto anual y la evolución de los objetivos de negocio. Las acciones y/o decisiones tomadas por dicho comité se someten trimestralmente a consideración del Directorio.</w:t>
            </w:r>
          </w:p>
        </w:tc>
      </w:tr>
      <w:tr w:rsidR="009C7122" w:rsidRPr="00F423CC" w:rsidTr="003E047F">
        <w:trPr>
          <w:trHeight w:val="144"/>
        </w:trPr>
        <w:tc>
          <w:tcPr>
            <w:tcW w:w="2981" w:type="dxa"/>
            <w:tcBorders>
              <w:top w:val="single" w:sz="4" w:space="0" w:color="auto"/>
              <w:lef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II.2.2. el desempeño de los gerentes de primera línea y su cumplimiento </w:t>
            </w:r>
            <w:proofErr w:type="gramStart"/>
            <w:r w:rsidRPr="009C7122">
              <w:rPr>
                <w:rFonts w:ascii="Times New Roman" w:hAnsi="Times New Roman"/>
              </w:rPr>
              <w:t>de  los</w:t>
            </w:r>
            <w:proofErr w:type="gramEnd"/>
            <w:r w:rsidRPr="009C7122">
              <w:rPr>
                <w:rFonts w:ascii="Times New Roman" w:hAnsi="Times New Roman"/>
              </w:rPr>
              <w:t xml:space="preserve"> objetivos a ellos fijados (el nivel de utilidades previstas versus el de utilidades logradas, calificación financiera, calidad del reporte contable, cuota de mercado, etc.).</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Hacer una descripción de los aspectos relevantes de la política de Control de Gestión de la Emisora detallando técnicas empleadas y frecuencia del monitoreo efectuado por el Órgano de Administración.</w:t>
            </w:r>
          </w:p>
        </w:tc>
        <w:tc>
          <w:tcPr>
            <w:tcW w:w="944" w:type="dxa"/>
            <w:gridSpan w:val="3"/>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Mensualmente el Comité de Gestión evalúa el cumplimiento de los objetivos establecidos y el desempeño de sus gerentes a través de los informes elaborados por el área de Control de Gestión. </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Las acciones y/o decisiones tomadas por dicho comité se someten trimestralmente a consideración del Directorio.</w:t>
            </w:r>
          </w:p>
        </w:tc>
      </w:tr>
      <w:tr w:rsidR="009C7122" w:rsidRPr="00F423CC" w:rsidTr="003E047F">
        <w:trPr>
          <w:trHeight w:val="144"/>
        </w:trPr>
        <w:tc>
          <w:tcPr>
            <w:tcW w:w="2981" w:type="dxa"/>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II.3.: Dar a conocer el proceso de evaluación del desempeño del Órgano de Administración y su impacto.</w:t>
            </w:r>
          </w:p>
        </w:tc>
        <w:tc>
          <w:tcPr>
            <w:tcW w:w="944" w:type="dxa"/>
            <w:gridSpan w:val="3"/>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81"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II.3.1. Cada miembro del Órgano de Administración cumple con el Estatuto Social y, en su caso, con el Reglamento del funcionamiento del Órgano de Administración. Detallar las principales directrices del Reglamento. Indicar el grado de cumplimiento del Estatuto Social y Reglamento</w:t>
            </w:r>
          </w:p>
        </w:tc>
        <w:tc>
          <w:tcPr>
            <w:tcW w:w="944" w:type="dxa"/>
            <w:gridSpan w:val="3"/>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En oportunidad de celebrarse la Asamblea Anual -de conformidad con los términos del art. 234 de la Ley 19.550- se considera la gestión de los </w:t>
            </w:r>
            <w:proofErr w:type="gramStart"/>
            <w:r w:rsidRPr="009C7122">
              <w:rPr>
                <w:rFonts w:ascii="Times New Roman" w:hAnsi="Times New Roman"/>
              </w:rPr>
              <w:t>Directores</w:t>
            </w:r>
            <w:proofErr w:type="gramEnd"/>
            <w:r w:rsidRPr="009C7122">
              <w:rPr>
                <w:rFonts w:ascii="Times New Roman" w:hAnsi="Times New Roman"/>
              </w:rPr>
              <w:t xml:space="preserve"> durante el ejercicio en análisis. Asimismo, el Directorio cumple plenamente con las funciones que le asignan la citada Ley y el Estatuto.  La Comisión Fiscalizadora es el órgano encargado de supervisar y fiscalizar el cumplimiento de la ley, del Estatuto y de las decisiones asamblearias. </w:t>
            </w:r>
          </w:p>
        </w:tc>
      </w:tr>
      <w:tr w:rsidR="009C7122" w:rsidRPr="00F423CC" w:rsidTr="003E047F">
        <w:tblPrEx>
          <w:tblBorders>
            <w:bottom w:val="single" w:sz="4" w:space="0" w:color="000000"/>
          </w:tblBorders>
        </w:tblPrEx>
        <w:trPr>
          <w:trHeight w:val="1130"/>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II.3.2. El Órgano de Administración expone los resultados de su gestión teniendo en cuenta los objetivos fijados al inicio del período, de modo tal que los accionistas puedan evaluar el grado de cumplimiento de tales objetivos, que contienen tanto </w:t>
            </w:r>
            <w:r w:rsidRPr="009C7122">
              <w:rPr>
                <w:rFonts w:ascii="Times New Roman" w:hAnsi="Times New Roman"/>
              </w:rPr>
              <w:lastRenderedPageBreak/>
              <w:t>aspectos financieros como no financieros.  Adicionalmente, el Órgano de Administración presenta un diagnóstico acerca del grado de cumplimiento de las políticas mencionadas en la Recomendación II, ítems II.1.1.y II.1.2</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Detallar los aspectos principales de la evaluación de la Asamblea General de Accionistas sobre el grado de cumplimiento por parte del Órgano de Administración de los </w:t>
            </w:r>
            <w:proofErr w:type="gramStart"/>
            <w:r w:rsidRPr="009C7122">
              <w:rPr>
                <w:rFonts w:ascii="Times New Roman" w:hAnsi="Times New Roman"/>
              </w:rPr>
              <w:t>objetivos  fijados</w:t>
            </w:r>
            <w:proofErr w:type="gramEnd"/>
            <w:r w:rsidRPr="009C7122">
              <w:rPr>
                <w:rFonts w:ascii="Times New Roman" w:hAnsi="Times New Roman"/>
              </w:rPr>
              <w:t xml:space="preserve">  y de las políticas mencionadas en la Recomendación II, puntos II.1.1 y II.1.2, indicando la fecha de la Asamblea donde se presentó dicha evaluación.</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lastRenderedPageBreak/>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En oportunidad de celebrarse la Asamblea Anual -de conformidad con los términos del art. 234 de la ley 19.550- se considera y resuelve sobre el Estado de Situación Financiera, Estado de Resultado Integral, Estado de Cambios en el Patrimonio, Notas y Anexos, Distribución de Ganancias, Memoria e Informe de la Comisión Fiscalizadora y toda otra </w:t>
            </w:r>
            <w:r w:rsidRPr="009C7122">
              <w:rPr>
                <w:rFonts w:ascii="Times New Roman" w:hAnsi="Times New Roman"/>
              </w:rPr>
              <w:lastRenderedPageBreak/>
              <w:t>medida relativa a la gestión de la Sociedad que le competa resolver conforme a la ley.</w:t>
            </w:r>
          </w:p>
        </w:tc>
      </w:tr>
      <w:tr w:rsidR="009C7122" w:rsidRPr="00F423CC" w:rsidTr="003E047F">
        <w:trPr>
          <w:trHeight w:val="144"/>
        </w:trPr>
        <w:tc>
          <w:tcPr>
            <w:tcW w:w="2981"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b/>
              </w:rPr>
            </w:pPr>
            <w:r w:rsidRPr="009C7122">
              <w:rPr>
                <w:rFonts w:ascii="Times New Roman" w:hAnsi="Times New Roman"/>
                <w:b/>
              </w:rPr>
              <w:lastRenderedPageBreak/>
              <w:t>Recomendación II.4.: Que el número de miembros externos e independientes constituyan una proporción significativa en el Órgano de Administración.</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5018DB"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II.4.1. La proporción de miembros ejecutivos, externos e independientes (éstos últimos definidos según la normativa de esta Comisión) del Órgano de Administración guarda relación con la estructura de capital de la Emisora. Explicitar.</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highlight w:val="yellow"/>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De conformidad con la dimensión, complejidad, importancia económica y perfil de riesgo de la Sociedad y de los lineamientos establecidos a tal fin por la C.N.V., analiza en forma permanente la posibilidad de incorporar de directores independientes. </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5018DB"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II.4.2. Durante el año en curso, los accionistas acordaron a través de una </w:t>
            </w:r>
            <w:proofErr w:type="gramStart"/>
            <w:r w:rsidRPr="009C7122">
              <w:rPr>
                <w:rFonts w:ascii="Times New Roman" w:hAnsi="Times New Roman"/>
              </w:rPr>
              <w:t>Asamblea  General</w:t>
            </w:r>
            <w:proofErr w:type="gramEnd"/>
            <w:r w:rsidRPr="009C7122">
              <w:rPr>
                <w:rFonts w:ascii="Times New Roman" w:hAnsi="Times New Roman"/>
              </w:rPr>
              <w:t xml:space="preserve"> una política dirigida a mantener una proporción de al menos 20% de miembros independientes sobre el número total de miembros del Órgano de Administración.</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Hacer una descripción de los aspectos relevantes de tal política y de cualquier acuerdo de accionistas que permita comprender el modo en que miembros del Órgano de Administración son designados y por cuánto tiempo. Indicar si la independencia de los miembros del Órgano de Administración fue cuestionada durante el transcurso del año y si se han producido abstenciones por conflictos de interés.</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Teniendo en cuenta lo informado en el punto anterior, en los últimos años la Asamblea de Accionistas no ha fijado una política en cuanto a la proporción de </w:t>
            </w:r>
            <w:proofErr w:type="gramStart"/>
            <w:r w:rsidRPr="009C7122">
              <w:rPr>
                <w:rFonts w:ascii="Times New Roman" w:hAnsi="Times New Roman"/>
              </w:rPr>
              <w:t>Directores</w:t>
            </w:r>
            <w:proofErr w:type="gramEnd"/>
            <w:r w:rsidRPr="009C7122">
              <w:rPr>
                <w:rFonts w:ascii="Times New Roman" w:hAnsi="Times New Roman"/>
              </w:rPr>
              <w:t xml:space="preserve"> independientes y tampoco existen acuerdos de accionistas tendientes a la designación de miembros del Órgano de Administración.</w:t>
            </w:r>
          </w:p>
        </w:tc>
      </w:tr>
      <w:tr w:rsidR="009C7122" w:rsidRPr="00F423CC" w:rsidTr="003E047F">
        <w:trPr>
          <w:trHeight w:val="144"/>
        </w:trPr>
        <w:tc>
          <w:tcPr>
            <w:tcW w:w="2981"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lastRenderedPageBreak/>
              <w:t>Recomendación II.5.: Comprometer a que existan normas y procedimientos inherentes a la selección y propuesta de miembros del Órgano de Administración y gerentes de primera línea,</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II.5.1. La Emisora cuenta con un Comité de Nombramientos:</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Directo entiende </w:t>
            </w:r>
            <w:proofErr w:type="gramStart"/>
            <w:r w:rsidRPr="009C7122">
              <w:rPr>
                <w:rFonts w:ascii="Times New Roman" w:hAnsi="Times New Roman"/>
              </w:rPr>
              <w:t>que</w:t>
            </w:r>
            <w:proofErr w:type="gramEnd"/>
            <w:r w:rsidRPr="009C7122">
              <w:rPr>
                <w:rFonts w:ascii="Times New Roman" w:hAnsi="Times New Roman"/>
              </w:rPr>
              <w:t xml:space="preserve"> de acuerdo a la envergadura de la Sociedad, el nivel de riesgo y en el marco de la estructura legal argentina y la realidad del mercado, no resulta adecuado estructurar un comité de ese tipo para la designación de directores.</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Es de competencia exclusiva de la Asamblea de Accionistas la designación de </w:t>
            </w:r>
            <w:proofErr w:type="gramStart"/>
            <w:r w:rsidRPr="009C7122">
              <w:rPr>
                <w:rFonts w:ascii="Times New Roman" w:hAnsi="Times New Roman"/>
              </w:rPr>
              <w:t>Directores</w:t>
            </w:r>
            <w:proofErr w:type="gramEnd"/>
            <w:r w:rsidRPr="009C7122">
              <w:rPr>
                <w:rFonts w:ascii="Times New Roman" w:hAnsi="Times New Roman"/>
              </w:rPr>
              <w:t>.</w:t>
            </w:r>
          </w:p>
          <w:p w:rsidR="009C7122" w:rsidRPr="009C7122" w:rsidRDefault="009C7122" w:rsidP="009C7122">
            <w:pPr>
              <w:autoSpaceDE w:val="0"/>
              <w:autoSpaceDN w:val="0"/>
              <w:adjustRightInd w:val="0"/>
              <w:spacing w:line="240" w:lineRule="auto"/>
              <w:rPr>
                <w:rFonts w:ascii="Times New Roman" w:hAnsi="Times New Roman"/>
              </w:rPr>
            </w:pPr>
            <w:r w:rsidRPr="009C7122">
              <w:rPr>
                <w:rFonts w:ascii="Times New Roman" w:hAnsi="Times New Roman"/>
              </w:rPr>
              <w:t>En cuanto al resto de los funcionarios, Directo cuenta con una Comisión de</w:t>
            </w:r>
          </w:p>
          <w:p w:rsidR="009C7122" w:rsidRPr="009C7122" w:rsidRDefault="009C7122" w:rsidP="009C7122">
            <w:pPr>
              <w:autoSpaceDE w:val="0"/>
              <w:autoSpaceDN w:val="0"/>
              <w:adjustRightInd w:val="0"/>
              <w:spacing w:line="240" w:lineRule="auto"/>
              <w:rPr>
                <w:rFonts w:ascii="Times New Roman" w:hAnsi="Times New Roman"/>
              </w:rPr>
            </w:pPr>
            <w:r w:rsidRPr="009C7122">
              <w:rPr>
                <w:rFonts w:ascii="Times New Roman" w:hAnsi="Times New Roman"/>
              </w:rPr>
              <w:t>RRHH que tiene a su cargo los nombramientos y designaciones, transferencias, rotaciones, el desarrollo, las dotaciones y las retribuciones de la Gerencia.</w:t>
            </w:r>
          </w:p>
        </w:tc>
      </w:tr>
      <w:tr w:rsidR="009C7122" w:rsidRPr="00F423CC" w:rsidTr="003E047F">
        <w:trPr>
          <w:trHeight w:val="144"/>
        </w:trPr>
        <w:tc>
          <w:tcPr>
            <w:tcW w:w="2981"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II.5.1.1. integrado por al menos tres miembros del Órgano de Administración, en su mayoría independientes,</w:t>
            </w:r>
          </w:p>
        </w:tc>
        <w:tc>
          <w:tcPr>
            <w:tcW w:w="944" w:type="dxa"/>
            <w:gridSpan w:val="3"/>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II.5.1.2. presidido por un miembro independiente del Órgano de Administración,</w:t>
            </w:r>
          </w:p>
        </w:tc>
        <w:tc>
          <w:tcPr>
            <w:tcW w:w="944" w:type="dxa"/>
            <w:gridSpan w:val="3"/>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II.5.1.3. que cuenta con miembros que acreditan suficiente idoneidad y experiencia en temas de políticas de capital humano,</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II.5.1.4. que se reúna al menos dos veces por año.</w:t>
            </w:r>
          </w:p>
        </w:tc>
        <w:tc>
          <w:tcPr>
            <w:tcW w:w="944" w:type="dxa"/>
            <w:gridSpan w:val="3"/>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II.5.1.5. cuyas decisiones no son necesariamente vinculantes para la Asamblea General de Accionistas sino de carácter consultivo en lo que hace a la selección de los miembros del Órgano de Administración.</w:t>
            </w:r>
          </w:p>
        </w:tc>
        <w:tc>
          <w:tcPr>
            <w:tcW w:w="944" w:type="dxa"/>
            <w:gridSpan w:val="3"/>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II.5.2. En caso de contar con un Comité de Nombramientos, el mismo.</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II.5.2.1. verifica la revisión y evaluación anual de su reglamento y sugiere al Órgano de Administración las modificaciones para su aprobación.</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II.5.2.2. propone el desarrollo de criterios (calificación, experiencia, reputación profesional y ética, otros) para la selección de nuevos miembros del Órgano </w:t>
            </w:r>
            <w:r w:rsidRPr="009C7122">
              <w:rPr>
                <w:rFonts w:ascii="Times New Roman" w:hAnsi="Times New Roman"/>
              </w:rPr>
              <w:lastRenderedPageBreak/>
              <w:t xml:space="preserve">de Administración </w:t>
            </w:r>
            <w:proofErr w:type="gramStart"/>
            <w:r w:rsidRPr="009C7122">
              <w:rPr>
                <w:rFonts w:ascii="Times New Roman" w:hAnsi="Times New Roman"/>
              </w:rPr>
              <w:t>y  gerentes</w:t>
            </w:r>
            <w:proofErr w:type="gramEnd"/>
            <w:r w:rsidRPr="009C7122">
              <w:rPr>
                <w:rFonts w:ascii="Times New Roman" w:hAnsi="Times New Roman"/>
              </w:rPr>
              <w:t xml:space="preserve"> de primera línea.</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II.5.2.3. identifica los candidatos a miembros del Órgano de Administración a ser propuestos por el Comité a la Asamblea General de Accionistas,</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top w:val="single" w:sz="4" w:space="0" w:color="auto"/>
              <w:lef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II.5.2.4. sugiere miembros del Órgano de Administración que habrán de integrar los diferentes Comités del Órgano de Administración acorde a sus antecedentes,</w:t>
            </w:r>
          </w:p>
        </w:tc>
        <w:tc>
          <w:tcPr>
            <w:tcW w:w="944" w:type="dxa"/>
            <w:gridSpan w:val="3"/>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II.5.2.5. recomienda que el </w:t>
            </w:r>
            <w:proofErr w:type="gramStart"/>
            <w:r w:rsidRPr="009C7122">
              <w:rPr>
                <w:rFonts w:ascii="Times New Roman" w:hAnsi="Times New Roman"/>
              </w:rPr>
              <w:t>Presidente</w:t>
            </w:r>
            <w:proofErr w:type="gramEnd"/>
            <w:r w:rsidRPr="009C7122">
              <w:rPr>
                <w:rFonts w:ascii="Times New Roman" w:hAnsi="Times New Roman"/>
              </w:rPr>
              <w:t xml:space="preserve"> del Directorio no sea a su vez el Gerente General de la Emisora,</w:t>
            </w:r>
          </w:p>
        </w:tc>
        <w:tc>
          <w:tcPr>
            <w:tcW w:w="944" w:type="dxa"/>
            <w:gridSpan w:val="3"/>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II.5.2.6. asegura la disponibilidad </w:t>
            </w:r>
            <w:proofErr w:type="gramStart"/>
            <w:r w:rsidRPr="009C7122">
              <w:rPr>
                <w:rFonts w:ascii="Times New Roman" w:hAnsi="Times New Roman"/>
              </w:rPr>
              <w:t>de los currículum</w:t>
            </w:r>
            <w:proofErr w:type="gramEnd"/>
            <w:r w:rsidRPr="009C7122">
              <w:rPr>
                <w:rFonts w:ascii="Times New Roman" w:hAnsi="Times New Roman"/>
              </w:rPr>
              <w:t xml:space="preserve"> </w:t>
            </w:r>
            <w:proofErr w:type="spellStart"/>
            <w:r w:rsidRPr="009C7122">
              <w:rPr>
                <w:rFonts w:ascii="Times New Roman" w:hAnsi="Times New Roman"/>
              </w:rPr>
              <w:t>vitaes</w:t>
            </w:r>
            <w:proofErr w:type="spellEnd"/>
            <w:r w:rsidRPr="009C7122">
              <w:rPr>
                <w:rFonts w:ascii="Times New Roman" w:hAnsi="Times New Roman"/>
              </w:rPr>
              <w:t xml:space="preserve"> de los miembros del Órgano de Administración y gerentes de la primera línea en la web de la Emisora, donde quede explicitada la duración de sus mandatos en el primer caso,</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II.5.2.7. constata la existencia de un plan de sucesión del Órgano de Administración y de gerentes de primera línea.</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862"/>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II.5.3 De considerar relevante agregar políticas implementadas realizadas por el Comité de Nombramientos de la Emisora que no han sido mencionadas en el punto anterior.</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tc>
      </w:tr>
      <w:tr w:rsidR="009C7122" w:rsidRPr="00F423CC"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II.6.: Evaluar la conveniencia de que miembros del Órgano de Administración y/o síndicos y/o consejeros de vigilancia desempeñen funciones en diversas Emisoras.</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Dado que no todos los </w:t>
            </w:r>
            <w:proofErr w:type="gramStart"/>
            <w:r w:rsidRPr="009C7122">
              <w:rPr>
                <w:rFonts w:ascii="Times New Roman" w:hAnsi="Times New Roman"/>
              </w:rPr>
              <w:t>Directores</w:t>
            </w:r>
            <w:proofErr w:type="gramEnd"/>
            <w:r w:rsidRPr="009C7122">
              <w:rPr>
                <w:rFonts w:ascii="Times New Roman" w:hAnsi="Times New Roman"/>
              </w:rPr>
              <w:t xml:space="preserve"> desempeñan funciones de tiempo completo, y que es enriquecedor que ellos estén interiorizados de la dinámica del órgano en otras sociedades, no se considera conveniente limitar el número de entidades de cuyos directorios ellos puedan formar parte.</w:t>
            </w:r>
          </w:p>
        </w:tc>
      </w:tr>
      <w:tr w:rsidR="009C7122" w:rsidRPr="00F423CC" w:rsidTr="003E047F">
        <w:trPr>
          <w:trHeight w:val="144"/>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II.7.: Asegurar la Capacitación y Desarrollo de miembros del Órgano de Administración y gerentes de primera línea de la Emisora.</w:t>
            </w: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5018DB" w:rsidTr="003E047F">
        <w:trPr>
          <w:trHeight w:val="1130"/>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lastRenderedPageBreak/>
              <w:t xml:space="preserve">II.7.1. La Emisora cuenta con Programas de Capacitación continua vinculado a las necesidades existentes de la Emisora para los miembros del Órgano de Administración y gerentes de primera línea, que </w:t>
            </w:r>
            <w:proofErr w:type="gramStart"/>
            <w:r w:rsidRPr="009C7122">
              <w:rPr>
                <w:rFonts w:ascii="Times New Roman" w:hAnsi="Times New Roman"/>
              </w:rPr>
              <w:t>incluyen  temas</w:t>
            </w:r>
            <w:proofErr w:type="gramEnd"/>
            <w:r w:rsidRPr="009C7122">
              <w:rPr>
                <w:rFonts w:ascii="Times New Roman" w:hAnsi="Times New Roman"/>
              </w:rPr>
              <w:t xml:space="preserve"> acerca de su rol y responsabilidades, la gestión integral de riesgos empresariales,  conocimientos específicos del negocio y sus regulaciones, la dinámica de la gobernanza de empresas y  temas de responsabilidad social empresaria. En el caso de los miembros del Comité de Auditoría, normas contables internacionales, de auditoría y de control interno y de regulaciones específicas del mercado de capitales.</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Comisión de RRHH evalúa el plan de capacitación del personal y considera capacitaciones específicas para la Gerencia, teniendo en cuenta las características de la Sociedad y las necesidades en cuanto a cumplimiento normativo.</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Sin perjuicio de ello, los </w:t>
            </w:r>
            <w:proofErr w:type="gramStart"/>
            <w:r w:rsidRPr="009C7122">
              <w:rPr>
                <w:rFonts w:ascii="Times New Roman" w:hAnsi="Times New Roman"/>
              </w:rPr>
              <w:t>Directores</w:t>
            </w:r>
            <w:proofErr w:type="gramEnd"/>
            <w:r w:rsidRPr="009C7122">
              <w:rPr>
                <w:rFonts w:ascii="Times New Roman" w:hAnsi="Times New Roman"/>
              </w:rPr>
              <w:t xml:space="preserve"> de la Emisora se mantienen actualizados en temas vinculados con la política, economía, aspectos regulatorios, etc. que son relevantes para la Emisora, lo cual se encuentra reflejado en los antecedentes profesionales y académicos.</w:t>
            </w:r>
          </w:p>
        </w:tc>
      </w:tr>
      <w:tr w:rsidR="009C7122" w:rsidRPr="00F423CC" w:rsidTr="003E047F">
        <w:trPr>
          <w:trHeight w:val="3257"/>
        </w:trPr>
        <w:tc>
          <w:tcPr>
            <w:tcW w:w="2981" w:type="dxa"/>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II.7.2 La Emisora incentiva, por otros medios no mencionados en II.7.1, a los miembros de Órgano de Administración y gerentes de primera línea mantener una capacitación permanente que complemente su nivel de formación de manera que agregue valor a la Emisora. Indicar de qué modo lo hace.</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44"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Para mantenerse capacitados y seguir sumando nuevos conocimientos a la experiencia adquirida, se incentiva a los </w:t>
            </w:r>
            <w:proofErr w:type="gramStart"/>
            <w:r w:rsidRPr="009C7122">
              <w:rPr>
                <w:rFonts w:ascii="Times New Roman" w:hAnsi="Times New Roman"/>
              </w:rPr>
              <w:t>Directores</w:t>
            </w:r>
            <w:proofErr w:type="gramEnd"/>
            <w:r w:rsidRPr="009C7122">
              <w:rPr>
                <w:rFonts w:ascii="Times New Roman" w:hAnsi="Times New Roman"/>
              </w:rPr>
              <w:t xml:space="preserve"> y Gerentes a participar en diferentes foros de la actividad financiera.</w:t>
            </w:r>
          </w:p>
        </w:tc>
      </w:tr>
      <w:tr w:rsidR="009C7122" w:rsidRPr="00F423CC" w:rsidTr="003E047F">
        <w:trPr>
          <w:trHeight w:val="144"/>
        </w:trPr>
        <w:tc>
          <w:tcPr>
            <w:tcW w:w="9747" w:type="dxa"/>
            <w:gridSpan w:val="7"/>
            <w:tcBorders>
              <w:top w:val="single" w:sz="4" w:space="0" w:color="auto"/>
            </w:tcBorders>
            <w:shd w:val="clear" w:color="auto" w:fill="F2F2F2"/>
          </w:tcPr>
          <w:p w:rsidR="009C7122" w:rsidRPr="009C7122" w:rsidRDefault="009C7122" w:rsidP="009C7122">
            <w:pPr>
              <w:tabs>
                <w:tab w:val="left" w:pos="1240"/>
                <w:tab w:val="right" w:pos="7880"/>
                <w:tab w:val="right" w:pos="9680"/>
              </w:tabs>
              <w:spacing w:line="240" w:lineRule="auto"/>
              <w:rPr>
                <w:rFonts w:ascii="Times New Roman" w:hAnsi="Times New Roman"/>
                <w:b/>
              </w:rPr>
            </w:pPr>
            <w:r w:rsidRPr="009C7122">
              <w:rPr>
                <w:rFonts w:ascii="Times New Roman" w:hAnsi="Times New Roman"/>
                <w:b/>
              </w:rPr>
              <w:t>PRINCIPIO III. AVALAR UNA EFECTIVA POLÍTICA DE IDENTIFICACIÓN, MEDICIÓN, ADMINISTRACIÓN Y DIVULGACIÓN DEL RIESGO EMPRESARIAL</w:t>
            </w:r>
          </w:p>
        </w:tc>
      </w:tr>
      <w:tr w:rsidR="009C7122" w:rsidRPr="00F423CC" w:rsidTr="003E047F">
        <w:trPr>
          <w:trHeight w:val="144"/>
        </w:trPr>
        <w:tc>
          <w:tcPr>
            <w:tcW w:w="3012" w:type="dxa"/>
            <w:gridSpan w:val="3"/>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Recomendación III: El Órgano de Administración debe contar con una política de gestión integral del riesgo empresarial y </w:t>
            </w:r>
            <w:proofErr w:type="gramStart"/>
            <w:r w:rsidRPr="009C7122">
              <w:rPr>
                <w:rFonts w:ascii="Times New Roman" w:hAnsi="Times New Roman"/>
              </w:rPr>
              <w:t>monitorea  su</w:t>
            </w:r>
            <w:proofErr w:type="gramEnd"/>
            <w:r w:rsidRPr="009C7122">
              <w:rPr>
                <w:rFonts w:ascii="Times New Roman" w:hAnsi="Times New Roman"/>
              </w:rPr>
              <w:t xml:space="preserve"> adecuada implementación.</w:t>
            </w:r>
          </w:p>
        </w:tc>
        <w:tc>
          <w:tcPr>
            <w:tcW w:w="913"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3012" w:type="dxa"/>
            <w:gridSpan w:val="3"/>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III.1. La Emisora cuenta con políticas de gestión integral de riesgos empresariales (de cumplimiento de los objetivos estratégicos, operativos, financieros, de reporte contable, de leyes y regulaciones, otros). Hacer una descripción de los aspectos más relevantes de las mismas.</w:t>
            </w:r>
          </w:p>
        </w:tc>
        <w:tc>
          <w:tcPr>
            <w:tcW w:w="913"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política de Riesgo de la Sociedad está vinculada al tratamiento de los siguientes tipos de riesgos:</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w:t>
            </w:r>
            <w:r w:rsidRPr="009C7122">
              <w:rPr>
                <w:rFonts w:ascii="Times New Roman" w:hAnsi="Times New Roman"/>
                <w:u w:val="single"/>
              </w:rPr>
              <w:t>Riesgo de Crédito y Fraude</w:t>
            </w:r>
            <w:r w:rsidRPr="009C7122">
              <w:rPr>
                <w:rFonts w:ascii="Times New Roman" w:hAnsi="Times New Roman"/>
              </w:rPr>
              <w:t>: es el riesgo de pérdida financiera que enfrenta la Sociedad si un cliente o contraparte en un instrumento financiero no cumple con sus obligaciones contractuales, y se origina principalmente de las cuentas por cobrar a clientes y los instrumentos de inversión de la Sociedad.</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w:t>
            </w:r>
            <w:r w:rsidRPr="009C7122">
              <w:rPr>
                <w:rFonts w:ascii="Times New Roman" w:hAnsi="Times New Roman"/>
                <w:u w:val="single"/>
              </w:rPr>
              <w:t>Riesgo de Liquidez</w:t>
            </w:r>
            <w:r w:rsidRPr="009C7122">
              <w:rPr>
                <w:rFonts w:ascii="Times New Roman" w:hAnsi="Times New Roman"/>
              </w:rPr>
              <w:t xml:space="preserve">: es el riesgo de que la Sociedad tenga dificultades para cumplir con sus obligaciones asociadas </w:t>
            </w:r>
            <w:r w:rsidRPr="009C7122">
              <w:rPr>
                <w:rFonts w:ascii="Times New Roman" w:hAnsi="Times New Roman"/>
              </w:rPr>
              <w:lastRenderedPageBreak/>
              <w:t xml:space="preserve">con sus pasivos financieros que son liquidados mediante la entrega de efectivo o de otros activos financieros. </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 </w:t>
            </w:r>
            <w:r w:rsidRPr="009C7122">
              <w:rPr>
                <w:rFonts w:ascii="Times New Roman" w:hAnsi="Times New Roman"/>
                <w:u w:val="single"/>
              </w:rPr>
              <w:t>Riesgo de Mercado /Tasa</w:t>
            </w:r>
            <w:r w:rsidRPr="009C7122">
              <w:rPr>
                <w:rFonts w:ascii="Times New Roman" w:hAnsi="Times New Roman"/>
              </w:rPr>
              <w:t>: es el riesgo de que los cambios en los precios de mercado, por ejemplo, tasas de interés afecten los ingresos de la Sociedad. El objetivo de la gestión del riesgo de mercado es administrar y controlar las exposiciones a este riesgo dentro de parámetros razonables y al mismo tiempo optimizar la rentabilidad.</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646"/>
        </w:trPr>
        <w:tc>
          <w:tcPr>
            <w:tcW w:w="3012" w:type="dxa"/>
            <w:gridSpan w:val="3"/>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lastRenderedPageBreak/>
              <w:t>III.2. Existe un Comité de Gestión de Riesgos en el seno del Órgano de Administración o de la Gerencia General. Informar sobre la existencia de manuales de procedimientos y detallar los principales factores de riesgos que son específicos para la Emisora o su actividad y las acciones de mitigación implementadas. De no contar con dicho Comité, corresponderá describir el papel de supervisión desempeñado por el Comité de Auditoría en referencia a la gestión de riesgos.</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Asimismo, especificar el grado de interacción entre el Órgano de Administración o de sus Comités con la Gerencia General de la Emisora en materia de gestión integral de riesgos empresariales.</w:t>
            </w:r>
          </w:p>
        </w:tc>
        <w:tc>
          <w:tcPr>
            <w:tcW w:w="913"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Dadas las características de la Sociedad existe un Comité de Riesgos y Cobranzas. Este se reúne en forman mensual y está integrado por: dos </w:t>
            </w:r>
            <w:proofErr w:type="gramStart"/>
            <w:r w:rsidRPr="009C7122">
              <w:rPr>
                <w:rFonts w:ascii="Times New Roman" w:hAnsi="Times New Roman"/>
              </w:rPr>
              <w:t>Directores</w:t>
            </w:r>
            <w:proofErr w:type="gramEnd"/>
            <w:r w:rsidRPr="009C7122">
              <w:rPr>
                <w:rFonts w:ascii="Times New Roman" w:hAnsi="Times New Roman"/>
              </w:rPr>
              <w:t>, Gerente de Riesgos, Gerente de Marketing, Gerente de Operaciones, Gerente Comercial y Responsable de Cobranzas; permitiendo una interacción fluida y periódica en materia de gestión de riesgos.</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Lo actuado por dicho Comité es ratificado en forma trimestral por el Directorio.</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Crédito Directo cuenta con una Política de Gestión de Riesgos que considera el proceso integral para la gestión de riesgos de la Sociedad, con el objetivo de identificar, evaluar, seguir, controlar y mitigar todos los riesgos significativos, como así también las buenas prácticas de la gestión integral de riesgos en dicha materia.</w:t>
            </w:r>
          </w:p>
        </w:tc>
      </w:tr>
      <w:tr w:rsidR="009C7122" w:rsidRPr="00F423CC" w:rsidTr="003E047F">
        <w:trPr>
          <w:trHeight w:val="1655"/>
        </w:trPr>
        <w:tc>
          <w:tcPr>
            <w:tcW w:w="3012" w:type="dxa"/>
            <w:gridSpan w:val="3"/>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III.3. Hay una función independiente dentro de la Gerencia General de la Emisora que implementa las políticas de gestión integral de riesgos (función de Oficial de Gestión de Riesgo o equivalente).  Especificar.</w:t>
            </w:r>
          </w:p>
        </w:tc>
        <w:tc>
          <w:tcPr>
            <w:tcW w:w="913"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Gerencia de Riesgos es un área independiente.</w:t>
            </w:r>
          </w:p>
        </w:tc>
      </w:tr>
      <w:tr w:rsidR="009C7122" w:rsidRPr="00F423CC" w:rsidTr="003E047F">
        <w:trPr>
          <w:trHeight w:val="144"/>
        </w:trPr>
        <w:tc>
          <w:tcPr>
            <w:tcW w:w="3012" w:type="dxa"/>
            <w:gridSpan w:val="3"/>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lang w:val="en-US"/>
              </w:rPr>
            </w:pPr>
            <w:r w:rsidRPr="009C7122">
              <w:rPr>
                <w:rFonts w:ascii="Times New Roman" w:hAnsi="Times New Roman"/>
              </w:rPr>
              <w:t xml:space="preserve">III.4. Las políticas de gestión integral de riesgos son actualizadas permanentemente conforme a las recomendaciones y metodologías </w:t>
            </w:r>
            <w:proofErr w:type="gramStart"/>
            <w:r w:rsidRPr="009C7122">
              <w:rPr>
                <w:rFonts w:ascii="Times New Roman" w:hAnsi="Times New Roman"/>
              </w:rPr>
              <w:t>reconocidas  en</w:t>
            </w:r>
            <w:proofErr w:type="gramEnd"/>
            <w:r w:rsidRPr="009C7122">
              <w:rPr>
                <w:rFonts w:ascii="Times New Roman" w:hAnsi="Times New Roman"/>
              </w:rPr>
              <w:t xml:space="preserve"> la materia. </w:t>
            </w:r>
            <w:proofErr w:type="spellStart"/>
            <w:proofErr w:type="gramStart"/>
            <w:r w:rsidRPr="009C7122">
              <w:rPr>
                <w:rFonts w:ascii="Times New Roman" w:hAnsi="Times New Roman"/>
                <w:lang w:val="en-US"/>
              </w:rPr>
              <w:t>Indicar</w:t>
            </w:r>
            <w:proofErr w:type="spellEnd"/>
            <w:r w:rsidRPr="009C7122">
              <w:rPr>
                <w:rFonts w:ascii="Times New Roman" w:hAnsi="Times New Roman"/>
                <w:lang w:val="en-US"/>
              </w:rPr>
              <w:t xml:space="preserve">  </w:t>
            </w:r>
            <w:proofErr w:type="spellStart"/>
            <w:r w:rsidRPr="009C7122">
              <w:rPr>
                <w:rFonts w:ascii="Times New Roman" w:hAnsi="Times New Roman"/>
                <w:lang w:val="en-US"/>
              </w:rPr>
              <w:t>cuáles</w:t>
            </w:r>
            <w:proofErr w:type="spellEnd"/>
            <w:proofErr w:type="gramEnd"/>
            <w:r w:rsidRPr="009C7122">
              <w:rPr>
                <w:rFonts w:ascii="Times New Roman" w:hAnsi="Times New Roman"/>
                <w:lang w:val="en-US"/>
              </w:rPr>
              <w:t xml:space="preserve"> (Enterprise Risk Management, de </w:t>
            </w:r>
            <w:proofErr w:type="spellStart"/>
            <w:r w:rsidRPr="009C7122">
              <w:rPr>
                <w:rFonts w:ascii="Times New Roman" w:hAnsi="Times New Roman"/>
                <w:lang w:val="en-US"/>
              </w:rPr>
              <w:t>acuerdo</w:t>
            </w:r>
            <w:proofErr w:type="spellEnd"/>
            <w:r w:rsidRPr="009C7122">
              <w:rPr>
                <w:rFonts w:ascii="Times New Roman" w:hAnsi="Times New Roman"/>
                <w:lang w:val="en-US"/>
              </w:rPr>
              <w:t xml:space="preserve"> al </w:t>
            </w:r>
            <w:proofErr w:type="spellStart"/>
            <w:r w:rsidRPr="009C7122">
              <w:rPr>
                <w:rFonts w:ascii="Times New Roman" w:hAnsi="Times New Roman"/>
                <w:lang w:val="en-US"/>
              </w:rPr>
              <w:t>marco</w:t>
            </w:r>
            <w:proofErr w:type="spellEnd"/>
            <w:r w:rsidRPr="009C7122">
              <w:rPr>
                <w:rFonts w:ascii="Times New Roman" w:hAnsi="Times New Roman"/>
                <w:lang w:val="en-US"/>
              </w:rPr>
              <w:t xml:space="preserve"> conceptual de COSO – Committee of sponsoring organizations of the Treadway Commission –, ISO 31000, </w:t>
            </w:r>
            <w:proofErr w:type="spellStart"/>
            <w:r w:rsidRPr="009C7122">
              <w:rPr>
                <w:rFonts w:ascii="Times New Roman" w:hAnsi="Times New Roman"/>
                <w:lang w:val="en-US"/>
              </w:rPr>
              <w:t>norma</w:t>
            </w:r>
            <w:proofErr w:type="spellEnd"/>
            <w:r w:rsidRPr="009C7122">
              <w:rPr>
                <w:rFonts w:ascii="Times New Roman" w:hAnsi="Times New Roman"/>
                <w:lang w:val="en-US"/>
              </w:rPr>
              <w:t xml:space="preserve"> IRAM 17551, </w:t>
            </w:r>
            <w:proofErr w:type="spellStart"/>
            <w:r w:rsidRPr="009C7122">
              <w:rPr>
                <w:rFonts w:ascii="Times New Roman" w:hAnsi="Times New Roman"/>
                <w:lang w:val="en-US"/>
              </w:rPr>
              <w:t>sección</w:t>
            </w:r>
            <w:proofErr w:type="spellEnd"/>
            <w:r w:rsidRPr="009C7122">
              <w:rPr>
                <w:rFonts w:ascii="Times New Roman" w:hAnsi="Times New Roman"/>
                <w:lang w:val="en-US"/>
              </w:rPr>
              <w:t xml:space="preserve"> 404 Sarbanes-Oxley Act </w:t>
            </w:r>
          </w:p>
        </w:tc>
        <w:tc>
          <w:tcPr>
            <w:tcW w:w="913"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lang w:val="en-US"/>
              </w:rPr>
            </w:pPr>
            <w:r w:rsidRPr="009C7122">
              <w:rPr>
                <w:rFonts w:ascii="Times New Roman" w:hAnsi="Times New Roman"/>
                <w:lang w:val="en-US"/>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lang w:val="en-US"/>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lang w:val="en-US"/>
              </w:rPr>
            </w:pPr>
          </w:p>
        </w:tc>
        <w:tc>
          <w:tcPr>
            <w:tcW w:w="392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La gestión integral del riesgo implica un monitoreo permanente del cumplimiento de </w:t>
            </w:r>
            <w:proofErr w:type="gramStart"/>
            <w:r w:rsidRPr="009C7122">
              <w:rPr>
                <w:rFonts w:ascii="Times New Roman" w:hAnsi="Times New Roman"/>
              </w:rPr>
              <w:t>la políticas</w:t>
            </w:r>
            <w:proofErr w:type="gramEnd"/>
            <w:r w:rsidRPr="009C7122">
              <w:rPr>
                <w:rFonts w:ascii="Times New Roman" w:hAnsi="Times New Roman"/>
              </w:rPr>
              <w:t xml:space="preserve"> como así también de la revisión de las mismas conforme a la mejores prácticas.</w:t>
            </w:r>
          </w:p>
          <w:p w:rsidR="009C7122" w:rsidRPr="009C7122" w:rsidRDefault="009C7122" w:rsidP="009C7122">
            <w:pPr>
              <w:tabs>
                <w:tab w:val="left" w:pos="360"/>
                <w:tab w:val="left" w:pos="1240"/>
                <w:tab w:val="left" w:pos="1276"/>
                <w:tab w:val="left" w:pos="1560"/>
                <w:tab w:val="left" w:pos="3960"/>
                <w:tab w:val="left" w:pos="5760"/>
                <w:tab w:val="left" w:pos="6120"/>
                <w:tab w:val="right" w:pos="7880"/>
                <w:tab w:val="right" w:pos="9680"/>
              </w:tabs>
              <w:overflowPunct w:val="0"/>
              <w:spacing w:line="240" w:lineRule="auto"/>
              <w:ind w:right="357"/>
              <w:textAlignment w:val="baseline"/>
              <w:rPr>
                <w:rFonts w:ascii="Times New Roman" w:hAnsi="Times New Roman"/>
              </w:rPr>
            </w:pPr>
          </w:p>
        </w:tc>
      </w:tr>
      <w:tr w:rsidR="009C7122" w:rsidRPr="00F423CC" w:rsidTr="003E047F">
        <w:trPr>
          <w:trHeight w:val="144"/>
        </w:trPr>
        <w:tc>
          <w:tcPr>
            <w:tcW w:w="3012" w:type="dxa"/>
            <w:gridSpan w:val="3"/>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III.5. El Órgano de Administración comunica sobre </w:t>
            </w:r>
            <w:r w:rsidRPr="009C7122">
              <w:rPr>
                <w:rFonts w:ascii="Times New Roman" w:hAnsi="Times New Roman"/>
              </w:rPr>
              <w:lastRenderedPageBreak/>
              <w:t xml:space="preserve">los resultados de la supervisión de la gestión de riesgos realizada conjuntamente con la Gerencia General en los estados financieros y </w:t>
            </w:r>
            <w:proofErr w:type="gramStart"/>
            <w:r w:rsidRPr="009C7122">
              <w:rPr>
                <w:rFonts w:ascii="Times New Roman" w:hAnsi="Times New Roman"/>
              </w:rPr>
              <w:t>en  la</w:t>
            </w:r>
            <w:proofErr w:type="gramEnd"/>
            <w:r w:rsidRPr="009C7122">
              <w:rPr>
                <w:rFonts w:ascii="Times New Roman" w:hAnsi="Times New Roman"/>
              </w:rPr>
              <w:t xml:space="preserve"> Memoria anual. Especificar los principales puntos de las exposiciones realizadas.</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13"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lastRenderedPageBreak/>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highlight w:val="yellow"/>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En los Estados financieros por el ejercicio finalizado el 31 de diciembre de </w:t>
            </w:r>
            <w:r w:rsidRPr="009C7122">
              <w:rPr>
                <w:rFonts w:ascii="Times New Roman" w:hAnsi="Times New Roman"/>
              </w:rPr>
              <w:lastRenderedPageBreak/>
              <w:t>2018 se ha incorporado en notas la gestión de riesgos.</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Se remite a la NOTA 6 –CLASIFICACION DE INSTRUMENTOS FINANCIEROS Y GESTION DE RIESGOS.</w:t>
            </w:r>
          </w:p>
        </w:tc>
      </w:tr>
      <w:tr w:rsidR="009C7122" w:rsidRPr="00F423CC" w:rsidTr="003E047F">
        <w:trPr>
          <w:trHeight w:val="144"/>
        </w:trPr>
        <w:tc>
          <w:tcPr>
            <w:tcW w:w="9747" w:type="dxa"/>
            <w:gridSpan w:val="7"/>
            <w:tcBorders>
              <w:top w:val="single" w:sz="4" w:space="0" w:color="auto"/>
            </w:tcBorders>
            <w:shd w:val="clear" w:color="auto" w:fill="F2F2F2"/>
          </w:tcPr>
          <w:p w:rsidR="009C7122" w:rsidRPr="009C7122" w:rsidRDefault="009C7122" w:rsidP="009C7122">
            <w:pPr>
              <w:tabs>
                <w:tab w:val="left" w:pos="1240"/>
                <w:tab w:val="right" w:pos="7880"/>
                <w:tab w:val="right" w:pos="9680"/>
              </w:tabs>
              <w:spacing w:line="240" w:lineRule="auto"/>
              <w:rPr>
                <w:rFonts w:ascii="Times New Roman" w:hAnsi="Times New Roman"/>
                <w:b/>
              </w:rPr>
            </w:pPr>
            <w:r w:rsidRPr="009C7122">
              <w:rPr>
                <w:rFonts w:ascii="Times New Roman" w:hAnsi="Times New Roman"/>
                <w:b/>
              </w:rPr>
              <w:lastRenderedPageBreak/>
              <w:t>PRINCIPIO IV. SALVAGUARDAR LA INTEGRIDAD DE LA INFORMACION FINANCIERA CON AUDITORÍAS INDEPENDIENTES</w:t>
            </w:r>
          </w:p>
        </w:tc>
      </w:tr>
      <w:tr w:rsidR="009C7122" w:rsidRPr="00F423CC" w:rsidTr="003E047F">
        <w:trPr>
          <w:trHeight w:val="144"/>
        </w:trPr>
        <w:tc>
          <w:tcPr>
            <w:tcW w:w="2997" w:type="dxa"/>
            <w:gridSpan w:val="2"/>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IV: Garantizar la independencia y transparencia de las funciones que le son encomendadas al Comité de Auditoría y al Auditor Externo.</w:t>
            </w:r>
          </w:p>
        </w:tc>
        <w:tc>
          <w:tcPr>
            <w:tcW w:w="928" w:type="dxa"/>
            <w:gridSpan w:val="2"/>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IV.1. El Órgano de Administración al elegir a los integrantes del Comité de Auditoría teniendo en cuenta que la mayoría debe revestir el carácter de independiente, evalúa la conveniencia de que sea presidido por un miembro independiente.</w:t>
            </w:r>
          </w:p>
        </w:tc>
        <w:tc>
          <w:tcPr>
            <w:tcW w:w="928"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Atento que la Sociedad no realiza oferta pública de sus acciones y </w:t>
            </w:r>
            <w:proofErr w:type="gramStart"/>
            <w:r w:rsidRPr="009C7122">
              <w:rPr>
                <w:rFonts w:ascii="Times New Roman" w:hAnsi="Times New Roman"/>
              </w:rPr>
              <w:t>de acuerdo a</w:t>
            </w:r>
            <w:proofErr w:type="gramEnd"/>
            <w:r w:rsidRPr="009C7122">
              <w:rPr>
                <w:rFonts w:ascii="Times New Roman" w:hAnsi="Times New Roman"/>
              </w:rPr>
              <w:t xml:space="preserve"> la envergadura y nivel de riesgo de la Sociedad, no resulta aplicable la exigencia de un Comité de Auditoría.</w:t>
            </w: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IV.2. Existe una función de auditoría interna que reporta al Comité de Auditoría o al </w:t>
            </w:r>
            <w:proofErr w:type="gramStart"/>
            <w:r w:rsidRPr="009C7122">
              <w:rPr>
                <w:rFonts w:ascii="Times New Roman" w:hAnsi="Times New Roman"/>
              </w:rPr>
              <w:t>Presidente</w:t>
            </w:r>
            <w:proofErr w:type="gramEnd"/>
            <w:r w:rsidRPr="009C7122">
              <w:rPr>
                <w:rFonts w:ascii="Times New Roman" w:hAnsi="Times New Roman"/>
              </w:rPr>
              <w:t xml:space="preserve"> del Órgano de Administración y que es responsable de la evaluación del sistema de control interno.</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Indicar si el Comité de Auditoría o el Órgano de Administración hace una evaluación anual sobre el desempeño del área de auditoría interna y el grado de independencia de su labor profesional, entendiéndose por tal que los </w:t>
            </w:r>
            <w:proofErr w:type="gramStart"/>
            <w:r w:rsidRPr="009C7122">
              <w:rPr>
                <w:rFonts w:ascii="Times New Roman" w:hAnsi="Times New Roman"/>
              </w:rPr>
              <w:t>profesionales  a</w:t>
            </w:r>
            <w:proofErr w:type="gramEnd"/>
            <w:r w:rsidRPr="009C7122">
              <w:rPr>
                <w:rFonts w:ascii="Times New Roman" w:hAnsi="Times New Roman"/>
              </w:rPr>
              <w:t xml:space="preserve"> cargo de tal función son independientes de las restantes áreas operativas y además cumplen con requisitos de independencia respecto a los accionistas de control o entidades relacionadas que ejerzan influencia significativa en la Emisora.</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Especificar, asimismo, si la función de auditoría interna realiza su trabajo </w:t>
            </w:r>
            <w:proofErr w:type="gramStart"/>
            <w:r w:rsidRPr="009C7122">
              <w:rPr>
                <w:rFonts w:ascii="Times New Roman" w:hAnsi="Times New Roman"/>
              </w:rPr>
              <w:t>de acuerdo a</w:t>
            </w:r>
            <w:proofErr w:type="gramEnd"/>
            <w:r w:rsidRPr="009C7122">
              <w:rPr>
                <w:rFonts w:ascii="Times New Roman" w:hAnsi="Times New Roman"/>
              </w:rPr>
              <w:t xml:space="preserve"> las normas internacionales para el ejercicio profesional de la auditoría interna emitidas por el </w:t>
            </w:r>
            <w:proofErr w:type="spellStart"/>
            <w:r w:rsidRPr="009C7122">
              <w:rPr>
                <w:rFonts w:ascii="Times New Roman" w:hAnsi="Times New Roman"/>
              </w:rPr>
              <w:t>Inst</w:t>
            </w:r>
            <w:proofErr w:type="spellEnd"/>
            <w:r w:rsidRPr="009C7122">
              <w:rPr>
                <w:rFonts w:ascii="Times New Roman" w:hAnsi="Times New Roman"/>
              </w:rPr>
              <w:t xml:space="preserve"> </w:t>
            </w:r>
            <w:proofErr w:type="spellStart"/>
            <w:r w:rsidRPr="009C7122">
              <w:rPr>
                <w:rFonts w:ascii="Times New Roman" w:hAnsi="Times New Roman"/>
              </w:rPr>
              <w:t>of</w:t>
            </w:r>
            <w:proofErr w:type="spellEnd"/>
            <w:r w:rsidRPr="009C7122">
              <w:rPr>
                <w:rFonts w:ascii="Times New Roman" w:hAnsi="Times New Roman"/>
              </w:rPr>
              <w:t xml:space="preserve"> </w:t>
            </w:r>
            <w:proofErr w:type="spellStart"/>
            <w:r w:rsidRPr="009C7122">
              <w:rPr>
                <w:rFonts w:ascii="Times New Roman" w:hAnsi="Times New Roman"/>
              </w:rPr>
              <w:t>Int</w:t>
            </w:r>
            <w:proofErr w:type="spellEnd"/>
            <w:r w:rsidRPr="009C7122">
              <w:rPr>
                <w:rFonts w:ascii="Times New Roman" w:hAnsi="Times New Roman"/>
              </w:rPr>
              <w:t xml:space="preserve">. </w:t>
            </w:r>
            <w:proofErr w:type="spellStart"/>
            <w:r w:rsidRPr="009C7122">
              <w:rPr>
                <w:rFonts w:ascii="Times New Roman" w:hAnsi="Times New Roman"/>
              </w:rPr>
              <w:t>Auditors</w:t>
            </w:r>
            <w:proofErr w:type="spellEnd"/>
            <w:r w:rsidRPr="009C7122">
              <w:rPr>
                <w:rFonts w:ascii="Times New Roman" w:hAnsi="Times New Roman"/>
              </w:rPr>
              <w:t>.</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Considerando sus dimensiones, complejidad, importancia económica, perfil de riesgo de sus negocios y su grupo económico, Directo ha prescindido de contar con una Auditoría Interna.</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El Directorio es el máximo responsable de implementación y el mantenimiento de un sistema de control interno y prevención de fraudes.</w:t>
            </w:r>
          </w:p>
        </w:tc>
      </w:tr>
      <w:tr w:rsidR="009C7122" w:rsidRPr="00F423CC" w:rsidTr="003E047F">
        <w:trPr>
          <w:trHeight w:val="144"/>
        </w:trPr>
        <w:tc>
          <w:tcPr>
            <w:tcW w:w="2997"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IV.3. Los integrantes del Comité de Auditoría hacen una evaluación anual de la idoneidad, independencia y </w:t>
            </w:r>
            <w:r w:rsidRPr="009C7122">
              <w:rPr>
                <w:rFonts w:ascii="Times New Roman" w:hAnsi="Times New Roman"/>
              </w:rPr>
              <w:lastRenderedPageBreak/>
              <w:t>desempeño de los Auditores Externos, designados por la Asamblea de Accionistas. Describir los aspectos relevantes de los procedimientos empleados para realizar la evaluación.</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Como política general, Directo cuenta con auditores externos, altamente calificados, que otorgan confiabilidad a la información financiera y otro tipo de </w:t>
            </w:r>
            <w:r w:rsidRPr="009C7122">
              <w:rPr>
                <w:rFonts w:ascii="Times New Roman" w:hAnsi="Times New Roman"/>
              </w:rPr>
              <w:lastRenderedPageBreak/>
              <w:t>información que sea emitida por la Sociedad a usuarios externos, conforme a las normas de auditoría generalmente aceptadas.</w:t>
            </w:r>
          </w:p>
          <w:p w:rsidR="009C7122" w:rsidRPr="009C7122" w:rsidRDefault="009C7122" w:rsidP="009C7122">
            <w:pPr>
              <w:pStyle w:val="Default"/>
              <w:spacing w:before="120" w:after="120"/>
              <w:jc w:val="both"/>
              <w:rPr>
                <w:rFonts w:ascii="Times New Roman" w:hAnsi="Times New Roman" w:cs="Times New Roman"/>
                <w:color w:val="auto"/>
                <w:sz w:val="22"/>
                <w:szCs w:val="22"/>
                <w:lang w:eastAsia="es-ES"/>
              </w:rPr>
            </w:pPr>
            <w:r w:rsidRPr="009C7122">
              <w:rPr>
                <w:rFonts w:ascii="Times New Roman" w:hAnsi="Times New Roman" w:cs="Times New Roman"/>
                <w:color w:val="auto"/>
                <w:sz w:val="22"/>
                <w:szCs w:val="22"/>
                <w:lang w:eastAsia="es-ES"/>
              </w:rPr>
              <w:t xml:space="preserve">Es responsabilidad del Directorio monitorear que los auditores externos cumplan con los estándares profesionales para la auditoría externa, verificar que la función deberá ser desempeñada por contadores públicos matriculados e independientes y que los auditores externos cumplan con las condiciones de independencia establecidas por las normas de auditoría profesionales vigentes, y por las autoridades que llevan el contralor de la Matrícula profesional respectiva. </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lastRenderedPageBreak/>
              <w:t xml:space="preserve">IV.4. La Emisora cuenta </w:t>
            </w:r>
            <w:proofErr w:type="gramStart"/>
            <w:r w:rsidRPr="009C7122">
              <w:rPr>
                <w:rFonts w:ascii="Times New Roman" w:hAnsi="Times New Roman"/>
              </w:rPr>
              <w:t>con  una</w:t>
            </w:r>
            <w:proofErr w:type="gramEnd"/>
            <w:r w:rsidRPr="009C7122">
              <w:rPr>
                <w:rFonts w:ascii="Times New Roman" w:hAnsi="Times New Roman"/>
              </w:rPr>
              <w:t xml:space="preserve"> política referida a la rotación de los miembros de la Comisión Fiscalizadora y/o del Auditor Externo; y a propósito del último, si la rotación incluye a la firma de auditoría externa o únicamente a los sujetos físicos.</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La Sociedad privilegia el conocimiento por parte de la Comisión </w:t>
            </w:r>
            <w:proofErr w:type="gramStart"/>
            <w:r w:rsidRPr="009C7122">
              <w:rPr>
                <w:rFonts w:ascii="Times New Roman" w:hAnsi="Times New Roman"/>
              </w:rPr>
              <w:t>Fiscalizadora  y</w:t>
            </w:r>
            <w:proofErr w:type="gramEnd"/>
            <w:r w:rsidRPr="009C7122">
              <w:rPr>
                <w:rFonts w:ascii="Times New Roman" w:hAnsi="Times New Roman"/>
              </w:rPr>
              <w:t xml:space="preserve"> Auditores Externos de la actividad y negocios de la Sociedad, por lo cual no adopta como política mantener un estricto esquema de rotación. Sin perjuicio de lo indicado, respecto a la rotación de los auditores, corresponde la aplicación de las normas legales vigentes en la República Argentina, las normas de la Comisión Nacional de Valores (N.T. 2013).</w:t>
            </w:r>
          </w:p>
        </w:tc>
      </w:tr>
      <w:tr w:rsidR="009C7122" w:rsidRPr="00F423CC" w:rsidTr="003E047F">
        <w:trPr>
          <w:trHeight w:val="144"/>
        </w:trPr>
        <w:tc>
          <w:tcPr>
            <w:tcW w:w="9747" w:type="dxa"/>
            <w:gridSpan w:val="7"/>
            <w:tcBorders>
              <w:top w:val="single" w:sz="4" w:space="0" w:color="auto"/>
            </w:tcBorders>
            <w:shd w:val="clear" w:color="auto" w:fill="F2F2F2"/>
          </w:tcPr>
          <w:p w:rsidR="009C7122" w:rsidRPr="009C7122" w:rsidRDefault="009C7122" w:rsidP="009C7122">
            <w:pPr>
              <w:tabs>
                <w:tab w:val="left" w:pos="1240"/>
                <w:tab w:val="right" w:pos="7880"/>
                <w:tab w:val="right" w:pos="9680"/>
              </w:tabs>
              <w:spacing w:line="240" w:lineRule="auto"/>
              <w:rPr>
                <w:rFonts w:ascii="Times New Roman" w:hAnsi="Times New Roman"/>
                <w:b/>
              </w:rPr>
            </w:pPr>
            <w:r w:rsidRPr="009C7122">
              <w:rPr>
                <w:rFonts w:ascii="Times New Roman" w:hAnsi="Times New Roman"/>
                <w:b/>
              </w:rPr>
              <w:t>PRINCIPIO V. RESPETAR LOS DERECHOS DE LOS ACCIONISTAS</w:t>
            </w:r>
          </w:p>
        </w:tc>
      </w:tr>
      <w:tr w:rsidR="009C7122" w:rsidRPr="00F423CC" w:rsidTr="003E047F">
        <w:trPr>
          <w:trHeight w:val="144"/>
        </w:trPr>
        <w:tc>
          <w:tcPr>
            <w:tcW w:w="2997"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V.1: Asegurar que los accionistas tengan acceso a la información de la Emisora.</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28"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V.1.1. El Órgano de Administración promueve reuniones informativas periódicas con los accionistas coincidiendo con la presentación de los estados financieros intermedios.  Explicitar indicando la cantidad y frecuencia de las reuniones realizadas en el transcurso del año.</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Todos los accionistas directos e </w:t>
            </w:r>
            <w:proofErr w:type="gramStart"/>
            <w:r w:rsidRPr="009C7122">
              <w:rPr>
                <w:rFonts w:ascii="Times New Roman" w:hAnsi="Times New Roman"/>
              </w:rPr>
              <w:t>indirectos,</w:t>
            </w:r>
            <w:proofErr w:type="gramEnd"/>
            <w:r w:rsidRPr="009C7122">
              <w:rPr>
                <w:rFonts w:ascii="Times New Roman" w:hAnsi="Times New Roman"/>
              </w:rPr>
              <w:t xml:space="preserve"> revisten la calidad de Directores. Es política de la Sociedad distribuir el Informe de Control de Gestión mensual, permitiendo ello que los accionistas tomen conocimiento de la actividad y participen activamente.</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V.1.2. La Emisora cuenta con mecanismos de información a inversores y con un área especializada para la atención de sus consultas.  Adicionalmente cuenta con un sitio web que puedan acceder los accionistas y otros inversores, y que permita un canal de acceso para que puedan establecer contacto entre sí. Detallar.</w:t>
            </w:r>
          </w:p>
        </w:tc>
        <w:tc>
          <w:tcPr>
            <w:tcW w:w="928" w:type="dxa"/>
            <w:gridSpan w:val="2"/>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tcBorders>
          </w:tcPr>
          <w:p w:rsidR="009C7122" w:rsidRPr="009C7122" w:rsidRDefault="009C7122" w:rsidP="009C7122">
            <w:pPr>
              <w:widowControl w:val="0"/>
              <w:suppressAutoHyphens/>
              <w:adjustRightInd w:val="0"/>
              <w:spacing w:line="240" w:lineRule="auto"/>
              <w:rPr>
                <w:rFonts w:ascii="Times New Roman" w:hAnsi="Times New Roman"/>
              </w:rPr>
            </w:pPr>
            <w:r w:rsidRPr="009C7122">
              <w:rPr>
                <w:rFonts w:ascii="Times New Roman" w:hAnsi="Times New Roman"/>
              </w:rPr>
              <w:t>El Directorio pone a disposición de los accionistas e inversores su información relevante mediante su publicación en la Autopista de Información Financiera de la Comisión Nacional de Valores.</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Recomendación V.2: Promover la </w:t>
            </w:r>
            <w:proofErr w:type="gramStart"/>
            <w:r w:rsidRPr="009C7122">
              <w:rPr>
                <w:rFonts w:ascii="Times New Roman" w:hAnsi="Times New Roman"/>
              </w:rPr>
              <w:t>participación activa</w:t>
            </w:r>
            <w:proofErr w:type="gramEnd"/>
            <w:r w:rsidRPr="009C7122">
              <w:rPr>
                <w:rFonts w:ascii="Times New Roman" w:hAnsi="Times New Roman"/>
              </w:rPr>
              <w:t xml:space="preserve"> de todos los accionistas.</w:t>
            </w:r>
          </w:p>
        </w:tc>
        <w:tc>
          <w:tcPr>
            <w:tcW w:w="928"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top w:val="single" w:sz="4" w:space="0" w:color="auto"/>
              <w:lef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lastRenderedPageBreak/>
              <w:t>V.2.1. El Órgano de Administración adopta medidas para promover la participación de todos los accionistas en las Asambleas Generales de Accionistas. Explicitar, diferenciando las medidas exigidas por ley de las ofrecidas voluntariamente por la Emisora a sus accionistas.</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28" w:type="dxa"/>
            <w:gridSpan w:val="2"/>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Para convocar a los accionistas a las asambleas generales, la Sociedad, realiza las publicaciones y/o comunicaciones que resultan pertinentes en cumplimiento de lo establecido por la C.N.V. y la Ley General de Sociedades. </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Cabe mencionar </w:t>
            </w:r>
            <w:proofErr w:type="gramStart"/>
            <w:r w:rsidRPr="009C7122">
              <w:rPr>
                <w:rFonts w:ascii="Times New Roman" w:hAnsi="Times New Roman"/>
              </w:rPr>
              <w:t>que</w:t>
            </w:r>
            <w:proofErr w:type="gramEnd"/>
            <w:r w:rsidRPr="009C7122">
              <w:rPr>
                <w:rFonts w:ascii="Times New Roman" w:hAnsi="Times New Roman"/>
              </w:rPr>
              <w:t xml:space="preserve"> dada la composición accionaria de la Sociedad, las Asambleas de los últimos años se han realizado con la presencia del 100 % de los accionistas y las resoluciones se han adoptado por unanimidad.</w:t>
            </w:r>
          </w:p>
        </w:tc>
      </w:tr>
      <w:tr w:rsidR="009C7122" w:rsidRPr="00F423CC" w:rsidTr="003E047F">
        <w:trPr>
          <w:trHeight w:val="144"/>
        </w:trPr>
        <w:tc>
          <w:tcPr>
            <w:tcW w:w="2997" w:type="dxa"/>
            <w:gridSpan w:val="2"/>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V.2.2. La Asamblea General de Accionistas cuenta con un Reglamento para su funcionamiento que asegura que la información esté disponible para los accionistas, con suficiente antelación para la toma de decisiones. Describir los principales lineamientos </w:t>
            </w:r>
            <w:proofErr w:type="gramStart"/>
            <w:r w:rsidRPr="009C7122">
              <w:rPr>
                <w:rFonts w:ascii="Times New Roman" w:hAnsi="Times New Roman"/>
              </w:rPr>
              <w:t>del mismo</w:t>
            </w:r>
            <w:proofErr w:type="gramEnd"/>
          </w:p>
        </w:tc>
        <w:tc>
          <w:tcPr>
            <w:tcW w:w="928" w:type="dxa"/>
            <w:gridSpan w:val="2"/>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108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La Asamblea General de Accionistas no cuenta con un Reglamento.  Sin perjuicio de ello, cabe destacar que en lo relativo al plazo y modalidad de convocatoria se respeta lo establecido al respecto en el Texto Ordenado de la C.V.N., la Ley 19.550 y </w:t>
            </w:r>
            <w:proofErr w:type="gramStart"/>
            <w:r w:rsidRPr="009C7122">
              <w:rPr>
                <w:rFonts w:ascii="Times New Roman" w:hAnsi="Times New Roman"/>
              </w:rPr>
              <w:t>el  Estatuto</w:t>
            </w:r>
            <w:proofErr w:type="gramEnd"/>
            <w:r w:rsidRPr="009C7122">
              <w:rPr>
                <w:rFonts w:ascii="Times New Roman" w:hAnsi="Times New Roman"/>
              </w:rPr>
              <w:t xml:space="preserve"> Social, ello garantiza que el accionista tome conocimiento, al menos con diez días de anticipación a la celebración de la Asamblea, de los temas a tratar en dicha reunión y eventualmente, de considerarlo necesario, requiera información adicional.</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Adicionalmente, cabe destacar que es política de la Sociedad poner a disposición de los directores </w:t>
            </w:r>
            <w:proofErr w:type="gramStart"/>
            <w:r w:rsidRPr="009C7122">
              <w:rPr>
                <w:rFonts w:ascii="Times New Roman" w:hAnsi="Times New Roman"/>
              </w:rPr>
              <w:t>y  accionistas</w:t>
            </w:r>
            <w:proofErr w:type="gramEnd"/>
            <w:r w:rsidRPr="009C7122">
              <w:rPr>
                <w:rFonts w:ascii="Times New Roman" w:hAnsi="Times New Roman"/>
              </w:rPr>
              <w:t xml:space="preserve"> con antelación suficiente toda aquella documentación que requiera ser aprobada.</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V.2.3. Resultan aplicables los mecanismos implementados por la Emisora </w:t>
            </w:r>
            <w:proofErr w:type="gramStart"/>
            <w:r w:rsidRPr="009C7122">
              <w:rPr>
                <w:rFonts w:ascii="Times New Roman" w:hAnsi="Times New Roman"/>
              </w:rPr>
              <w:t>a fin que</w:t>
            </w:r>
            <w:proofErr w:type="gramEnd"/>
            <w:r w:rsidRPr="009C7122">
              <w:rPr>
                <w:rFonts w:ascii="Times New Roman" w:hAnsi="Times New Roman"/>
              </w:rPr>
              <w:t xml:space="preserve"> los accionistas minoritarios propongan asuntos para debatir en la Asamblea General de Accionistas de conformidad con lo previsto en la normativa vigente. Explicitar los resultados.</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28"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La Sociedad no cotiza sus acciones. No obstante, respeta el derecho a </w:t>
            </w:r>
            <w:proofErr w:type="gramStart"/>
            <w:r w:rsidRPr="009C7122">
              <w:rPr>
                <w:rFonts w:ascii="Times New Roman" w:hAnsi="Times New Roman"/>
              </w:rPr>
              <w:t>voz  de</w:t>
            </w:r>
            <w:proofErr w:type="gramEnd"/>
            <w:r w:rsidRPr="009C7122">
              <w:rPr>
                <w:rFonts w:ascii="Times New Roman" w:hAnsi="Times New Roman"/>
              </w:rPr>
              <w:t xml:space="preserve"> todos sus accionistas.</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Asimismo, se informa que las asambleas son convocadas y celebradas dando estricto cumplimiento con los procedimientos dispuestos por la Ley General de Sociedades (Ley 19.550), la Ley de Mercado de Capitales, </w:t>
            </w:r>
            <w:proofErr w:type="gramStart"/>
            <w:r w:rsidRPr="009C7122">
              <w:rPr>
                <w:rFonts w:ascii="Times New Roman" w:hAnsi="Times New Roman"/>
              </w:rPr>
              <w:t>las  normas</w:t>
            </w:r>
            <w:proofErr w:type="gramEnd"/>
            <w:r w:rsidRPr="009C7122">
              <w:rPr>
                <w:rFonts w:ascii="Times New Roman" w:hAnsi="Times New Roman"/>
              </w:rPr>
              <w:t xml:space="preserve"> de la C.N.V. y de las bolsas y mercados en donde opera. </w:t>
            </w: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V.2.4. La Emisora cuenta con políticas de estímulo a la participación de accionistas de mayor relevancia, tales como los inversores institucionales. Especificar.</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Sociedad no cotiza sus acciones</w:t>
            </w:r>
          </w:p>
        </w:tc>
      </w:tr>
      <w:tr w:rsidR="009C7122" w:rsidRPr="00F423CC" w:rsidTr="003E047F">
        <w:trPr>
          <w:trHeight w:val="144"/>
        </w:trPr>
        <w:tc>
          <w:tcPr>
            <w:tcW w:w="2997"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V.2.5. En las Asambleas de Accionistas donde se proponen designaciones de miembros del Órgano de Administración se dan a conocer, con carácter previo a la votación: (i</w:t>
            </w:r>
            <w:proofErr w:type="gramStart"/>
            <w:r w:rsidRPr="009C7122">
              <w:rPr>
                <w:rFonts w:ascii="Times New Roman" w:hAnsi="Times New Roman"/>
              </w:rPr>
              <w:t>)  la</w:t>
            </w:r>
            <w:proofErr w:type="gramEnd"/>
            <w:r w:rsidRPr="009C7122">
              <w:rPr>
                <w:rFonts w:ascii="Times New Roman" w:hAnsi="Times New Roman"/>
              </w:rPr>
              <w:t xml:space="preserve"> postura de cada uno de los candidatos respecto de la adopción o no de un Código de Gobierno Societario; y (ii)  los fundamentos de dicha postura.</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lastRenderedPageBreak/>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Las políticas de Gobierno Societario son debatidas y aprobadas por el Directorio de la Sociedad, para su incorporación a la Memoria Anual de cada ejercicio. En consecuencia, sus integrantes adhieren a su contenido y lo ratifican en forma expresa, mediante su aprobación en actas. A la fecha, no han existido casos en los que un Director de la sociedad asuma una postura distinta y/o contraria a la adopción de medidas y/</w:t>
            </w:r>
            <w:proofErr w:type="gramStart"/>
            <w:r w:rsidRPr="009C7122">
              <w:rPr>
                <w:rFonts w:ascii="Times New Roman" w:hAnsi="Times New Roman"/>
              </w:rPr>
              <w:t>o  políticas</w:t>
            </w:r>
            <w:proofErr w:type="gramEnd"/>
            <w:r w:rsidRPr="009C7122">
              <w:rPr>
                <w:rFonts w:ascii="Times New Roman" w:hAnsi="Times New Roman"/>
              </w:rPr>
              <w:t xml:space="preserve"> de un buen Gobierno Societario.</w:t>
            </w: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lastRenderedPageBreak/>
              <w:t xml:space="preserve">Recomendación V.3.: Garantizar el principio de igualdad entre acción y voto. </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El Estatuto Social establece que las acciones serán siempre de igual valor expresado en moneda de curso legal en la Argentina y conferirán los mismos derechos dentro de la misma clase.</w:t>
            </w:r>
          </w:p>
        </w:tc>
      </w:tr>
      <w:tr w:rsidR="009C7122" w:rsidRPr="00F423CC" w:rsidTr="003E047F">
        <w:trPr>
          <w:trHeight w:val="144"/>
        </w:trPr>
        <w:tc>
          <w:tcPr>
            <w:tcW w:w="2997" w:type="dxa"/>
            <w:gridSpan w:val="2"/>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V.4.: Establecer mecanismos de protección de todos los accionistas frente a las tomas de control.</w:t>
            </w:r>
          </w:p>
        </w:tc>
        <w:tc>
          <w:tcPr>
            <w:tcW w:w="928" w:type="dxa"/>
            <w:gridSpan w:val="2"/>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392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La Sociedad hace oferta pública de títulos de deuda, no así de sus acciones. </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Dado que todos los accionistas son parte del mismo grupo económico, no se ha considerado necesario hasta el momento prever mecanismos de protección específicos frente a tomas de control.</w:t>
            </w:r>
          </w:p>
        </w:tc>
      </w:tr>
      <w:tr w:rsidR="009C7122" w:rsidRPr="00F423CC" w:rsidTr="003E047F">
        <w:trPr>
          <w:trHeight w:val="144"/>
        </w:trPr>
        <w:tc>
          <w:tcPr>
            <w:tcW w:w="2997"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V.5.: Incrementar el porcentaje acciones en circulación sobre el capital.</w:t>
            </w:r>
          </w:p>
        </w:tc>
        <w:tc>
          <w:tcPr>
            <w:tcW w:w="928"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Sociedad no cotiza sus acciones.</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V.6.: Asegurar que haya una política de dividendos transparente.</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V.6.1.  La Emisora cuenta con una política de distribución de dividendos prevista en el Estatuto Social y aprobada por la Asamblea de Accionistas en las que se establece las condiciones para distribuir dividendos en efectivo o acciones.  De existir la misma, indicar criterios, frecuencia y condiciones que deben cumplirse para el pago de dividendos.</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El Estatuto Social prevé en su artículo 16 que las ganancias realizadas y líquidas se destinarán: a) el porcentaje que corresponda, de acuerdo  con las disposiciones legales y reglamentarias, para el fondo de reserva legal; b) a remuneración del Directorio y sindicatura o Comisión Fiscalizadora o en su caso según lo fije la Asamblea; c) al pago del dividendo anual de las acciones preferidas con prioridad a los dividendos acumulativos impagos, si los hubiera, debiendo liquidarse en primer término y luego los del ejercicio, según lo determine la Asamblea; d) el saldo, todo o en parte, al pago del dividendo de las acciones ordinarias o a fondos de reserva facultativos o a cuenta nueva, o al destino que determina la Asamblea. </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Los dividendos de las acciones ordinarias deberán ser pagados en proporción a las respectivas integraciones de capital, en función de las disposiciones específicas del organismo de control.</w:t>
            </w: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V.6.2. La Emisora cuenta con procesos documentados para la elaboración de la propuesta de destino de resultados acumulados de la Emisora que deriven en constitución de reservas legales, estatutarias, voluntarias, pase a nuevo ejercicio y/o pago de dividendos.</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Explicitar dichos procesos y detallar en que Acta de Asamblea General de Accionistas fue aprobada la distribución (en efectivo o acciones) o no de dividendos, </w:t>
            </w:r>
            <w:r w:rsidRPr="009C7122">
              <w:rPr>
                <w:rFonts w:ascii="Times New Roman" w:hAnsi="Times New Roman"/>
              </w:rPr>
              <w:lastRenderedPageBreak/>
              <w:t xml:space="preserve">de no </w:t>
            </w:r>
            <w:proofErr w:type="gramStart"/>
            <w:r w:rsidRPr="009C7122">
              <w:rPr>
                <w:rFonts w:ascii="Times New Roman" w:hAnsi="Times New Roman"/>
              </w:rPr>
              <w:t>estar  previsto</w:t>
            </w:r>
            <w:proofErr w:type="gramEnd"/>
            <w:r w:rsidRPr="009C7122">
              <w:rPr>
                <w:rFonts w:ascii="Times New Roman" w:hAnsi="Times New Roman"/>
              </w:rPr>
              <w:t xml:space="preserve"> en el Estatuto Social.</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lastRenderedPageBreak/>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propuesta de destino de resultados acumulados es confeccionada por el Directorio en función de los EECC analizados y aprobados.</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Anualmente la Asamblea de Accionistas es quien decide acerca de la propuesta de destino de resultados acumulados de la Sociedad, una vez cumplimentadas las reservas legales y estatutarias exigidas, más las voluntarias si así se dispusiera, y pago de dividendos.</w:t>
            </w:r>
          </w:p>
        </w:tc>
      </w:tr>
      <w:tr w:rsidR="009C7122" w:rsidRPr="00F423CC" w:rsidTr="003E047F">
        <w:trPr>
          <w:trHeight w:val="144"/>
        </w:trPr>
        <w:tc>
          <w:tcPr>
            <w:tcW w:w="9747" w:type="dxa"/>
            <w:gridSpan w:val="7"/>
            <w:tcBorders>
              <w:top w:val="single" w:sz="4" w:space="0" w:color="auto"/>
            </w:tcBorders>
            <w:shd w:val="clear" w:color="auto" w:fill="F2F2F2"/>
          </w:tcPr>
          <w:p w:rsidR="009C7122" w:rsidRPr="009C7122" w:rsidRDefault="009C7122" w:rsidP="009C7122">
            <w:pPr>
              <w:tabs>
                <w:tab w:val="left" w:pos="1240"/>
                <w:tab w:val="right" w:pos="7880"/>
                <w:tab w:val="right" w:pos="9680"/>
              </w:tabs>
              <w:spacing w:line="240" w:lineRule="auto"/>
              <w:rPr>
                <w:rFonts w:ascii="Times New Roman" w:hAnsi="Times New Roman"/>
                <w:b/>
              </w:rPr>
            </w:pPr>
            <w:r w:rsidRPr="009C7122">
              <w:rPr>
                <w:rFonts w:ascii="Times New Roman" w:hAnsi="Times New Roman"/>
                <w:b/>
              </w:rPr>
              <w:lastRenderedPageBreak/>
              <w:t>PRINCIPIO VI.  MANTENER UN VÍNCULO DIRECTO Y RESPONSABLE CON LA COMUNIDAD</w:t>
            </w:r>
          </w:p>
        </w:tc>
      </w:tr>
      <w:tr w:rsidR="009C7122" w:rsidRPr="00F423CC" w:rsidTr="003E047F">
        <w:trPr>
          <w:trHeight w:val="144"/>
        </w:trPr>
        <w:tc>
          <w:tcPr>
            <w:tcW w:w="2997" w:type="dxa"/>
            <w:gridSpan w:val="2"/>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VI.: Suministrar a la comunidad la revelación de las cuestiones relativas a la Emisora y un canal de comunicación directo con la empresa.</w:t>
            </w:r>
          </w:p>
        </w:tc>
        <w:tc>
          <w:tcPr>
            <w:tcW w:w="928" w:type="dxa"/>
            <w:gridSpan w:val="2"/>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VI.1. La Emisora cuenta con un sitio web de acceso público, actualizado, que no solo suministre información relevante de la empresa (Estatuto Social, grupo económico, composición del Órgano de Administración, estados financieros, Memoria anual, entre otros) sino que también recoja inquietudes de usuarios en general.</w:t>
            </w:r>
          </w:p>
        </w:tc>
        <w:tc>
          <w:tcPr>
            <w:tcW w:w="928"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highlight w:val="yellow"/>
              </w:rPr>
            </w:pPr>
            <w:r w:rsidRPr="009C7122">
              <w:rPr>
                <w:rFonts w:ascii="Times New Roman" w:hAnsi="Times New Roman"/>
              </w:rPr>
              <w:t>X</w:t>
            </w: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El sitio web www.directo.com.ar pone a disposición del público en general, un número de contacto y una dirección de email, a donde dirigir inquietudes, sugerencias o consultas. </w:t>
            </w:r>
          </w:p>
          <w:p w:rsidR="009C7122" w:rsidRPr="009C7122" w:rsidRDefault="009C7122" w:rsidP="009C7122">
            <w:pPr>
              <w:tabs>
                <w:tab w:val="left" w:pos="1240"/>
                <w:tab w:val="right" w:pos="7880"/>
                <w:tab w:val="right" w:pos="9680"/>
              </w:tabs>
              <w:spacing w:line="240" w:lineRule="auto"/>
              <w:rPr>
                <w:rFonts w:ascii="Times New Roman" w:hAnsi="Times New Roman"/>
              </w:rPr>
            </w:pPr>
            <w:proofErr w:type="gramStart"/>
            <w:r w:rsidRPr="009C7122">
              <w:rPr>
                <w:rFonts w:ascii="Times New Roman" w:hAnsi="Times New Roman"/>
              </w:rPr>
              <w:t>Adicionalmente,  otros</w:t>
            </w:r>
            <w:proofErr w:type="gramEnd"/>
            <w:r w:rsidRPr="009C7122">
              <w:rPr>
                <w:rFonts w:ascii="Times New Roman" w:hAnsi="Times New Roman"/>
              </w:rPr>
              <w:t xml:space="preserve"> sitios web (C.N.V. etc.) complementan la información publicada en la web oficial de la Sociedad.</w:t>
            </w: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VI.2. La Emisora emite un Balance de Responsabilidad Social y Ambiental con frecuencia anual, con una verificación de un Auditor Externo independiente. De existir, indicar el alcance o cobertura jurídica o geográfica del mismo y dónde está disponible. Especificar que normas o iniciativas han adoptado para llevar a cabo su política de responsabilidad social empresaria (Global </w:t>
            </w:r>
            <w:proofErr w:type="spellStart"/>
            <w:proofErr w:type="gramStart"/>
            <w:r w:rsidRPr="009C7122">
              <w:rPr>
                <w:rFonts w:ascii="Times New Roman" w:hAnsi="Times New Roman"/>
              </w:rPr>
              <w:t>Reporting</w:t>
            </w:r>
            <w:proofErr w:type="spellEnd"/>
            <w:r w:rsidRPr="009C7122">
              <w:rPr>
                <w:rFonts w:ascii="Times New Roman" w:hAnsi="Times New Roman"/>
              </w:rPr>
              <w:t xml:space="preserve">  </w:t>
            </w:r>
            <w:proofErr w:type="spellStart"/>
            <w:r w:rsidRPr="009C7122">
              <w:rPr>
                <w:rFonts w:ascii="Times New Roman" w:hAnsi="Times New Roman"/>
              </w:rPr>
              <w:t>Iniciative</w:t>
            </w:r>
            <w:proofErr w:type="spellEnd"/>
            <w:proofErr w:type="gramEnd"/>
            <w:r w:rsidRPr="009C7122">
              <w:rPr>
                <w:rFonts w:ascii="Times New Roman" w:hAnsi="Times New Roman"/>
              </w:rPr>
              <w:t xml:space="preserve"> y/o el Pacto Global de Naciones Unidas, ISO 26.000, SA8000, Objetivos de Desarrollo del Milenio, SGE 21-Foretica, AA 1000, Principios de Ecuador, entre otras).</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Sociedad no emite este tipo de informes.</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Sin perjuicio de ello, y en el marco del desarrollo de políticas tendientes a implementar acciones de Responsabilidad Social y </w:t>
            </w:r>
            <w:proofErr w:type="gramStart"/>
            <w:r w:rsidRPr="009C7122">
              <w:rPr>
                <w:rFonts w:ascii="Times New Roman" w:hAnsi="Times New Roman"/>
              </w:rPr>
              <w:t>Ambiental,  la</w:t>
            </w:r>
            <w:proofErr w:type="gramEnd"/>
            <w:r w:rsidRPr="009C7122">
              <w:rPr>
                <w:rFonts w:ascii="Times New Roman" w:hAnsi="Times New Roman"/>
              </w:rPr>
              <w:t xml:space="preserve"> Sociedad adhiere a pautas para la reducción del consumo de papel y energías no renovables, así como también a edificios libres de humo.</w:t>
            </w:r>
          </w:p>
        </w:tc>
      </w:tr>
      <w:tr w:rsidR="009C7122" w:rsidRPr="00F423CC" w:rsidTr="003E047F">
        <w:trPr>
          <w:trHeight w:val="144"/>
        </w:trPr>
        <w:tc>
          <w:tcPr>
            <w:tcW w:w="9747" w:type="dxa"/>
            <w:gridSpan w:val="7"/>
            <w:tcBorders>
              <w:top w:val="single" w:sz="4" w:space="0" w:color="auto"/>
            </w:tcBorders>
            <w:shd w:val="clear" w:color="auto" w:fill="F2F2F2"/>
          </w:tcPr>
          <w:p w:rsidR="009C7122" w:rsidRPr="009C7122" w:rsidRDefault="009C7122" w:rsidP="009C7122">
            <w:pPr>
              <w:tabs>
                <w:tab w:val="left" w:pos="1240"/>
                <w:tab w:val="right" w:pos="7880"/>
                <w:tab w:val="right" w:pos="9680"/>
              </w:tabs>
              <w:spacing w:line="240" w:lineRule="auto"/>
              <w:rPr>
                <w:rFonts w:ascii="Times New Roman" w:hAnsi="Times New Roman"/>
                <w:b/>
              </w:rPr>
            </w:pPr>
            <w:r w:rsidRPr="009C7122">
              <w:rPr>
                <w:rFonts w:ascii="Times New Roman" w:hAnsi="Times New Roman"/>
                <w:b/>
              </w:rPr>
              <w:t>PRINCIPIO VII. REMUNERAR DE FORMA JUSTA Y RESPONSABLE</w:t>
            </w:r>
          </w:p>
        </w:tc>
      </w:tr>
      <w:tr w:rsidR="009C7122" w:rsidRPr="00F423CC" w:rsidTr="003E047F">
        <w:trPr>
          <w:trHeight w:val="144"/>
        </w:trPr>
        <w:tc>
          <w:tcPr>
            <w:tcW w:w="2997" w:type="dxa"/>
            <w:gridSpan w:val="2"/>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VII: Establecer claras políticas de remuneración de los miembros del Órgano de Administración y gerentes de primera línea, con especial atención a la consagración de limitaciones convencionales o estatutarias en función de la existencia o inexistencia de ganancias.</w:t>
            </w:r>
          </w:p>
        </w:tc>
        <w:tc>
          <w:tcPr>
            <w:tcW w:w="928" w:type="dxa"/>
            <w:gridSpan w:val="2"/>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2016"/>
        </w:trPr>
        <w:tc>
          <w:tcPr>
            <w:tcW w:w="2997" w:type="dxa"/>
            <w:gridSpan w:val="2"/>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lastRenderedPageBreak/>
              <w:t>VII.1. La Emisora cuenta con un Comité de Remuneraciones:</w:t>
            </w:r>
          </w:p>
        </w:tc>
        <w:tc>
          <w:tcPr>
            <w:tcW w:w="928" w:type="dxa"/>
            <w:gridSpan w:val="2"/>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La Sociedad cuenta con una Comisión de RRHH, que dentro de sus funciones, tiene a su cargo todo lo referente </w:t>
            </w:r>
            <w:proofErr w:type="gramStart"/>
            <w:r w:rsidRPr="009C7122">
              <w:rPr>
                <w:rFonts w:ascii="Times New Roman" w:hAnsi="Times New Roman"/>
              </w:rPr>
              <w:t>a  las</w:t>
            </w:r>
            <w:proofErr w:type="gramEnd"/>
            <w:r w:rsidRPr="009C7122">
              <w:rPr>
                <w:rFonts w:ascii="Times New Roman" w:hAnsi="Times New Roman"/>
              </w:rPr>
              <w:t xml:space="preserve"> remuneraciones.</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VII.1.1. integrado por al menos tres miembros del Órgano de Administración, en su mayoría independientes</w:t>
            </w:r>
          </w:p>
        </w:tc>
        <w:tc>
          <w:tcPr>
            <w:tcW w:w="928"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La Comisión está integrada por dos </w:t>
            </w:r>
            <w:proofErr w:type="gramStart"/>
            <w:r w:rsidRPr="009C7122">
              <w:rPr>
                <w:rFonts w:ascii="Times New Roman" w:hAnsi="Times New Roman"/>
              </w:rPr>
              <w:t>Directores</w:t>
            </w:r>
            <w:proofErr w:type="gramEnd"/>
            <w:r w:rsidRPr="009C7122">
              <w:rPr>
                <w:rFonts w:ascii="Times New Roman" w:hAnsi="Times New Roman"/>
              </w:rPr>
              <w:t>, los cuales no revisten la calidad de independiente, Gerente de Planeamiento estratégico &amp; IT y Gerente de Operaciones</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231"/>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VII.1.2. presidido por un miembro independiente del Órgano de Administración.</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Se remite a la información brindada en el punto VII.1.1</w:t>
            </w:r>
          </w:p>
        </w:tc>
      </w:tr>
      <w:tr w:rsidR="009C7122" w:rsidRPr="00F423CC" w:rsidTr="003E047F">
        <w:trPr>
          <w:trHeight w:val="1407"/>
        </w:trPr>
        <w:tc>
          <w:tcPr>
            <w:tcW w:w="2997" w:type="dxa"/>
            <w:gridSpan w:val="2"/>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VII.1.3. que cuenta con miembros que acreditan suficiente idoneidad y experiencia en temas de políticas de recursos humanos.</w:t>
            </w:r>
          </w:p>
        </w:tc>
        <w:tc>
          <w:tcPr>
            <w:tcW w:w="928" w:type="dxa"/>
            <w:gridSpan w:val="2"/>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814" w:type="dxa"/>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108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Comisión cuenta con asesoramiento externo idóneo en temas de recursos humanos.</w:t>
            </w:r>
          </w:p>
        </w:tc>
      </w:tr>
      <w:tr w:rsidR="009C7122" w:rsidRPr="00F423CC" w:rsidTr="003E047F">
        <w:trPr>
          <w:trHeight w:val="579"/>
        </w:trPr>
        <w:tc>
          <w:tcPr>
            <w:tcW w:w="2997"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VII.1.4. que se reúna al menos dos veces por año.</w:t>
            </w:r>
          </w:p>
        </w:tc>
        <w:tc>
          <w:tcPr>
            <w:tcW w:w="928"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Comisión se reúne cada tres meses.</w:t>
            </w: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VII.1.5. cuyas decisiones no son necesariamente vinculantes para la Asamblea General de Accionistas ni para el Consejo de Vigilancia sino de carácter consultivo en lo que hace a la remuneración de los miembros del Órgano de Administración.</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El Comité no trata la remuneración de los directores ejecutivos.</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VII.2. En caso de contar con un Comité de Remuneraciones, el mismo:</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La Comisión de </w:t>
            </w:r>
            <w:proofErr w:type="gramStart"/>
            <w:r w:rsidRPr="009C7122">
              <w:rPr>
                <w:rFonts w:ascii="Times New Roman" w:hAnsi="Times New Roman"/>
              </w:rPr>
              <w:t>RRHH  ha</w:t>
            </w:r>
            <w:proofErr w:type="gramEnd"/>
            <w:r w:rsidRPr="009C7122">
              <w:rPr>
                <w:rFonts w:ascii="Times New Roman" w:hAnsi="Times New Roman"/>
              </w:rPr>
              <w:t xml:space="preserve"> desarrollado un programa tendiente a determinar las pautas vigentes para la remuneración del personal clave,  estableciendo para ciertas gerencias una remuneración variable, aparte de la remuneración fija. Para la determinación del porcentaje de la remuneración variable, se toma en cuenta el riesgo asumido, la responsabilidad a cargo y el cumplimiento de objetivos. </w:t>
            </w:r>
          </w:p>
        </w:tc>
      </w:tr>
      <w:tr w:rsidR="009C7122" w:rsidRPr="00F423CC" w:rsidTr="003E047F">
        <w:trPr>
          <w:trHeight w:val="144"/>
        </w:trPr>
        <w:tc>
          <w:tcPr>
            <w:tcW w:w="2997"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VII.2.1. asegura que exista una clara relación entre el desempeño del personal clave y su remuneración fija y variable, teniendo en cuenta los riesgos asumidos y su administración,</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Se remite a lo informado en el punto VII.2.1. </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VII.2.2. supervisa que la porción variable de la remuneración de miembros del Órgano de Administración y </w:t>
            </w:r>
            <w:r w:rsidRPr="009C7122">
              <w:rPr>
                <w:rFonts w:ascii="Times New Roman" w:hAnsi="Times New Roman"/>
              </w:rPr>
              <w:lastRenderedPageBreak/>
              <w:t>gerentes de primera línea se vincule con el rendimiento a mediano y/o largo plazo de la Emisora,</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lastRenderedPageBreak/>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El Estatuto de la Sociedad prevé que la Asamblea de Accionistas es quien define la remuneración de los </w:t>
            </w:r>
            <w:proofErr w:type="gramStart"/>
            <w:r w:rsidRPr="009C7122">
              <w:rPr>
                <w:rFonts w:ascii="Times New Roman" w:hAnsi="Times New Roman"/>
              </w:rPr>
              <w:t>Directores</w:t>
            </w:r>
            <w:proofErr w:type="gramEnd"/>
            <w:r w:rsidRPr="009C7122">
              <w:rPr>
                <w:rFonts w:ascii="Times New Roman" w:hAnsi="Times New Roman"/>
              </w:rPr>
              <w:t xml:space="preserve">, lo cual se realiza siempre dentro de los </w:t>
            </w:r>
            <w:r w:rsidRPr="009C7122">
              <w:rPr>
                <w:rFonts w:ascii="Times New Roman" w:hAnsi="Times New Roman"/>
              </w:rPr>
              <w:lastRenderedPageBreak/>
              <w:t>rangos normales del mercado para instituciones similares.</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Respecto de los Gerentes, el Directorio aprueba la política de remuneraciones del</w:t>
            </w:r>
          </w:p>
          <w:p w:rsidR="009C7122" w:rsidRPr="009C7122" w:rsidRDefault="009C7122" w:rsidP="009C7122">
            <w:pPr>
              <w:tabs>
                <w:tab w:val="left" w:pos="1240"/>
                <w:tab w:val="right" w:pos="7880"/>
                <w:tab w:val="right" w:pos="9680"/>
              </w:tabs>
              <w:spacing w:line="240" w:lineRule="auto"/>
              <w:rPr>
                <w:rFonts w:ascii="Times New Roman" w:hAnsi="Times New Roman"/>
              </w:rPr>
            </w:pPr>
            <w:proofErr w:type="gramStart"/>
            <w:r w:rsidRPr="009C7122">
              <w:rPr>
                <w:rFonts w:ascii="Times New Roman" w:hAnsi="Times New Roman"/>
              </w:rPr>
              <w:t>personal definida</w:t>
            </w:r>
            <w:proofErr w:type="gramEnd"/>
            <w:r w:rsidRPr="009C7122">
              <w:rPr>
                <w:rFonts w:ascii="Times New Roman" w:hAnsi="Times New Roman"/>
              </w:rPr>
              <w:t xml:space="preserve"> por la Comisión de RRHH.</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Los Gerentes reciben una remuneración fija y otra variable </w:t>
            </w:r>
            <w:proofErr w:type="gramStart"/>
            <w:r w:rsidRPr="009C7122">
              <w:rPr>
                <w:rFonts w:ascii="Times New Roman" w:hAnsi="Times New Roman"/>
              </w:rPr>
              <w:t>en relación a</w:t>
            </w:r>
            <w:proofErr w:type="gramEnd"/>
            <w:r w:rsidRPr="009C7122">
              <w:rPr>
                <w:rFonts w:ascii="Times New Roman" w:hAnsi="Times New Roman"/>
              </w:rPr>
              <w:t xml:space="preserve"> las responsabilidades, el tiempo dedicado a la gestión, las competencias y la reputación profesional y la calidad en la gestión.</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Actualmente, los pagos de incentivos de los Gerentes se basan en el cumplimiento de las metas y los resultados de las evaluaciones de desempeño.</w:t>
            </w:r>
          </w:p>
        </w:tc>
      </w:tr>
      <w:tr w:rsidR="009C7122" w:rsidRPr="00F423CC" w:rsidTr="003E047F">
        <w:trPr>
          <w:trHeight w:val="144"/>
        </w:trPr>
        <w:tc>
          <w:tcPr>
            <w:tcW w:w="2997" w:type="dxa"/>
            <w:gridSpan w:val="2"/>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lastRenderedPageBreak/>
              <w:t>VII.2.3. revisa la posición competitiva de las políticas y prácticas de la Emisora con respecto a remuneraciones y beneficios de empresas comparables, y recomienda o no cambios</w:t>
            </w:r>
          </w:p>
        </w:tc>
        <w:tc>
          <w:tcPr>
            <w:tcW w:w="928" w:type="dxa"/>
            <w:gridSpan w:val="2"/>
            <w:tcBorders>
              <w:top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roofErr w:type="gramStart"/>
            <w:r w:rsidRPr="009C7122">
              <w:rPr>
                <w:rFonts w:ascii="Times New Roman" w:hAnsi="Times New Roman"/>
              </w:rPr>
              <w:t>En relación a</w:t>
            </w:r>
            <w:proofErr w:type="gramEnd"/>
            <w:r w:rsidRPr="009C7122">
              <w:rPr>
                <w:rFonts w:ascii="Times New Roman" w:hAnsi="Times New Roman"/>
              </w:rPr>
              <w:t xml:space="preserve"> la posición competitiva de las políticas y prácticas de la Sociedad con respecto a remuneraciones y beneficios de empresas comparables, la Comisión de RRHH analiza información sobre empresas del mercado comparables con la finalidad de evaluar la conveniencia o no de efectuar recomendaciones y/o sugerencias permitiendo a la Sociedad revisar sus políticas y prácticas.  </w:t>
            </w:r>
          </w:p>
        </w:tc>
      </w:tr>
      <w:tr w:rsidR="009C7122" w:rsidRPr="00F423CC" w:rsidTr="003E047F">
        <w:trPr>
          <w:trHeight w:val="144"/>
        </w:trPr>
        <w:tc>
          <w:tcPr>
            <w:tcW w:w="2997"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VII.2.4. define y comunica la política de retención, promoción, despido y suspensión de personal clave,</w:t>
            </w:r>
          </w:p>
        </w:tc>
        <w:tc>
          <w:tcPr>
            <w:tcW w:w="928" w:type="dxa"/>
            <w:gridSpan w:val="2"/>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Sociedad cuenta con una política de compensaciones y beneficios exclusivos</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para el personal clave, la cual es conocida por dicho personal.</w:t>
            </w: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VII.2.5. informa las pautas para determinar los planes de retiro de los miembros del Órgano de Administración y gerentes de primera línea de la Emisora,</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La Sociedad entiende que dicha política no reviste de carácter obligatorio. Sin perjuicio de ello, no sería de aplicación para una estructura de la magnitud de la Sociedad.</w:t>
            </w:r>
          </w:p>
        </w:tc>
      </w:tr>
      <w:tr w:rsidR="009C7122" w:rsidRPr="00F423CC" w:rsidTr="003E047F">
        <w:trPr>
          <w:trHeight w:val="144"/>
        </w:trPr>
        <w:tc>
          <w:tcPr>
            <w:tcW w:w="2997"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VII.2.6. da cuenta regularmente al Órgano de Administración y a la Asamblea de Accionistas sobre las acciones emprendidas y los temas analizados en sus reuniones,</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Trimestralmente, cada Comité informa y pone a consideración del Directorio de la Sociedad, los puntos que han sido tratados y las decisiones que han sido adoptadas. La Comisión de RRHH lo hace en forma trimestral.</w:t>
            </w: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VII.2.7. garantiza la presencia del </w:t>
            </w:r>
            <w:proofErr w:type="gramStart"/>
            <w:r w:rsidRPr="009C7122">
              <w:rPr>
                <w:rFonts w:ascii="Times New Roman" w:hAnsi="Times New Roman"/>
              </w:rPr>
              <w:t>Presidente</w:t>
            </w:r>
            <w:proofErr w:type="gramEnd"/>
            <w:r w:rsidRPr="009C7122">
              <w:rPr>
                <w:rFonts w:ascii="Times New Roman" w:hAnsi="Times New Roman"/>
              </w:rPr>
              <w:t xml:space="preserve"> del Comité de Remuneraciones en la Asamblea General de Accionistas que aprueba las remuneraciones al Órgano de Administración para que explique la política de la Emisora, con respecto a la retribución de los miembros del Órgano de Administración y gerentes de primera línea.</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Dado que la Comisión de RRHH está integrada por dos Directores, se garantiza que al menos uno de ellos esté presente en las Asambleas de Accionistas, y de esta forma, </w:t>
            </w:r>
            <w:proofErr w:type="gramStart"/>
            <w:r w:rsidRPr="009C7122">
              <w:rPr>
                <w:rFonts w:ascii="Times New Roman" w:hAnsi="Times New Roman"/>
              </w:rPr>
              <w:t>puedan  responder</w:t>
            </w:r>
            <w:proofErr w:type="gramEnd"/>
            <w:r w:rsidRPr="009C7122">
              <w:rPr>
                <w:rFonts w:ascii="Times New Roman" w:hAnsi="Times New Roman"/>
              </w:rPr>
              <w:t xml:space="preserve"> a las inquietudes de los accionistas ya sea por si o a través de algún funcionario de la Comisión o gerente.</w:t>
            </w: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roofErr w:type="gramStart"/>
            <w:r w:rsidRPr="009C7122">
              <w:rPr>
                <w:rFonts w:ascii="Times New Roman" w:hAnsi="Times New Roman"/>
              </w:rPr>
              <w:t>VII.3  De</w:t>
            </w:r>
            <w:proofErr w:type="gramEnd"/>
            <w:r w:rsidRPr="009C7122">
              <w:rPr>
                <w:rFonts w:ascii="Times New Roman" w:hAnsi="Times New Roman"/>
              </w:rPr>
              <w:t xml:space="preserve"> considerar relevante mencionar las políticas aplicadas por el Comité de Remuneraciones de </w:t>
            </w:r>
            <w:r w:rsidRPr="009C7122">
              <w:rPr>
                <w:rFonts w:ascii="Times New Roman" w:hAnsi="Times New Roman"/>
              </w:rPr>
              <w:lastRenderedPageBreak/>
              <w:t>la Emisora que no han sido mencionadas en el punto anterior.</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N/A</w:t>
            </w: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lastRenderedPageBreak/>
              <w:t>VII.4. En caso de no contar con un Comité de remuneraciones, explicar cómo las funciones descriptas en VII. 2. son realizadas dentro del seno del propio Órgano de Administración.</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Se remite a lo indicado en el punto VII y siguientes.</w:t>
            </w:r>
          </w:p>
        </w:tc>
      </w:tr>
      <w:tr w:rsidR="009C7122" w:rsidRPr="00F423CC" w:rsidTr="003E047F">
        <w:trPr>
          <w:trHeight w:val="144"/>
        </w:trPr>
        <w:tc>
          <w:tcPr>
            <w:tcW w:w="9747" w:type="dxa"/>
            <w:gridSpan w:val="7"/>
            <w:tcBorders>
              <w:top w:val="single" w:sz="4" w:space="0" w:color="auto"/>
              <w:bottom w:val="single" w:sz="4" w:space="0" w:color="auto"/>
            </w:tcBorders>
            <w:shd w:val="clear" w:color="auto" w:fill="F2F2F2"/>
          </w:tcPr>
          <w:p w:rsidR="009C7122" w:rsidRPr="009C7122" w:rsidRDefault="009C7122" w:rsidP="009C7122">
            <w:pPr>
              <w:tabs>
                <w:tab w:val="left" w:pos="1240"/>
                <w:tab w:val="right" w:pos="7880"/>
                <w:tab w:val="right" w:pos="9680"/>
              </w:tabs>
              <w:spacing w:line="240" w:lineRule="auto"/>
              <w:rPr>
                <w:rFonts w:ascii="Times New Roman" w:hAnsi="Times New Roman"/>
                <w:b/>
              </w:rPr>
            </w:pPr>
            <w:r w:rsidRPr="009C7122">
              <w:rPr>
                <w:rFonts w:ascii="Times New Roman" w:hAnsi="Times New Roman"/>
                <w:b/>
              </w:rPr>
              <w:t>PRINCIPIO VIII. FORMENTAR LA ETICA EMPRESARIAL</w:t>
            </w: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Recomendación VIII.: Garantizar comportamientos éticos en la Emisora.</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VIII.1. La Emisora cuenta con un Código de Conducta Empresaria. Indicar principales lineamientos y si es de conocimiento para todo público. Dicho Código es firmado por al menos los miembros del Órgano de Administración y gerentes de primera línea. Señalar si se fomenta su aplicación a proveedores y clientes.</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El Código de Ética y Conducta contempla el comportamiento que debe observar todo personal de la Sociedad. El mismo ha sido suscripto por todos los colaboradores y directivos manifestando su conocimiento y adhesión.</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No se fomenta su aplicación a proveedores ni a clientes (sólo aplica a colaboradores y </w:t>
            </w:r>
            <w:proofErr w:type="gramStart"/>
            <w:r w:rsidRPr="009C7122">
              <w:rPr>
                <w:rFonts w:ascii="Times New Roman" w:hAnsi="Times New Roman"/>
              </w:rPr>
              <w:t>Directores</w:t>
            </w:r>
            <w:proofErr w:type="gramEnd"/>
            <w:r w:rsidRPr="009C7122">
              <w:rPr>
                <w:rFonts w:ascii="Times New Roman" w:hAnsi="Times New Roman"/>
              </w:rPr>
              <w:t>).</w:t>
            </w: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VIII.2. La Emisora cuenta con mecanismos para recibir denuncias de toda conducta ilícita o </w:t>
            </w:r>
            <w:proofErr w:type="gramStart"/>
            <w:r w:rsidRPr="009C7122">
              <w:rPr>
                <w:rFonts w:ascii="Times New Roman" w:hAnsi="Times New Roman"/>
              </w:rPr>
              <w:t>anti ética</w:t>
            </w:r>
            <w:proofErr w:type="gramEnd"/>
            <w:r w:rsidRPr="009C7122">
              <w:rPr>
                <w:rFonts w:ascii="Times New Roman" w:hAnsi="Times New Roman"/>
              </w:rPr>
              <w:t>, en forma personal o por medios electrónicos garantizando que la información transmitida responda a altos estándares de confidencialidad e integridad, como de registro y conservación de la información. Indicar si el servicio de recepción y evaluación de denuncias es prestado por personal de la Emisora o por profesionales externos e independientes para una mayor protección hacia los denunciantes.</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En la página web de la Sociedad se encuentran publicados contactos (direcciones de correo electrónico, teléfonos y direcciones) a los fines de realizar denuncias o evacuar consultas. Asimismo, la Sociedad pone a disposición del público en general, una línea telefónica, mediante el cual se pueden gestionar los reclamos y/o sugerencias que estimen necesarias.</w:t>
            </w:r>
          </w:p>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Adicionalmente, posee un Libro de Quejas para el registro de reclamos. </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VIII.3. La Emisora cuenta con políticas, procesos y sistemas para la gestión y resolución de las denuncias mencionadas en el punto VIII.2. Hacer una descripción de los aspectos más relevantes de las mismas e indicar el grado de involucramiento del Comité de Auditoría en dichas resoluciones, en particular en aquellas denuncias asociadas a temas de control interno para reporte contable y sobre conductas de miembros del Órgano de Administración y gerentes de la primera línea.</w:t>
            </w: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r w:rsidRPr="009C7122">
              <w:rPr>
                <w:rFonts w:ascii="Times New Roman" w:hAnsi="Times New Roman"/>
              </w:rPr>
              <w:t>X</w:t>
            </w: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r w:rsidRPr="009C7122">
              <w:rPr>
                <w:rFonts w:ascii="Times New Roman" w:hAnsi="Times New Roman"/>
              </w:rPr>
              <w:t xml:space="preserve">La Sociedad cuenta con un sector, procedimientos y responsables de reclamos de clientes que </w:t>
            </w:r>
            <w:proofErr w:type="spellStart"/>
            <w:r w:rsidRPr="009C7122">
              <w:rPr>
                <w:rFonts w:ascii="Times New Roman" w:hAnsi="Times New Roman"/>
              </w:rPr>
              <w:t>recepcionan</w:t>
            </w:r>
            <w:proofErr w:type="spellEnd"/>
            <w:r w:rsidRPr="009C7122">
              <w:rPr>
                <w:rFonts w:ascii="Times New Roman" w:hAnsi="Times New Roman"/>
              </w:rPr>
              <w:t xml:space="preserve"> todo tipo de inquietudes entre ellas las denuncias mencionadas y las derivan a los sectores correspondientes para su gestión.</w:t>
            </w:r>
          </w:p>
          <w:p w:rsidR="009C7122" w:rsidRPr="009C7122" w:rsidRDefault="009C7122" w:rsidP="009C7122">
            <w:pPr>
              <w:tabs>
                <w:tab w:val="left" w:pos="1240"/>
                <w:tab w:val="right" w:pos="7880"/>
                <w:tab w:val="right" w:pos="9680"/>
              </w:tabs>
              <w:spacing w:line="240" w:lineRule="auto"/>
              <w:rPr>
                <w:rFonts w:ascii="Times New Roman" w:hAnsi="Times New Roman"/>
              </w:rPr>
            </w:pPr>
          </w:p>
        </w:tc>
      </w:tr>
      <w:tr w:rsidR="009C7122" w:rsidRPr="00F423CC" w:rsidTr="003E047F">
        <w:trPr>
          <w:trHeight w:val="144"/>
        </w:trPr>
        <w:tc>
          <w:tcPr>
            <w:tcW w:w="9747" w:type="dxa"/>
            <w:gridSpan w:val="7"/>
            <w:tcBorders>
              <w:top w:val="single" w:sz="4" w:space="0" w:color="auto"/>
              <w:bottom w:val="single" w:sz="4" w:space="0" w:color="auto"/>
            </w:tcBorders>
            <w:shd w:val="clear" w:color="auto" w:fill="F2F2F2"/>
          </w:tcPr>
          <w:p w:rsidR="009C7122" w:rsidRPr="009C7122" w:rsidRDefault="009C7122" w:rsidP="009C7122">
            <w:pPr>
              <w:tabs>
                <w:tab w:val="left" w:pos="1240"/>
                <w:tab w:val="right" w:pos="7880"/>
                <w:tab w:val="right" w:pos="9680"/>
              </w:tabs>
              <w:spacing w:line="240" w:lineRule="auto"/>
              <w:rPr>
                <w:rFonts w:ascii="Times New Roman" w:hAnsi="Times New Roman"/>
                <w:b/>
              </w:rPr>
            </w:pPr>
            <w:r w:rsidRPr="009C7122">
              <w:rPr>
                <w:rFonts w:ascii="Times New Roman" w:hAnsi="Times New Roman"/>
                <w:b/>
              </w:rPr>
              <w:t>PRINCIPIO IX: PROFUNDIZAR EL ALCANCE DEL CÓDIGO</w:t>
            </w:r>
          </w:p>
        </w:tc>
      </w:tr>
      <w:tr w:rsidR="009C7122" w:rsidRPr="00F423CC" w:rsidTr="003E047F">
        <w:trPr>
          <w:trHeight w:val="4130"/>
        </w:trPr>
        <w:tc>
          <w:tcPr>
            <w:tcW w:w="2997" w:type="dxa"/>
            <w:gridSpan w:val="2"/>
            <w:tcBorders>
              <w:top w:val="single" w:sz="4" w:space="0" w:color="auto"/>
              <w:left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ind w:firstLine="0"/>
              <w:rPr>
                <w:rFonts w:ascii="Times New Roman" w:hAnsi="Times New Roman"/>
              </w:rPr>
            </w:pPr>
            <w:r w:rsidRPr="009C7122">
              <w:rPr>
                <w:rFonts w:ascii="Times New Roman" w:hAnsi="Times New Roman"/>
              </w:rPr>
              <w:lastRenderedPageBreak/>
              <w:t>Recomendación IX: Fomentar la inclusión de las previsiones que hacen a las buenas prácticas de buen gobierno en el Estatuto Social.</w:t>
            </w:r>
          </w:p>
          <w:p w:rsidR="009C7122" w:rsidRPr="009C7122" w:rsidRDefault="009C7122" w:rsidP="009C7122">
            <w:pPr>
              <w:tabs>
                <w:tab w:val="left" w:pos="1240"/>
                <w:tab w:val="right" w:pos="7880"/>
                <w:tab w:val="right" w:pos="9680"/>
              </w:tabs>
              <w:spacing w:line="240" w:lineRule="auto"/>
              <w:ind w:firstLine="0"/>
              <w:rPr>
                <w:rFonts w:ascii="Times New Roman" w:hAnsi="Times New Roman"/>
              </w:rPr>
            </w:pPr>
            <w:r w:rsidRPr="009C7122">
              <w:rPr>
                <w:rFonts w:ascii="Times New Roman" w:hAnsi="Times New Roman"/>
              </w:rPr>
              <w:t>El Órgano de Administración evalúa si las previsiones del Código de Gobierno Societario deben reflejarse, total o parcialmente, en el Estatuto Social, incluyendo las responsabilidades generales y específicas del Órgano de Administración. Indicar cuales previsiones están efectivamente incluidas en el Estatuto Social desde la vigencia del Código hasta el presente.</w:t>
            </w:r>
          </w:p>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928" w:type="dxa"/>
            <w:gridSpan w:val="2"/>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rPr>
                <w:rFonts w:ascii="Times New Roman" w:hAnsi="Times New Roman"/>
              </w:rPr>
            </w:pPr>
          </w:p>
        </w:tc>
        <w:tc>
          <w:tcPr>
            <w:tcW w:w="81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1084" w:type="dxa"/>
            <w:tcBorders>
              <w:top w:val="single" w:sz="4" w:space="0" w:color="auto"/>
              <w:bottom w:val="single" w:sz="4" w:space="0" w:color="auto"/>
            </w:tcBorders>
          </w:tcPr>
          <w:p w:rsidR="009C7122" w:rsidRPr="009C7122" w:rsidRDefault="009C7122" w:rsidP="009C7122">
            <w:pPr>
              <w:tabs>
                <w:tab w:val="left" w:pos="1240"/>
                <w:tab w:val="right" w:pos="7880"/>
                <w:tab w:val="right" w:pos="9680"/>
              </w:tabs>
              <w:spacing w:line="240" w:lineRule="auto"/>
              <w:jc w:val="center"/>
              <w:rPr>
                <w:rFonts w:ascii="Times New Roman" w:hAnsi="Times New Roman"/>
              </w:rPr>
            </w:pPr>
          </w:p>
        </w:tc>
        <w:tc>
          <w:tcPr>
            <w:tcW w:w="3924" w:type="dxa"/>
            <w:tcBorders>
              <w:top w:val="single" w:sz="4" w:space="0" w:color="auto"/>
              <w:bottom w:val="single" w:sz="4" w:space="0" w:color="auto"/>
              <w:right w:val="single" w:sz="4" w:space="0" w:color="auto"/>
            </w:tcBorders>
          </w:tcPr>
          <w:p w:rsidR="009C7122" w:rsidRPr="009C7122" w:rsidRDefault="009C7122" w:rsidP="009C7122">
            <w:pPr>
              <w:tabs>
                <w:tab w:val="left" w:pos="1240"/>
                <w:tab w:val="right" w:pos="7880"/>
                <w:tab w:val="right" w:pos="9680"/>
              </w:tabs>
              <w:spacing w:line="240" w:lineRule="auto"/>
              <w:ind w:firstLine="0"/>
              <w:rPr>
                <w:rFonts w:ascii="Times New Roman" w:hAnsi="Times New Roman"/>
              </w:rPr>
            </w:pPr>
            <w:r w:rsidRPr="009C7122">
              <w:rPr>
                <w:rFonts w:ascii="Times New Roman" w:hAnsi="Times New Roman"/>
              </w:rPr>
              <w:t xml:space="preserve">La necesidad de incluir ciertos lineamientos de Gobierno Societario en los estatutos sociales puede entenderse en el marco de legislaciones que no son tan estrictas como la que aplica a la Sociedad. En nuestro país la Ley General de Sociedades, la Ley de Mercados de Capitales, las normas de la Comisión Nacional de Valores y las demás disposiciones legales aplicables, proveen un marco regulatorio sumamente completo que torna innecesaria la incorporación al estatuto de las previsiones del Código de Gobierno Societario.   </w:t>
            </w:r>
          </w:p>
        </w:tc>
      </w:tr>
    </w:tbl>
    <w:p w:rsidR="009C7122" w:rsidRPr="005136DC" w:rsidRDefault="009C7122" w:rsidP="009C7122">
      <w:pPr>
        <w:pStyle w:val="Textoindependiente"/>
        <w:jc w:val="both"/>
        <w:rPr>
          <w:color w:val="auto"/>
          <w:sz w:val="22"/>
          <w:szCs w:val="22"/>
        </w:rPr>
      </w:pPr>
    </w:p>
    <w:p w:rsidR="009C7122" w:rsidRPr="009C7122" w:rsidRDefault="009C7122" w:rsidP="009C7122">
      <w:pPr>
        <w:pStyle w:val="Textoindependiente"/>
        <w:rPr>
          <w:sz w:val="22"/>
          <w:szCs w:val="22"/>
        </w:rPr>
      </w:pPr>
      <w:r w:rsidRPr="009C7122">
        <w:rPr>
          <w:sz w:val="22"/>
          <w:szCs w:val="22"/>
        </w:rPr>
        <w:t xml:space="preserve">A continuación, el Sr. </w:t>
      </w:r>
      <w:proofErr w:type="gramStart"/>
      <w:r w:rsidRPr="009C7122">
        <w:rPr>
          <w:sz w:val="22"/>
          <w:szCs w:val="22"/>
        </w:rPr>
        <w:t>Presidente</w:t>
      </w:r>
      <w:proofErr w:type="gramEnd"/>
      <w:r w:rsidRPr="009C7122">
        <w:rPr>
          <w:sz w:val="22"/>
          <w:szCs w:val="22"/>
        </w:rPr>
        <w:t xml:space="preserve"> cede el uso de la palabra al Sr. Gabriel Orden, quien da lectura al informe de la Comisión Fiscalizadora cuyo texto se transcribe a continuación:</w:t>
      </w:r>
    </w:p>
    <w:p w:rsidR="009C7122" w:rsidRPr="009C7122" w:rsidRDefault="009C7122" w:rsidP="009C7122">
      <w:pPr>
        <w:pStyle w:val="Textoinfaud"/>
        <w:spacing w:line="240" w:lineRule="auto"/>
        <w:outlineLvl w:val="0"/>
        <w:rPr>
          <w:rFonts w:ascii="Times New Roman" w:eastAsia="Times New Roman" w:hAnsi="Times New Roman"/>
          <w:sz w:val="22"/>
          <w:szCs w:val="22"/>
          <w:lang w:val="es-ES_tradnl" w:eastAsia="es-ES"/>
        </w:rPr>
      </w:pPr>
    </w:p>
    <w:p w:rsidR="009C7122" w:rsidRPr="009C7122" w:rsidRDefault="009C7122" w:rsidP="009C7122">
      <w:pPr>
        <w:spacing w:before="20" w:after="220" w:line="240" w:lineRule="auto"/>
        <w:ind w:firstLine="0"/>
        <w:rPr>
          <w:rFonts w:ascii="Times New Roman" w:hAnsi="Times New Roman"/>
          <w:b/>
          <w:lang w:val="es-AR"/>
        </w:rPr>
      </w:pPr>
      <w:r w:rsidRPr="009C7122">
        <w:rPr>
          <w:rFonts w:ascii="Times New Roman" w:hAnsi="Times New Roman"/>
          <w:b/>
        </w:rPr>
        <w:t>INFORME DE</w:t>
      </w:r>
      <w:r w:rsidRPr="009C7122">
        <w:rPr>
          <w:rFonts w:ascii="Times New Roman" w:hAnsi="Times New Roman"/>
          <w:b/>
          <w:lang w:val="es-AR"/>
        </w:rPr>
        <w:t xml:space="preserve"> LA COMISIÓN FISCALIZADORA SOBRE ESTADOS FINANCIEROS</w:t>
      </w:r>
    </w:p>
    <w:p w:rsidR="009C7122" w:rsidRPr="009C7122" w:rsidRDefault="009C7122" w:rsidP="009C7122">
      <w:pPr>
        <w:pStyle w:val="Textoindependiente"/>
        <w:keepNext/>
        <w:spacing w:before="20" w:after="220"/>
        <w:contextualSpacing/>
        <w:rPr>
          <w:b/>
          <w:sz w:val="22"/>
          <w:szCs w:val="22"/>
          <w:lang w:val="es-AR"/>
        </w:rPr>
      </w:pPr>
      <w:r w:rsidRPr="009C7122">
        <w:rPr>
          <w:sz w:val="22"/>
          <w:szCs w:val="22"/>
          <w:lang w:val="es-AR"/>
        </w:rPr>
        <w:t>A los señores Accionistas de</w:t>
      </w:r>
      <w:r w:rsidRPr="009C7122">
        <w:rPr>
          <w:sz w:val="22"/>
          <w:szCs w:val="22"/>
          <w:lang w:val="es-AR"/>
        </w:rPr>
        <w:br/>
      </w:r>
      <w:r w:rsidRPr="009C7122">
        <w:rPr>
          <w:b/>
          <w:sz w:val="22"/>
          <w:szCs w:val="22"/>
          <w:lang w:val="es-AR"/>
        </w:rPr>
        <w:t>Crédito Directo S.A.</w:t>
      </w:r>
      <w:r w:rsidRPr="009C7122">
        <w:rPr>
          <w:b/>
          <w:sz w:val="22"/>
          <w:szCs w:val="22"/>
          <w:lang w:val="es-AR"/>
        </w:rPr>
        <w:br/>
      </w:r>
      <w:r w:rsidRPr="009C7122">
        <w:rPr>
          <w:sz w:val="22"/>
          <w:szCs w:val="22"/>
          <w:lang w:val="es-AR"/>
        </w:rPr>
        <w:t>Av. Corrientes 1174 Piso 7</w:t>
      </w:r>
      <w:r w:rsidRPr="009C7122">
        <w:rPr>
          <w:sz w:val="22"/>
          <w:szCs w:val="22"/>
          <w:lang w:val="es-AR"/>
        </w:rPr>
        <w:br/>
        <w:t>Ciudad Autónoma de Buenos Aires</w:t>
      </w:r>
    </w:p>
    <w:p w:rsidR="009C7122" w:rsidRDefault="009C7122" w:rsidP="009C7122">
      <w:pPr>
        <w:spacing w:before="20" w:after="220" w:line="240" w:lineRule="auto"/>
        <w:ind w:firstLine="0"/>
        <w:contextualSpacing/>
        <w:rPr>
          <w:rFonts w:ascii="Times New Roman" w:hAnsi="Times New Roman"/>
        </w:rPr>
      </w:pPr>
      <w:r w:rsidRPr="009C7122">
        <w:rPr>
          <w:rFonts w:ascii="Times New Roman" w:hAnsi="Times New Roman"/>
        </w:rPr>
        <w:t xml:space="preserve">Hemos efectuado una revisión de los estados financieros de Crédito Directo S.A. (“la Sociedad”) que se adjuntan, los que comprenden el estado de situación financiera al 31 de diciembre de 2018, los estados de resultados integral, de cambios en el patrimonio y de flujo de efectivo por el ejercicio finalizado en esa </w:t>
      </w:r>
      <w:proofErr w:type="gramStart"/>
      <w:r w:rsidRPr="009C7122">
        <w:rPr>
          <w:rFonts w:ascii="Times New Roman" w:hAnsi="Times New Roman"/>
        </w:rPr>
        <w:t>fecha,  y</w:t>
      </w:r>
      <w:proofErr w:type="gramEnd"/>
      <w:r w:rsidRPr="009C7122">
        <w:rPr>
          <w:rFonts w:ascii="Times New Roman" w:hAnsi="Times New Roman"/>
        </w:rPr>
        <w:t xml:space="preserve"> un resumen de las políticas contables significativas y otras notas y anexos explicativos. </w:t>
      </w:r>
    </w:p>
    <w:p w:rsidR="009C7122" w:rsidRPr="009C7122" w:rsidRDefault="009C7122" w:rsidP="009C7122">
      <w:pPr>
        <w:spacing w:before="20" w:after="220" w:line="240" w:lineRule="auto"/>
        <w:ind w:firstLine="0"/>
        <w:contextualSpacing/>
        <w:rPr>
          <w:rFonts w:ascii="Times New Roman" w:hAnsi="Times New Roman"/>
        </w:rPr>
      </w:pPr>
    </w:p>
    <w:p w:rsidR="009C7122" w:rsidRPr="009C7122" w:rsidRDefault="009C7122" w:rsidP="009C7122">
      <w:pPr>
        <w:spacing w:before="20" w:after="220" w:line="240" w:lineRule="auto"/>
        <w:ind w:firstLine="0"/>
        <w:contextualSpacing/>
        <w:rPr>
          <w:rFonts w:ascii="Times New Roman" w:hAnsi="Times New Roman"/>
        </w:rPr>
      </w:pPr>
      <w:r w:rsidRPr="009C7122">
        <w:rPr>
          <w:rFonts w:ascii="Times New Roman" w:hAnsi="Times New Roman"/>
        </w:rPr>
        <w:t xml:space="preserve">Las cifras y otra información, </w:t>
      </w:r>
      <w:proofErr w:type="spellStart"/>
      <w:r w:rsidRPr="009C7122">
        <w:rPr>
          <w:rFonts w:ascii="Times New Roman" w:hAnsi="Times New Roman"/>
        </w:rPr>
        <w:t>reexpresadas</w:t>
      </w:r>
      <w:proofErr w:type="spellEnd"/>
      <w:r w:rsidRPr="009C7122">
        <w:rPr>
          <w:rFonts w:ascii="Times New Roman" w:hAnsi="Times New Roman"/>
        </w:rPr>
        <w:t xml:space="preserve"> según lo expuesto en Nota 2.2, correspondientes al ejercicio finalizado el 31 de diciembre de 2017, son parte integrante de los estados financieros mencionados precedentemente y se las presenta con el propósito de que se interpreten exclusivamente en relación con las cifras y otra información del ejercicio actual.</w:t>
      </w:r>
    </w:p>
    <w:p w:rsidR="009C7122" w:rsidRPr="009C7122" w:rsidRDefault="009C7122" w:rsidP="009C7122">
      <w:pPr>
        <w:spacing w:before="20" w:after="220" w:line="240" w:lineRule="auto"/>
        <w:contextualSpacing/>
        <w:rPr>
          <w:rFonts w:ascii="Times New Roman" w:hAnsi="Times New Roman"/>
          <w:i/>
          <w:lang w:val="es-AR"/>
        </w:rPr>
      </w:pPr>
    </w:p>
    <w:p w:rsidR="009C7122" w:rsidRPr="009C7122" w:rsidRDefault="009C7122" w:rsidP="009C7122">
      <w:pPr>
        <w:spacing w:before="20" w:after="220" w:line="240" w:lineRule="auto"/>
        <w:contextualSpacing/>
        <w:rPr>
          <w:rFonts w:ascii="Times New Roman" w:hAnsi="Times New Roman"/>
        </w:rPr>
      </w:pPr>
      <w:r w:rsidRPr="009C7122">
        <w:rPr>
          <w:rFonts w:ascii="Times New Roman" w:hAnsi="Times New Roman"/>
          <w:i/>
          <w:lang w:val="es-AR"/>
        </w:rPr>
        <w:t>Responsabilidad de la Dirección sobre los estados financieros</w:t>
      </w:r>
    </w:p>
    <w:p w:rsidR="009C7122" w:rsidRPr="009C7122" w:rsidRDefault="009C7122" w:rsidP="009C7122">
      <w:pPr>
        <w:spacing w:before="20" w:after="220" w:line="240" w:lineRule="auto"/>
        <w:contextualSpacing/>
        <w:rPr>
          <w:rFonts w:ascii="Times New Roman" w:hAnsi="Times New Roman"/>
        </w:rPr>
      </w:pPr>
    </w:p>
    <w:p w:rsidR="009C7122" w:rsidRPr="009C7122" w:rsidRDefault="009C7122" w:rsidP="009C7122">
      <w:pPr>
        <w:spacing w:before="20" w:after="220" w:line="240" w:lineRule="auto"/>
        <w:contextualSpacing/>
        <w:rPr>
          <w:rFonts w:ascii="Times New Roman" w:hAnsi="Times New Roman"/>
        </w:rPr>
      </w:pPr>
      <w:r w:rsidRPr="009C7122">
        <w:rPr>
          <w:rFonts w:ascii="Times New Roman" w:hAnsi="Times New Roman"/>
        </w:rPr>
        <w:t>La Dirección es responsable por la preparación y adecuada presentación de los estados financieros  adjuntos de conformidad con las Normas Internacionales de Información Financiera (“NIIF”), adoptadas por la Federación Argentina de Consejos Profesionales de Ciencias Económicas (“FACPCE”) como normas contables profesionales e incorporadas por la Comisión Nacional de Valores (“CNV”) a su normativa tal como fueron aprobadas por el Consejo de Normas Internacionales de Contabilidad (“IASB”, por su sigla en inglés).  Esta responsabilidad incluye el diseño, implementación y mantenimiento de un control interno que la Dirección considere necesario de manera que los estados financieros no contengan distorsiones significativas debido a errores o fraude.</w:t>
      </w:r>
    </w:p>
    <w:p w:rsidR="009C7122" w:rsidRPr="009C7122" w:rsidRDefault="009C7122" w:rsidP="009C7122">
      <w:pPr>
        <w:pStyle w:val="Textoindependiente"/>
        <w:keepNext/>
        <w:spacing w:before="20" w:after="220"/>
        <w:rPr>
          <w:i/>
          <w:sz w:val="22"/>
          <w:szCs w:val="22"/>
          <w:lang w:val="es-AR"/>
        </w:rPr>
      </w:pPr>
      <w:r w:rsidRPr="009C7122">
        <w:rPr>
          <w:i/>
          <w:sz w:val="22"/>
          <w:szCs w:val="22"/>
          <w:lang w:val="es-AR"/>
        </w:rPr>
        <w:t>Responsabilidad de la Comisión Fiscalizadora</w:t>
      </w:r>
    </w:p>
    <w:p w:rsidR="009C7122" w:rsidRPr="009C7122" w:rsidRDefault="009C7122" w:rsidP="009C7122">
      <w:pPr>
        <w:spacing w:before="20" w:after="220" w:line="240" w:lineRule="auto"/>
        <w:contextualSpacing/>
        <w:rPr>
          <w:rFonts w:ascii="Times New Roman" w:hAnsi="Times New Roman"/>
        </w:rPr>
      </w:pPr>
      <w:r w:rsidRPr="009C7122">
        <w:rPr>
          <w:rFonts w:ascii="Times New Roman" w:hAnsi="Times New Roman"/>
        </w:rPr>
        <w:t xml:space="preserve">Nuestra responsabilidad consiste en emitir una opinión sobre los estados financieros adjuntos sobre la base de nuestra revisión. Nuestro trabajo fue realizado de acuerdo con las normas de sindicatura vigentes. Dichas normas requieren que la revisión de los documentos antes citados se efectúe de acuerdo con las normas de auditoría vigentes. No hemos efectuado ningún control de gestión y, por lo tanto, no hemos evaluado los criterios y decisiones empresarias de administración, financiación y, comercialización, dado que estas cuestiones son de responsabilidad exclusiva del Directorio. Para realizar nuestra tarea profesional sobre los documentos citados en el primer párrafo, hemos revisado el trabajo efectuado por la firma KPMG, en su carácter de auditores externos, quienes emitieron su informe con fecha 11 de marzo de 2019, de acuerdo con las Normas Internacionales de Auditoría (“NIA”) emitidas por el Consejo de Normas Internacionales de Auditoría y Aseguramiento (“IAASB” por su sigla en inglés) adoptadas por la Resolución Técnica Nº 32 de la FACPCE.  Las NIA exigen que cumplamos con los requerimientos de ética, y que planifiquemos y ejecutemos la </w:t>
      </w:r>
      <w:r w:rsidRPr="009C7122">
        <w:rPr>
          <w:rFonts w:ascii="Times New Roman" w:hAnsi="Times New Roman"/>
        </w:rPr>
        <w:lastRenderedPageBreak/>
        <w:t xml:space="preserve">auditoría para obtener una seguridad razonable de que los estados financieros no contienen errores significativos. Una auditoría implica realizar procedimientos sobre bases selectivas para obtener elementos de juicio sobre las cifras y aseveraciones expuestas en los estados financieros. Los procedimientos seleccionados dependen de nuestro juicio profesional, incluyendo la evaluación del riesgo de que los estados financieros contengan distorsiones significativas debidas a errores o fraude. Al realizar esta evaluación del riesgo, consideramos el control interno existente en la Sociedad relativo a la preparación y presentación de los estados financieros con la finalidad de diseñar los procedimientos de auditoría apropiados en las circunstancias, pero no con el propósito de expresar una opinión sobre la efectividad del control interno de la Sociedad. Como parte de la auditoría se evalúan asimismo las políticas contables utilizadas, las estimaciones significativas hechas por la Dirección y la presentación de los estados financieros en su conjunto. </w:t>
      </w:r>
    </w:p>
    <w:p w:rsidR="009C7122" w:rsidRPr="009C7122" w:rsidRDefault="009C7122" w:rsidP="009C7122">
      <w:pPr>
        <w:spacing w:before="20" w:after="220" w:line="240" w:lineRule="auto"/>
        <w:contextualSpacing/>
        <w:rPr>
          <w:rFonts w:ascii="Times New Roman" w:hAnsi="Times New Roman"/>
        </w:rPr>
      </w:pPr>
      <w:r w:rsidRPr="009C7122">
        <w:rPr>
          <w:rFonts w:ascii="Times New Roman" w:hAnsi="Times New Roman"/>
        </w:rPr>
        <w:t>Consideramos que la evidencia de auditoría que hemos obtenido es suficiente y apropiada para sustentar nuestra opinión profesional.</w:t>
      </w:r>
    </w:p>
    <w:p w:rsidR="009C7122" w:rsidRPr="009C7122" w:rsidRDefault="009C7122" w:rsidP="009C7122">
      <w:pPr>
        <w:spacing w:before="20" w:after="220" w:line="240" w:lineRule="auto"/>
        <w:contextualSpacing/>
        <w:rPr>
          <w:rFonts w:ascii="Times New Roman" w:hAnsi="Times New Roman"/>
        </w:rPr>
      </w:pPr>
    </w:p>
    <w:p w:rsidR="009C7122" w:rsidRPr="009C7122" w:rsidRDefault="009C7122" w:rsidP="009C7122">
      <w:pPr>
        <w:spacing w:before="20" w:after="220" w:line="240" w:lineRule="auto"/>
        <w:rPr>
          <w:rFonts w:ascii="Times New Roman" w:hAnsi="Times New Roman"/>
          <w:i/>
        </w:rPr>
      </w:pPr>
      <w:r w:rsidRPr="009C7122">
        <w:rPr>
          <w:rFonts w:ascii="Times New Roman" w:hAnsi="Times New Roman"/>
          <w:i/>
        </w:rPr>
        <w:t>Opinión</w:t>
      </w:r>
    </w:p>
    <w:p w:rsidR="009C7122" w:rsidRPr="009C7122" w:rsidRDefault="009C7122" w:rsidP="009C7122">
      <w:pPr>
        <w:pStyle w:val="Textoindependiente"/>
        <w:spacing w:before="20" w:after="220"/>
        <w:jc w:val="both"/>
        <w:rPr>
          <w:sz w:val="22"/>
          <w:szCs w:val="22"/>
        </w:rPr>
      </w:pPr>
      <w:r w:rsidRPr="009C7122">
        <w:rPr>
          <w:sz w:val="22"/>
          <w:szCs w:val="22"/>
        </w:rPr>
        <w:t xml:space="preserve">Como resultado de nuestra revisión, y basados en el informe de fecha 11 de marzo de 2019 que emitió el Dr. Mauricio G. </w:t>
      </w:r>
      <w:proofErr w:type="spellStart"/>
      <w:r w:rsidRPr="009C7122">
        <w:rPr>
          <w:sz w:val="22"/>
          <w:szCs w:val="22"/>
        </w:rPr>
        <w:t>Eidelstein</w:t>
      </w:r>
      <w:proofErr w:type="spellEnd"/>
      <w:r w:rsidRPr="009C7122">
        <w:rPr>
          <w:sz w:val="22"/>
          <w:szCs w:val="22"/>
        </w:rPr>
        <w:t xml:space="preserve"> (Socio de KPMG), los estados financieros adjuntos presentan razonablemente, en todos sus aspectos significativos, la situación financiera de la Sociedad al 31 de diciembre de 2018, los resultados de sus operaciones y el flujo de efectivo por el ejercicio finalizado en esa fecha, de acuerdo con las Normas Internacionales de Información Financiera. </w:t>
      </w:r>
    </w:p>
    <w:p w:rsidR="009C7122" w:rsidRPr="009C7122" w:rsidRDefault="009C7122" w:rsidP="009C7122">
      <w:pPr>
        <w:keepNext/>
        <w:spacing w:before="20" w:after="220" w:line="240" w:lineRule="auto"/>
        <w:rPr>
          <w:rFonts w:ascii="Times New Roman" w:hAnsi="Times New Roman"/>
          <w:i/>
        </w:rPr>
      </w:pPr>
      <w:r w:rsidRPr="009C7122">
        <w:rPr>
          <w:rFonts w:ascii="Times New Roman" w:hAnsi="Times New Roman"/>
          <w:i/>
        </w:rPr>
        <w:t>Información sobre otros requerimientos legales y reglamentarios</w:t>
      </w:r>
    </w:p>
    <w:p w:rsidR="009C7122" w:rsidRPr="009C7122" w:rsidRDefault="009C7122" w:rsidP="009C7122">
      <w:pPr>
        <w:keepNext/>
        <w:spacing w:before="20" w:after="220" w:line="240" w:lineRule="auto"/>
        <w:rPr>
          <w:rFonts w:ascii="Times New Roman" w:hAnsi="Times New Roman"/>
          <w:lang w:val="es-AR"/>
        </w:rPr>
      </w:pPr>
      <w:r w:rsidRPr="009C7122">
        <w:rPr>
          <w:rFonts w:ascii="Times New Roman" w:hAnsi="Times New Roman"/>
          <w:lang w:val="es-AR"/>
        </w:rPr>
        <w:t>En cumplimiento de disposiciones vigentes, informamos que:</w:t>
      </w:r>
    </w:p>
    <w:p w:rsidR="009C7122" w:rsidRPr="009C7122" w:rsidRDefault="009C7122" w:rsidP="009C7122">
      <w:pPr>
        <w:pStyle w:val="Textoindependiente"/>
        <w:widowControl/>
        <w:numPr>
          <w:ilvl w:val="6"/>
          <w:numId w:val="6"/>
        </w:numPr>
        <w:tabs>
          <w:tab w:val="clear" w:pos="5220"/>
        </w:tabs>
        <w:spacing w:before="20" w:after="220"/>
        <w:ind w:left="426" w:hanging="426"/>
        <w:jc w:val="both"/>
        <w:rPr>
          <w:sz w:val="22"/>
          <w:szCs w:val="22"/>
        </w:rPr>
      </w:pPr>
      <w:r w:rsidRPr="009C7122">
        <w:rPr>
          <w:sz w:val="22"/>
          <w:szCs w:val="22"/>
          <w:lang w:val="es-AR"/>
        </w:rPr>
        <w:t>L</w:t>
      </w:r>
      <w:r w:rsidRPr="009C7122">
        <w:rPr>
          <w:sz w:val="22"/>
          <w:szCs w:val="22"/>
        </w:rPr>
        <w:t xml:space="preserve">os estados financieros adjuntos se encuentran asentados en el libro Inventario y Balances, y surgen de los registros contables de la Sociedad llevados, en sus aspectos formales, de conformidad con las disposiciones legales vigentes. </w:t>
      </w:r>
    </w:p>
    <w:p w:rsidR="009C7122" w:rsidRPr="009C7122" w:rsidRDefault="009C7122" w:rsidP="009C7122">
      <w:pPr>
        <w:pStyle w:val="Textoindependiente"/>
        <w:widowControl/>
        <w:numPr>
          <w:ilvl w:val="6"/>
          <w:numId w:val="6"/>
        </w:numPr>
        <w:tabs>
          <w:tab w:val="clear" w:pos="5220"/>
        </w:tabs>
        <w:spacing w:before="20" w:after="220"/>
        <w:ind w:left="426" w:hanging="426"/>
        <w:jc w:val="both"/>
        <w:rPr>
          <w:sz w:val="22"/>
          <w:szCs w:val="22"/>
        </w:rPr>
      </w:pPr>
      <w:r w:rsidRPr="009C7122">
        <w:rPr>
          <w:sz w:val="22"/>
          <w:szCs w:val="22"/>
        </w:rPr>
        <w:t>Hemos leído la reseña informativa, sobre la cual, en lo que es materia de nuestra competencia, no tenemos observaciones que formular.</w:t>
      </w:r>
    </w:p>
    <w:p w:rsidR="009C7122" w:rsidRPr="009C7122" w:rsidRDefault="009C7122" w:rsidP="009C7122">
      <w:pPr>
        <w:pStyle w:val="Textoindependiente"/>
        <w:widowControl/>
        <w:numPr>
          <w:ilvl w:val="6"/>
          <w:numId w:val="6"/>
        </w:numPr>
        <w:tabs>
          <w:tab w:val="clear" w:pos="5220"/>
        </w:tabs>
        <w:spacing w:before="20" w:after="220"/>
        <w:ind w:left="426" w:hanging="426"/>
        <w:jc w:val="both"/>
        <w:rPr>
          <w:sz w:val="22"/>
          <w:szCs w:val="22"/>
          <w:lang w:val="es-AR"/>
        </w:rPr>
      </w:pPr>
      <w:r w:rsidRPr="009C7122">
        <w:rPr>
          <w:sz w:val="22"/>
          <w:szCs w:val="22"/>
          <w:lang w:val="es-AR"/>
        </w:rPr>
        <w:t>En ejercicio del control de legalidad que nos compete, hemos aplicado durante el ejercicio finalizado el 31 de diciembre de 2018 los restantes procedimientos descriptos en el artículo N°294 de la Ley N°19550, que consideramos necesarios de acuerdo con las circunstancias, no teniendo observaciones que formular al respecto.</w:t>
      </w:r>
    </w:p>
    <w:p w:rsidR="009C7122" w:rsidRPr="009C7122" w:rsidRDefault="009C7122" w:rsidP="009C7122">
      <w:pPr>
        <w:pStyle w:val="Textoindependiente"/>
        <w:widowControl/>
        <w:numPr>
          <w:ilvl w:val="6"/>
          <w:numId w:val="6"/>
        </w:numPr>
        <w:tabs>
          <w:tab w:val="clear" w:pos="5220"/>
        </w:tabs>
        <w:spacing w:before="20" w:after="220"/>
        <w:ind w:left="426" w:hanging="426"/>
        <w:jc w:val="both"/>
        <w:rPr>
          <w:sz w:val="22"/>
          <w:szCs w:val="22"/>
          <w:lang w:val="es-AR"/>
        </w:rPr>
      </w:pPr>
      <w:r w:rsidRPr="009C7122">
        <w:rPr>
          <w:sz w:val="22"/>
          <w:szCs w:val="22"/>
          <w:lang w:val="es-AR"/>
        </w:rPr>
        <w:t>Hemos aplicado los procedimientos sobre prevención de lavado de activos de origen delictivo y financiación del terrorismo previsto en las correspondientes normas profesionales emitidas por el Consejo Profesional de Ciencias Económicas de la Ciudad Autónoma de Buenos Aires.</w:t>
      </w:r>
    </w:p>
    <w:p w:rsidR="009C7122" w:rsidRPr="009C7122" w:rsidRDefault="009C7122" w:rsidP="009C7122">
      <w:pPr>
        <w:pStyle w:val="Textoindependiente"/>
        <w:widowControl/>
        <w:numPr>
          <w:ilvl w:val="6"/>
          <w:numId w:val="6"/>
        </w:numPr>
        <w:tabs>
          <w:tab w:val="clear" w:pos="5220"/>
        </w:tabs>
        <w:spacing w:before="20" w:after="220"/>
        <w:ind w:left="425" w:hanging="426"/>
        <w:contextualSpacing/>
        <w:jc w:val="both"/>
        <w:rPr>
          <w:sz w:val="22"/>
          <w:szCs w:val="22"/>
          <w:lang w:val="es-AR"/>
        </w:rPr>
      </w:pPr>
      <w:r w:rsidRPr="009C7122">
        <w:rPr>
          <w:sz w:val="22"/>
          <w:szCs w:val="22"/>
          <w:lang w:val="es-AR"/>
        </w:rPr>
        <w:t>En relación con la Memoria del Directorio, no tenemos observaciones que formular en materia de nuestra competencia, siendo las afirmaciones sobre hechos futuros responsabilidad exclusiva del Directorio de la Sociedad.</w:t>
      </w:r>
    </w:p>
    <w:p w:rsidR="009C7122" w:rsidRPr="009C7122" w:rsidRDefault="009C7122" w:rsidP="009C7122">
      <w:pPr>
        <w:pStyle w:val="Textoindependiente"/>
        <w:spacing w:before="20" w:after="220"/>
        <w:ind w:left="425"/>
        <w:contextualSpacing/>
        <w:jc w:val="both"/>
        <w:rPr>
          <w:sz w:val="22"/>
          <w:szCs w:val="22"/>
          <w:lang w:val="es-AR"/>
        </w:rPr>
      </w:pPr>
    </w:p>
    <w:p w:rsidR="009C7122" w:rsidRPr="009C7122" w:rsidRDefault="009C7122" w:rsidP="009C7122">
      <w:pPr>
        <w:pStyle w:val="Textoindependiente"/>
        <w:widowControl/>
        <w:numPr>
          <w:ilvl w:val="6"/>
          <w:numId w:val="6"/>
        </w:numPr>
        <w:tabs>
          <w:tab w:val="clear" w:pos="5220"/>
        </w:tabs>
        <w:spacing w:before="20" w:after="220"/>
        <w:ind w:left="426" w:hanging="426"/>
        <w:jc w:val="both"/>
        <w:rPr>
          <w:sz w:val="22"/>
          <w:szCs w:val="22"/>
        </w:rPr>
      </w:pPr>
      <w:r w:rsidRPr="009C7122">
        <w:rPr>
          <w:sz w:val="22"/>
          <w:szCs w:val="22"/>
          <w:lang w:val="es-AR"/>
        </w:rPr>
        <w:t xml:space="preserve">Hemos revisado la situación de cumplimiento de las garantías de los directores </w:t>
      </w:r>
      <w:proofErr w:type="gramStart"/>
      <w:r w:rsidRPr="009C7122">
        <w:rPr>
          <w:sz w:val="22"/>
          <w:szCs w:val="22"/>
          <w:lang w:val="es-AR"/>
        </w:rPr>
        <w:t>de acuerdo a</w:t>
      </w:r>
      <w:proofErr w:type="gramEnd"/>
      <w:r w:rsidRPr="009C7122">
        <w:rPr>
          <w:sz w:val="22"/>
          <w:szCs w:val="22"/>
          <w:lang w:val="es-AR"/>
        </w:rPr>
        <w:t xml:space="preserve"> las resoluciones vigentes de la Inspección General de Justicia y al respecto no tenemos observaciones que formular.</w:t>
      </w:r>
    </w:p>
    <w:p w:rsidR="009C7122" w:rsidRPr="009C7122" w:rsidRDefault="009C7122" w:rsidP="009C7122">
      <w:pPr>
        <w:pStyle w:val="Textoindependiente"/>
        <w:widowControl/>
        <w:numPr>
          <w:ilvl w:val="6"/>
          <w:numId w:val="6"/>
        </w:numPr>
        <w:tabs>
          <w:tab w:val="clear" w:pos="5220"/>
        </w:tabs>
        <w:spacing w:before="20" w:after="220"/>
        <w:ind w:left="426" w:hanging="426"/>
        <w:jc w:val="both"/>
        <w:rPr>
          <w:sz w:val="22"/>
          <w:szCs w:val="22"/>
          <w:lang w:val="es-AR"/>
        </w:rPr>
      </w:pPr>
      <w:r w:rsidRPr="009C7122">
        <w:rPr>
          <w:sz w:val="22"/>
          <w:szCs w:val="22"/>
          <w:lang w:val="es-AR"/>
        </w:rPr>
        <w:t>De acuerdo a lo requerido por las normas de la CNV, sobre la independencia del auditor externo y sobre la calidad de las políticas de auditoría aplicadas por el mismo y de las políticas de contabilización de la Sociedad, el informe del auditor externo descripto anteriormente, incluye la manifestación de haber aplicado las normas de auditoría vigentes en Argentina, que comprenden los requisitos de independencia, y no contienen salvedades en relación con la aplicación de dichas normas ni discrepancias con respecto a las normas contables profesionales aplicadas.</w:t>
      </w:r>
    </w:p>
    <w:p w:rsidR="009C7122" w:rsidRPr="009C7122" w:rsidRDefault="009C7122" w:rsidP="009C7122">
      <w:pPr>
        <w:pStyle w:val="Textoindependiente"/>
        <w:spacing w:before="20" w:after="220"/>
        <w:jc w:val="right"/>
        <w:rPr>
          <w:sz w:val="22"/>
          <w:szCs w:val="22"/>
        </w:rPr>
      </w:pPr>
      <w:r w:rsidRPr="009C7122">
        <w:rPr>
          <w:sz w:val="22"/>
          <w:szCs w:val="22"/>
        </w:rPr>
        <w:t>Ciudad Autónoma de Buenos Aires, 11 de marzo de 2019</w:t>
      </w:r>
    </w:p>
    <w:p w:rsidR="009C7122" w:rsidRPr="009C7122" w:rsidRDefault="009C7122" w:rsidP="009C7122">
      <w:pPr>
        <w:pStyle w:val="Piedepgina"/>
        <w:tabs>
          <w:tab w:val="center" w:pos="1843"/>
          <w:tab w:val="center" w:pos="6663"/>
        </w:tabs>
        <w:rPr>
          <w:sz w:val="22"/>
          <w:szCs w:val="22"/>
        </w:rPr>
      </w:pPr>
      <w:r w:rsidRPr="009C7122">
        <w:rPr>
          <w:sz w:val="22"/>
          <w:szCs w:val="22"/>
        </w:rPr>
        <w:tab/>
      </w:r>
      <w:r w:rsidRPr="009C7122">
        <w:rPr>
          <w:sz w:val="22"/>
          <w:szCs w:val="22"/>
        </w:rPr>
        <w:tab/>
      </w:r>
      <w:r w:rsidRPr="009C7122">
        <w:rPr>
          <w:sz w:val="22"/>
          <w:szCs w:val="22"/>
        </w:rPr>
        <w:tab/>
      </w:r>
    </w:p>
    <w:p w:rsidR="009C7122" w:rsidRPr="009C7122" w:rsidRDefault="009C7122" w:rsidP="009C7122">
      <w:pPr>
        <w:pStyle w:val="Piedepgina"/>
        <w:tabs>
          <w:tab w:val="center" w:pos="1843"/>
          <w:tab w:val="center" w:pos="6663"/>
        </w:tabs>
        <w:rPr>
          <w:sz w:val="22"/>
          <w:szCs w:val="22"/>
        </w:rPr>
      </w:pPr>
      <w:r w:rsidRPr="009C7122">
        <w:rPr>
          <w:sz w:val="22"/>
          <w:szCs w:val="22"/>
        </w:rPr>
        <w:tab/>
      </w:r>
      <w:r w:rsidRPr="009C7122">
        <w:rPr>
          <w:sz w:val="22"/>
          <w:szCs w:val="22"/>
        </w:rPr>
        <w:tab/>
        <w:t xml:space="preserve">                                                    </w:t>
      </w:r>
    </w:p>
    <w:p w:rsidR="009C7122" w:rsidRPr="009C7122" w:rsidRDefault="009C7122" w:rsidP="009C7122">
      <w:pPr>
        <w:pStyle w:val="Piedepgina"/>
        <w:tabs>
          <w:tab w:val="center" w:pos="1843"/>
          <w:tab w:val="center" w:pos="6663"/>
        </w:tabs>
        <w:contextualSpacing/>
        <w:rPr>
          <w:sz w:val="22"/>
          <w:szCs w:val="22"/>
        </w:rPr>
      </w:pPr>
      <w:r w:rsidRPr="009C7122">
        <w:rPr>
          <w:sz w:val="22"/>
          <w:szCs w:val="22"/>
        </w:rPr>
        <w:tab/>
      </w:r>
      <w:r w:rsidRPr="009C7122">
        <w:rPr>
          <w:sz w:val="22"/>
          <w:szCs w:val="22"/>
        </w:rPr>
        <w:tab/>
      </w:r>
      <w:r w:rsidRPr="009C7122">
        <w:rPr>
          <w:sz w:val="22"/>
          <w:szCs w:val="22"/>
        </w:rPr>
        <w:tab/>
        <w:t>Gabriel Orden</w:t>
      </w:r>
    </w:p>
    <w:p w:rsidR="009C7122" w:rsidRPr="009C7122" w:rsidRDefault="009C7122" w:rsidP="009C7122">
      <w:pPr>
        <w:pStyle w:val="Piedepgina"/>
        <w:tabs>
          <w:tab w:val="center" w:pos="1843"/>
          <w:tab w:val="center" w:pos="6663"/>
        </w:tabs>
        <w:contextualSpacing/>
      </w:pPr>
      <w:r w:rsidRPr="009C7122">
        <w:rPr>
          <w:sz w:val="22"/>
          <w:szCs w:val="22"/>
        </w:rPr>
        <w:tab/>
      </w:r>
      <w:r w:rsidRPr="009C7122">
        <w:rPr>
          <w:sz w:val="22"/>
          <w:szCs w:val="22"/>
        </w:rPr>
        <w:tab/>
        <w:t xml:space="preserve">                                                                 Por Comisión Fiscalizadora</w:t>
      </w:r>
    </w:p>
    <w:p w:rsidR="00A2679D" w:rsidRPr="009C7122" w:rsidRDefault="00A2679D" w:rsidP="009C7122">
      <w:pPr>
        <w:pStyle w:val="LibreTexto"/>
        <w:spacing w:after="0" w:line="240" w:lineRule="auto"/>
        <w:rPr>
          <w:rFonts w:ascii="Times New Roman" w:hAnsi="Times New Roman"/>
          <w:b/>
        </w:rPr>
      </w:pPr>
    </w:p>
    <w:p w:rsidR="00A2679D" w:rsidRPr="009C7122" w:rsidRDefault="00A2679D" w:rsidP="009C7122">
      <w:pPr>
        <w:pStyle w:val="Textoinfaud"/>
        <w:spacing w:line="240" w:lineRule="auto"/>
        <w:outlineLvl w:val="0"/>
        <w:rPr>
          <w:rFonts w:ascii="Times New Roman" w:hAnsi="Times New Roman"/>
          <w:snapToGrid w:val="0"/>
          <w:sz w:val="22"/>
          <w:szCs w:val="22"/>
          <w:lang w:eastAsia="es-ES"/>
        </w:rPr>
      </w:pPr>
      <w:r w:rsidRPr="009C7122">
        <w:rPr>
          <w:rFonts w:ascii="Times New Roman" w:hAnsi="Times New Roman"/>
          <w:snapToGrid w:val="0"/>
          <w:sz w:val="22"/>
          <w:szCs w:val="22"/>
          <w:lang w:eastAsia="es-ES"/>
        </w:rPr>
        <w:t xml:space="preserve">Seguidamente, se somete a consideración de los presentes el segundo y último punto del Orden del Día: </w:t>
      </w:r>
      <w:r w:rsidRPr="009C7122">
        <w:rPr>
          <w:rFonts w:ascii="Times New Roman" w:hAnsi="Times New Roman"/>
          <w:b/>
          <w:snapToGrid w:val="0"/>
          <w:sz w:val="22"/>
          <w:szCs w:val="22"/>
          <w:lang w:eastAsia="es-ES"/>
        </w:rPr>
        <w:t>2°) “</w:t>
      </w:r>
      <w:r w:rsidRPr="009C7122">
        <w:rPr>
          <w:rFonts w:ascii="Times New Roman" w:hAnsi="Times New Roman"/>
          <w:b/>
          <w:snapToGrid w:val="0"/>
          <w:sz w:val="22"/>
          <w:szCs w:val="22"/>
          <w:u w:val="single"/>
          <w:lang w:eastAsia="es-ES"/>
        </w:rPr>
        <w:t xml:space="preserve">Consideración de la postergación de la convocatoria a Asamblea General Ordinaria para la consideración por parte de los Accionistas de </w:t>
      </w:r>
      <w:smartTag w:uri="urn:schemas-microsoft-com:office:smarttags" w:element="PersonName">
        <w:smartTagPr>
          <w:attr w:name="ProductID" w:val="la Sociedad"/>
        </w:smartTagPr>
        <w:r w:rsidRPr="009C7122">
          <w:rPr>
            <w:rFonts w:ascii="Times New Roman" w:hAnsi="Times New Roman"/>
            <w:b/>
            <w:snapToGrid w:val="0"/>
            <w:sz w:val="22"/>
            <w:szCs w:val="22"/>
            <w:u w:val="single"/>
            <w:lang w:eastAsia="es-ES"/>
          </w:rPr>
          <w:t>la Sociedad</w:t>
        </w:r>
      </w:smartTag>
      <w:r w:rsidRPr="009C7122">
        <w:rPr>
          <w:rFonts w:ascii="Times New Roman" w:hAnsi="Times New Roman"/>
          <w:b/>
          <w:snapToGrid w:val="0"/>
          <w:sz w:val="22"/>
          <w:szCs w:val="22"/>
          <w:u w:val="single"/>
          <w:lang w:eastAsia="es-ES"/>
        </w:rPr>
        <w:t xml:space="preserve"> de la documentación contable correspondiente al ejercicio social finalizado el 31 de diciembre de 2018</w:t>
      </w:r>
      <w:r w:rsidRPr="009C7122">
        <w:rPr>
          <w:rFonts w:ascii="Times New Roman" w:hAnsi="Times New Roman"/>
          <w:b/>
          <w:snapToGrid w:val="0"/>
          <w:sz w:val="22"/>
          <w:szCs w:val="22"/>
          <w:lang w:eastAsia="es-ES"/>
        </w:rPr>
        <w:t>.”</w:t>
      </w:r>
      <w:r w:rsidRPr="009C7122">
        <w:rPr>
          <w:rFonts w:ascii="Times New Roman" w:hAnsi="Times New Roman"/>
          <w:snapToGrid w:val="0"/>
          <w:sz w:val="22"/>
          <w:szCs w:val="22"/>
          <w:lang w:eastAsia="es-ES"/>
        </w:rPr>
        <w:t xml:space="preserve"> Retoma la palabra el </w:t>
      </w:r>
      <w:r w:rsidRPr="009C7122">
        <w:rPr>
          <w:rFonts w:ascii="Times New Roman" w:hAnsi="Times New Roman"/>
          <w:snapToGrid w:val="0"/>
          <w:sz w:val="22"/>
          <w:szCs w:val="22"/>
          <w:lang w:eastAsia="es-ES"/>
        </w:rPr>
        <w:lastRenderedPageBreak/>
        <w:t xml:space="preserve">Sr. </w:t>
      </w:r>
      <w:proofErr w:type="gramStart"/>
      <w:r w:rsidRPr="009C7122">
        <w:rPr>
          <w:rFonts w:ascii="Times New Roman" w:hAnsi="Times New Roman"/>
          <w:snapToGrid w:val="0"/>
          <w:sz w:val="22"/>
          <w:szCs w:val="22"/>
          <w:lang w:eastAsia="es-ES"/>
        </w:rPr>
        <w:t>Presidente</w:t>
      </w:r>
      <w:proofErr w:type="gramEnd"/>
      <w:r w:rsidRPr="009C7122">
        <w:rPr>
          <w:rFonts w:ascii="Times New Roman" w:hAnsi="Times New Roman"/>
          <w:snapToGrid w:val="0"/>
          <w:sz w:val="22"/>
          <w:szCs w:val="22"/>
          <w:lang w:eastAsia="es-ES"/>
        </w:rPr>
        <w:t xml:space="preserve"> y mociona diferir la convocatoria a Asamblea General Ordinaria para la consideración por parte de los Accionistas de </w:t>
      </w:r>
      <w:smartTag w:uri="urn:schemas-microsoft-com:office:smarttags" w:element="PersonName">
        <w:smartTagPr>
          <w:attr w:name="ProductID" w:val="la Sociedad"/>
        </w:smartTagPr>
        <w:r w:rsidRPr="009C7122">
          <w:rPr>
            <w:rFonts w:ascii="Times New Roman" w:hAnsi="Times New Roman"/>
            <w:snapToGrid w:val="0"/>
            <w:sz w:val="22"/>
            <w:szCs w:val="22"/>
            <w:lang w:eastAsia="es-ES"/>
          </w:rPr>
          <w:t>la Sociedad</w:t>
        </w:r>
      </w:smartTag>
      <w:r w:rsidRPr="009C7122">
        <w:rPr>
          <w:rFonts w:ascii="Times New Roman" w:hAnsi="Times New Roman"/>
          <w:snapToGrid w:val="0"/>
          <w:sz w:val="22"/>
          <w:szCs w:val="22"/>
          <w:lang w:eastAsia="es-ES"/>
        </w:rPr>
        <w:t xml:space="preserve"> de la documentación contable correspondiente al ejercicio social finalizado el 31 de diciembre de 2018, la que será convocada dentro del plazo legal por el Directorio de la Sociedad. Luego de un breve intercambio de opiniones, los Sres. </w:t>
      </w:r>
      <w:proofErr w:type="gramStart"/>
      <w:r w:rsidRPr="009C7122">
        <w:rPr>
          <w:rFonts w:ascii="Times New Roman" w:hAnsi="Times New Roman"/>
          <w:snapToGrid w:val="0"/>
          <w:sz w:val="22"/>
          <w:szCs w:val="22"/>
          <w:lang w:eastAsia="es-ES"/>
        </w:rPr>
        <w:t>Directores</w:t>
      </w:r>
      <w:proofErr w:type="gramEnd"/>
      <w:r w:rsidRPr="009C7122">
        <w:rPr>
          <w:rFonts w:ascii="Times New Roman" w:hAnsi="Times New Roman"/>
          <w:snapToGrid w:val="0"/>
          <w:sz w:val="22"/>
          <w:szCs w:val="22"/>
          <w:lang w:eastAsia="es-ES"/>
        </w:rPr>
        <w:t xml:space="preserve"> resuelven por unanimidad de los presentes aprobar la moción efectuada por el Sr. Presidente. </w:t>
      </w:r>
      <w:bookmarkStart w:id="0" w:name="_GoBack"/>
      <w:bookmarkEnd w:id="0"/>
      <w:r w:rsidRPr="009C7122">
        <w:rPr>
          <w:rFonts w:ascii="Times New Roman" w:hAnsi="Times New Roman"/>
          <w:snapToGrid w:val="0"/>
          <w:sz w:val="22"/>
          <w:szCs w:val="22"/>
          <w:lang w:eastAsia="es-ES"/>
        </w:rPr>
        <w:t>No habiendo otros temas que tratar y habiéndose considerado todos los puntos para esta reunión, se levanta la sesión siendo las 1</w:t>
      </w:r>
      <w:r w:rsidR="005F4209">
        <w:rPr>
          <w:rFonts w:ascii="Times New Roman" w:hAnsi="Times New Roman"/>
          <w:snapToGrid w:val="0"/>
          <w:sz w:val="22"/>
          <w:szCs w:val="22"/>
          <w:lang w:eastAsia="es-ES"/>
        </w:rPr>
        <w:t>8</w:t>
      </w:r>
      <w:r w:rsidRPr="009C7122">
        <w:rPr>
          <w:rFonts w:ascii="Times New Roman" w:hAnsi="Times New Roman"/>
          <w:snapToGrid w:val="0"/>
          <w:sz w:val="22"/>
          <w:szCs w:val="22"/>
          <w:lang w:eastAsia="es-ES"/>
        </w:rPr>
        <w:t xml:space="preserve">:00 horas. </w:t>
      </w:r>
    </w:p>
    <w:p w:rsidR="00B77CBC" w:rsidRDefault="00B77CBC">
      <w:pPr>
        <w:rPr>
          <w:lang w:val="es-AR"/>
        </w:rPr>
      </w:pPr>
    </w:p>
    <w:p w:rsidR="00A2679D" w:rsidRDefault="00A2679D"/>
    <w:p w:rsidR="009C7122" w:rsidRDefault="009C7122"/>
    <w:p w:rsidR="00A2679D" w:rsidRDefault="00A2679D"/>
    <w:tbl>
      <w:tblPr>
        <w:tblpPr w:leftFromText="141" w:rightFromText="141" w:vertAnchor="text" w:horzAnchor="margin" w:tblpY="14"/>
        <w:tblW w:w="9001" w:type="dxa"/>
        <w:tblLayout w:type="fixed"/>
        <w:tblCellMar>
          <w:left w:w="70" w:type="dxa"/>
          <w:right w:w="70" w:type="dxa"/>
        </w:tblCellMar>
        <w:tblLook w:val="00A0" w:firstRow="1" w:lastRow="0" w:firstColumn="1" w:lastColumn="0" w:noHBand="0" w:noVBand="0"/>
      </w:tblPr>
      <w:tblGrid>
        <w:gridCol w:w="2604"/>
        <w:gridCol w:w="160"/>
        <w:gridCol w:w="2958"/>
        <w:gridCol w:w="160"/>
        <w:gridCol w:w="3119"/>
      </w:tblGrid>
      <w:tr w:rsidR="00A2679D" w:rsidRPr="00505FF9" w:rsidTr="002D45E4">
        <w:trPr>
          <w:trHeight w:val="317"/>
        </w:trPr>
        <w:tc>
          <w:tcPr>
            <w:tcW w:w="2604" w:type="dxa"/>
          </w:tcPr>
          <w:p w:rsidR="00A2679D" w:rsidRDefault="00A2679D" w:rsidP="002D45E4">
            <w:pPr>
              <w:pBdr>
                <w:top w:val="single" w:sz="4" w:space="1" w:color="auto"/>
              </w:pBdr>
              <w:spacing w:after="0" w:line="240" w:lineRule="auto"/>
              <w:ind w:firstLine="0"/>
              <w:jc w:val="center"/>
              <w:rPr>
                <w:rFonts w:ascii="Times New Roman" w:hAnsi="Times New Roman"/>
                <w:lang w:val="es-ES" w:eastAsia="es-ES"/>
              </w:rPr>
            </w:pPr>
            <w:r w:rsidRPr="00505FF9">
              <w:rPr>
                <w:rFonts w:ascii="Times New Roman" w:hAnsi="Times New Roman"/>
                <w:lang w:val="es-ES" w:eastAsia="es-ES"/>
              </w:rPr>
              <w:t>Roberto Domínguez</w:t>
            </w:r>
          </w:p>
          <w:p w:rsidR="00A2679D" w:rsidRPr="00505FF9" w:rsidRDefault="00A2679D" w:rsidP="002D45E4">
            <w:pPr>
              <w:spacing w:after="0" w:line="240" w:lineRule="auto"/>
              <w:ind w:firstLine="0"/>
              <w:jc w:val="center"/>
              <w:rPr>
                <w:rFonts w:ascii="Times New Roman" w:hAnsi="Times New Roman"/>
                <w:lang w:val="es-ES" w:eastAsia="es-ES"/>
              </w:rPr>
            </w:pPr>
            <w:r>
              <w:rPr>
                <w:rFonts w:ascii="Times New Roman" w:hAnsi="Times New Roman"/>
                <w:lang w:val="es-ES" w:eastAsia="es-ES"/>
              </w:rPr>
              <w:t>Presidente</w:t>
            </w:r>
          </w:p>
        </w:tc>
        <w:tc>
          <w:tcPr>
            <w:tcW w:w="160" w:type="dxa"/>
          </w:tcPr>
          <w:p w:rsidR="00A2679D" w:rsidRPr="003C64EF" w:rsidDel="00215CB2" w:rsidRDefault="00A2679D" w:rsidP="002D45E4">
            <w:pPr>
              <w:spacing w:after="0" w:line="240" w:lineRule="auto"/>
              <w:ind w:firstLine="0"/>
              <w:jc w:val="center"/>
              <w:rPr>
                <w:rFonts w:eastAsia="Times New Roman"/>
                <w:lang w:val="es-ES" w:eastAsia="es-ES"/>
              </w:rPr>
            </w:pPr>
          </w:p>
        </w:tc>
        <w:tc>
          <w:tcPr>
            <w:tcW w:w="2958" w:type="dxa"/>
          </w:tcPr>
          <w:p w:rsidR="00A2679D" w:rsidRDefault="00F71C11" w:rsidP="002D45E4">
            <w:pPr>
              <w:pBdr>
                <w:top w:val="single" w:sz="4" w:space="1" w:color="auto"/>
              </w:pBdr>
              <w:spacing w:after="0" w:line="240" w:lineRule="auto"/>
              <w:ind w:firstLine="0"/>
              <w:jc w:val="center"/>
              <w:rPr>
                <w:rFonts w:ascii="Times New Roman" w:hAnsi="Times New Roman"/>
                <w:lang w:val="es-ES" w:eastAsia="es-ES"/>
              </w:rPr>
            </w:pPr>
            <w:r>
              <w:rPr>
                <w:rFonts w:ascii="Times New Roman" w:hAnsi="Times New Roman"/>
                <w:lang w:val="es-ES" w:eastAsia="es-ES"/>
              </w:rPr>
              <w:t xml:space="preserve">Pablo B. Peralta </w:t>
            </w:r>
          </w:p>
          <w:p w:rsidR="00A2679D" w:rsidRPr="00505FF9" w:rsidRDefault="00F71C11" w:rsidP="002D45E4">
            <w:pPr>
              <w:spacing w:after="0" w:line="240" w:lineRule="auto"/>
              <w:ind w:firstLine="0"/>
              <w:jc w:val="center"/>
              <w:rPr>
                <w:rFonts w:ascii="Times New Roman" w:hAnsi="Times New Roman"/>
                <w:lang w:val="es-ES" w:eastAsia="es-ES"/>
              </w:rPr>
            </w:pPr>
            <w:r>
              <w:rPr>
                <w:rFonts w:ascii="Times New Roman" w:hAnsi="Times New Roman"/>
                <w:lang w:val="es-ES" w:eastAsia="es-ES"/>
              </w:rPr>
              <w:t>Vicepresidente</w:t>
            </w:r>
          </w:p>
        </w:tc>
        <w:tc>
          <w:tcPr>
            <w:tcW w:w="160" w:type="dxa"/>
          </w:tcPr>
          <w:p w:rsidR="00A2679D" w:rsidRPr="003C64EF" w:rsidDel="00215CB2" w:rsidRDefault="00A2679D" w:rsidP="002D45E4">
            <w:pPr>
              <w:spacing w:after="0" w:line="240" w:lineRule="auto"/>
              <w:ind w:firstLine="0"/>
              <w:jc w:val="center"/>
              <w:rPr>
                <w:rFonts w:eastAsia="Times New Roman"/>
                <w:lang w:val="es-ES" w:eastAsia="es-ES"/>
              </w:rPr>
            </w:pPr>
          </w:p>
        </w:tc>
        <w:tc>
          <w:tcPr>
            <w:tcW w:w="3119" w:type="dxa"/>
          </w:tcPr>
          <w:p w:rsidR="00A2679D" w:rsidRDefault="00A2679D" w:rsidP="002D45E4">
            <w:pPr>
              <w:pBdr>
                <w:top w:val="single" w:sz="4" w:space="1" w:color="auto"/>
              </w:pBdr>
              <w:spacing w:after="0" w:line="240" w:lineRule="auto"/>
              <w:ind w:firstLine="0"/>
              <w:jc w:val="center"/>
              <w:rPr>
                <w:rFonts w:ascii="Times New Roman" w:hAnsi="Times New Roman"/>
                <w:lang w:val="es-ES" w:eastAsia="es-ES"/>
              </w:rPr>
            </w:pPr>
            <w:r w:rsidRPr="00505FF9">
              <w:rPr>
                <w:rFonts w:ascii="Times New Roman" w:hAnsi="Times New Roman"/>
                <w:lang w:val="es-ES" w:eastAsia="es-ES"/>
              </w:rPr>
              <w:t>Matías Agustín Peralta</w:t>
            </w:r>
          </w:p>
          <w:p w:rsidR="00A2679D" w:rsidRPr="00505FF9" w:rsidRDefault="00A2679D" w:rsidP="002D45E4">
            <w:pPr>
              <w:spacing w:after="0" w:line="240" w:lineRule="auto"/>
              <w:ind w:firstLine="0"/>
              <w:jc w:val="center"/>
              <w:rPr>
                <w:rFonts w:ascii="Times New Roman" w:hAnsi="Times New Roman"/>
                <w:lang w:val="es-ES" w:eastAsia="es-ES"/>
              </w:rPr>
            </w:pPr>
            <w:r>
              <w:rPr>
                <w:rFonts w:ascii="Times New Roman" w:hAnsi="Times New Roman"/>
                <w:lang w:val="es-ES" w:eastAsia="es-ES"/>
              </w:rPr>
              <w:t>Director Titular</w:t>
            </w:r>
          </w:p>
        </w:tc>
      </w:tr>
    </w:tbl>
    <w:p w:rsidR="00A2679D" w:rsidRPr="00505FF9" w:rsidRDefault="00A2679D" w:rsidP="00A2679D">
      <w:pPr>
        <w:spacing w:after="0" w:line="240" w:lineRule="auto"/>
        <w:ind w:firstLine="0"/>
        <w:jc w:val="center"/>
        <w:rPr>
          <w:rFonts w:ascii="Times New Roman" w:hAnsi="Times New Roman"/>
        </w:rPr>
      </w:pPr>
    </w:p>
    <w:p w:rsidR="00A2679D" w:rsidRPr="00505FF9" w:rsidRDefault="00A2679D" w:rsidP="00A2679D">
      <w:pPr>
        <w:spacing w:after="0" w:line="240" w:lineRule="auto"/>
        <w:ind w:firstLine="0"/>
        <w:jc w:val="center"/>
        <w:rPr>
          <w:rFonts w:ascii="Times New Roman" w:hAnsi="Times New Roman"/>
          <w:lang w:val="es-ES" w:eastAsia="es-ES"/>
        </w:rPr>
      </w:pPr>
    </w:p>
    <w:p w:rsidR="00A2679D" w:rsidRDefault="00A2679D" w:rsidP="00A2679D">
      <w:pPr>
        <w:spacing w:after="0" w:line="240" w:lineRule="auto"/>
        <w:ind w:firstLine="0"/>
        <w:jc w:val="center"/>
        <w:rPr>
          <w:rFonts w:ascii="Times New Roman" w:hAnsi="Times New Roman"/>
          <w:lang w:val="es-ES" w:eastAsia="es-ES"/>
        </w:rPr>
      </w:pPr>
    </w:p>
    <w:p w:rsidR="00F71C11" w:rsidRDefault="00F71C11" w:rsidP="00A2679D">
      <w:pPr>
        <w:spacing w:after="0" w:line="240" w:lineRule="auto"/>
        <w:ind w:firstLine="0"/>
        <w:jc w:val="center"/>
        <w:rPr>
          <w:rFonts w:ascii="Times New Roman" w:hAnsi="Times New Roman"/>
          <w:lang w:val="es-ES" w:eastAsia="es-ES"/>
        </w:rPr>
      </w:pPr>
    </w:p>
    <w:p w:rsidR="00F71C11" w:rsidRPr="00505FF9" w:rsidRDefault="00F71C11" w:rsidP="00A2679D">
      <w:pPr>
        <w:spacing w:after="0" w:line="240" w:lineRule="auto"/>
        <w:ind w:firstLine="0"/>
        <w:jc w:val="center"/>
        <w:rPr>
          <w:rFonts w:ascii="Times New Roman" w:hAnsi="Times New Roman"/>
          <w:lang w:val="es-ES" w:eastAsia="es-ES"/>
        </w:rPr>
      </w:pPr>
    </w:p>
    <w:p w:rsidR="00192CC0" w:rsidRDefault="00192CC0" w:rsidP="00192CC0"/>
    <w:tbl>
      <w:tblPr>
        <w:tblpPr w:leftFromText="141" w:rightFromText="141" w:vertAnchor="text" w:horzAnchor="margin" w:tblpY="14"/>
        <w:tblW w:w="9001" w:type="dxa"/>
        <w:tblLayout w:type="fixed"/>
        <w:tblCellMar>
          <w:left w:w="70" w:type="dxa"/>
          <w:right w:w="70" w:type="dxa"/>
        </w:tblCellMar>
        <w:tblLook w:val="00A0" w:firstRow="1" w:lastRow="0" w:firstColumn="1" w:lastColumn="0" w:noHBand="0" w:noVBand="0"/>
      </w:tblPr>
      <w:tblGrid>
        <w:gridCol w:w="2604"/>
        <w:gridCol w:w="160"/>
        <w:gridCol w:w="2958"/>
        <w:gridCol w:w="160"/>
        <w:gridCol w:w="3119"/>
      </w:tblGrid>
      <w:tr w:rsidR="00192CC0" w:rsidRPr="00505FF9" w:rsidTr="004921CA">
        <w:trPr>
          <w:trHeight w:val="317"/>
        </w:trPr>
        <w:tc>
          <w:tcPr>
            <w:tcW w:w="2604" w:type="dxa"/>
          </w:tcPr>
          <w:p w:rsidR="00F71C11" w:rsidRDefault="00F71C11" w:rsidP="00F71C11">
            <w:pPr>
              <w:pBdr>
                <w:top w:val="single" w:sz="4" w:space="1" w:color="auto"/>
              </w:pBdr>
              <w:spacing w:after="0" w:line="240" w:lineRule="auto"/>
              <w:ind w:firstLine="0"/>
              <w:jc w:val="center"/>
              <w:rPr>
                <w:rFonts w:ascii="Times New Roman" w:hAnsi="Times New Roman"/>
                <w:lang w:val="es-ES" w:eastAsia="es-ES"/>
              </w:rPr>
            </w:pPr>
            <w:r>
              <w:rPr>
                <w:rFonts w:ascii="Times New Roman" w:hAnsi="Times New Roman"/>
                <w:lang w:val="es-ES" w:eastAsia="es-ES"/>
              </w:rPr>
              <w:t>Alberto J. C. García</w:t>
            </w:r>
          </w:p>
          <w:p w:rsidR="00192CC0" w:rsidRPr="00505FF9" w:rsidRDefault="00192CC0" w:rsidP="00192CC0">
            <w:pPr>
              <w:spacing w:after="0" w:line="240" w:lineRule="auto"/>
              <w:ind w:firstLine="0"/>
              <w:jc w:val="center"/>
              <w:rPr>
                <w:rFonts w:ascii="Times New Roman" w:hAnsi="Times New Roman"/>
                <w:lang w:val="es-ES" w:eastAsia="es-ES"/>
              </w:rPr>
            </w:pPr>
            <w:r w:rsidRPr="00505FF9">
              <w:rPr>
                <w:rFonts w:ascii="Times New Roman" w:hAnsi="Times New Roman"/>
                <w:lang w:val="es-ES" w:eastAsia="es-ES"/>
              </w:rPr>
              <w:t>Director Titular</w:t>
            </w:r>
          </w:p>
        </w:tc>
        <w:tc>
          <w:tcPr>
            <w:tcW w:w="160" w:type="dxa"/>
          </w:tcPr>
          <w:p w:rsidR="00192CC0" w:rsidRPr="003C64EF" w:rsidDel="00215CB2" w:rsidRDefault="00192CC0" w:rsidP="004921CA">
            <w:pPr>
              <w:spacing w:after="0" w:line="240" w:lineRule="auto"/>
              <w:ind w:firstLine="0"/>
              <w:jc w:val="center"/>
              <w:rPr>
                <w:rFonts w:eastAsia="Times New Roman"/>
                <w:lang w:val="es-ES" w:eastAsia="es-ES"/>
              </w:rPr>
            </w:pPr>
          </w:p>
        </w:tc>
        <w:tc>
          <w:tcPr>
            <w:tcW w:w="2958" w:type="dxa"/>
          </w:tcPr>
          <w:p w:rsidR="00F71C11" w:rsidRPr="00505FF9" w:rsidRDefault="00F71C11" w:rsidP="00F71C11">
            <w:pPr>
              <w:pBdr>
                <w:top w:val="single" w:sz="4" w:space="1" w:color="auto"/>
              </w:pBdr>
              <w:spacing w:after="0" w:line="240" w:lineRule="auto"/>
              <w:ind w:firstLine="0"/>
              <w:jc w:val="center"/>
              <w:rPr>
                <w:rFonts w:ascii="Times New Roman" w:hAnsi="Times New Roman"/>
                <w:lang w:val="es-ES" w:eastAsia="es-ES"/>
              </w:rPr>
            </w:pPr>
            <w:r w:rsidRPr="00505FF9">
              <w:rPr>
                <w:rFonts w:ascii="Times New Roman" w:hAnsi="Times New Roman"/>
                <w:lang w:val="es-ES" w:eastAsia="es-ES"/>
              </w:rPr>
              <w:t>Juan Manuel Lladó</w:t>
            </w:r>
          </w:p>
          <w:p w:rsidR="00192CC0" w:rsidRPr="00505FF9" w:rsidRDefault="00192CC0" w:rsidP="004921CA">
            <w:pPr>
              <w:spacing w:after="0" w:line="240" w:lineRule="auto"/>
              <w:ind w:firstLine="0"/>
              <w:jc w:val="center"/>
              <w:rPr>
                <w:rFonts w:ascii="Times New Roman" w:hAnsi="Times New Roman"/>
                <w:lang w:val="es-ES" w:eastAsia="es-ES"/>
              </w:rPr>
            </w:pPr>
            <w:r>
              <w:rPr>
                <w:rFonts w:ascii="Times New Roman" w:hAnsi="Times New Roman"/>
                <w:lang w:val="es-ES" w:eastAsia="es-ES"/>
              </w:rPr>
              <w:t>Director Titular</w:t>
            </w:r>
          </w:p>
        </w:tc>
        <w:tc>
          <w:tcPr>
            <w:tcW w:w="160" w:type="dxa"/>
          </w:tcPr>
          <w:p w:rsidR="00192CC0" w:rsidRPr="003C64EF" w:rsidDel="00215CB2" w:rsidRDefault="00192CC0" w:rsidP="004921CA">
            <w:pPr>
              <w:spacing w:after="0" w:line="240" w:lineRule="auto"/>
              <w:ind w:firstLine="0"/>
              <w:jc w:val="center"/>
              <w:rPr>
                <w:rFonts w:eastAsia="Times New Roman"/>
                <w:lang w:val="es-ES" w:eastAsia="es-ES"/>
              </w:rPr>
            </w:pPr>
          </w:p>
        </w:tc>
        <w:tc>
          <w:tcPr>
            <w:tcW w:w="3119" w:type="dxa"/>
          </w:tcPr>
          <w:p w:rsidR="00192CC0" w:rsidRPr="00505FF9" w:rsidRDefault="00192CC0" w:rsidP="00192CC0">
            <w:pPr>
              <w:pBdr>
                <w:top w:val="single" w:sz="4" w:space="1" w:color="auto"/>
              </w:pBdr>
              <w:spacing w:after="0" w:line="240" w:lineRule="auto"/>
              <w:ind w:firstLine="0"/>
              <w:jc w:val="center"/>
              <w:rPr>
                <w:rFonts w:ascii="Times New Roman" w:hAnsi="Times New Roman"/>
                <w:lang w:val="es-ES" w:eastAsia="es-ES"/>
              </w:rPr>
            </w:pPr>
            <w:r>
              <w:rPr>
                <w:rFonts w:ascii="Times New Roman" w:hAnsi="Times New Roman"/>
              </w:rPr>
              <w:t>Gabriel Orden</w:t>
            </w:r>
          </w:p>
          <w:p w:rsidR="00192CC0" w:rsidRPr="00505FF9" w:rsidRDefault="00192CC0" w:rsidP="00192CC0">
            <w:pPr>
              <w:spacing w:after="0" w:line="240" w:lineRule="auto"/>
              <w:ind w:firstLine="0"/>
              <w:jc w:val="center"/>
              <w:rPr>
                <w:rFonts w:ascii="Times New Roman" w:hAnsi="Times New Roman"/>
                <w:lang w:val="es-ES" w:eastAsia="es-ES"/>
              </w:rPr>
            </w:pPr>
            <w:r w:rsidRPr="00505FF9">
              <w:rPr>
                <w:rFonts w:ascii="Times New Roman" w:hAnsi="Times New Roman"/>
                <w:lang w:val="es-ES" w:eastAsia="es-ES"/>
              </w:rPr>
              <w:t>Síndico Titular</w:t>
            </w:r>
          </w:p>
        </w:tc>
      </w:tr>
    </w:tbl>
    <w:p w:rsidR="00192CC0" w:rsidRPr="00505FF9" w:rsidRDefault="00192CC0" w:rsidP="00192CC0">
      <w:pPr>
        <w:spacing w:after="0" w:line="240" w:lineRule="auto"/>
        <w:ind w:firstLine="0"/>
        <w:jc w:val="center"/>
        <w:rPr>
          <w:rFonts w:ascii="Times New Roman" w:hAnsi="Times New Roman"/>
        </w:rPr>
      </w:pPr>
    </w:p>
    <w:p w:rsidR="00A2679D" w:rsidRPr="00192CC0" w:rsidRDefault="00A2679D" w:rsidP="00A2679D">
      <w:pPr>
        <w:spacing w:after="0" w:line="240" w:lineRule="auto"/>
        <w:ind w:firstLine="0"/>
        <w:jc w:val="center"/>
        <w:rPr>
          <w:rFonts w:ascii="Times New Roman" w:hAnsi="Times New Roman"/>
          <w:lang w:eastAsia="es-ES"/>
        </w:rPr>
      </w:pPr>
    </w:p>
    <w:p w:rsidR="00A2679D" w:rsidRDefault="00A2679D" w:rsidP="00A2679D">
      <w:pPr>
        <w:spacing w:after="0" w:line="240" w:lineRule="auto"/>
        <w:ind w:firstLine="0"/>
        <w:jc w:val="center"/>
        <w:rPr>
          <w:rFonts w:ascii="Times New Roman" w:hAnsi="Times New Roman"/>
          <w:lang w:val="es-ES" w:eastAsia="es-ES"/>
        </w:rPr>
      </w:pPr>
    </w:p>
    <w:p w:rsidR="00A2679D" w:rsidRPr="00A2679D" w:rsidRDefault="00A2679D"/>
    <w:sectPr w:rsidR="00A2679D" w:rsidRPr="00A2679D" w:rsidSect="00A2679D">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F36AB"/>
    <w:multiLevelType w:val="hybridMultilevel"/>
    <w:tmpl w:val="82B866A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6A6F1B"/>
    <w:multiLevelType w:val="hybridMultilevel"/>
    <w:tmpl w:val="95E611AA"/>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530B1FBF"/>
    <w:multiLevelType w:val="hybridMultilevel"/>
    <w:tmpl w:val="31D2AEE2"/>
    <w:lvl w:ilvl="0" w:tplc="BA527306">
      <w:start w:val="2"/>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6309192B"/>
    <w:multiLevelType w:val="hybridMultilevel"/>
    <w:tmpl w:val="28A23C62"/>
    <w:lvl w:ilvl="0" w:tplc="84B0E148">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4" w15:restartNumberingAfterBreak="0">
    <w:nsid w:val="66290868"/>
    <w:multiLevelType w:val="multilevel"/>
    <w:tmpl w:val="4D8C68FA"/>
    <w:lvl w:ilvl="0">
      <w:start w:val="1"/>
      <w:numFmt w:val="lowerLetter"/>
      <w:lvlText w:val="%1)"/>
      <w:lvlJc w:val="left"/>
      <w:pPr>
        <w:tabs>
          <w:tab w:val="num" w:pos="900"/>
        </w:tabs>
        <w:ind w:left="900" w:hanging="360"/>
      </w:pPr>
      <w:rPr>
        <w:rFonts w:ascii="Arial" w:hAnsi="Arial" w:hint="default"/>
        <w:b w:val="0"/>
        <w:i w:val="0"/>
        <w:sz w:val="20"/>
        <w:szCs w:val="20"/>
      </w:rPr>
    </w:lvl>
    <w:lvl w:ilvl="1">
      <w:start w:val="1"/>
      <w:numFmt w:val="lowerLetter"/>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rPr>
        <w:rFonts w:hint="default"/>
      </w:rPr>
    </w:lvl>
    <w:lvl w:ilvl="3">
      <w:start w:val="1"/>
      <w:numFmt w:val="decimal"/>
      <w:lvlText w:val="%4."/>
      <w:lvlJc w:val="left"/>
      <w:pPr>
        <w:tabs>
          <w:tab w:val="num" w:pos="3496"/>
        </w:tabs>
        <w:ind w:left="3496" w:hanging="796"/>
      </w:pPr>
      <w:rPr>
        <w:rFonts w:hint="default"/>
        <w:b w:val="0"/>
        <w:i w:val="0"/>
        <w:sz w:val="20"/>
        <w:szCs w:val="20"/>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5" w15:restartNumberingAfterBreak="0">
    <w:nsid w:val="78800BB6"/>
    <w:multiLevelType w:val="hybridMultilevel"/>
    <w:tmpl w:val="B7E8E066"/>
    <w:lvl w:ilvl="0" w:tplc="2C0A0011">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79D"/>
    <w:rsid w:val="00192CC0"/>
    <w:rsid w:val="004A4554"/>
    <w:rsid w:val="005F4209"/>
    <w:rsid w:val="007C539F"/>
    <w:rsid w:val="009C7122"/>
    <w:rsid w:val="009F6AC7"/>
    <w:rsid w:val="00A2679D"/>
    <w:rsid w:val="00B77CBC"/>
    <w:rsid w:val="00F71C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date"/>
  <w:shapeDefaults>
    <o:shapedefaults v:ext="edit" spidmax="1026"/>
    <o:shapelayout v:ext="edit">
      <o:idmap v:ext="edit" data="1"/>
    </o:shapelayout>
  </w:shapeDefaults>
  <w:decimalSymbol w:val=","/>
  <w:listSeparator w:val=","/>
  <w14:docId w14:val="579ED989"/>
  <w15:chartTrackingRefBased/>
  <w15:docId w15:val="{15E9932E-69CD-415C-B2CD-CC90E21FE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Texto"/>
    <w:qFormat/>
    <w:rsid w:val="00A2679D"/>
    <w:pPr>
      <w:spacing w:after="120" w:line="360" w:lineRule="auto"/>
      <w:ind w:firstLine="567"/>
      <w:jc w:val="both"/>
    </w:pPr>
    <w:rPr>
      <w:rFonts w:ascii="Georgia" w:eastAsia="SimSun" w:hAnsi="Georgia" w:cs="Times New Roman"/>
      <w:lang w:val="es-MX"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breTexto">
    <w:name w:val="[Libre] Texto"/>
    <w:basedOn w:val="Normal"/>
    <w:link w:val="LibreTextoCar"/>
    <w:qFormat/>
    <w:rsid w:val="00A2679D"/>
    <w:pPr>
      <w:ind w:firstLine="0"/>
    </w:pPr>
  </w:style>
  <w:style w:type="character" w:customStyle="1" w:styleId="LibreTextoCar">
    <w:name w:val="[Libre] Texto Car"/>
    <w:link w:val="LibreTexto"/>
    <w:rsid w:val="00A2679D"/>
    <w:rPr>
      <w:rFonts w:ascii="Georgia" w:eastAsia="SimSun" w:hAnsi="Georgia" w:cs="Times New Roman"/>
      <w:lang w:val="es-MX" w:eastAsia="zh-CN"/>
    </w:rPr>
  </w:style>
  <w:style w:type="paragraph" w:styleId="Textoindependiente">
    <w:name w:val="Body Text"/>
    <w:aliases w:val="body text,bt,b"/>
    <w:basedOn w:val="Normal"/>
    <w:link w:val="TextoindependienteCar"/>
    <w:rsid w:val="00A2679D"/>
    <w:pPr>
      <w:widowControl w:val="0"/>
      <w:spacing w:after="0" w:line="240" w:lineRule="auto"/>
      <w:ind w:firstLine="0"/>
      <w:jc w:val="left"/>
    </w:pPr>
    <w:rPr>
      <w:rFonts w:ascii="Times New Roman" w:eastAsia="Times New Roman" w:hAnsi="Times New Roman"/>
      <w:color w:val="000000"/>
      <w:sz w:val="24"/>
      <w:szCs w:val="20"/>
      <w:lang w:val="es-ES_tradnl" w:eastAsia="es-ES"/>
    </w:rPr>
  </w:style>
  <w:style w:type="character" w:customStyle="1" w:styleId="TextoindependienteCar">
    <w:name w:val="Texto independiente Car"/>
    <w:aliases w:val="body text Car,bt Car,b Car"/>
    <w:basedOn w:val="Fuentedeprrafopredeter"/>
    <w:link w:val="Textoindependiente"/>
    <w:rsid w:val="00A2679D"/>
    <w:rPr>
      <w:rFonts w:ascii="Times New Roman" w:eastAsia="Times New Roman" w:hAnsi="Times New Roman" w:cs="Times New Roman"/>
      <w:color w:val="000000"/>
      <w:sz w:val="24"/>
      <w:szCs w:val="20"/>
      <w:lang w:val="es-ES_tradnl" w:eastAsia="es-ES"/>
    </w:rPr>
  </w:style>
  <w:style w:type="paragraph" w:styleId="Encabezado">
    <w:name w:val="header"/>
    <w:basedOn w:val="Normal"/>
    <w:link w:val="EncabezadoCar"/>
    <w:rsid w:val="00A2679D"/>
    <w:pPr>
      <w:tabs>
        <w:tab w:val="center" w:pos="4419"/>
        <w:tab w:val="right" w:pos="8838"/>
      </w:tabs>
      <w:spacing w:after="0" w:line="240" w:lineRule="auto"/>
      <w:ind w:firstLine="0"/>
    </w:pPr>
    <w:rPr>
      <w:rFonts w:ascii="Times New Roman" w:hAnsi="Times New Roman"/>
      <w:sz w:val="24"/>
      <w:szCs w:val="20"/>
      <w:lang w:val="es-AR" w:eastAsia="es-ES"/>
    </w:rPr>
  </w:style>
  <w:style w:type="character" w:customStyle="1" w:styleId="EncabezadoCar">
    <w:name w:val="Encabezado Car"/>
    <w:basedOn w:val="Fuentedeprrafopredeter"/>
    <w:link w:val="Encabezado"/>
    <w:uiPriority w:val="99"/>
    <w:rsid w:val="00A2679D"/>
    <w:rPr>
      <w:rFonts w:ascii="Times New Roman" w:eastAsia="SimSun" w:hAnsi="Times New Roman" w:cs="Times New Roman"/>
      <w:sz w:val="24"/>
      <w:szCs w:val="20"/>
      <w:lang w:eastAsia="es-ES"/>
    </w:rPr>
  </w:style>
  <w:style w:type="paragraph" w:customStyle="1" w:styleId="Textoinfaud">
    <w:name w:val="Texto inf. aud."/>
    <w:basedOn w:val="Normal"/>
    <w:rsid w:val="00A2679D"/>
    <w:pPr>
      <w:tabs>
        <w:tab w:val="left" w:pos="720"/>
      </w:tabs>
      <w:spacing w:after="0"/>
      <w:ind w:firstLine="0"/>
    </w:pPr>
    <w:rPr>
      <w:rFonts w:ascii="Book Antiqua" w:hAnsi="Book Antiqua"/>
      <w:sz w:val="20"/>
      <w:szCs w:val="20"/>
      <w:lang w:val="es-AR" w:eastAsia="en-US"/>
    </w:rPr>
  </w:style>
  <w:style w:type="paragraph" w:styleId="Prrafodelista">
    <w:name w:val="List Paragraph"/>
    <w:basedOn w:val="Normal"/>
    <w:uiPriority w:val="34"/>
    <w:qFormat/>
    <w:rsid w:val="009C7122"/>
    <w:pPr>
      <w:spacing w:after="0" w:line="240" w:lineRule="auto"/>
      <w:ind w:left="708" w:firstLine="0"/>
      <w:jc w:val="left"/>
    </w:pPr>
    <w:rPr>
      <w:rFonts w:ascii="Times New Roman" w:eastAsia="Times New Roman" w:hAnsi="Times New Roman"/>
      <w:sz w:val="24"/>
      <w:szCs w:val="24"/>
      <w:lang w:val="es-ES" w:eastAsia="es-ES"/>
    </w:rPr>
  </w:style>
  <w:style w:type="paragraph" w:customStyle="1" w:styleId="Titulonota">
    <w:name w:val="Titulo nota"/>
    <w:basedOn w:val="Normal"/>
    <w:rsid w:val="009C7122"/>
    <w:pPr>
      <w:spacing w:after="0" w:line="240" w:lineRule="auto"/>
      <w:ind w:firstLine="0"/>
      <w:jc w:val="left"/>
    </w:pPr>
    <w:rPr>
      <w:rFonts w:ascii="Arial" w:eastAsia="Times New Roman" w:hAnsi="Arial"/>
      <w:b/>
      <w:caps/>
      <w:szCs w:val="20"/>
      <w:lang w:val="es-ES_tradnl" w:eastAsia="en-US"/>
    </w:rPr>
  </w:style>
  <w:style w:type="paragraph" w:customStyle="1" w:styleId="Default">
    <w:name w:val="Default"/>
    <w:rsid w:val="009C7122"/>
    <w:pPr>
      <w:autoSpaceDE w:val="0"/>
      <w:autoSpaceDN w:val="0"/>
      <w:adjustRightInd w:val="0"/>
      <w:spacing w:after="0" w:line="240" w:lineRule="auto"/>
    </w:pPr>
    <w:rPr>
      <w:rFonts w:ascii="Calibri" w:eastAsia="Times New Roman" w:hAnsi="Calibri" w:cs="Calibri"/>
      <w:color w:val="000000"/>
      <w:sz w:val="24"/>
      <w:szCs w:val="24"/>
      <w:lang w:eastAsia="es-AR"/>
    </w:rPr>
  </w:style>
  <w:style w:type="paragraph" w:styleId="Piedepgina">
    <w:name w:val="footer"/>
    <w:basedOn w:val="Normal"/>
    <w:link w:val="PiedepginaCar"/>
    <w:uiPriority w:val="99"/>
    <w:unhideWhenUsed/>
    <w:rsid w:val="009C7122"/>
    <w:pPr>
      <w:tabs>
        <w:tab w:val="center" w:pos="4419"/>
        <w:tab w:val="right" w:pos="8838"/>
      </w:tabs>
      <w:spacing w:after="0" w:line="240" w:lineRule="auto"/>
      <w:ind w:firstLine="0"/>
      <w:jc w:val="left"/>
    </w:pPr>
    <w:rPr>
      <w:rFonts w:ascii="Times New Roman" w:eastAsia="Times New Roman" w:hAnsi="Times New Roman"/>
      <w:sz w:val="24"/>
      <w:szCs w:val="24"/>
      <w:lang w:val="es-AR" w:eastAsia="es-ES"/>
    </w:rPr>
  </w:style>
  <w:style w:type="character" w:customStyle="1" w:styleId="PiedepginaCar">
    <w:name w:val="Pie de página Car"/>
    <w:basedOn w:val="Fuentedeprrafopredeter"/>
    <w:link w:val="Piedepgina"/>
    <w:uiPriority w:val="99"/>
    <w:rsid w:val="009C7122"/>
    <w:rPr>
      <w:rFonts w:ascii="Times New Roman" w:eastAsia="Times New Roman" w:hAnsi="Times New Roman" w:cs="Times New Roman"/>
      <w:sz w:val="24"/>
      <w:szCs w:val="24"/>
      <w:lang w:eastAsia="es-ES"/>
    </w:rPr>
  </w:style>
  <w:style w:type="paragraph" w:customStyle="1" w:styleId="BodyText22">
    <w:name w:val="Body Text 22"/>
    <w:basedOn w:val="Normal"/>
    <w:rsid w:val="009C7122"/>
    <w:pPr>
      <w:widowControl w:val="0"/>
      <w:spacing w:after="0" w:line="240" w:lineRule="auto"/>
      <w:ind w:firstLine="0"/>
    </w:pPr>
    <w:rPr>
      <w:rFonts w:ascii="Times New Roman" w:eastAsia="Times New Roman" w:hAnsi="Times New Roman"/>
      <w:snapToGrid w:val="0"/>
      <w:sz w:val="20"/>
      <w:szCs w:val="20"/>
      <w:lang w:val="es-AR" w:eastAsia="es-ES"/>
    </w:rPr>
  </w:style>
  <w:style w:type="paragraph" w:styleId="Textodeglobo">
    <w:name w:val="Balloon Text"/>
    <w:basedOn w:val="Normal"/>
    <w:link w:val="TextodegloboCar"/>
    <w:uiPriority w:val="99"/>
    <w:semiHidden/>
    <w:unhideWhenUsed/>
    <w:rsid w:val="009C7122"/>
    <w:pPr>
      <w:spacing w:after="0" w:line="240" w:lineRule="auto"/>
      <w:ind w:firstLine="0"/>
      <w:jc w:val="left"/>
    </w:pPr>
    <w:rPr>
      <w:rFonts w:ascii="Segoe UI" w:eastAsia="Times New Roman" w:hAnsi="Segoe UI" w:cs="Segoe UI"/>
      <w:sz w:val="18"/>
      <w:szCs w:val="18"/>
      <w:lang w:val="es-AR" w:eastAsia="es-ES"/>
    </w:rPr>
  </w:style>
  <w:style w:type="character" w:customStyle="1" w:styleId="TextodegloboCar">
    <w:name w:val="Texto de globo Car"/>
    <w:basedOn w:val="Fuentedeprrafopredeter"/>
    <w:link w:val="Textodeglobo"/>
    <w:uiPriority w:val="99"/>
    <w:semiHidden/>
    <w:rsid w:val="009C7122"/>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8E230-9098-4BA2-A734-9786B1E28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30</Pages>
  <Words>12823</Words>
  <Characters>70532</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Office34</dc:creator>
  <cp:keywords/>
  <dc:description/>
  <cp:lastModifiedBy>Gomariz Alicia (B00650)</cp:lastModifiedBy>
  <cp:revision>7</cp:revision>
  <cp:lastPrinted>2019-03-11T20:19:00Z</cp:lastPrinted>
  <dcterms:created xsi:type="dcterms:W3CDTF">2019-03-11T19:11:00Z</dcterms:created>
  <dcterms:modified xsi:type="dcterms:W3CDTF">2019-03-11T20:50:00Z</dcterms:modified>
</cp:coreProperties>
</file>