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C25" w:rsidRPr="00BC4F4B" w:rsidRDefault="004C7C25" w:rsidP="004C7C25">
      <w:pPr>
        <w:pStyle w:val="Ttuloprincipal"/>
        <w:outlineLvl w:val="0"/>
        <w:rPr>
          <w:rFonts w:ascii="Garamond" w:hAnsi="Garamond" w:cstheme="minorHAnsi"/>
          <w:sz w:val="22"/>
          <w:szCs w:val="22"/>
        </w:rPr>
      </w:pPr>
      <w:r w:rsidRPr="00BC4F4B">
        <w:rPr>
          <w:rFonts w:ascii="Garamond" w:hAnsi="Garamond" w:cstheme="minorHAnsi"/>
          <w:sz w:val="22"/>
          <w:szCs w:val="22"/>
        </w:rPr>
        <w:t>INFORME ANUAL DEL COMITÉ DE AUDITORÍA</w:t>
      </w:r>
    </w:p>
    <w:p w:rsidR="004C7C25" w:rsidRPr="00BC4F4B" w:rsidRDefault="004C7C25" w:rsidP="004C7C25">
      <w:pPr>
        <w:pStyle w:val="Textoinfaud"/>
        <w:spacing w:line="240" w:lineRule="auto"/>
        <w:jc w:val="both"/>
        <w:rPr>
          <w:rFonts w:ascii="Garamond" w:hAnsi="Garamond" w:cstheme="minorHAnsi"/>
          <w:sz w:val="22"/>
          <w:szCs w:val="22"/>
        </w:rPr>
      </w:pPr>
    </w:p>
    <w:p w:rsidR="004C7C25" w:rsidRPr="00BC4F4B" w:rsidRDefault="004C7C25" w:rsidP="004C7C25">
      <w:pPr>
        <w:pStyle w:val="Textoinfaud"/>
        <w:spacing w:line="240" w:lineRule="auto"/>
        <w:jc w:val="both"/>
        <w:rPr>
          <w:rFonts w:ascii="Garamond" w:hAnsi="Garamond" w:cstheme="minorHAnsi"/>
          <w:sz w:val="22"/>
          <w:szCs w:val="22"/>
        </w:rPr>
      </w:pPr>
    </w:p>
    <w:p w:rsidR="004C7C25" w:rsidRPr="00BC4F4B" w:rsidRDefault="004C7C25" w:rsidP="004C7C25">
      <w:pPr>
        <w:pStyle w:val="Textoinfaud"/>
        <w:spacing w:line="240" w:lineRule="auto"/>
        <w:jc w:val="both"/>
        <w:rPr>
          <w:rFonts w:ascii="Garamond" w:hAnsi="Garamond" w:cstheme="minorHAnsi"/>
          <w:sz w:val="22"/>
          <w:szCs w:val="22"/>
        </w:rPr>
      </w:pPr>
    </w:p>
    <w:p w:rsidR="004C7C25" w:rsidRPr="00BC4F4B" w:rsidRDefault="004C7C25" w:rsidP="004C7C25">
      <w:pPr>
        <w:pStyle w:val="Textoinfaud"/>
        <w:spacing w:line="240" w:lineRule="auto"/>
        <w:jc w:val="both"/>
        <w:outlineLvl w:val="0"/>
        <w:rPr>
          <w:rFonts w:ascii="Garamond" w:hAnsi="Garamond" w:cstheme="minorHAnsi"/>
          <w:sz w:val="22"/>
          <w:szCs w:val="22"/>
        </w:rPr>
      </w:pPr>
      <w:r w:rsidRPr="00BC4F4B">
        <w:rPr>
          <w:rFonts w:ascii="Garamond" w:hAnsi="Garamond" w:cstheme="minorHAnsi"/>
          <w:sz w:val="22"/>
          <w:szCs w:val="22"/>
        </w:rPr>
        <w:t>A los Señores Directores y Accionistas de</w:t>
      </w:r>
    </w:p>
    <w:p w:rsidR="004C7C25" w:rsidRPr="00BC4F4B" w:rsidRDefault="004C7C25" w:rsidP="004C7C25">
      <w:pPr>
        <w:pStyle w:val="Textoinfaud"/>
        <w:spacing w:line="240" w:lineRule="auto"/>
        <w:jc w:val="both"/>
        <w:rPr>
          <w:rFonts w:ascii="Garamond" w:hAnsi="Garamond" w:cstheme="minorHAnsi"/>
          <w:sz w:val="22"/>
          <w:szCs w:val="22"/>
        </w:rPr>
      </w:pPr>
      <w:r w:rsidRPr="00BC4F4B">
        <w:rPr>
          <w:rFonts w:ascii="Garamond" w:hAnsi="Garamond" w:cstheme="minorHAnsi"/>
          <w:sz w:val="22"/>
          <w:szCs w:val="22"/>
        </w:rPr>
        <w:t>MOLINOS AGRO S.A.</w:t>
      </w:r>
    </w:p>
    <w:p w:rsidR="004C7C25" w:rsidRPr="00BC4F4B" w:rsidRDefault="004C7C25" w:rsidP="004C7C25">
      <w:pPr>
        <w:pStyle w:val="Textoinfaud"/>
        <w:spacing w:line="240" w:lineRule="auto"/>
        <w:jc w:val="both"/>
        <w:rPr>
          <w:rFonts w:ascii="Garamond" w:hAnsi="Garamond" w:cstheme="minorHAnsi"/>
          <w:sz w:val="22"/>
          <w:szCs w:val="22"/>
        </w:rPr>
      </w:pPr>
    </w:p>
    <w:p w:rsidR="004C7C25" w:rsidRPr="00BC4F4B" w:rsidRDefault="004C7C25" w:rsidP="004C7C25">
      <w:pPr>
        <w:pStyle w:val="Textoinfaud"/>
        <w:spacing w:line="240" w:lineRule="auto"/>
        <w:jc w:val="both"/>
        <w:rPr>
          <w:rFonts w:ascii="Garamond" w:hAnsi="Garamond" w:cstheme="minorHAnsi"/>
          <w:sz w:val="22"/>
          <w:szCs w:val="22"/>
        </w:rPr>
      </w:pPr>
    </w:p>
    <w:p w:rsidR="004C7C25" w:rsidRPr="00BC4F4B" w:rsidRDefault="004C7C25" w:rsidP="004C7C25">
      <w:pPr>
        <w:pStyle w:val="Textoinfaud"/>
        <w:spacing w:line="240" w:lineRule="auto"/>
        <w:jc w:val="both"/>
        <w:rPr>
          <w:rFonts w:ascii="Garamond" w:hAnsi="Garamond" w:cstheme="minorHAnsi"/>
          <w:sz w:val="22"/>
          <w:szCs w:val="22"/>
        </w:rPr>
      </w:pPr>
    </w:p>
    <w:p w:rsidR="004C7C25" w:rsidRPr="00BC4F4B" w:rsidRDefault="004C7C25" w:rsidP="004C7C25">
      <w:pPr>
        <w:pStyle w:val="Textoinfaud"/>
        <w:spacing w:line="240" w:lineRule="auto"/>
        <w:jc w:val="both"/>
        <w:rPr>
          <w:rFonts w:ascii="Garamond" w:hAnsi="Garamond" w:cstheme="minorHAnsi"/>
          <w:sz w:val="22"/>
          <w:szCs w:val="22"/>
        </w:rPr>
      </w:pPr>
      <w:r w:rsidRPr="00BC4F4B">
        <w:rPr>
          <w:rFonts w:ascii="Garamond" w:hAnsi="Garamond" w:cstheme="minorHAnsi"/>
          <w:sz w:val="22"/>
          <w:szCs w:val="22"/>
        </w:rPr>
        <w:t>De nuestra consideración:</w:t>
      </w:r>
    </w:p>
    <w:p w:rsidR="004C7C25" w:rsidRPr="00BC4F4B" w:rsidRDefault="004C7C25" w:rsidP="004C7C25">
      <w:pPr>
        <w:pStyle w:val="Textoinfaud"/>
        <w:spacing w:line="240" w:lineRule="auto"/>
        <w:jc w:val="both"/>
        <w:rPr>
          <w:rFonts w:ascii="Garamond" w:hAnsi="Garamond" w:cstheme="minorHAnsi"/>
          <w:sz w:val="22"/>
          <w:szCs w:val="22"/>
        </w:rPr>
      </w:pPr>
    </w:p>
    <w:p w:rsidR="004C7C25" w:rsidRPr="00BC4F4B" w:rsidRDefault="004C7C25" w:rsidP="004C7C25">
      <w:pPr>
        <w:pStyle w:val="Textoinfaud"/>
        <w:spacing w:line="240" w:lineRule="auto"/>
        <w:jc w:val="both"/>
        <w:rPr>
          <w:rFonts w:ascii="Garamond" w:hAnsi="Garamond" w:cstheme="minorHAnsi"/>
          <w:sz w:val="22"/>
          <w:szCs w:val="22"/>
        </w:rPr>
      </w:pPr>
    </w:p>
    <w:p w:rsidR="004C7C25" w:rsidRPr="00BC4F4B" w:rsidRDefault="004C7C25" w:rsidP="004C7C25">
      <w:pPr>
        <w:pStyle w:val="Textoinfaud"/>
        <w:spacing w:line="240" w:lineRule="auto"/>
        <w:ind w:left="360" w:hanging="360"/>
        <w:jc w:val="both"/>
        <w:rPr>
          <w:rFonts w:ascii="Garamond" w:hAnsi="Garamond" w:cstheme="minorHAnsi"/>
          <w:sz w:val="22"/>
          <w:szCs w:val="22"/>
        </w:rPr>
      </w:pPr>
      <w:r w:rsidRPr="00BC4F4B">
        <w:rPr>
          <w:rFonts w:ascii="Garamond" w:hAnsi="Garamond" w:cstheme="minorHAnsi"/>
          <w:sz w:val="22"/>
          <w:szCs w:val="22"/>
        </w:rPr>
        <w:t>1.</w:t>
      </w:r>
      <w:r w:rsidRPr="00BC4F4B">
        <w:rPr>
          <w:rFonts w:ascii="Garamond" w:hAnsi="Garamond" w:cstheme="minorHAnsi"/>
          <w:sz w:val="22"/>
          <w:szCs w:val="22"/>
        </w:rPr>
        <w:tab/>
        <w:t>En nuestro carácter de miembros del Comité de Auditoría de Molinos Agro S.A. (en adelante “el Comité”), y en cumplimiento con el artículo 18, inciso c) de la Sección V, Capitulo III, Titulo II de las Normas de la Comisión Nacional de Valores (N.T. 2013), emitimos el presente informe en relación con el tratamiento dado durante el ejercicio terminado el 31 de marzo de 201</w:t>
      </w:r>
      <w:r>
        <w:rPr>
          <w:rFonts w:ascii="Garamond" w:hAnsi="Garamond" w:cstheme="minorHAnsi"/>
          <w:sz w:val="22"/>
          <w:szCs w:val="22"/>
        </w:rPr>
        <w:t>9</w:t>
      </w:r>
      <w:r w:rsidRPr="00BC4F4B">
        <w:rPr>
          <w:rFonts w:ascii="Garamond" w:hAnsi="Garamond" w:cstheme="minorHAnsi"/>
          <w:sz w:val="22"/>
          <w:szCs w:val="22"/>
        </w:rPr>
        <w:t xml:space="preserve"> a las cuestiones de nuestra competencia previstas en la Ley de Mercado de Capitales </w:t>
      </w:r>
      <w:proofErr w:type="spellStart"/>
      <w:r w:rsidRPr="00BC4F4B">
        <w:rPr>
          <w:rFonts w:ascii="Garamond" w:hAnsi="Garamond" w:cstheme="minorHAnsi"/>
          <w:sz w:val="22"/>
          <w:szCs w:val="22"/>
        </w:rPr>
        <w:t>N°</w:t>
      </w:r>
      <w:proofErr w:type="spellEnd"/>
      <w:r w:rsidRPr="00BC4F4B">
        <w:rPr>
          <w:rFonts w:ascii="Garamond" w:hAnsi="Garamond" w:cstheme="minorHAnsi"/>
          <w:sz w:val="22"/>
          <w:szCs w:val="22"/>
        </w:rPr>
        <w:t xml:space="preserve"> 26.831</w:t>
      </w:r>
      <w:r>
        <w:rPr>
          <w:rFonts w:ascii="Garamond" w:hAnsi="Garamond" w:cstheme="minorHAnsi"/>
          <w:sz w:val="22"/>
          <w:szCs w:val="22"/>
        </w:rPr>
        <w:t>, que fuera modificada por la Ley de Financiamiento Productivo</w:t>
      </w:r>
      <w:r w:rsidRPr="00BC4F4B">
        <w:rPr>
          <w:rFonts w:ascii="Garamond" w:hAnsi="Garamond" w:cstheme="minorHAnsi"/>
          <w:sz w:val="22"/>
          <w:szCs w:val="22"/>
        </w:rPr>
        <w:t xml:space="preserve"> (en adelante la “LMC”), así como en el Capítulo III de las Normas de la Comisión Nacional de Valores (N.T. 2013), que se detallan en el párrafo 3 de este informe.</w:t>
      </w:r>
    </w:p>
    <w:p w:rsidR="004C7C25" w:rsidRPr="00BC4F4B" w:rsidRDefault="004C7C25" w:rsidP="004C7C25">
      <w:pPr>
        <w:pStyle w:val="Textoinfaud"/>
        <w:spacing w:line="240" w:lineRule="auto"/>
        <w:ind w:left="360" w:hanging="360"/>
        <w:jc w:val="both"/>
        <w:rPr>
          <w:rFonts w:ascii="Garamond" w:hAnsi="Garamond" w:cstheme="minorHAnsi"/>
          <w:sz w:val="22"/>
          <w:szCs w:val="22"/>
        </w:rPr>
      </w:pPr>
    </w:p>
    <w:p w:rsidR="004C7C25" w:rsidRPr="00BC4F4B" w:rsidRDefault="004C7C25" w:rsidP="004C7C25">
      <w:pPr>
        <w:pStyle w:val="Textoinfaud"/>
        <w:spacing w:line="240" w:lineRule="auto"/>
        <w:ind w:left="360" w:hanging="360"/>
        <w:jc w:val="both"/>
        <w:rPr>
          <w:rFonts w:ascii="Garamond" w:hAnsi="Garamond" w:cstheme="minorHAnsi"/>
          <w:sz w:val="22"/>
          <w:szCs w:val="22"/>
        </w:rPr>
      </w:pPr>
    </w:p>
    <w:p w:rsidR="004C7C25" w:rsidRPr="00BC4F4B" w:rsidRDefault="004C7C25" w:rsidP="004C7C25">
      <w:pPr>
        <w:pStyle w:val="Texprin"/>
        <w:numPr>
          <w:ilvl w:val="0"/>
          <w:numId w:val="1"/>
        </w:numPr>
        <w:tabs>
          <w:tab w:val="clear" w:pos="720"/>
        </w:tabs>
        <w:ind w:left="360"/>
        <w:rPr>
          <w:rFonts w:ascii="Garamond" w:hAnsi="Garamond" w:cstheme="minorHAnsi"/>
          <w:sz w:val="22"/>
          <w:szCs w:val="22"/>
        </w:rPr>
      </w:pPr>
      <w:proofErr w:type="gramStart"/>
      <w:r w:rsidRPr="00BC4F4B">
        <w:rPr>
          <w:rFonts w:ascii="Garamond" w:hAnsi="Garamond" w:cstheme="minorHAnsi"/>
          <w:sz w:val="22"/>
          <w:szCs w:val="22"/>
        </w:rPr>
        <w:t>De acuerdo a</w:t>
      </w:r>
      <w:proofErr w:type="gramEnd"/>
      <w:r w:rsidRPr="00BC4F4B">
        <w:rPr>
          <w:rFonts w:ascii="Garamond" w:hAnsi="Garamond" w:cstheme="minorHAnsi"/>
          <w:sz w:val="22"/>
          <w:szCs w:val="22"/>
        </w:rPr>
        <w:t xml:space="preserve"> lo establecido en las normas legales mencionadas en el párrafo 1, el Comité de Auditoría debe evaluar ciertas cuestiones relacionadas con la emisión de información contable, los sistemas de control interno y la gestión de riesgos de la Sociedad, revisar los planes de los auditores externos e internos y evaluar su desempeño, así como también emitir opiniones específicas sobre ciertos temas que se detallan en dichas normas. No es responsabilidad del Comité de Auditoría efectuar un control de gestión sobre las operaciones de la Sociedad, tener a su cargo el control interno de la Sociedad, tomar decisiones sobre el diseño e implementación de los sistemas de información contable, ni tampoco preparar los estados financieros y otra información contable que emita la Sociedad para uso de terceros, dado que estas funciones son responsabilidad de la Dirección de la Sociedad. Asimismo, la auditoría de los estados financieros de la Sociedad es responsabilidad de los auditores externos, quienes deben emitir una opinión sobre si los mismos están preparados de conformidad con las Normas Internacionales de Información Financiera y las normas pertinentes de la Ley de Sociedades Comerciales y la Comisión Nacional de Valores.</w:t>
      </w:r>
    </w:p>
    <w:p w:rsidR="004C7C25" w:rsidRPr="00BC4F4B" w:rsidRDefault="004C7C25" w:rsidP="004C7C25">
      <w:pPr>
        <w:pStyle w:val="Textoinfaud"/>
        <w:spacing w:line="240" w:lineRule="auto"/>
        <w:jc w:val="both"/>
        <w:rPr>
          <w:rFonts w:ascii="Garamond" w:hAnsi="Garamond" w:cstheme="minorHAnsi"/>
          <w:sz w:val="22"/>
          <w:szCs w:val="22"/>
        </w:rPr>
      </w:pPr>
    </w:p>
    <w:p w:rsidR="004C7C25" w:rsidRPr="00BC4F4B" w:rsidRDefault="004C7C25" w:rsidP="004C7C25">
      <w:pPr>
        <w:pStyle w:val="Textoinfaud"/>
        <w:spacing w:line="240" w:lineRule="auto"/>
        <w:jc w:val="both"/>
        <w:rPr>
          <w:rFonts w:ascii="Garamond" w:hAnsi="Garamond" w:cstheme="minorHAnsi"/>
          <w:sz w:val="22"/>
          <w:szCs w:val="22"/>
        </w:rPr>
      </w:pPr>
    </w:p>
    <w:p w:rsidR="004C7C25" w:rsidRPr="00BC4F4B" w:rsidRDefault="004C7C25" w:rsidP="004C7C25">
      <w:pPr>
        <w:pStyle w:val="Textoinfaud"/>
        <w:spacing w:line="240" w:lineRule="auto"/>
        <w:ind w:left="360" w:hanging="360"/>
        <w:jc w:val="both"/>
        <w:rPr>
          <w:rFonts w:ascii="Garamond" w:hAnsi="Garamond" w:cstheme="minorHAnsi"/>
          <w:sz w:val="22"/>
          <w:szCs w:val="22"/>
        </w:rPr>
      </w:pPr>
      <w:r w:rsidRPr="00BC4F4B">
        <w:rPr>
          <w:rFonts w:ascii="Garamond" w:hAnsi="Garamond" w:cstheme="minorHAnsi"/>
          <w:sz w:val="22"/>
          <w:szCs w:val="22"/>
        </w:rPr>
        <w:t>3.</w:t>
      </w:r>
      <w:r w:rsidRPr="00BC4F4B">
        <w:rPr>
          <w:rFonts w:ascii="Garamond" w:hAnsi="Garamond" w:cstheme="minorHAnsi"/>
          <w:sz w:val="22"/>
          <w:szCs w:val="22"/>
        </w:rPr>
        <w:tab/>
        <w:t>En relación con el tratamiento dado a las cuestiones de competencia del Comité previstas en el artículo 110 de la LMC y en las Normas de la CNV informamos lo siguiente:</w:t>
      </w:r>
    </w:p>
    <w:p w:rsidR="004C7C25" w:rsidRPr="00BC4F4B" w:rsidRDefault="004C7C25" w:rsidP="004C7C25">
      <w:pPr>
        <w:pStyle w:val="Texprin"/>
        <w:rPr>
          <w:rFonts w:ascii="Garamond" w:hAnsi="Garamond" w:cstheme="minorHAnsi"/>
          <w:bCs/>
          <w:sz w:val="22"/>
          <w:szCs w:val="22"/>
        </w:rPr>
      </w:pPr>
    </w:p>
    <w:p w:rsidR="004C7C25" w:rsidRPr="00BC4F4B" w:rsidRDefault="004C7C25" w:rsidP="004C7C25">
      <w:pPr>
        <w:pStyle w:val="Texprin"/>
        <w:ind w:left="720" w:hanging="360"/>
        <w:rPr>
          <w:rFonts w:ascii="Garamond" w:hAnsi="Garamond" w:cstheme="minorHAnsi"/>
          <w:bCs/>
          <w:sz w:val="22"/>
          <w:szCs w:val="22"/>
        </w:rPr>
      </w:pPr>
    </w:p>
    <w:p w:rsidR="004C7C25" w:rsidRPr="00BC4F4B" w:rsidRDefault="004C7C25" w:rsidP="004C7C25">
      <w:pPr>
        <w:pStyle w:val="Texprin"/>
        <w:ind w:left="720" w:hanging="360"/>
        <w:rPr>
          <w:rFonts w:ascii="Garamond" w:hAnsi="Garamond" w:cstheme="minorHAnsi"/>
          <w:sz w:val="22"/>
          <w:szCs w:val="22"/>
        </w:rPr>
      </w:pPr>
      <w:r w:rsidRPr="00BC4F4B">
        <w:rPr>
          <w:rFonts w:ascii="Garamond" w:hAnsi="Garamond" w:cstheme="minorHAnsi"/>
          <w:bCs/>
          <w:sz w:val="22"/>
          <w:szCs w:val="22"/>
        </w:rPr>
        <w:t>a)</w:t>
      </w:r>
      <w:r w:rsidRPr="00BC4F4B">
        <w:rPr>
          <w:rFonts w:ascii="Garamond" w:hAnsi="Garamond" w:cstheme="minorHAnsi"/>
          <w:bCs/>
          <w:sz w:val="22"/>
          <w:szCs w:val="22"/>
        </w:rPr>
        <w:tab/>
      </w:r>
      <w:r w:rsidRPr="00BC4F4B">
        <w:rPr>
          <w:rFonts w:ascii="Garamond" w:hAnsi="Garamond" w:cstheme="minorHAnsi"/>
          <w:sz w:val="22"/>
          <w:szCs w:val="22"/>
        </w:rPr>
        <w:t>Con fecha 6 de octubre de 2016</w:t>
      </w:r>
      <w:r>
        <w:rPr>
          <w:rFonts w:ascii="Garamond" w:hAnsi="Garamond" w:cstheme="minorHAnsi"/>
          <w:sz w:val="22"/>
          <w:szCs w:val="22"/>
        </w:rPr>
        <w:t>,</w:t>
      </w:r>
      <w:r w:rsidRPr="00BC4F4B">
        <w:rPr>
          <w:rFonts w:ascii="Garamond" w:hAnsi="Garamond" w:cstheme="minorHAnsi"/>
          <w:sz w:val="22"/>
          <w:szCs w:val="22"/>
        </w:rPr>
        <w:t xml:space="preserve"> la Asamblea de Accionistas de la Sociedad adecuó su estatuto al marco regulatorio expuesto. Dicha modificación fue inscripta en la Inspección General de Justicia de la Ciudad Autónoma de Buenos Aires con fecha 25 de abril de 2017. </w:t>
      </w:r>
    </w:p>
    <w:p w:rsidR="004C7C25" w:rsidRPr="00BC4F4B" w:rsidRDefault="004C7C25" w:rsidP="004C7C25">
      <w:pPr>
        <w:pStyle w:val="Texprin"/>
        <w:rPr>
          <w:rFonts w:ascii="Garamond" w:hAnsi="Garamond" w:cstheme="minorHAnsi"/>
          <w:sz w:val="22"/>
          <w:szCs w:val="22"/>
        </w:rPr>
      </w:pPr>
    </w:p>
    <w:p w:rsidR="004C7C25" w:rsidRDefault="004C7C25" w:rsidP="004C7C25">
      <w:pPr>
        <w:pStyle w:val="Texprin"/>
        <w:ind w:left="720"/>
        <w:rPr>
          <w:rFonts w:ascii="Garamond" w:hAnsi="Garamond" w:cstheme="minorHAnsi"/>
          <w:sz w:val="22"/>
          <w:szCs w:val="22"/>
        </w:rPr>
      </w:pPr>
      <w:r w:rsidRPr="00BC4F4B">
        <w:rPr>
          <w:rFonts w:ascii="Garamond" w:hAnsi="Garamond" w:cstheme="minorHAnsi"/>
          <w:sz w:val="22"/>
          <w:szCs w:val="22"/>
        </w:rPr>
        <w:t>Por su parte, con fecha 28 de abril de 2017 el Directorio de la Sociedad designó a los directores que integra</w:t>
      </w:r>
      <w:r>
        <w:rPr>
          <w:rFonts w:ascii="Garamond" w:hAnsi="Garamond" w:cstheme="minorHAnsi"/>
          <w:sz w:val="22"/>
          <w:szCs w:val="22"/>
        </w:rPr>
        <w:t>ron el</w:t>
      </w:r>
      <w:r w:rsidRPr="00BC4F4B">
        <w:rPr>
          <w:rFonts w:ascii="Garamond" w:hAnsi="Garamond" w:cstheme="minorHAnsi"/>
          <w:sz w:val="22"/>
          <w:szCs w:val="22"/>
        </w:rPr>
        <w:t xml:space="preserve"> Comité de Auditoría de Molinos Agro</w:t>
      </w:r>
      <w:r>
        <w:rPr>
          <w:rFonts w:ascii="Garamond" w:hAnsi="Garamond" w:cstheme="minorHAnsi"/>
          <w:sz w:val="22"/>
          <w:szCs w:val="22"/>
        </w:rPr>
        <w:t xml:space="preserve"> y</w:t>
      </w:r>
      <w:r w:rsidRPr="00BC4F4B">
        <w:rPr>
          <w:rFonts w:ascii="Garamond" w:hAnsi="Garamond" w:cstheme="minorHAnsi"/>
          <w:sz w:val="22"/>
          <w:szCs w:val="22"/>
        </w:rPr>
        <w:t xml:space="preserve"> puso en funcionamiento dicho Comité. Los directores que integra</w:t>
      </w:r>
      <w:r>
        <w:rPr>
          <w:rFonts w:ascii="Garamond" w:hAnsi="Garamond" w:cstheme="minorHAnsi"/>
          <w:sz w:val="22"/>
          <w:szCs w:val="22"/>
        </w:rPr>
        <w:t>ron</w:t>
      </w:r>
      <w:r w:rsidRPr="00BC4F4B">
        <w:rPr>
          <w:rFonts w:ascii="Garamond" w:hAnsi="Garamond" w:cstheme="minorHAnsi"/>
          <w:sz w:val="22"/>
          <w:szCs w:val="22"/>
        </w:rPr>
        <w:t xml:space="preserve"> el Comité de Auditoría para el ejercicio finalizado el 31 de marzo de 201</w:t>
      </w:r>
      <w:r>
        <w:rPr>
          <w:rFonts w:ascii="Garamond" w:hAnsi="Garamond" w:cstheme="minorHAnsi"/>
          <w:sz w:val="22"/>
          <w:szCs w:val="22"/>
        </w:rPr>
        <w:t>9</w:t>
      </w:r>
      <w:r w:rsidRPr="00BC4F4B">
        <w:rPr>
          <w:rFonts w:ascii="Garamond" w:hAnsi="Garamond" w:cstheme="minorHAnsi"/>
          <w:sz w:val="22"/>
          <w:szCs w:val="22"/>
        </w:rPr>
        <w:t xml:space="preserve"> fueron designados </w:t>
      </w:r>
      <w:r>
        <w:rPr>
          <w:rFonts w:ascii="Garamond" w:hAnsi="Garamond" w:cstheme="minorHAnsi"/>
          <w:sz w:val="22"/>
          <w:szCs w:val="22"/>
        </w:rPr>
        <w:t>en</w:t>
      </w:r>
      <w:r w:rsidRPr="00BC4F4B">
        <w:rPr>
          <w:rFonts w:ascii="Garamond" w:hAnsi="Garamond" w:cstheme="minorHAnsi"/>
          <w:sz w:val="22"/>
          <w:szCs w:val="22"/>
        </w:rPr>
        <w:t xml:space="preserve"> la reunión de Directorio de fecha 31 de julio de 201</w:t>
      </w:r>
      <w:r>
        <w:rPr>
          <w:rFonts w:ascii="Garamond" w:hAnsi="Garamond" w:cstheme="minorHAnsi"/>
          <w:sz w:val="22"/>
          <w:szCs w:val="22"/>
        </w:rPr>
        <w:t>8</w:t>
      </w:r>
      <w:r w:rsidRPr="00BC4F4B">
        <w:rPr>
          <w:rFonts w:ascii="Garamond" w:hAnsi="Garamond" w:cstheme="minorHAnsi"/>
          <w:sz w:val="22"/>
          <w:szCs w:val="22"/>
        </w:rPr>
        <w:t>.</w:t>
      </w:r>
    </w:p>
    <w:p w:rsidR="004C7C25" w:rsidRDefault="004C7C25" w:rsidP="004C7C25">
      <w:pPr>
        <w:pStyle w:val="Texprin"/>
        <w:ind w:left="720"/>
        <w:rPr>
          <w:rFonts w:ascii="Garamond" w:hAnsi="Garamond" w:cstheme="minorHAnsi"/>
          <w:sz w:val="22"/>
          <w:szCs w:val="22"/>
        </w:rPr>
      </w:pPr>
    </w:p>
    <w:p w:rsidR="004C7C25" w:rsidRPr="00BC4F4B" w:rsidRDefault="004C7C25" w:rsidP="004C7C25">
      <w:pPr>
        <w:pStyle w:val="Texprin"/>
        <w:ind w:left="720"/>
        <w:rPr>
          <w:rFonts w:ascii="Garamond" w:hAnsi="Garamond" w:cstheme="minorHAnsi"/>
          <w:sz w:val="22"/>
          <w:szCs w:val="22"/>
        </w:rPr>
      </w:pPr>
      <w:r>
        <w:rPr>
          <w:rFonts w:ascii="Garamond" w:hAnsi="Garamond" w:cstheme="minorHAnsi"/>
          <w:sz w:val="22"/>
          <w:szCs w:val="22"/>
        </w:rPr>
        <w:t xml:space="preserve">Asimismo, es dable aclarar que el director Hernán </w:t>
      </w:r>
      <w:proofErr w:type="spellStart"/>
      <w:r>
        <w:rPr>
          <w:rFonts w:ascii="Garamond" w:hAnsi="Garamond" w:cstheme="minorHAnsi"/>
          <w:sz w:val="22"/>
          <w:szCs w:val="22"/>
        </w:rPr>
        <w:t>Gioia</w:t>
      </w:r>
      <w:proofErr w:type="spellEnd"/>
      <w:r>
        <w:rPr>
          <w:rFonts w:ascii="Garamond" w:hAnsi="Garamond" w:cstheme="minorHAnsi"/>
          <w:sz w:val="22"/>
          <w:szCs w:val="22"/>
        </w:rPr>
        <w:t xml:space="preserve">, designado en la reunión de Directorio mencionada, presentó en fecha 27 de marzo de 2019, su renuncia al cargo de director titular de Molinos Agro y a su cargo de director integrante de este Comité, siendo reemplazado en fecha 1° de abril de 2019 por el director suplente Mariano Mazur, </w:t>
      </w:r>
      <w:proofErr w:type="gramStart"/>
      <w:r>
        <w:rPr>
          <w:rFonts w:ascii="Garamond" w:hAnsi="Garamond" w:cstheme="minorHAnsi"/>
          <w:sz w:val="22"/>
          <w:szCs w:val="22"/>
        </w:rPr>
        <w:t>quien</w:t>
      </w:r>
      <w:proofErr w:type="gramEnd"/>
      <w:r>
        <w:rPr>
          <w:rFonts w:ascii="Garamond" w:hAnsi="Garamond" w:cstheme="minorHAnsi"/>
          <w:sz w:val="22"/>
          <w:szCs w:val="22"/>
        </w:rPr>
        <w:t xml:space="preserve"> a </w:t>
      </w:r>
      <w:r>
        <w:rPr>
          <w:rFonts w:ascii="Garamond" w:hAnsi="Garamond" w:cstheme="minorHAnsi"/>
          <w:sz w:val="22"/>
          <w:szCs w:val="22"/>
        </w:rPr>
        <w:lastRenderedPageBreak/>
        <w:t>su vez, ocupó la vacante en el presente Comité de Auditoría. Dicha circunstancia, ha sido debidamente comunicada como hecho relevante a la Comisión Nacional de Valores.</w:t>
      </w:r>
    </w:p>
    <w:p w:rsidR="004C7C25" w:rsidRPr="00BC4F4B" w:rsidRDefault="004C7C25" w:rsidP="004C7C25">
      <w:pPr>
        <w:pStyle w:val="Texprin"/>
        <w:ind w:left="360" w:hanging="360"/>
        <w:rPr>
          <w:rFonts w:ascii="Garamond" w:hAnsi="Garamond" w:cstheme="minorHAnsi"/>
          <w:bCs/>
          <w:sz w:val="22"/>
          <w:szCs w:val="22"/>
        </w:rPr>
      </w:pPr>
    </w:p>
    <w:p w:rsidR="004C7C25" w:rsidRPr="00BC4F4B" w:rsidRDefault="004C7C25" w:rsidP="004C7C25">
      <w:pPr>
        <w:pStyle w:val="Texprin"/>
        <w:ind w:left="720" w:hanging="360"/>
        <w:rPr>
          <w:rFonts w:ascii="Garamond" w:hAnsi="Garamond" w:cstheme="minorHAnsi"/>
          <w:sz w:val="22"/>
          <w:szCs w:val="22"/>
        </w:rPr>
      </w:pPr>
      <w:r w:rsidRPr="00BC4F4B">
        <w:rPr>
          <w:rFonts w:ascii="Garamond" w:hAnsi="Garamond" w:cstheme="minorHAnsi"/>
          <w:sz w:val="22"/>
          <w:szCs w:val="22"/>
        </w:rPr>
        <w:t>b)</w:t>
      </w:r>
      <w:r w:rsidRPr="00BC4F4B">
        <w:rPr>
          <w:rFonts w:ascii="Garamond" w:hAnsi="Garamond" w:cstheme="minorHAnsi"/>
          <w:sz w:val="22"/>
          <w:szCs w:val="22"/>
        </w:rPr>
        <w:tab/>
        <w:t>El Comité está compuesto por 3 miembros titulares del Directorio, siendo su mayoría independientes en los términos de las Normas de la CNV. Este Comité está</w:t>
      </w:r>
      <w:r>
        <w:rPr>
          <w:rFonts w:ascii="Garamond" w:hAnsi="Garamond" w:cstheme="minorHAnsi"/>
          <w:sz w:val="22"/>
          <w:szCs w:val="22"/>
        </w:rPr>
        <w:t xml:space="preserve"> </w:t>
      </w:r>
      <w:proofErr w:type="gramStart"/>
      <w:r>
        <w:rPr>
          <w:rFonts w:ascii="Garamond" w:hAnsi="Garamond" w:cstheme="minorHAnsi"/>
          <w:sz w:val="22"/>
          <w:szCs w:val="22"/>
        </w:rPr>
        <w:t xml:space="preserve">actualmente </w:t>
      </w:r>
      <w:r w:rsidRPr="00BC4F4B">
        <w:rPr>
          <w:rFonts w:ascii="Garamond" w:hAnsi="Garamond" w:cstheme="minorHAnsi"/>
          <w:sz w:val="22"/>
          <w:szCs w:val="22"/>
        </w:rPr>
        <w:t xml:space="preserve"> constituido</w:t>
      </w:r>
      <w:proofErr w:type="gramEnd"/>
      <w:r w:rsidRPr="00BC4F4B">
        <w:rPr>
          <w:rFonts w:ascii="Garamond" w:hAnsi="Garamond" w:cstheme="minorHAnsi"/>
          <w:sz w:val="22"/>
          <w:szCs w:val="22"/>
        </w:rPr>
        <w:t xml:space="preserve"> por Juan Manuel </w:t>
      </w:r>
      <w:proofErr w:type="spellStart"/>
      <w:r w:rsidRPr="00BC4F4B">
        <w:rPr>
          <w:rFonts w:ascii="Garamond" w:hAnsi="Garamond" w:cstheme="minorHAnsi"/>
          <w:sz w:val="22"/>
          <w:szCs w:val="22"/>
        </w:rPr>
        <w:t>Forn</w:t>
      </w:r>
      <w:proofErr w:type="spellEnd"/>
      <w:r w:rsidRPr="00BC4F4B">
        <w:rPr>
          <w:rFonts w:ascii="Garamond" w:hAnsi="Garamond" w:cstheme="minorHAnsi"/>
          <w:sz w:val="22"/>
          <w:szCs w:val="22"/>
        </w:rPr>
        <w:t xml:space="preserve"> y Oscar Miguel Castro, ambos directores independientes, designados por la Asamblea Ordinaria del 31 de julio de 2017, y </w:t>
      </w:r>
      <w:r>
        <w:rPr>
          <w:rFonts w:ascii="Garamond" w:hAnsi="Garamond" w:cstheme="minorHAnsi"/>
          <w:sz w:val="22"/>
          <w:szCs w:val="22"/>
        </w:rPr>
        <w:t>Mariano Mazur</w:t>
      </w:r>
      <w:r w:rsidRPr="00BC4F4B">
        <w:rPr>
          <w:rFonts w:ascii="Garamond" w:hAnsi="Garamond" w:cstheme="minorHAnsi"/>
          <w:sz w:val="22"/>
          <w:szCs w:val="22"/>
        </w:rPr>
        <w:t xml:space="preserve">, director no independiente designado </w:t>
      </w:r>
      <w:r>
        <w:rPr>
          <w:rFonts w:ascii="Garamond" w:hAnsi="Garamond" w:cstheme="minorHAnsi"/>
          <w:sz w:val="22"/>
          <w:szCs w:val="22"/>
        </w:rPr>
        <w:t xml:space="preserve">en reemplazo del Director renunciante Hernán </w:t>
      </w:r>
      <w:proofErr w:type="spellStart"/>
      <w:r>
        <w:rPr>
          <w:rFonts w:ascii="Garamond" w:hAnsi="Garamond" w:cstheme="minorHAnsi"/>
          <w:sz w:val="22"/>
          <w:szCs w:val="22"/>
        </w:rPr>
        <w:t>Gioia</w:t>
      </w:r>
      <w:proofErr w:type="spellEnd"/>
      <w:r>
        <w:rPr>
          <w:rFonts w:ascii="Garamond" w:hAnsi="Garamond" w:cstheme="minorHAnsi"/>
          <w:sz w:val="22"/>
          <w:szCs w:val="22"/>
        </w:rPr>
        <w:t>, tal como fuera mencionado en el punto anterior</w:t>
      </w:r>
      <w:r w:rsidRPr="00BC4F4B">
        <w:rPr>
          <w:rFonts w:ascii="Garamond" w:hAnsi="Garamond" w:cstheme="minorHAnsi"/>
          <w:sz w:val="22"/>
          <w:szCs w:val="22"/>
        </w:rPr>
        <w:t xml:space="preserve">. </w:t>
      </w:r>
    </w:p>
    <w:p w:rsidR="004C7C25" w:rsidRPr="00BC4F4B" w:rsidRDefault="004C7C25" w:rsidP="004C7C25">
      <w:pPr>
        <w:pStyle w:val="Texprin"/>
        <w:rPr>
          <w:rFonts w:ascii="Garamond" w:hAnsi="Garamond" w:cstheme="minorHAnsi"/>
          <w:sz w:val="22"/>
          <w:szCs w:val="22"/>
        </w:rPr>
      </w:pPr>
    </w:p>
    <w:p w:rsidR="004C7C25" w:rsidRPr="00BC4F4B" w:rsidRDefault="004C7C25" w:rsidP="004C7C25">
      <w:pPr>
        <w:pStyle w:val="Texprin"/>
        <w:ind w:left="720"/>
        <w:rPr>
          <w:rFonts w:ascii="Garamond" w:hAnsi="Garamond" w:cstheme="minorHAnsi"/>
          <w:sz w:val="22"/>
          <w:szCs w:val="22"/>
        </w:rPr>
      </w:pPr>
      <w:r w:rsidRPr="00BC4F4B">
        <w:rPr>
          <w:rFonts w:ascii="Garamond" w:hAnsi="Garamond" w:cstheme="minorHAnsi"/>
          <w:sz w:val="22"/>
          <w:szCs w:val="22"/>
        </w:rPr>
        <w:t>El Comité se rige por un reglamento interno de funcionamiento, el cual ha sido aprobado el 24 de mayo de 2017. Durante el ejercicio finalizado el 31 de marzo de 201</w:t>
      </w:r>
      <w:r>
        <w:rPr>
          <w:rFonts w:ascii="Garamond" w:hAnsi="Garamond" w:cstheme="minorHAnsi"/>
          <w:sz w:val="22"/>
          <w:szCs w:val="22"/>
        </w:rPr>
        <w:t>9</w:t>
      </w:r>
      <w:r w:rsidRPr="00BC4F4B">
        <w:rPr>
          <w:rFonts w:ascii="Garamond" w:hAnsi="Garamond" w:cstheme="minorHAnsi"/>
          <w:sz w:val="22"/>
          <w:szCs w:val="22"/>
        </w:rPr>
        <w:t xml:space="preserve"> y hasta la fecha de emisión de este informe, el Comité ha tenido </w:t>
      </w:r>
      <w:r>
        <w:rPr>
          <w:rFonts w:ascii="Garamond" w:hAnsi="Garamond" w:cstheme="minorHAnsi"/>
          <w:sz w:val="22"/>
          <w:szCs w:val="22"/>
        </w:rPr>
        <w:t>5</w:t>
      </w:r>
      <w:r w:rsidRPr="00BC4F4B">
        <w:rPr>
          <w:rFonts w:ascii="Garamond" w:hAnsi="Garamond" w:cstheme="minorHAnsi"/>
          <w:sz w:val="22"/>
          <w:szCs w:val="22"/>
        </w:rPr>
        <w:t xml:space="preserve"> reuniones.</w:t>
      </w:r>
    </w:p>
    <w:p w:rsidR="004C7C25" w:rsidRPr="00BC4F4B" w:rsidRDefault="004C7C25" w:rsidP="004C7C25">
      <w:pPr>
        <w:pStyle w:val="Texprin"/>
        <w:rPr>
          <w:rFonts w:ascii="Garamond" w:hAnsi="Garamond" w:cstheme="minorHAnsi"/>
          <w:sz w:val="22"/>
          <w:szCs w:val="22"/>
        </w:rPr>
      </w:pPr>
    </w:p>
    <w:p w:rsidR="004C7C25" w:rsidRPr="00BC4F4B" w:rsidRDefault="004C7C25" w:rsidP="004C7C25">
      <w:pPr>
        <w:pStyle w:val="Texprin"/>
        <w:ind w:left="720"/>
        <w:rPr>
          <w:rFonts w:ascii="Garamond" w:hAnsi="Garamond" w:cstheme="minorHAnsi"/>
          <w:sz w:val="22"/>
          <w:szCs w:val="22"/>
        </w:rPr>
      </w:pPr>
      <w:r w:rsidRPr="00BC4F4B">
        <w:rPr>
          <w:rFonts w:ascii="Garamond" w:hAnsi="Garamond" w:cstheme="minorHAnsi"/>
          <w:sz w:val="22"/>
          <w:szCs w:val="22"/>
        </w:rPr>
        <w:t>Que el Comité ha aprobado y puesto a consideración del Directorio el plan de actuación por el ejercicio finalizado el 31 de marzo de 201</w:t>
      </w:r>
      <w:r>
        <w:rPr>
          <w:rFonts w:ascii="Garamond" w:hAnsi="Garamond" w:cstheme="minorHAnsi"/>
          <w:sz w:val="22"/>
          <w:szCs w:val="22"/>
        </w:rPr>
        <w:t>9</w:t>
      </w:r>
      <w:r w:rsidRPr="00BC4F4B">
        <w:rPr>
          <w:rFonts w:ascii="Garamond" w:hAnsi="Garamond" w:cstheme="minorHAnsi"/>
          <w:sz w:val="22"/>
          <w:szCs w:val="22"/>
        </w:rPr>
        <w:t>, previsto en el artículo 110 de la LMC.</w:t>
      </w:r>
    </w:p>
    <w:p w:rsidR="004C7C25" w:rsidRPr="00BC4F4B" w:rsidRDefault="004C7C25" w:rsidP="004C7C25">
      <w:pPr>
        <w:pStyle w:val="Texprin"/>
        <w:rPr>
          <w:rFonts w:ascii="Garamond" w:hAnsi="Garamond" w:cstheme="minorHAnsi"/>
          <w:sz w:val="22"/>
          <w:szCs w:val="22"/>
        </w:rPr>
      </w:pPr>
    </w:p>
    <w:p w:rsidR="004C7C25" w:rsidRPr="00BC4F4B" w:rsidRDefault="004C7C25" w:rsidP="004C7C25">
      <w:pPr>
        <w:pStyle w:val="Texprin"/>
        <w:rPr>
          <w:rFonts w:ascii="Garamond" w:hAnsi="Garamond" w:cstheme="minorHAnsi"/>
          <w:sz w:val="22"/>
          <w:szCs w:val="22"/>
        </w:rPr>
      </w:pPr>
    </w:p>
    <w:p w:rsidR="004C7C25" w:rsidRPr="00BC4F4B" w:rsidRDefault="004C7C25" w:rsidP="004C7C25">
      <w:pPr>
        <w:pStyle w:val="Texprin"/>
        <w:numPr>
          <w:ilvl w:val="0"/>
          <w:numId w:val="2"/>
        </w:numPr>
        <w:rPr>
          <w:rFonts w:ascii="Garamond" w:hAnsi="Garamond" w:cstheme="minorHAnsi"/>
          <w:sz w:val="22"/>
          <w:szCs w:val="22"/>
        </w:rPr>
      </w:pPr>
      <w:r w:rsidRPr="00BC4F4B">
        <w:rPr>
          <w:rFonts w:ascii="Garamond" w:hAnsi="Garamond" w:cstheme="minorHAnsi"/>
          <w:sz w:val="22"/>
          <w:szCs w:val="22"/>
        </w:rPr>
        <w:t xml:space="preserve">Hemos efectuado los controles que consideramos necesarios de acuerdo con las circunstancias en relación con las cuestiones de competencia del Comité previstas en el artículo 110 de la LMC y en la Normas de la CNV, los cuales incluyeron: a) evaluaciones del control interno de la Sociedad, de las políticas en materia de información de riesgos de la Sociedad y de la confiabilidad de la información presentada a la CNV y a la Bolsa de Comercio de Buenos Aires, del proceso seguido por la Dirección de la Sociedad para tratar las violaciones al Código de Conducta de la Sociedad y de las operaciones con partes relacionadas, b) revisiones de los planes de los auditores externos </w:t>
      </w:r>
      <w:r w:rsidRPr="00BC4F4B">
        <w:rPr>
          <w:rFonts w:ascii="Garamond" w:hAnsi="Garamond" w:cstheme="minorHAnsi"/>
          <w:sz w:val="22"/>
          <w:szCs w:val="22"/>
          <w:lang w:val="es-ES"/>
        </w:rPr>
        <w:t>para sus revisiones limitadas por los períodos intermedios finalizados el 30 de junio</w:t>
      </w:r>
      <w:r>
        <w:rPr>
          <w:rFonts w:ascii="Garamond" w:hAnsi="Garamond" w:cstheme="minorHAnsi"/>
          <w:sz w:val="22"/>
          <w:szCs w:val="22"/>
          <w:lang w:val="es-ES"/>
        </w:rPr>
        <w:t>,</w:t>
      </w:r>
      <w:r w:rsidRPr="00BC4F4B">
        <w:rPr>
          <w:rFonts w:ascii="Garamond" w:hAnsi="Garamond" w:cstheme="minorHAnsi"/>
          <w:sz w:val="22"/>
          <w:szCs w:val="22"/>
          <w:lang w:val="es-ES"/>
        </w:rPr>
        <w:t xml:space="preserve"> 30 de septiembre </w:t>
      </w:r>
      <w:r>
        <w:rPr>
          <w:rFonts w:ascii="Garamond" w:hAnsi="Garamond" w:cstheme="minorHAnsi"/>
          <w:sz w:val="22"/>
          <w:szCs w:val="22"/>
          <w:lang w:val="es-ES"/>
        </w:rPr>
        <w:t>y</w:t>
      </w:r>
      <w:r w:rsidRPr="00BC4F4B">
        <w:rPr>
          <w:rFonts w:ascii="Garamond" w:hAnsi="Garamond" w:cstheme="minorHAnsi"/>
          <w:sz w:val="22"/>
          <w:szCs w:val="22"/>
          <w:lang w:val="es-ES"/>
        </w:rPr>
        <w:t xml:space="preserve"> 31 de diciembre de 2018 y para su auditoría por el ejercicio finalizado el 31 de marzo de 201</w:t>
      </w:r>
      <w:r>
        <w:rPr>
          <w:rFonts w:ascii="Garamond" w:hAnsi="Garamond" w:cstheme="minorHAnsi"/>
          <w:sz w:val="22"/>
          <w:szCs w:val="22"/>
          <w:lang w:val="es-ES"/>
        </w:rPr>
        <w:t>9</w:t>
      </w:r>
      <w:r w:rsidRPr="00BC4F4B">
        <w:rPr>
          <w:rFonts w:ascii="Garamond" w:hAnsi="Garamond" w:cstheme="minorHAnsi"/>
          <w:sz w:val="22"/>
          <w:szCs w:val="22"/>
          <w:lang w:val="es-ES"/>
        </w:rPr>
        <w:t xml:space="preserve">, evaluación de su desempeño e independencia y, c) </w:t>
      </w:r>
      <w:r w:rsidRPr="00BC4F4B">
        <w:rPr>
          <w:rFonts w:ascii="Garamond" w:hAnsi="Garamond" w:cstheme="minorHAnsi"/>
          <w:sz w:val="22"/>
          <w:szCs w:val="22"/>
        </w:rPr>
        <w:t>revisiones de los planes de los auditores internos y evaluación de su desempeño.</w:t>
      </w:r>
    </w:p>
    <w:p w:rsidR="004C7C25" w:rsidRPr="00BC4F4B" w:rsidRDefault="004C7C25" w:rsidP="004C7C25">
      <w:pPr>
        <w:pStyle w:val="Textoinfaud"/>
        <w:tabs>
          <w:tab w:val="clear" w:pos="720"/>
          <w:tab w:val="clear" w:pos="1080"/>
        </w:tabs>
        <w:spacing w:line="240" w:lineRule="auto"/>
        <w:jc w:val="both"/>
        <w:rPr>
          <w:rFonts w:ascii="Garamond" w:hAnsi="Garamond" w:cstheme="minorHAnsi"/>
          <w:sz w:val="22"/>
          <w:szCs w:val="22"/>
          <w:lang w:val="es-ES_tradnl"/>
        </w:rPr>
      </w:pPr>
    </w:p>
    <w:p w:rsidR="004C7C25" w:rsidRPr="00BC4F4B" w:rsidRDefault="004C7C25" w:rsidP="004C7C25">
      <w:pPr>
        <w:pStyle w:val="Textoinfaud"/>
        <w:tabs>
          <w:tab w:val="clear" w:pos="720"/>
          <w:tab w:val="clear" w:pos="1080"/>
        </w:tabs>
        <w:spacing w:line="240" w:lineRule="auto"/>
        <w:ind w:left="720"/>
        <w:jc w:val="both"/>
        <w:rPr>
          <w:rFonts w:ascii="Garamond" w:hAnsi="Garamond" w:cstheme="minorHAnsi"/>
          <w:sz w:val="22"/>
          <w:szCs w:val="22"/>
          <w:lang w:val="es-ES"/>
        </w:rPr>
      </w:pPr>
      <w:r w:rsidRPr="00BC4F4B">
        <w:rPr>
          <w:rFonts w:ascii="Garamond" w:hAnsi="Garamond" w:cstheme="minorHAnsi"/>
          <w:sz w:val="22"/>
          <w:szCs w:val="22"/>
          <w:lang w:val="es-ES"/>
        </w:rPr>
        <w:t>Del trabajo realizado no han surgido observaciones que formular.</w:t>
      </w:r>
    </w:p>
    <w:p w:rsidR="004C7C25" w:rsidRPr="00BC4F4B" w:rsidRDefault="004C7C25" w:rsidP="004C7C25">
      <w:pPr>
        <w:pStyle w:val="Textoinfaud"/>
        <w:tabs>
          <w:tab w:val="clear" w:pos="720"/>
          <w:tab w:val="clear" w:pos="1080"/>
        </w:tabs>
        <w:spacing w:line="240" w:lineRule="auto"/>
        <w:jc w:val="both"/>
        <w:rPr>
          <w:rFonts w:ascii="Garamond" w:hAnsi="Garamond" w:cstheme="minorHAnsi"/>
          <w:sz w:val="22"/>
          <w:szCs w:val="22"/>
          <w:lang w:val="es-ES"/>
        </w:rPr>
      </w:pPr>
    </w:p>
    <w:p w:rsidR="004C7C25" w:rsidRPr="00BC4F4B" w:rsidRDefault="004C7C25" w:rsidP="004C7C25">
      <w:pPr>
        <w:pStyle w:val="Textoinfaud"/>
        <w:tabs>
          <w:tab w:val="clear" w:pos="720"/>
          <w:tab w:val="clear" w:pos="1080"/>
        </w:tabs>
        <w:spacing w:line="240" w:lineRule="auto"/>
        <w:jc w:val="both"/>
        <w:rPr>
          <w:rFonts w:ascii="Garamond" w:hAnsi="Garamond" w:cstheme="minorHAnsi"/>
          <w:sz w:val="22"/>
          <w:szCs w:val="22"/>
          <w:lang w:val="es-ES"/>
        </w:rPr>
      </w:pPr>
    </w:p>
    <w:p w:rsidR="004C7C25" w:rsidRPr="00BC4F4B" w:rsidRDefault="004C7C25" w:rsidP="004C7C25">
      <w:pPr>
        <w:pStyle w:val="Textoinfaud"/>
        <w:numPr>
          <w:ilvl w:val="0"/>
          <w:numId w:val="2"/>
        </w:numPr>
        <w:tabs>
          <w:tab w:val="clear" w:pos="1080"/>
        </w:tabs>
        <w:spacing w:line="240" w:lineRule="auto"/>
        <w:jc w:val="both"/>
        <w:rPr>
          <w:rFonts w:ascii="Garamond" w:hAnsi="Garamond" w:cstheme="minorHAnsi"/>
          <w:sz w:val="22"/>
          <w:szCs w:val="22"/>
        </w:rPr>
      </w:pPr>
      <w:r w:rsidRPr="00BC4F4B">
        <w:rPr>
          <w:rFonts w:ascii="Garamond" w:hAnsi="Garamond" w:cstheme="minorHAnsi"/>
          <w:sz w:val="22"/>
          <w:szCs w:val="22"/>
          <w:lang w:val="es-ES"/>
        </w:rPr>
        <w:t>Durante</w:t>
      </w:r>
      <w:r w:rsidRPr="00BC4F4B">
        <w:rPr>
          <w:rFonts w:ascii="Garamond" w:hAnsi="Garamond" w:cstheme="minorHAnsi"/>
          <w:sz w:val="22"/>
          <w:szCs w:val="22"/>
        </w:rPr>
        <w:t xml:space="preserve"> el ejercicio finalizado el 31 de marzo de 201</w:t>
      </w:r>
      <w:r>
        <w:rPr>
          <w:rFonts w:ascii="Garamond" w:hAnsi="Garamond" w:cstheme="minorHAnsi"/>
          <w:sz w:val="22"/>
          <w:szCs w:val="22"/>
        </w:rPr>
        <w:t>9</w:t>
      </w:r>
      <w:r w:rsidRPr="00BC4F4B">
        <w:rPr>
          <w:rFonts w:ascii="Garamond" w:hAnsi="Garamond" w:cstheme="minorHAnsi"/>
          <w:sz w:val="22"/>
          <w:szCs w:val="22"/>
        </w:rPr>
        <w:t>:</w:t>
      </w:r>
    </w:p>
    <w:p w:rsidR="004C7C25" w:rsidRPr="00BC4F4B" w:rsidRDefault="004C7C25" w:rsidP="004C7C25">
      <w:pPr>
        <w:pStyle w:val="Textoinfaud"/>
        <w:tabs>
          <w:tab w:val="clear" w:pos="720"/>
          <w:tab w:val="clear" w:pos="1080"/>
        </w:tabs>
        <w:spacing w:line="240" w:lineRule="auto"/>
        <w:jc w:val="both"/>
        <w:rPr>
          <w:rFonts w:ascii="Garamond" w:hAnsi="Garamond" w:cstheme="minorHAnsi"/>
          <w:sz w:val="22"/>
          <w:szCs w:val="22"/>
        </w:rPr>
      </w:pPr>
    </w:p>
    <w:p w:rsidR="004C7C25" w:rsidRPr="00BC4F4B" w:rsidRDefault="004C7C25" w:rsidP="004C7C25">
      <w:pPr>
        <w:pStyle w:val="Textoinfaud"/>
        <w:numPr>
          <w:ilvl w:val="0"/>
          <w:numId w:val="3"/>
        </w:numPr>
        <w:tabs>
          <w:tab w:val="clear" w:pos="720"/>
        </w:tabs>
        <w:spacing w:line="240" w:lineRule="auto"/>
        <w:jc w:val="both"/>
        <w:rPr>
          <w:rFonts w:ascii="Garamond" w:hAnsi="Garamond" w:cstheme="minorHAnsi"/>
          <w:sz w:val="22"/>
          <w:szCs w:val="22"/>
        </w:rPr>
      </w:pPr>
      <w:r w:rsidRPr="00BC4F4B">
        <w:rPr>
          <w:rFonts w:ascii="Garamond" w:hAnsi="Garamond" w:cstheme="minorHAnsi"/>
          <w:sz w:val="22"/>
          <w:szCs w:val="22"/>
        </w:rPr>
        <w:t>No hemos tomado conocimiento de operaciones en las cuales puedan existir conflictos de intereses con integrantes de los órganos sociales o accionistas controlantes.</w:t>
      </w:r>
    </w:p>
    <w:p w:rsidR="004C7C25" w:rsidRPr="00BC4F4B" w:rsidRDefault="004C7C25" w:rsidP="004C7C25">
      <w:pPr>
        <w:pStyle w:val="Textoinfaud"/>
        <w:tabs>
          <w:tab w:val="clear" w:pos="720"/>
          <w:tab w:val="clear" w:pos="1080"/>
        </w:tabs>
        <w:spacing w:line="240" w:lineRule="auto"/>
        <w:jc w:val="both"/>
        <w:rPr>
          <w:rFonts w:ascii="Garamond" w:hAnsi="Garamond" w:cstheme="minorHAnsi"/>
          <w:sz w:val="22"/>
          <w:szCs w:val="22"/>
        </w:rPr>
      </w:pPr>
    </w:p>
    <w:p w:rsidR="004C7C25" w:rsidRPr="00BC4F4B" w:rsidRDefault="004C7C25" w:rsidP="004C7C25">
      <w:pPr>
        <w:pStyle w:val="Textoinfaud"/>
        <w:tabs>
          <w:tab w:val="clear" w:pos="720"/>
          <w:tab w:val="clear" w:pos="1080"/>
        </w:tabs>
        <w:spacing w:line="240" w:lineRule="auto"/>
        <w:ind w:left="1080" w:hanging="360"/>
        <w:jc w:val="both"/>
        <w:rPr>
          <w:rFonts w:ascii="Garamond" w:hAnsi="Garamond" w:cstheme="minorHAnsi"/>
          <w:sz w:val="22"/>
          <w:szCs w:val="22"/>
          <w:lang w:val="es-ES"/>
        </w:rPr>
      </w:pPr>
      <w:proofErr w:type="spellStart"/>
      <w:r w:rsidRPr="00BC4F4B">
        <w:rPr>
          <w:rFonts w:ascii="Garamond" w:hAnsi="Garamond" w:cstheme="minorHAnsi"/>
          <w:sz w:val="22"/>
          <w:szCs w:val="22"/>
        </w:rPr>
        <w:t>ii</w:t>
      </w:r>
      <w:proofErr w:type="spellEnd"/>
      <w:r w:rsidRPr="00BC4F4B">
        <w:rPr>
          <w:rFonts w:ascii="Garamond" w:hAnsi="Garamond" w:cstheme="minorHAnsi"/>
          <w:sz w:val="22"/>
          <w:szCs w:val="22"/>
        </w:rPr>
        <w:t>)</w:t>
      </w:r>
      <w:r w:rsidRPr="00BC4F4B">
        <w:rPr>
          <w:rFonts w:ascii="Garamond" w:hAnsi="Garamond" w:cstheme="minorHAnsi"/>
          <w:sz w:val="22"/>
          <w:szCs w:val="22"/>
        </w:rPr>
        <w:tab/>
        <w:t xml:space="preserve">No hubo </w:t>
      </w:r>
      <w:r w:rsidRPr="00BC4F4B">
        <w:rPr>
          <w:rFonts w:ascii="Garamond" w:hAnsi="Garamond" w:cstheme="minorHAnsi"/>
          <w:sz w:val="22"/>
          <w:szCs w:val="22"/>
          <w:lang w:val="es-ES"/>
        </w:rPr>
        <w:t>aumentos de capital con exclusión o limitación del derecho de preferencia.</w:t>
      </w:r>
    </w:p>
    <w:p w:rsidR="004C7C25" w:rsidRPr="00BC4F4B" w:rsidRDefault="004C7C25" w:rsidP="004C7C25">
      <w:pPr>
        <w:pStyle w:val="Textoinfaud"/>
        <w:tabs>
          <w:tab w:val="clear" w:pos="720"/>
          <w:tab w:val="clear" w:pos="1080"/>
        </w:tabs>
        <w:spacing w:line="240" w:lineRule="auto"/>
        <w:jc w:val="both"/>
        <w:rPr>
          <w:rFonts w:ascii="Garamond" w:hAnsi="Garamond" w:cstheme="minorHAnsi"/>
          <w:sz w:val="22"/>
          <w:szCs w:val="22"/>
          <w:lang w:val="es-ES"/>
        </w:rPr>
      </w:pPr>
    </w:p>
    <w:p w:rsidR="004C7C25" w:rsidRPr="00BC4F4B" w:rsidRDefault="004C7C25" w:rsidP="004C7C25">
      <w:pPr>
        <w:pStyle w:val="Textoinfaud"/>
        <w:tabs>
          <w:tab w:val="clear" w:pos="720"/>
          <w:tab w:val="clear" w:pos="1080"/>
        </w:tabs>
        <w:spacing w:line="240" w:lineRule="auto"/>
        <w:ind w:left="1134" w:hanging="425"/>
        <w:jc w:val="both"/>
        <w:rPr>
          <w:rFonts w:ascii="Garamond" w:hAnsi="Garamond" w:cstheme="minorHAnsi"/>
          <w:sz w:val="22"/>
          <w:szCs w:val="22"/>
          <w:lang w:val="es-ES"/>
        </w:rPr>
      </w:pPr>
      <w:proofErr w:type="spellStart"/>
      <w:r w:rsidRPr="00BC4F4B">
        <w:rPr>
          <w:rFonts w:ascii="Garamond" w:hAnsi="Garamond" w:cstheme="minorHAnsi"/>
          <w:sz w:val="22"/>
          <w:szCs w:val="22"/>
          <w:lang w:val="es-ES"/>
        </w:rPr>
        <w:t>iii</w:t>
      </w:r>
      <w:proofErr w:type="spellEnd"/>
      <w:r w:rsidRPr="00BC4F4B">
        <w:rPr>
          <w:rFonts w:ascii="Garamond" w:hAnsi="Garamond" w:cstheme="minorHAnsi"/>
          <w:sz w:val="22"/>
          <w:szCs w:val="22"/>
          <w:lang w:val="es-ES"/>
        </w:rPr>
        <w:t>)</w:t>
      </w:r>
      <w:r w:rsidRPr="00BC4F4B">
        <w:rPr>
          <w:rFonts w:ascii="Garamond" w:hAnsi="Garamond" w:cstheme="minorHAnsi"/>
          <w:sz w:val="22"/>
          <w:szCs w:val="22"/>
          <w:lang w:val="es-ES"/>
        </w:rPr>
        <w:tab/>
        <w:t xml:space="preserve">El Comité de Auditoría ha emitido </w:t>
      </w:r>
      <w:r>
        <w:rPr>
          <w:rFonts w:ascii="Garamond" w:hAnsi="Garamond" w:cstheme="minorHAnsi"/>
          <w:sz w:val="22"/>
          <w:szCs w:val="22"/>
          <w:lang w:val="es-ES"/>
        </w:rPr>
        <w:t>dos</w:t>
      </w:r>
      <w:r w:rsidRPr="00BC4F4B">
        <w:rPr>
          <w:rFonts w:ascii="Garamond" w:hAnsi="Garamond" w:cstheme="minorHAnsi"/>
          <w:sz w:val="22"/>
          <w:szCs w:val="22"/>
          <w:lang w:val="es-ES"/>
        </w:rPr>
        <w:t xml:space="preserve"> informe</w:t>
      </w:r>
      <w:r>
        <w:rPr>
          <w:rFonts w:ascii="Garamond" w:hAnsi="Garamond" w:cstheme="minorHAnsi"/>
          <w:sz w:val="22"/>
          <w:szCs w:val="22"/>
          <w:lang w:val="es-ES"/>
        </w:rPr>
        <w:t>s</w:t>
      </w:r>
      <w:r w:rsidRPr="00BC4F4B">
        <w:rPr>
          <w:rFonts w:ascii="Garamond" w:hAnsi="Garamond" w:cstheme="minorHAnsi"/>
          <w:sz w:val="22"/>
          <w:szCs w:val="22"/>
          <w:lang w:val="es-ES"/>
        </w:rPr>
        <w:t xml:space="preserve"> en relación a</w:t>
      </w:r>
      <w:r>
        <w:rPr>
          <w:rFonts w:ascii="Garamond" w:hAnsi="Garamond" w:cstheme="minorHAnsi"/>
          <w:sz w:val="22"/>
          <w:szCs w:val="22"/>
          <w:lang w:val="es-ES"/>
        </w:rPr>
        <w:t>:</w:t>
      </w:r>
      <w:r w:rsidRPr="00BC4F4B">
        <w:rPr>
          <w:rFonts w:ascii="Garamond" w:hAnsi="Garamond" w:cstheme="minorHAnsi"/>
          <w:sz w:val="22"/>
          <w:szCs w:val="22"/>
          <w:lang w:val="es-ES"/>
        </w:rPr>
        <w:t xml:space="preserve"> </w:t>
      </w:r>
      <w:r>
        <w:rPr>
          <w:rFonts w:ascii="Garamond" w:hAnsi="Garamond" w:cstheme="minorHAnsi"/>
          <w:sz w:val="22"/>
          <w:szCs w:val="22"/>
          <w:lang w:val="es-ES"/>
        </w:rPr>
        <w:t xml:space="preserve">(i) </w:t>
      </w:r>
      <w:r w:rsidRPr="00BC4F4B">
        <w:rPr>
          <w:rFonts w:ascii="Garamond" w:hAnsi="Garamond" w:cstheme="minorHAnsi"/>
          <w:sz w:val="22"/>
          <w:szCs w:val="22"/>
          <w:lang w:val="es-ES"/>
        </w:rPr>
        <w:t xml:space="preserve">la renovación de las operaciones de adquisición de aceite vegetal crudo de soja, efectuadas con Molinos </w:t>
      </w:r>
      <w:r>
        <w:rPr>
          <w:rFonts w:ascii="Garamond" w:hAnsi="Garamond" w:cstheme="minorHAnsi"/>
          <w:sz w:val="22"/>
          <w:szCs w:val="22"/>
          <w:lang w:val="es-ES"/>
        </w:rPr>
        <w:t xml:space="preserve">Rio de la Plata </w:t>
      </w:r>
      <w:proofErr w:type="gramStart"/>
      <w:r>
        <w:rPr>
          <w:rFonts w:ascii="Garamond" w:hAnsi="Garamond" w:cstheme="minorHAnsi"/>
          <w:sz w:val="22"/>
          <w:szCs w:val="22"/>
          <w:lang w:val="es-ES"/>
        </w:rPr>
        <w:t>S.A.</w:t>
      </w:r>
      <w:r w:rsidRPr="00BC4F4B">
        <w:rPr>
          <w:rFonts w:ascii="Garamond" w:hAnsi="Garamond" w:cstheme="minorHAnsi"/>
          <w:sz w:val="22"/>
          <w:szCs w:val="22"/>
          <w:lang w:val="es-ES"/>
        </w:rPr>
        <w:t xml:space="preserve"> </w:t>
      </w:r>
      <w:r>
        <w:rPr>
          <w:rFonts w:ascii="Garamond" w:hAnsi="Garamond" w:cstheme="minorHAnsi"/>
          <w:sz w:val="22"/>
          <w:szCs w:val="22"/>
          <w:lang w:val="es-ES"/>
        </w:rPr>
        <w:t>,</w:t>
      </w:r>
      <w:proofErr w:type="gramEnd"/>
      <w:r>
        <w:rPr>
          <w:rFonts w:ascii="Garamond" w:hAnsi="Garamond" w:cstheme="minorHAnsi"/>
          <w:sz w:val="22"/>
          <w:szCs w:val="22"/>
          <w:lang w:val="es-ES"/>
        </w:rPr>
        <w:t xml:space="preserve"> y (</w:t>
      </w:r>
      <w:proofErr w:type="spellStart"/>
      <w:r>
        <w:rPr>
          <w:rFonts w:ascii="Garamond" w:hAnsi="Garamond" w:cstheme="minorHAnsi"/>
          <w:sz w:val="22"/>
          <w:szCs w:val="22"/>
          <w:lang w:val="es-ES"/>
        </w:rPr>
        <w:t>ii</w:t>
      </w:r>
      <w:proofErr w:type="spellEnd"/>
      <w:r>
        <w:rPr>
          <w:rFonts w:ascii="Garamond" w:hAnsi="Garamond" w:cstheme="minorHAnsi"/>
          <w:sz w:val="22"/>
          <w:szCs w:val="22"/>
          <w:lang w:val="es-ES"/>
        </w:rPr>
        <w:t xml:space="preserve">) la celebración de operaciones de cesión de crédito fiscal a Molinos Rio de la Plata S.A. y </w:t>
      </w:r>
      <w:proofErr w:type="spellStart"/>
      <w:r>
        <w:rPr>
          <w:rFonts w:ascii="Garamond" w:hAnsi="Garamond" w:cstheme="minorHAnsi"/>
          <w:sz w:val="22"/>
          <w:szCs w:val="22"/>
          <w:lang w:val="es-ES"/>
        </w:rPr>
        <w:t>Pecom</w:t>
      </w:r>
      <w:proofErr w:type="spellEnd"/>
      <w:r>
        <w:rPr>
          <w:rFonts w:ascii="Garamond" w:hAnsi="Garamond" w:cstheme="minorHAnsi"/>
          <w:sz w:val="22"/>
          <w:szCs w:val="22"/>
          <w:lang w:val="es-ES"/>
        </w:rPr>
        <w:t xml:space="preserve"> Servicios Energía S.A., </w:t>
      </w:r>
      <w:r w:rsidRPr="00BC4F4B">
        <w:rPr>
          <w:rFonts w:ascii="Garamond" w:hAnsi="Garamond" w:cstheme="minorHAnsi"/>
          <w:sz w:val="22"/>
          <w:szCs w:val="22"/>
          <w:lang w:val="es-ES"/>
        </w:rPr>
        <w:t xml:space="preserve">en atención a lo establecido en el artículo 110, inciso h) de la LMC. En </w:t>
      </w:r>
      <w:r>
        <w:rPr>
          <w:rFonts w:ascii="Garamond" w:hAnsi="Garamond" w:cstheme="minorHAnsi"/>
          <w:sz w:val="22"/>
          <w:szCs w:val="22"/>
          <w:lang w:val="es-ES"/>
        </w:rPr>
        <w:t>ambos</w:t>
      </w:r>
      <w:r w:rsidRPr="00BC4F4B">
        <w:rPr>
          <w:rFonts w:ascii="Garamond" w:hAnsi="Garamond" w:cstheme="minorHAnsi"/>
          <w:sz w:val="22"/>
          <w:szCs w:val="22"/>
          <w:lang w:val="es-ES"/>
        </w:rPr>
        <w:t xml:space="preserve"> informe</w:t>
      </w:r>
      <w:r>
        <w:rPr>
          <w:rFonts w:ascii="Garamond" w:hAnsi="Garamond" w:cstheme="minorHAnsi"/>
          <w:sz w:val="22"/>
          <w:szCs w:val="22"/>
          <w:lang w:val="es-ES"/>
        </w:rPr>
        <w:t>s</w:t>
      </w:r>
      <w:r w:rsidRPr="00BC4F4B">
        <w:rPr>
          <w:rFonts w:ascii="Garamond" w:hAnsi="Garamond" w:cstheme="minorHAnsi"/>
          <w:sz w:val="22"/>
          <w:szCs w:val="22"/>
          <w:lang w:val="es-ES"/>
        </w:rPr>
        <w:t>, el Comité manifiest</w:t>
      </w:r>
      <w:r>
        <w:rPr>
          <w:rFonts w:ascii="Garamond" w:hAnsi="Garamond" w:cstheme="minorHAnsi"/>
          <w:sz w:val="22"/>
          <w:szCs w:val="22"/>
          <w:lang w:val="es-ES"/>
        </w:rPr>
        <w:t>a</w:t>
      </w:r>
      <w:r w:rsidRPr="00BC4F4B">
        <w:rPr>
          <w:rFonts w:ascii="Garamond" w:hAnsi="Garamond" w:cstheme="minorHAnsi"/>
          <w:sz w:val="22"/>
          <w:szCs w:val="22"/>
          <w:lang w:val="es-ES"/>
        </w:rPr>
        <w:t xml:space="preserve"> que las operaciones concertadas entre las partes </w:t>
      </w:r>
      <w:r>
        <w:rPr>
          <w:rFonts w:ascii="Garamond" w:hAnsi="Garamond" w:cstheme="minorHAnsi"/>
          <w:sz w:val="22"/>
          <w:szCs w:val="22"/>
          <w:lang w:val="es-ES"/>
        </w:rPr>
        <w:t xml:space="preserve">mencionadas </w:t>
      </w:r>
      <w:r w:rsidRPr="00BC4F4B">
        <w:rPr>
          <w:rFonts w:ascii="Garamond" w:hAnsi="Garamond" w:cstheme="minorHAnsi"/>
          <w:sz w:val="22"/>
          <w:szCs w:val="22"/>
          <w:lang w:val="es-ES"/>
        </w:rPr>
        <w:t>pueden ser razonablemente consideradas adecuadas a las condiciones normales y habituales del mercado para operaciones similares celebradas entre partes independientes</w:t>
      </w:r>
      <w:r>
        <w:rPr>
          <w:rFonts w:ascii="Garamond" w:hAnsi="Garamond" w:cstheme="minorHAnsi"/>
          <w:sz w:val="22"/>
          <w:szCs w:val="22"/>
          <w:lang w:val="es-ES"/>
        </w:rPr>
        <w:t xml:space="preserve">. </w:t>
      </w:r>
    </w:p>
    <w:p w:rsidR="004C7C25" w:rsidRPr="00BC4F4B" w:rsidRDefault="004C7C25" w:rsidP="004C7C25">
      <w:pPr>
        <w:pStyle w:val="Textoinfaud"/>
        <w:tabs>
          <w:tab w:val="clear" w:pos="720"/>
          <w:tab w:val="clear" w:pos="1080"/>
        </w:tabs>
        <w:spacing w:line="240" w:lineRule="auto"/>
        <w:ind w:left="1134" w:hanging="425"/>
        <w:jc w:val="both"/>
        <w:rPr>
          <w:rFonts w:ascii="Garamond" w:hAnsi="Garamond" w:cstheme="minorHAnsi"/>
          <w:sz w:val="22"/>
          <w:szCs w:val="22"/>
          <w:lang w:val="es-ES"/>
        </w:rPr>
      </w:pPr>
    </w:p>
    <w:p w:rsidR="004C7C25" w:rsidRPr="00BC4F4B" w:rsidRDefault="004C7C25" w:rsidP="004C7C25">
      <w:pPr>
        <w:autoSpaceDE w:val="0"/>
        <w:autoSpaceDN w:val="0"/>
        <w:adjustRightInd w:val="0"/>
        <w:spacing w:line="240" w:lineRule="atLeast"/>
        <w:ind w:left="1080" w:hanging="360"/>
        <w:jc w:val="both"/>
        <w:rPr>
          <w:rFonts w:ascii="Garamond" w:hAnsi="Garamond" w:cstheme="minorHAnsi"/>
          <w:sz w:val="22"/>
          <w:szCs w:val="22"/>
          <w:lang w:val="es-AR"/>
        </w:rPr>
      </w:pPr>
      <w:proofErr w:type="spellStart"/>
      <w:r w:rsidRPr="00BC4F4B">
        <w:rPr>
          <w:rFonts w:ascii="Garamond" w:hAnsi="Garamond" w:cstheme="minorHAnsi"/>
          <w:sz w:val="22"/>
          <w:szCs w:val="22"/>
          <w:lang w:val="es-ES"/>
        </w:rPr>
        <w:t>iv</w:t>
      </w:r>
      <w:proofErr w:type="spellEnd"/>
      <w:r w:rsidRPr="00BC4F4B">
        <w:rPr>
          <w:rFonts w:ascii="Garamond" w:hAnsi="Garamond" w:cstheme="minorHAnsi"/>
          <w:sz w:val="22"/>
          <w:szCs w:val="22"/>
          <w:lang w:val="es-ES"/>
        </w:rPr>
        <w:t>)</w:t>
      </w:r>
      <w:r w:rsidRPr="00BC4F4B">
        <w:rPr>
          <w:rFonts w:ascii="Garamond" w:hAnsi="Garamond" w:cstheme="minorHAnsi"/>
          <w:sz w:val="22"/>
          <w:szCs w:val="22"/>
          <w:lang w:val="es-ES"/>
        </w:rPr>
        <w:tab/>
      </w:r>
      <w:r w:rsidR="002A7C5C" w:rsidRPr="00F84FD0">
        <w:rPr>
          <w:rFonts w:ascii="Garamond" w:hAnsi="Garamond" w:cstheme="minorHAnsi"/>
          <w:sz w:val="22"/>
          <w:szCs w:val="22"/>
          <w:lang w:val="es-AR"/>
        </w:rPr>
        <w:t xml:space="preserve">Según información recibida el día 17 de mayo de 2019 de la Gerencia de Administración y Control, los honorarios facturados por los auditores externos a la Sociedad durante el ejercicio finalizado el 31 de marzo de 2019 ascienden a la suma total de $ 11.236.068 que corresponden a honorarios de auditoría externa de estados financieros trimestrales y anual y otros servicios relacionados destinados a otorgar confiabilidad a terceros por $ 10.791.298 y $ 311.428, respectivamente, y a servicios especiales distintos de los </w:t>
      </w:r>
      <w:r w:rsidR="002A7C5C" w:rsidRPr="00F84FD0">
        <w:rPr>
          <w:rFonts w:ascii="Garamond" w:hAnsi="Garamond" w:cstheme="minorHAnsi"/>
          <w:sz w:val="22"/>
          <w:szCs w:val="22"/>
          <w:lang w:val="es-AR"/>
        </w:rPr>
        <w:lastRenderedPageBreak/>
        <w:t>mencionados anteriormente por $ 133.342, según el criterio de discriminación previsto en las Normas de la Comisión Nacional de Valores</w:t>
      </w:r>
      <w:r w:rsidR="002A7C5C" w:rsidRPr="00BC4F4B">
        <w:rPr>
          <w:rFonts w:ascii="Garamond" w:hAnsi="Garamond" w:cstheme="minorHAnsi"/>
          <w:sz w:val="22"/>
          <w:szCs w:val="22"/>
          <w:lang w:val="es-AR"/>
        </w:rPr>
        <w:t xml:space="preserve"> (N.T. 2013)</w:t>
      </w:r>
      <w:bookmarkStart w:id="0" w:name="_GoBack"/>
      <w:bookmarkEnd w:id="0"/>
      <w:r w:rsidRPr="00BC4F4B">
        <w:rPr>
          <w:rFonts w:ascii="Garamond" w:hAnsi="Garamond" w:cstheme="minorHAnsi"/>
          <w:sz w:val="22"/>
          <w:szCs w:val="22"/>
          <w:lang w:val="es-AR"/>
        </w:rPr>
        <w:t>.</w:t>
      </w:r>
    </w:p>
    <w:p w:rsidR="004C7C25" w:rsidRPr="00BC4F4B" w:rsidRDefault="004C7C25" w:rsidP="004C7C25">
      <w:pPr>
        <w:pStyle w:val="Textoinfaud"/>
        <w:spacing w:line="240" w:lineRule="auto"/>
        <w:jc w:val="both"/>
        <w:rPr>
          <w:rFonts w:ascii="Garamond" w:hAnsi="Garamond" w:cstheme="minorHAnsi"/>
          <w:sz w:val="22"/>
          <w:szCs w:val="22"/>
        </w:rPr>
      </w:pPr>
    </w:p>
    <w:p w:rsidR="004C7C25" w:rsidRPr="00BC4F4B" w:rsidRDefault="004C7C25" w:rsidP="004C7C25">
      <w:pPr>
        <w:pStyle w:val="Textoinfaud"/>
        <w:spacing w:line="240" w:lineRule="auto"/>
        <w:jc w:val="both"/>
        <w:rPr>
          <w:rFonts w:ascii="Garamond" w:hAnsi="Garamond" w:cstheme="minorHAnsi"/>
          <w:sz w:val="22"/>
          <w:szCs w:val="22"/>
        </w:rPr>
      </w:pPr>
    </w:p>
    <w:p w:rsidR="004C7C25" w:rsidRPr="00BC4F4B" w:rsidRDefault="004C7C25" w:rsidP="004C7C25">
      <w:pPr>
        <w:pStyle w:val="Textoinfaud"/>
        <w:spacing w:line="240" w:lineRule="auto"/>
        <w:jc w:val="both"/>
        <w:rPr>
          <w:rFonts w:ascii="Garamond" w:hAnsi="Garamond" w:cstheme="minorHAnsi"/>
          <w:sz w:val="22"/>
          <w:szCs w:val="22"/>
        </w:rPr>
      </w:pPr>
      <w:r w:rsidRPr="00BC4F4B">
        <w:rPr>
          <w:rFonts w:ascii="Garamond" w:hAnsi="Garamond" w:cstheme="minorHAnsi"/>
          <w:sz w:val="22"/>
          <w:szCs w:val="22"/>
        </w:rPr>
        <w:t xml:space="preserve">Ciudad Autónoma de Buenos Aires, </w:t>
      </w:r>
      <w:r>
        <w:rPr>
          <w:rFonts w:ascii="Garamond" w:hAnsi="Garamond" w:cstheme="minorHAnsi"/>
          <w:sz w:val="22"/>
          <w:szCs w:val="22"/>
        </w:rPr>
        <w:t>20 de mayo</w:t>
      </w:r>
      <w:r w:rsidRPr="00BC4F4B">
        <w:rPr>
          <w:rFonts w:ascii="Garamond" w:hAnsi="Garamond" w:cstheme="minorHAnsi"/>
          <w:sz w:val="22"/>
          <w:szCs w:val="22"/>
        </w:rPr>
        <w:t xml:space="preserve"> de 201</w:t>
      </w:r>
      <w:r>
        <w:rPr>
          <w:rFonts w:ascii="Garamond" w:hAnsi="Garamond" w:cstheme="minorHAnsi"/>
          <w:sz w:val="22"/>
          <w:szCs w:val="22"/>
        </w:rPr>
        <w:t>9</w:t>
      </w:r>
      <w:r w:rsidRPr="00BC4F4B">
        <w:rPr>
          <w:rFonts w:ascii="Garamond" w:hAnsi="Garamond" w:cstheme="minorHAnsi"/>
          <w:sz w:val="22"/>
          <w:szCs w:val="22"/>
        </w:rPr>
        <w:t>.</w:t>
      </w:r>
    </w:p>
    <w:p w:rsidR="004C7C25" w:rsidRPr="00BC4F4B" w:rsidRDefault="004C7C25" w:rsidP="004C7C25">
      <w:pPr>
        <w:pStyle w:val="Textoinfaud"/>
        <w:spacing w:line="240" w:lineRule="auto"/>
        <w:jc w:val="both"/>
        <w:rPr>
          <w:rFonts w:ascii="Garamond" w:hAnsi="Garamond" w:cstheme="minorHAnsi"/>
          <w:sz w:val="22"/>
          <w:szCs w:val="22"/>
        </w:rPr>
      </w:pPr>
    </w:p>
    <w:p w:rsidR="004C7C25" w:rsidRPr="00BC4F4B" w:rsidRDefault="004C7C25" w:rsidP="004C7C25">
      <w:pPr>
        <w:pStyle w:val="Textoinfaud"/>
        <w:tabs>
          <w:tab w:val="clear" w:pos="720"/>
          <w:tab w:val="clear" w:pos="1080"/>
        </w:tabs>
        <w:spacing w:line="240" w:lineRule="auto"/>
        <w:jc w:val="both"/>
        <w:rPr>
          <w:rFonts w:ascii="Garamond" w:hAnsi="Garamond" w:cstheme="minorHAnsi"/>
          <w:sz w:val="22"/>
          <w:szCs w:val="22"/>
          <w:lang w:val="es-ES"/>
        </w:rPr>
      </w:pPr>
    </w:p>
    <w:p w:rsidR="004C7C25" w:rsidRPr="00BC4F4B" w:rsidRDefault="004C7C25" w:rsidP="004C7C25">
      <w:pPr>
        <w:pStyle w:val="Textoinfaud"/>
        <w:tabs>
          <w:tab w:val="clear" w:pos="720"/>
          <w:tab w:val="clear" w:pos="1080"/>
        </w:tabs>
        <w:spacing w:line="240" w:lineRule="auto"/>
        <w:jc w:val="both"/>
        <w:rPr>
          <w:rFonts w:ascii="Garamond" w:hAnsi="Garamond" w:cstheme="minorHAnsi"/>
          <w:sz w:val="22"/>
          <w:szCs w:val="22"/>
          <w:lang w:val="es-ES"/>
        </w:rPr>
      </w:pPr>
    </w:p>
    <w:p w:rsidR="004C7C25" w:rsidRPr="00BC4F4B" w:rsidRDefault="004C7C25" w:rsidP="004C7C25">
      <w:pPr>
        <w:pStyle w:val="Textoinfaud"/>
        <w:tabs>
          <w:tab w:val="clear" w:pos="720"/>
          <w:tab w:val="clear" w:pos="1080"/>
        </w:tabs>
        <w:spacing w:line="240" w:lineRule="auto"/>
        <w:jc w:val="both"/>
        <w:rPr>
          <w:rFonts w:ascii="Garamond" w:hAnsi="Garamond" w:cstheme="minorHAnsi"/>
          <w:sz w:val="22"/>
          <w:szCs w:val="22"/>
          <w:lang w:val="es-ES"/>
        </w:rPr>
      </w:pPr>
    </w:p>
    <w:p w:rsidR="004C7C25" w:rsidRPr="00BC4F4B" w:rsidRDefault="004C7C25" w:rsidP="004C7C25">
      <w:pPr>
        <w:pStyle w:val="Textoinfaud"/>
        <w:tabs>
          <w:tab w:val="clear" w:pos="720"/>
          <w:tab w:val="clear" w:pos="1080"/>
        </w:tabs>
        <w:spacing w:line="240" w:lineRule="auto"/>
        <w:jc w:val="both"/>
        <w:rPr>
          <w:rFonts w:ascii="Garamond" w:hAnsi="Garamond" w:cstheme="minorHAnsi"/>
          <w:sz w:val="22"/>
          <w:szCs w:val="22"/>
          <w:lang w:val="es-ES"/>
        </w:rPr>
      </w:pPr>
    </w:p>
    <w:tbl>
      <w:tblPr>
        <w:tblW w:w="5191" w:type="dxa"/>
        <w:tblInd w:w="4361" w:type="dxa"/>
        <w:tblLook w:val="01E0" w:firstRow="1" w:lastRow="1" w:firstColumn="1" w:lastColumn="1" w:noHBand="0" w:noVBand="0"/>
      </w:tblPr>
      <w:tblGrid>
        <w:gridCol w:w="5191"/>
      </w:tblGrid>
      <w:tr w:rsidR="004C7C25" w:rsidRPr="00BC4F4B" w:rsidTr="00B17557">
        <w:tc>
          <w:tcPr>
            <w:tcW w:w="5103" w:type="dxa"/>
          </w:tcPr>
          <w:p w:rsidR="004C7C25" w:rsidRDefault="004C7C25" w:rsidP="00B17557">
            <w:pPr>
              <w:pStyle w:val="Textoinfaud"/>
              <w:tabs>
                <w:tab w:val="clear" w:pos="720"/>
                <w:tab w:val="clear" w:pos="1080"/>
              </w:tabs>
              <w:spacing w:line="240" w:lineRule="auto"/>
              <w:ind w:left="-108"/>
              <w:jc w:val="center"/>
              <w:rPr>
                <w:rFonts w:ascii="Garamond" w:hAnsi="Garamond" w:cstheme="minorHAnsi"/>
                <w:sz w:val="22"/>
                <w:szCs w:val="22"/>
                <w:lang w:val="es-ES"/>
              </w:rPr>
            </w:pPr>
            <w:r w:rsidRPr="00BC4F4B">
              <w:rPr>
                <w:rFonts w:ascii="Garamond" w:hAnsi="Garamond" w:cstheme="minorHAnsi"/>
                <w:sz w:val="22"/>
                <w:szCs w:val="22"/>
                <w:lang w:val="es-ES"/>
              </w:rPr>
              <w:t>Comité de Auditoría</w:t>
            </w:r>
          </w:p>
          <w:p w:rsidR="004C7C25" w:rsidRDefault="004C7C25" w:rsidP="00B17557">
            <w:pPr>
              <w:pStyle w:val="Textoinfaud"/>
              <w:tabs>
                <w:tab w:val="clear" w:pos="720"/>
                <w:tab w:val="clear" w:pos="1080"/>
              </w:tabs>
              <w:spacing w:line="240" w:lineRule="auto"/>
              <w:ind w:left="-108"/>
              <w:jc w:val="center"/>
              <w:rPr>
                <w:rFonts w:ascii="Garamond" w:hAnsi="Garamond" w:cstheme="minorHAnsi"/>
                <w:sz w:val="22"/>
                <w:szCs w:val="22"/>
                <w:lang w:val="es-ES"/>
              </w:rPr>
            </w:pPr>
            <w:r>
              <w:rPr>
                <w:rFonts w:ascii="Garamond" w:hAnsi="Garamond" w:cstheme="minorHAnsi"/>
                <w:sz w:val="22"/>
                <w:szCs w:val="22"/>
                <w:lang w:val="es-ES"/>
              </w:rPr>
              <w:t xml:space="preserve">Juan Manuel </w:t>
            </w:r>
            <w:proofErr w:type="spellStart"/>
            <w:r>
              <w:rPr>
                <w:rFonts w:ascii="Garamond" w:hAnsi="Garamond" w:cstheme="minorHAnsi"/>
                <w:sz w:val="22"/>
                <w:szCs w:val="22"/>
                <w:lang w:val="es-ES"/>
              </w:rPr>
              <w:t>Forn</w:t>
            </w:r>
            <w:proofErr w:type="spellEnd"/>
          </w:p>
          <w:p w:rsidR="004C7C25" w:rsidRPr="00BC4F4B" w:rsidDel="00516307" w:rsidRDefault="004C7C25" w:rsidP="00B17557">
            <w:pPr>
              <w:pStyle w:val="Textoinfaud"/>
              <w:tabs>
                <w:tab w:val="clear" w:pos="720"/>
                <w:tab w:val="clear" w:pos="1080"/>
              </w:tabs>
              <w:spacing w:line="240" w:lineRule="auto"/>
              <w:ind w:left="-108"/>
              <w:jc w:val="center"/>
              <w:rPr>
                <w:rFonts w:ascii="Garamond" w:hAnsi="Garamond" w:cstheme="minorHAnsi"/>
                <w:sz w:val="22"/>
                <w:szCs w:val="22"/>
                <w:lang w:val="es-ES"/>
              </w:rPr>
            </w:pPr>
            <w:r>
              <w:rPr>
                <w:rFonts w:ascii="Garamond" w:hAnsi="Garamond" w:cstheme="minorHAnsi"/>
                <w:sz w:val="22"/>
                <w:szCs w:val="22"/>
                <w:lang w:val="es-ES"/>
              </w:rPr>
              <w:t>Presidente del Comité</w:t>
            </w:r>
          </w:p>
        </w:tc>
      </w:tr>
    </w:tbl>
    <w:p w:rsidR="000C0E74" w:rsidRPr="004C7C25" w:rsidRDefault="000C0E74" w:rsidP="004C7C25"/>
    <w:sectPr w:rsidR="000C0E74" w:rsidRPr="004C7C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351"/>
    <w:multiLevelType w:val="hybridMultilevel"/>
    <w:tmpl w:val="FFE6B706"/>
    <w:lvl w:ilvl="0" w:tplc="5A4EC1D0">
      <w:start w:val="9"/>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29944B87"/>
    <w:multiLevelType w:val="hybridMultilevel"/>
    <w:tmpl w:val="3B0CA0BC"/>
    <w:lvl w:ilvl="0" w:tplc="57224B6E">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B9196E"/>
    <w:multiLevelType w:val="hybridMultilevel"/>
    <w:tmpl w:val="A59E13CE"/>
    <w:lvl w:ilvl="0" w:tplc="404E4A60">
      <w:start w:val="3"/>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6E"/>
    <w:rsid w:val="000C0E74"/>
    <w:rsid w:val="000E3B84"/>
    <w:rsid w:val="002A7C5C"/>
    <w:rsid w:val="0043726E"/>
    <w:rsid w:val="004C7C2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EF9AC-B295-4326-B019-A612616B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26E"/>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principal">
    <w:name w:val="Título principal"/>
    <w:basedOn w:val="Normal"/>
    <w:uiPriority w:val="99"/>
    <w:rsid w:val="0043726E"/>
    <w:pPr>
      <w:jc w:val="center"/>
    </w:pPr>
    <w:rPr>
      <w:rFonts w:ascii="Arial" w:hAnsi="Arial"/>
      <w:b/>
      <w:szCs w:val="20"/>
      <w:lang w:val="es-AR" w:eastAsia="en-US"/>
    </w:rPr>
  </w:style>
  <w:style w:type="paragraph" w:customStyle="1" w:styleId="Textoinfaud">
    <w:name w:val="Texto inf. aud."/>
    <w:basedOn w:val="Normal"/>
    <w:uiPriority w:val="99"/>
    <w:rsid w:val="0043726E"/>
    <w:pPr>
      <w:tabs>
        <w:tab w:val="left" w:pos="720"/>
        <w:tab w:val="left" w:pos="1080"/>
      </w:tabs>
      <w:spacing w:line="360" w:lineRule="atLeast"/>
    </w:pPr>
    <w:rPr>
      <w:rFonts w:ascii="Arial" w:hAnsi="Arial"/>
      <w:sz w:val="19"/>
      <w:szCs w:val="20"/>
      <w:lang w:val="es-AR" w:eastAsia="en-US"/>
    </w:rPr>
  </w:style>
  <w:style w:type="paragraph" w:customStyle="1" w:styleId="Texprin">
    <w:name w:val="Texprin"/>
    <w:basedOn w:val="Normal"/>
    <w:uiPriority w:val="99"/>
    <w:rsid w:val="0043726E"/>
    <w:pPr>
      <w:jc w:val="both"/>
    </w:pPr>
    <w:rPr>
      <w:rFonts w:ascii="Book Antiqua" w:hAnsi="Book Antiqua"/>
      <w:sz w:val="20"/>
      <w:szCs w:val="2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1101</Words>
  <Characters>6060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Maria</dc:creator>
  <cp:keywords/>
  <dc:description/>
  <cp:lastModifiedBy>Jenkins, Maria</cp:lastModifiedBy>
  <cp:revision>4</cp:revision>
  <cp:lastPrinted>2019-05-20T12:45:00Z</cp:lastPrinted>
  <dcterms:created xsi:type="dcterms:W3CDTF">2019-05-17T13:33:00Z</dcterms:created>
  <dcterms:modified xsi:type="dcterms:W3CDTF">2019-05-20T12:48:00Z</dcterms:modified>
</cp:coreProperties>
</file>