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2A379A" w14:textId="77777777" w:rsidR="0027691B" w:rsidRPr="004C78D0" w:rsidRDefault="0027691B" w:rsidP="0027691B">
      <w:pPr>
        <w:pStyle w:val="Ttuloprincipal"/>
        <w:spacing w:line="360" w:lineRule="auto"/>
        <w:outlineLvl w:val="0"/>
        <w:rPr>
          <w:rFonts w:ascii="Garamond" w:hAnsi="Garamond"/>
          <w:i/>
          <w:iCs/>
          <w:szCs w:val="24"/>
        </w:rPr>
      </w:pPr>
      <w:r w:rsidRPr="004C78D0">
        <w:rPr>
          <w:rFonts w:ascii="Garamond" w:hAnsi="Garamond"/>
          <w:i/>
          <w:iCs/>
          <w:szCs w:val="24"/>
        </w:rPr>
        <w:t xml:space="preserve">INFORME DEL COMITÉ DE AUDITORIA SOBRE OPERACIONES DE </w:t>
      </w:r>
      <w:r>
        <w:rPr>
          <w:rFonts w:ascii="Garamond" w:hAnsi="Garamond"/>
          <w:i/>
          <w:iCs/>
          <w:szCs w:val="24"/>
        </w:rPr>
        <w:t>SUMINISTRO</w:t>
      </w:r>
      <w:r w:rsidRPr="004C78D0">
        <w:rPr>
          <w:rFonts w:ascii="Garamond" w:hAnsi="Garamond"/>
          <w:i/>
          <w:iCs/>
          <w:szCs w:val="24"/>
        </w:rPr>
        <w:t xml:space="preserve"> DE ACEITE </w:t>
      </w:r>
      <w:r>
        <w:rPr>
          <w:rFonts w:ascii="Garamond" w:hAnsi="Garamond"/>
          <w:i/>
          <w:iCs/>
          <w:szCs w:val="24"/>
        </w:rPr>
        <w:t>DE GIRASOL</w:t>
      </w:r>
      <w:r w:rsidRPr="004C78D0">
        <w:rPr>
          <w:rFonts w:ascii="Garamond" w:hAnsi="Garamond"/>
          <w:i/>
          <w:iCs/>
          <w:szCs w:val="24"/>
        </w:rPr>
        <w:t xml:space="preserve"> CON MOLINOS </w:t>
      </w:r>
      <w:r>
        <w:rPr>
          <w:rFonts w:ascii="Garamond" w:hAnsi="Garamond"/>
          <w:i/>
          <w:iCs/>
          <w:szCs w:val="24"/>
        </w:rPr>
        <w:t xml:space="preserve">RIO DE LA PLATA </w:t>
      </w:r>
      <w:r w:rsidRPr="004C78D0">
        <w:rPr>
          <w:rFonts w:ascii="Garamond" w:hAnsi="Garamond"/>
          <w:i/>
          <w:iCs/>
          <w:szCs w:val="24"/>
        </w:rPr>
        <w:t>S.A.</w:t>
      </w:r>
    </w:p>
    <w:p w14:paraId="54A3D5D4" w14:textId="77777777" w:rsidR="0027691B" w:rsidRPr="004C78D0" w:rsidRDefault="0027691B" w:rsidP="0027691B">
      <w:pPr>
        <w:pStyle w:val="Textoinfaud"/>
        <w:spacing w:line="360" w:lineRule="auto"/>
        <w:jc w:val="both"/>
        <w:rPr>
          <w:rFonts w:ascii="Garamond" w:hAnsi="Garamond"/>
          <w:i/>
          <w:iCs/>
          <w:sz w:val="24"/>
          <w:szCs w:val="24"/>
        </w:rPr>
      </w:pPr>
    </w:p>
    <w:p w14:paraId="2C4EF96A" w14:textId="77777777" w:rsidR="0027691B" w:rsidRPr="004C78D0" w:rsidRDefault="0027691B" w:rsidP="0027691B">
      <w:pPr>
        <w:pStyle w:val="Textoinfaud"/>
        <w:spacing w:line="360" w:lineRule="auto"/>
        <w:jc w:val="both"/>
        <w:outlineLvl w:val="0"/>
        <w:rPr>
          <w:rFonts w:ascii="Garamond" w:hAnsi="Garamond"/>
          <w:i/>
          <w:iCs/>
          <w:sz w:val="24"/>
          <w:szCs w:val="24"/>
        </w:rPr>
      </w:pPr>
      <w:r w:rsidRPr="004C78D0">
        <w:rPr>
          <w:rFonts w:ascii="Garamond" w:hAnsi="Garamond"/>
          <w:i/>
          <w:iCs/>
          <w:sz w:val="24"/>
          <w:szCs w:val="24"/>
        </w:rPr>
        <w:t>A los Señores Directores de</w:t>
      </w:r>
    </w:p>
    <w:p w14:paraId="6CC3115A" w14:textId="77777777" w:rsidR="0027691B" w:rsidRPr="004C78D0" w:rsidRDefault="0027691B" w:rsidP="0027691B">
      <w:pPr>
        <w:pStyle w:val="Textoinfaud"/>
        <w:spacing w:line="360" w:lineRule="auto"/>
        <w:jc w:val="both"/>
        <w:rPr>
          <w:rFonts w:ascii="Garamond" w:hAnsi="Garamond"/>
          <w:i/>
          <w:iCs/>
          <w:sz w:val="24"/>
          <w:szCs w:val="24"/>
        </w:rPr>
      </w:pPr>
      <w:r>
        <w:rPr>
          <w:rFonts w:ascii="Garamond" w:hAnsi="Garamond"/>
          <w:i/>
          <w:iCs/>
          <w:sz w:val="24"/>
          <w:szCs w:val="24"/>
        </w:rPr>
        <w:t>MOLINOS AGRO S.A.</w:t>
      </w:r>
    </w:p>
    <w:p w14:paraId="127D8C3B" w14:textId="77777777" w:rsidR="0027691B" w:rsidRPr="004C78D0" w:rsidRDefault="0027691B" w:rsidP="0027691B">
      <w:pPr>
        <w:pStyle w:val="Textoinfaud"/>
        <w:spacing w:line="360" w:lineRule="auto"/>
        <w:jc w:val="both"/>
        <w:rPr>
          <w:rFonts w:ascii="Garamond" w:hAnsi="Garamond"/>
          <w:i/>
          <w:iCs/>
          <w:sz w:val="24"/>
          <w:szCs w:val="24"/>
        </w:rPr>
      </w:pPr>
      <w:r w:rsidRPr="004C78D0">
        <w:rPr>
          <w:rFonts w:ascii="Garamond" w:hAnsi="Garamond"/>
          <w:i/>
          <w:iCs/>
          <w:sz w:val="24"/>
          <w:szCs w:val="24"/>
        </w:rPr>
        <w:tab/>
      </w:r>
    </w:p>
    <w:p w14:paraId="75796183" w14:textId="77777777" w:rsidR="0027691B" w:rsidRPr="004C78D0" w:rsidRDefault="0027691B" w:rsidP="0027691B">
      <w:pPr>
        <w:pStyle w:val="Textoinfaud"/>
        <w:spacing w:line="360" w:lineRule="auto"/>
        <w:jc w:val="both"/>
        <w:rPr>
          <w:rFonts w:ascii="Garamond" w:hAnsi="Garamond"/>
          <w:i/>
          <w:iCs/>
          <w:sz w:val="24"/>
          <w:szCs w:val="24"/>
        </w:rPr>
      </w:pPr>
      <w:r w:rsidRPr="004C78D0">
        <w:rPr>
          <w:rFonts w:ascii="Garamond" w:hAnsi="Garamond"/>
          <w:i/>
          <w:iCs/>
          <w:sz w:val="24"/>
          <w:szCs w:val="24"/>
        </w:rPr>
        <w:t>De nuestra consideración:</w:t>
      </w:r>
    </w:p>
    <w:p w14:paraId="4C9ED3A1" w14:textId="77777777" w:rsidR="0027691B" w:rsidRPr="004C78D0" w:rsidRDefault="0027691B" w:rsidP="0027691B">
      <w:pPr>
        <w:pStyle w:val="Textoinfaud"/>
        <w:tabs>
          <w:tab w:val="clear" w:pos="720"/>
        </w:tabs>
        <w:spacing w:line="360" w:lineRule="auto"/>
        <w:jc w:val="both"/>
        <w:rPr>
          <w:rFonts w:ascii="Garamond" w:hAnsi="Garamond"/>
          <w:i/>
          <w:iCs/>
          <w:sz w:val="24"/>
          <w:szCs w:val="24"/>
        </w:rPr>
      </w:pPr>
    </w:p>
    <w:p w14:paraId="042996D7" w14:textId="77777777" w:rsidR="0027691B" w:rsidRPr="004C78D0" w:rsidRDefault="0027691B" w:rsidP="0027691B">
      <w:pPr>
        <w:pStyle w:val="Textoinfaud"/>
        <w:tabs>
          <w:tab w:val="clear" w:pos="720"/>
        </w:tabs>
        <w:spacing w:line="360" w:lineRule="auto"/>
        <w:jc w:val="both"/>
        <w:rPr>
          <w:rFonts w:ascii="Garamond" w:hAnsi="Garamond"/>
          <w:i/>
          <w:iCs/>
          <w:sz w:val="24"/>
          <w:szCs w:val="24"/>
        </w:rPr>
      </w:pPr>
      <w:r w:rsidRPr="004C78D0">
        <w:rPr>
          <w:rFonts w:ascii="Garamond" w:hAnsi="Garamond"/>
          <w:i/>
          <w:iCs/>
          <w:sz w:val="24"/>
          <w:szCs w:val="24"/>
        </w:rPr>
        <w:tab/>
        <w:t xml:space="preserve">En nuestro carácter de miembros del Comité de Auditoria (en adelante, el “Comité”) de Molinos </w:t>
      </w:r>
      <w:r>
        <w:rPr>
          <w:rFonts w:ascii="Garamond" w:hAnsi="Garamond"/>
          <w:i/>
          <w:iCs/>
          <w:sz w:val="24"/>
          <w:szCs w:val="24"/>
        </w:rPr>
        <w:t>Agro</w:t>
      </w:r>
      <w:r w:rsidRPr="004C78D0">
        <w:rPr>
          <w:rFonts w:ascii="Garamond" w:hAnsi="Garamond"/>
          <w:i/>
          <w:iCs/>
          <w:sz w:val="24"/>
          <w:szCs w:val="24"/>
        </w:rPr>
        <w:t xml:space="preserve"> S.A. (en adelante, la “Sociedad”) y de acuerdo con lo dispuesto en el artículo 72 de la Ley de Mercado de Capitales </w:t>
      </w:r>
      <w:proofErr w:type="spellStart"/>
      <w:r w:rsidRPr="004C78D0">
        <w:rPr>
          <w:rFonts w:ascii="Garamond" w:hAnsi="Garamond"/>
          <w:i/>
          <w:iCs/>
          <w:sz w:val="24"/>
          <w:szCs w:val="24"/>
        </w:rPr>
        <w:t>N°</w:t>
      </w:r>
      <w:proofErr w:type="spellEnd"/>
      <w:r w:rsidRPr="004C78D0">
        <w:rPr>
          <w:rFonts w:ascii="Garamond" w:hAnsi="Garamond"/>
          <w:i/>
          <w:iCs/>
          <w:sz w:val="24"/>
          <w:szCs w:val="24"/>
        </w:rPr>
        <w:t xml:space="preserve"> 26.831 (en adelante la “LMC”), con relación a las operaciones detalladas en el punto I y con el objetivo indicado en punto II, hemos realizado las tareas descriptas en el punto III, llegando a la conclusión expresada en el punto IV. En la lectura del presente informe (en adelante, el “Informe”) se deben tener en cuenta las consideraciones formuladas en el punto V por el Comité.</w:t>
      </w:r>
    </w:p>
    <w:p w14:paraId="4A8C774B" w14:textId="77777777" w:rsidR="0027691B" w:rsidRPr="004C78D0" w:rsidRDefault="0027691B" w:rsidP="0027691B">
      <w:pPr>
        <w:pStyle w:val="Textoinfaud"/>
        <w:tabs>
          <w:tab w:val="clear" w:pos="720"/>
        </w:tabs>
        <w:spacing w:line="360" w:lineRule="auto"/>
        <w:jc w:val="both"/>
        <w:rPr>
          <w:rFonts w:ascii="Garamond" w:hAnsi="Garamond"/>
          <w:i/>
          <w:iCs/>
          <w:sz w:val="24"/>
          <w:szCs w:val="24"/>
        </w:rPr>
      </w:pPr>
    </w:p>
    <w:p w14:paraId="09C95323" w14:textId="77777777" w:rsidR="0027691B" w:rsidRPr="004C78D0" w:rsidRDefault="0027691B" w:rsidP="0027691B">
      <w:pPr>
        <w:pStyle w:val="Textoinfaud"/>
        <w:tabs>
          <w:tab w:val="clear" w:pos="720"/>
        </w:tabs>
        <w:spacing w:line="360" w:lineRule="auto"/>
        <w:jc w:val="both"/>
        <w:rPr>
          <w:rFonts w:ascii="Garamond" w:hAnsi="Garamond"/>
          <w:b/>
          <w:bCs/>
          <w:i/>
          <w:iCs/>
          <w:sz w:val="24"/>
          <w:szCs w:val="24"/>
        </w:rPr>
      </w:pPr>
      <w:r w:rsidRPr="004C78D0">
        <w:rPr>
          <w:rFonts w:ascii="Garamond" w:hAnsi="Garamond"/>
          <w:b/>
          <w:bCs/>
          <w:i/>
          <w:iCs/>
          <w:sz w:val="24"/>
          <w:szCs w:val="24"/>
        </w:rPr>
        <w:t xml:space="preserve">I.- Operaciones de adquisición de aceite </w:t>
      </w:r>
      <w:r>
        <w:rPr>
          <w:rFonts w:ascii="Garamond" w:hAnsi="Garamond"/>
          <w:b/>
          <w:bCs/>
          <w:i/>
          <w:iCs/>
          <w:sz w:val="24"/>
          <w:szCs w:val="24"/>
        </w:rPr>
        <w:t xml:space="preserve">de girasol </w:t>
      </w:r>
    </w:p>
    <w:p w14:paraId="0B8725DB" w14:textId="77777777" w:rsidR="0027691B" w:rsidRPr="004C78D0" w:rsidRDefault="0027691B" w:rsidP="0027691B">
      <w:pPr>
        <w:pStyle w:val="Textoinfaud"/>
        <w:tabs>
          <w:tab w:val="clear" w:pos="720"/>
        </w:tabs>
        <w:spacing w:line="360" w:lineRule="auto"/>
        <w:jc w:val="both"/>
        <w:rPr>
          <w:rFonts w:ascii="Garamond" w:hAnsi="Garamond"/>
          <w:i/>
          <w:iCs/>
          <w:sz w:val="24"/>
          <w:szCs w:val="24"/>
        </w:rPr>
      </w:pPr>
      <w:r w:rsidRPr="004C78D0">
        <w:rPr>
          <w:rFonts w:ascii="Garamond" w:hAnsi="Garamond"/>
          <w:i/>
          <w:iCs/>
          <w:sz w:val="24"/>
          <w:szCs w:val="24"/>
        </w:rPr>
        <w:t xml:space="preserve">El presente Informe comprendió los términos y condiciones de las operaciones de </w:t>
      </w:r>
      <w:r>
        <w:rPr>
          <w:rFonts w:ascii="Garamond" w:hAnsi="Garamond"/>
          <w:i/>
          <w:iCs/>
          <w:sz w:val="24"/>
          <w:szCs w:val="24"/>
        </w:rPr>
        <w:t>suministro</w:t>
      </w:r>
      <w:r w:rsidRPr="004C78D0">
        <w:rPr>
          <w:rFonts w:ascii="Garamond" w:hAnsi="Garamond"/>
          <w:i/>
          <w:iCs/>
          <w:sz w:val="24"/>
          <w:szCs w:val="24"/>
        </w:rPr>
        <w:t xml:space="preserve"> de aceite </w:t>
      </w:r>
      <w:r>
        <w:rPr>
          <w:rFonts w:ascii="Garamond" w:hAnsi="Garamond"/>
          <w:i/>
          <w:iCs/>
          <w:sz w:val="24"/>
          <w:szCs w:val="24"/>
        </w:rPr>
        <w:t>crudo de girasol</w:t>
      </w:r>
      <w:r w:rsidRPr="004C78D0">
        <w:rPr>
          <w:rFonts w:ascii="Garamond" w:hAnsi="Garamond"/>
          <w:i/>
          <w:iCs/>
          <w:sz w:val="24"/>
          <w:szCs w:val="24"/>
        </w:rPr>
        <w:t xml:space="preserve"> que</w:t>
      </w:r>
      <w:r>
        <w:rPr>
          <w:rFonts w:ascii="Garamond" w:hAnsi="Garamond"/>
          <w:i/>
          <w:iCs/>
          <w:sz w:val="24"/>
          <w:szCs w:val="24"/>
        </w:rPr>
        <w:t xml:space="preserve"> Molinos Rio de la Plata S.A. (“Molinos Rio”) adquirirá de la Sociedad</w:t>
      </w:r>
      <w:r w:rsidRPr="004C78D0">
        <w:rPr>
          <w:rFonts w:ascii="Garamond" w:hAnsi="Garamond"/>
          <w:i/>
          <w:iCs/>
          <w:sz w:val="24"/>
          <w:szCs w:val="24"/>
        </w:rPr>
        <w:t xml:space="preserve"> </w:t>
      </w:r>
      <w:r w:rsidRPr="004C78D0">
        <w:rPr>
          <w:rFonts w:ascii="Garamond" w:hAnsi="Garamond"/>
          <w:i/>
          <w:sz w:val="24"/>
          <w:szCs w:val="24"/>
        </w:rPr>
        <w:t xml:space="preserve">durante el </w:t>
      </w:r>
      <w:r>
        <w:rPr>
          <w:rFonts w:ascii="Garamond" w:hAnsi="Garamond"/>
          <w:i/>
          <w:sz w:val="24"/>
          <w:szCs w:val="24"/>
        </w:rPr>
        <w:t>presente ejercicio en curso 2019/20 y durante todo el plazo de vigencia dispuesto en la carta oferta que rige esas operaciones (en adelante “las Operaciones”).</w:t>
      </w:r>
    </w:p>
    <w:p w14:paraId="5AC4089E" w14:textId="77777777" w:rsidR="0027691B" w:rsidRDefault="0027691B" w:rsidP="0027691B">
      <w:pPr>
        <w:pStyle w:val="Textoinfaud"/>
        <w:tabs>
          <w:tab w:val="clear" w:pos="720"/>
        </w:tabs>
        <w:spacing w:line="360" w:lineRule="auto"/>
        <w:jc w:val="both"/>
        <w:rPr>
          <w:rFonts w:ascii="Garamond" w:hAnsi="Garamond"/>
          <w:i/>
          <w:iCs/>
          <w:sz w:val="24"/>
          <w:szCs w:val="24"/>
        </w:rPr>
      </w:pPr>
    </w:p>
    <w:p w14:paraId="2D8B68DF" w14:textId="77777777" w:rsidR="0027691B" w:rsidRPr="004C78D0" w:rsidRDefault="0027691B" w:rsidP="0027691B">
      <w:pPr>
        <w:pStyle w:val="Textoinfaud"/>
        <w:tabs>
          <w:tab w:val="clear" w:pos="720"/>
        </w:tabs>
        <w:spacing w:line="360" w:lineRule="auto"/>
        <w:jc w:val="both"/>
        <w:rPr>
          <w:rFonts w:ascii="Garamond" w:hAnsi="Garamond"/>
          <w:i/>
          <w:iCs/>
          <w:sz w:val="24"/>
          <w:szCs w:val="24"/>
        </w:rPr>
      </w:pPr>
      <w:r w:rsidRPr="004C78D0">
        <w:rPr>
          <w:rFonts w:ascii="Garamond" w:hAnsi="Garamond"/>
          <w:i/>
          <w:iCs/>
          <w:sz w:val="24"/>
          <w:szCs w:val="24"/>
        </w:rPr>
        <w:t xml:space="preserve">Se deja constancia que </w:t>
      </w:r>
      <w:r>
        <w:rPr>
          <w:rFonts w:ascii="Garamond" w:hAnsi="Garamond"/>
          <w:i/>
          <w:iCs/>
          <w:sz w:val="24"/>
          <w:szCs w:val="24"/>
        </w:rPr>
        <w:t xml:space="preserve">(i) </w:t>
      </w:r>
      <w:r w:rsidRPr="004A0359">
        <w:rPr>
          <w:rFonts w:ascii="Garamond" w:hAnsi="Garamond"/>
          <w:i/>
          <w:iCs/>
          <w:sz w:val="24"/>
          <w:szCs w:val="24"/>
        </w:rPr>
        <w:t>la Sociedad y Molinos</w:t>
      </w:r>
      <w:r>
        <w:rPr>
          <w:rFonts w:ascii="Garamond" w:hAnsi="Garamond"/>
          <w:i/>
          <w:iCs/>
          <w:sz w:val="24"/>
          <w:szCs w:val="24"/>
        </w:rPr>
        <w:t xml:space="preserve"> Río</w:t>
      </w:r>
      <w:r w:rsidRPr="004A0359">
        <w:rPr>
          <w:rFonts w:ascii="Garamond" w:hAnsi="Garamond"/>
          <w:i/>
          <w:iCs/>
          <w:sz w:val="24"/>
          <w:szCs w:val="24"/>
        </w:rPr>
        <w:t xml:space="preserve"> son consideradas partes relacionadas en los términos del apartado III del inciso a) del artículo 72 de la LMC</w:t>
      </w:r>
      <w:r w:rsidRPr="006B6B5C">
        <w:rPr>
          <w:rFonts w:ascii="Garamond" w:hAnsi="Garamond"/>
          <w:i/>
          <w:iCs/>
          <w:sz w:val="24"/>
          <w:szCs w:val="24"/>
        </w:rPr>
        <w:t>; y (</w:t>
      </w:r>
      <w:proofErr w:type="spellStart"/>
      <w:r w:rsidRPr="006B6B5C">
        <w:rPr>
          <w:rFonts w:ascii="Garamond" w:hAnsi="Garamond"/>
          <w:i/>
          <w:iCs/>
          <w:sz w:val="24"/>
          <w:szCs w:val="24"/>
        </w:rPr>
        <w:t>ii</w:t>
      </w:r>
      <w:proofErr w:type="spellEnd"/>
      <w:r w:rsidRPr="006B6B5C">
        <w:rPr>
          <w:rFonts w:ascii="Garamond" w:hAnsi="Garamond"/>
          <w:i/>
          <w:iCs/>
          <w:sz w:val="24"/>
          <w:szCs w:val="24"/>
        </w:rPr>
        <w:t xml:space="preserve">) </w:t>
      </w:r>
      <w:r w:rsidRPr="004C78D0">
        <w:rPr>
          <w:rFonts w:ascii="Garamond" w:hAnsi="Garamond"/>
          <w:i/>
          <w:iCs/>
          <w:sz w:val="24"/>
          <w:szCs w:val="24"/>
        </w:rPr>
        <w:t xml:space="preserve">las </w:t>
      </w:r>
      <w:r>
        <w:rPr>
          <w:rFonts w:ascii="Garamond" w:hAnsi="Garamond"/>
          <w:i/>
          <w:iCs/>
          <w:sz w:val="24"/>
          <w:szCs w:val="24"/>
        </w:rPr>
        <w:t>O</w:t>
      </w:r>
      <w:r w:rsidRPr="004C78D0">
        <w:rPr>
          <w:rFonts w:ascii="Garamond" w:hAnsi="Garamond"/>
          <w:i/>
          <w:iCs/>
          <w:sz w:val="24"/>
          <w:szCs w:val="24"/>
        </w:rPr>
        <w:t>peraciones bajo análisis excede</w:t>
      </w:r>
      <w:r>
        <w:rPr>
          <w:rFonts w:ascii="Garamond" w:hAnsi="Garamond"/>
          <w:i/>
          <w:iCs/>
          <w:sz w:val="24"/>
          <w:szCs w:val="24"/>
        </w:rPr>
        <w:t>rán</w:t>
      </w:r>
      <w:r w:rsidRPr="004C78D0">
        <w:rPr>
          <w:rFonts w:ascii="Garamond" w:hAnsi="Garamond"/>
          <w:i/>
          <w:iCs/>
          <w:sz w:val="24"/>
          <w:szCs w:val="24"/>
        </w:rPr>
        <w:t xml:space="preserve"> el uno por ciento (1%) del Patrimonio Neto de la Sociedad según los Estados Contables de la misma </w:t>
      </w:r>
      <w:r w:rsidRPr="00C323A2">
        <w:rPr>
          <w:rFonts w:ascii="Garamond" w:hAnsi="Garamond"/>
          <w:i/>
          <w:iCs/>
          <w:sz w:val="24"/>
          <w:szCs w:val="24"/>
        </w:rPr>
        <w:t>al 31 de marzo de 201</w:t>
      </w:r>
      <w:r>
        <w:rPr>
          <w:rFonts w:ascii="Garamond" w:hAnsi="Garamond"/>
          <w:i/>
          <w:iCs/>
          <w:sz w:val="24"/>
          <w:szCs w:val="24"/>
        </w:rPr>
        <w:t>9</w:t>
      </w:r>
      <w:r w:rsidRPr="00C323A2">
        <w:rPr>
          <w:rFonts w:ascii="Garamond" w:hAnsi="Garamond"/>
          <w:i/>
          <w:iCs/>
          <w:sz w:val="24"/>
          <w:szCs w:val="24"/>
        </w:rPr>
        <w:t xml:space="preserve"> (esto es, la suma de pesos </w:t>
      </w:r>
      <w:r>
        <w:rPr>
          <w:rFonts w:ascii="Garamond" w:hAnsi="Garamond"/>
          <w:i/>
          <w:iCs/>
          <w:sz w:val="24"/>
          <w:szCs w:val="24"/>
        </w:rPr>
        <w:t>cuarenta millones setecientos cuarenta y siete mil trescientos cincuenta</w:t>
      </w:r>
      <w:r w:rsidRPr="00C323A2">
        <w:rPr>
          <w:rFonts w:ascii="Garamond" w:hAnsi="Garamond"/>
          <w:i/>
          <w:iCs/>
          <w:sz w:val="24"/>
          <w:szCs w:val="24"/>
        </w:rPr>
        <w:t xml:space="preserve"> ($</w:t>
      </w:r>
      <w:r>
        <w:rPr>
          <w:rFonts w:ascii="Garamond" w:hAnsi="Garamond"/>
          <w:i/>
          <w:iCs/>
          <w:sz w:val="24"/>
          <w:szCs w:val="24"/>
        </w:rPr>
        <w:t>40.747.350</w:t>
      </w:r>
      <w:r w:rsidRPr="004A0359">
        <w:rPr>
          <w:rFonts w:ascii="Garamond" w:hAnsi="Garamond"/>
          <w:i/>
          <w:iCs/>
          <w:sz w:val="24"/>
          <w:szCs w:val="24"/>
        </w:rPr>
        <w:t>)</w:t>
      </w:r>
      <w:r w:rsidRPr="004C78D0">
        <w:rPr>
          <w:rFonts w:ascii="Garamond" w:hAnsi="Garamond"/>
          <w:i/>
          <w:iCs/>
          <w:sz w:val="24"/>
          <w:szCs w:val="24"/>
        </w:rPr>
        <w:t xml:space="preserve"> estableciéndose dicha suma como el monto relevante previsto en la normativa aplicable (el “Monto Relevante”).</w:t>
      </w:r>
    </w:p>
    <w:p w14:paraId="5842F3D3" w14:textId="77777777" w:rsidR="0027691B" w:rsidRPr="004C78D0" w:rsidRDefault="0027691B" w:rsidP="0027691B">
      <w:pPr>
        <w:pStyle w:val="Textoinfaud"/>
        <w:tabs>
          <w:tab w:val="clear" w:pos="720"/>
        </w:tabs>
        <w:spacing w:line="360" w:lineRule="auto"/>
        <w:jc w:val="both"/>
        <w:rPr>
          <w:rFonts w:ascii="Garamond" w:hAnsi="Garamond"/>
          <w:i/>
          <w:iCs/>
          <w:sz w:val="24"/>
          <w:szCs w:val="24"/>
        </w:rPr>
      </w:pPr>
    </w:p>
    <w:p w14:paraId="1B90C411" w14:textId="77777777" w:rsidR="0027691B" w:rsidRPr="004C78D0" w:rsidRDefault="0027691B" w:rsidP="0027691B">
      <w:pPr>
        <w:pStyle w:val="Textoinfaud"/>
        <w:tabs>
          <w:tab w:val="clear" w:pos="720"/>
        </w:tabs>
        <w:spacing w:line="360" w:lineRule="auto"/>
        <w:jc w:val="both"/>
        <w:rPr>
          <w:rFonts w:ascii="Garamond" w:hAnsi="Garamond"/>
          <w:b/>
          <w:bCs/>
          <w:i/>
          <w:iCs/>
          <w:sz w:val="24"/>
          <w:szCs w:val="24"/>
        </w:rPr>
      </w:pPr>
      <w:r w:rsidRPr="004C78D0">
        <w:rPr>
          <w:rFonts w:ascii="Garamond" w:hAnsi="Garamond"/>
          <w:b/>
          <w:bCs/>
          <w:i/>
          <w:iCs/>
          <w:sz w:val="24"/>
          <w:szCs w:val="24"/>
        </w:rPr>
        <w:t>II.- Objetivo del Informe</w:t>
      </w:r>
    </w:p>
    <w:p w14:paraId="1BBE6E8F" w14:textId="77777777" w:rsidR="0027691B" w:rsidRDefault="0027691B" w:rsidP="0027691B">
      <w:pPr>
        <w:pStyle w:val="Textoinfaud"/>
        <w:tabs>
          <w:tab w:val="clear" w:pos="720"/>
        </w:tabs>
        <w:spacing w:line="360" w:lineRule="auto"/>
        <w:jc w:val="both"/>
        <w:rPr>
          <w:rFonts w:ascii="Garamond" w:hAnsi="Garamond"/>
          <w:i/>
          <w:iCs/>
          <w:sz w:val="24"/>
          <w:szCs w:val="24"/>
        </w:rPr>
      </w:pPr>
      <w:r w:rsidRPr="004C78D0">
        <w:rPr>
          <w:rFonts w:ascii="Garamond" w:hAnsi="Garamond"/>
          <w:i/>
          <w:iCs/>
          <w:sz w:val="24"/>
          <w:szCs w:val="24"/>
        </w:rPr>
        <w:t>El objetivo del Informe es evaluar si los términos y condiciones de la</w:t>
      </w:r>
      <w:r>
        <w:rPr>
          <w:rFonts w:ascii="Garamond" w:hAnsi="Garamond"/>
          <w:i/>
          <w:iCs/>
          <w:sz w:val="24"/>
          <w:szCs w:val="24"/>
        </w:rPr>
        <w:t>s</w:t>
      </w:r>
      <w:r w:rsidRPr="004C78D0">
        <w:rPr>
          <w:rFonts w:ascii="Garamond" w:hAnsi="Garamond"/>
          <w:i/>
          <w:iCs/>
          <w:sz w:val="24"/>
          <w:szCs w:val="24"/>
        </w:rPr>
        <w:t xml:space="preserve"> Operaci</w:t>
      </w:r>
      <w:r>
        <w:rPr>
          <w:rFonts w:ascii="Garamond" w:hAnsi="Garamond"/>
          <w:i/>
          <w:iCs/>
          <w:sz w:val="24"/>
          <w:szCs w:val="24"/>
        </w:rPr>
        <w:t xml:space="preserve">ones </w:t>
      </w:r>
      <w:r w:rsidRPr="004C78D0">
        <w:rPr>
          <w:rFonts w:ascii="Garamond" w:hAnsi="Garamond"/>
          <w:i/>
          <w:iCs/>
          <w:sz w:val="24"/>
          <w:szCs w:val="24"/>
        </w:rPr>
        <w:t xml:space="preserve">se adecua a las condiciones normales y habituales de mercado; en atención a lo establecido en el artículo 110, inciso h) de la LMC y en el artículo 18, inciso f), Sección V, Capitulo III del Título II de las Normas de la Comisión Nacional de Valores (N.T. 2013) (en adelante, la “CNV”) y los artículos 2 inciso h) y 4.5 del Reglamento del Comité. </w:t>
      </w:r>
    </w:p>
    <w:p w14:paraId="73A42822" w14:textId="77777777" w:rsidR="0027691B" w:rsidRPr="004C78D0" w:rsidRDefault="0027691B" w:rsidP="0027691B">
      <w:pPr>
        <w:pStyle w:val="Textoinfaud"/>
        <w:tabs>
          <w:tab w:val="clear" w:pos="720"/>
        </w:tabs>
        <w:spacing w:line="360" w:lineRule="auto"/>
        <w:jc w:val="both"/>
        <w:rPr>
          <w:rFonts w:ascii="Garamond" w:hAnsi="Garamond"/>
          <w:i/>
          <w:iCs/>
          <w:sz w:val="24"/>
          <w:szCs w:val="24"/>
        </w:rPr>
      </w:pPr>
    </w:p>
    <w:p w14:paraId="7BA4856D" w14:textId="77777777" w:rsidR="0027691B" w:rsidRPr="004C78D0" w:rsidRDefault="0027691B" w:rsidP="0027691B">
      <w:pPr>
        <w:pStyle w:val="Textoinfaud"/>
        <w:tabs>
          <w:tab w:val="clear" w:pos="720"/>
        </w:tabs>
        <w:spacing w:line="360" w:lineRule="auto"/>
        <w:jc w:val="both"/>
        <w:rPr>
          <w:rFonts w:ascii="Garamond" w:hAnsi="Garamond"/>
          <w:b/>
          <w:bCs/>
          <w:i/>
          <w:iCs/>
          <w:sz w:val="24"/>
          <w:szCs w:val="24"/>
        </w:rPr>
      </w:pPr>
      <w:r w:rsidRPr="004C78D0">
        <w:rPr>
          <w:rFonts w:ascii="Garamond" w:hAnsi="Garamond"/>
          <w:b/>
          <w:bCs/>
          <w:i/>
          <w:iCs/>
          <w:sz w:val="24"/>
          <w:szCs w:val="24"/>
        </w:rPr>
        <w:t>III.- Tareas realizadas</w:t>
      </w:r>
    </w:p>
    <w:p w14:paraId="719FA825" w14:textId="77777777" w:rsidR="0027691B" w:rsidRPr="004C78D0" w:rsidRDefault="0027691B" w:rsidP="0027691B">
      <w:pPr>
        <w:pStyle w:val="Textoinfaud"/>
        <w:tabs>
          <w:tab w:val="clear" w:pos="720"/>
        </w:tabs>
        <w:spacing w:line="360" w:lineRule="auto"/>
        <w:jc w:val="both"/>
        <w:rPr>
          <w:rFonts w:ascii="Garamond" w:hAnsi="Garamond"/>
          <w:i/>
          <w:iCs/>
          <w:sz w:val="24"/>
          <w:szCs w:val="24"/>
        </w:rPr>
      </w:pPr>
      <w:r w:rsidRPr="004C78D0">
        <w:rPr>
          <w:rFonts w:ascii="Garamond" w:hAnsi="Garamond"/>
          <w:i/>
          <w:iCs/>
          <w:sz w:val="24"/>
          <w:szCs w:val="24"/>
        </w:rPr>
        <w:t xml:space="preserve">Con el objetivo de analizar las condiciones de las </w:t>
      </w:r>
      <w:r>
        <w:rPr>
          <w:rFonts w:ascii="Garamond" w:hAnsi="Garamond"/>
          <w:i/>
          <w:iCs/>
          <w:sz w:val="24"/>
          <w:szCs w:val="24"/>
        </w:rPr>
        <w:t>O</w:t>
      </w:r>
      <w:r w:rsidRPr="004C78D0">
        <w:rPr>
          <w:rFonts w:ascii="Garamond" w:hAnsi="Garamond"/>
          <w:i/>
          <w:iCs/>
          <w:sz w:val="24"/>
          <w:szCs w:val="24"/>
        </w:rPr>
        <w:t xml:space="preserve">peraciones objeto de este Informe, este Comité ha llevado a cabo las tareas que se indican a continuación: </w:t>
      </w:r>
    </w:p>
    <w:p w14:paraId="150295E5" w14:textId="77777777" w:rsidR="0027691B" w:rsidRPr="004C78D0" w:rsidRDefault="0027691B" w:rsidP="0027691B">
      <w:pPr>
        <w:pStyle w:val="Textoinfaud"/>
        <w:tabs>
          <w:tab w:val="clear" w:pos="720"/>
        </w:tabs>
        <w:spacing w:line="360" w:lineRule="auto"/>
        <w:jc w:val="both"/>
        <w:rPr>
          <w:rFonts w:ascii="Garamond" w:hAnsi="Garamond"/>
          <w:i/>
          <w:iCs/>
          <w:sz w:val="24"/>
          <w:szCs w:val="24"/>
        </w:rPr>
      </w:pPr>
    </w:p>
    <w:p w14:paraId="1F3D2ED0" w14:textId="77777777" w:rsidR="0027691B" w:rsidRPr="004C78D0" w:rsidRDefault="0027691B" w:rsidP="0027691B">
      <w:pPr>
        <w:pStyle w:val="Textoinfaud"/>
        <w:numPr>
          <w:ilvl w:val="0"/>
          <w:numId w:val="1"/>
        </w:numPr>
        <w:tabs>
          <w:tab w:val="clear" w:pos="720"/>
        </w:tabs>
        <w:spacing w:line="360" w:lineRule="auto"/>
        <w:jc w:val="both"/>
        <w:rPr>
          <w:rFonts w:ascii="Garamond" w:hAnsi="Garamond"/>
          <w:i/>
          <w:iCs/>
          <w:sz w:val="24"/>
          <w:szCs w:val="24"/>
        </w:rPr>
      </w:pPr>
      <w:r w:rsidRPr="004C78D0">
        <w:rPr>
          <w:rFonts w:ascii="Garamond" w:hAnsi="Garamond"/>
          <w:i/>
          <w:iCs/>
          <w:sz w:val="24"/>
          <w:szCs w:val="24"/>
        </w:rPr>
        <w:t xml:space="preserve">Análisis de la documentación respaldatoria </w:t>
      </w:r>
      <w:r>
        <w:rPr>
          <w:rFonts w:ascii="Garamond" w:hAnsi="Garamond"/>
          <w:i/>
          <w:iCs/>
          <w:sz w:val="24"/>
          <w:szCs w:val="24"/>
        </w:rPr>
        <w:t>para</w:t>
      </w:r>
      <w:r w:rsidRPr="004C78D0">
        <w:rPr>
          <w:rFonts w:ascii="Garamond" w:hAnsi="Garamond"/>
          <w:i/>
          <w:iCs/>
          <w:sz w:val="24"/>
          <w:szCs w:val="24"/>
        </w:rPr>
        <w:t xml:space="preserve"> la</w:t>
      </w:r>
      <w:r>
        <w:rPr>
          <w:rFonts w:ascii="Garamond" w:hAnsi="Garamond"/>
          <w:i/>
          <w:iCs/>
          <w:sz w:val="24"/>
          <w:szCs w:val="24"/>
        </w:rPr>
        <w:t>s</w:t>
      </w:r>
      <w:r w:rsidRPr="004C78D0">
        <w:rPr>
          <w:rFonts w:ascii="Garamond" w:hAnsi="Garamond"/>
          <w:i/>
          <w:iCs/>
          <w:sz w:val="24"/>
          <w:szCs w:val="24"/>
        </w:rPr>
        <w:t xml:space="preserve"> </w:t>
      </w:r>
      <w:r>
        <w:rPr>
          <w:rFonts w:ascii="Garamond" w:hAnsi="Garamond"/>
          <w:i/>
          <w:iCs/>
          <w:sz w:val="24"/>
          <w:szCs w:val="24"/>
        </w:rPr>
        <w:t>Operaciones</w:t>
      </w:r>
      <w:r w:rsidRPr="004C78D0">
        <w:rPr>
          <w:rFonts w:ascii="Garamond" w:hAnsi="Garamond"/>
          <w:i/>
          <w:iCs/>
          <w:sz w:val="24"/>
          <w:szCs w:val="24"/>
        </w:rPr>
        <w:t>.</w:t>
      </w:r>
    </w:p>
    <w:p w14:paraId="09399305" w14:textId="77777777" w:rsidR="0027691B" w:rsidRPr="004C78D0" w:rsidRDefault="0027691B" w:rsidP="0027691B">
      <w:pPr>
        <w:pStyle w:val="Textoinfaud"/>
        <w:numPr>
          <w:ilvl w:val="0"/>
          <w:numId w:val="1"/>
        </w:numPr>
        <w:tabs>
          <w:tab w:val="clear" w:pos="720"/>
        </w:tabs>
        <w:spacing w:line="360" w:lineRule="auto"/>
        <w:jc w:val="both"/>
        <w:rPr>
          <w:rFonts w:ascii="Garamond" w:hAnsi="Garamond"/>
          <w:i/>
          <w:iCs/>
          <w:sz w:val="24"/>
          <w:szCs w:val="24"/>
        </w:rPr>
      </w:pPr>
      <w:r w:rsidRPr="004C78D0">
        <w:rPr>
          <w:rFonts w:ascii="Garamond" w:hAnsi="Garamond"/>
          <w:i/>
          <w:iCs/>
          <w:sz w:val="24"/>
          <w:szCs w:val="24"/>
        </w:rPr>
        <w:t>Contratación de Organización Levín de Argentina S.A</w:t>
      </w:r>
      <w:r w:rsidRPr="004C78D0">
        <w:rPr>
          <w:rFonts w:ascii="Garamond" w:hAnsi="Garamond"/>
          <w:sz w:val="24"/>
          <w:szCs w:val="24"/>
          <w:lang w:val="es-ES"/>
        </w:rPr>
        <w:t xml:space="preserve"> </w:t>
      </w:r>
      <w:r w:rsidRPr="004C78D0">
        <w:rPr>
          <w:rFonts w:ascii="Garamond" w:hAnsi="Garamond"/>
          <w:i/>
          <w:iCs/>
          <w:sz w:val="24"/>
          <w:szCs w:val="24"/>
        </w:rPr>
        <w:t>(la “Evaluadora Independiente”), para que en su calidad de evaluadora independiente se expida sobre si los términos y condiciones de la</w:t>
      </w:r>
      <w:r>
        <w:rPr>
          <w:rFonts w:ascii="Garamond" w:hAnsi="Garamond"/>
          <w:i/>
          <w:iCs/>
          <w:sz w:val="24"/>
          <w:szCs w:val="24"/>
        </w:rPr>
        <w:t>s</w:t>
      </w:r>
      <w:r w:rsidRPr="004C78D0">
        <w:rPr>
          <w:rFonts w:ascii="Garamond" w:hAnsi="Garamond"/>
          <w:i/>
          <w:iCs/>
          <w:sz w:val="24"/>
          <w:szCs w:val="24"/>
        </w:rPr>
        <w:t xml:space="preserve"> Operaci</w:t>
      </w:r>
      <w:r>
        <w:rPr>
          <w:rFonts w:ascii="Garamond" w:hAnsi="Garamond"/>
          <w:i/>
          <w:iCs/>
          <w:sz w:val="24"/>
          <w:szCs w:val="24"/>
        </w:rPr>
        <w:t>ones</w:t>
      </w:r>
      <w:r w:rsidRPr="004C78D0">
        <w:rPr>
          <w:rFonts w:ascii="Garamond" w:hAnsi="Garamond"/>
          <w:i/>
          <w:iCs/>
          <w:sz w:val="24"/>
          <w:szCs w:val="24"/>
        </w:rPr>
        <w:t xml:space="preserve"> guarda relación con aquellos términos que se aplicarían para este tipo de operaciones de adquisición de aceite </w:t>
      </w:r>
      <w:r>
        <w:rPr>
          <w:rFonts w:ascii="Garamond" w:hAnsi="Garamond"/>
          <w:i/>
          <w:iCs/>
          <w:sz w:val="24"/>
          <w:szCs w:val="24"/>
        </w:rPr>
        <w:t>crudo de girasol</w:t>
      </w:r>
      <w:r w:rsidRPr="004C78D0">
        <w:rPr>
          <w:rFonts w:ascii="Garamond" w:hAnsi="Garamond"/>
          <w:i/>
          <w:iCs/>
          <w:sz w:val="24"/>
          <w:szCs w:val="24"/>
        </w:rPr>
        <w:t>, si la transacción se realizara entre compañías independientes.</w:t>
      </w:r>
      <w:r w:rsidRPr="004C78D0">
        <w:rPr>
          <w:rFonts w:ascii="Garamond" w:hAnsi="Garamond"/>
          <w:sz w:val="24"/>
          <w:szCs w:val="24"/>
        </w:rPr>
        <w:t xml:space="preserve"> </w:t>
      </w:r>
    </w:p>
    <w:p w14:paraId="00C9D5CD" w14:textId="77777777" w:rsidR="0027691B" w:rsidRPr="004C78D0" w:rsidRDefault="0027691B" w:rsidP="0027691B">
      <w:pPr>
        <w:pStyle w:val="Textoinfaud"/>
        <w:numPr>
          <w:ilvl w:val="0"/>
          <w:numId w:val="1"/>
        </w:numPr>
        <w:tabs>
          <w:tab w:val="clear" w:pos="720"/>
        </w:tabs>
        <w:spacing w:line="360" w:lineRule="auto"/>
        <w:jc w:val="both"/>
        <w:rPr>
          <w:rFonts w:ascii="Garamond" w:hAnsi="Garamond"/>
          <w:i/>
          <w:iCs/>
          <w:sz w:val="24"/>
          <w:szCs w:val="24"/>
        </w:rPr>
      </w:pPr>
      <w:r w:rsidRPr="004C78D0">
        <w:rPr>
          <w:rFonts w:ascii="Garamond" w:hAnsi="Garamond"/>
          <w:i/>
          <w:iCs/>
          <w:sz w:val="24"/>
          <w:szCs w:val="24"/>
        </w:rPr>
        <w:t>Reuniones, requerimientos de información y explicaciones y análisis conjunto con los funcionarios de la Sociedad responsables de las Operaciones.</w:t>
      </w:r>
    </w:p>
    <w:p w14:paraId="5A1BC8AD" w14:textId="77777777" w:rsidR="0027691B" w:rsidRPr="004C78D0" w:rsidRDefault="0027691B" w:rsidP="0027691B">
      <w:pPr>
        <w:pStyle w:val="Textoinfaud"/>
        <w:tabs>
          <w:tab w:val="clear" w:pos="720"/>
        </w:tabs>
        <w:spacing w:line="360" w:lineRule="auto"/>
        <w:jc w:val="both"/>
        <w:rPr>
          <w:rFonts w:ascii="Garamond" w:hAnsi="Garamond"/>
          <w:i/>
          <w:iCs/>
          <w:sz w:val="24"/>
          <w:szCs w:val="24"/>
        </w:rPr>
      </w:pPr>
    </w:p>
    <w:p w14:paraId="76EE7F52" w14:textId="77777777" w:rsidR="0027691B" w:rsidRPr="004C78D0" w:rsidRDefault="0027691B" w:rsidP="0027691B">
      <w:pPr>
        <w:pStyle w:val="Textoinfaud"/>
        <w:tabs>
          <w:tab w:val="clear" w:pos="720"/>
        </w:tabs>
        <w:spacing w:line="360" w:lineRule="auto"/>
        <w:jc w:val="both"/>
        <w:rPr>
          <w:rFonts w:ascii="Garamond" w:hAnsi="Garamond"/>
          <w:b/>
          <w:bCs/>
          <w:i/>
          <w:iCs/>
          <w:sz w:val="24"/>
          <w:szCs w:val="24"/>
        </w:rPr>
      </w:pPr>
      <w:r w:rsidRPr="004C78D0">
        <w:rPr>
          <w:rFonts w:ascii="Garamond" w:hAnsi="Garamond"/>
          <w:b/>
          <w:bCs/>
          <w:i/>
          <w:iCs/>
          <w:sz w:val="24"/>
          <w:szCs w:val="24"/>
        </w:rPr>
        <w:t>IV - Opinión</w:t>
      </w:r>
    </w:p>
    <w:p w14:paraId="3697565D" w14:textId="77777777" w:rsidR="0027691B" w:rsidRDefault="0027691B" w:rsidP="0027691B">
      <w:pPr>
        <w:pStyle w:val="Textoinfaud"/>
        <w:tabs>
          <w:tab w:val="clear" w:pos="720"/>
        </w:tabs>
        <w:spacing w:line="360" w:lineRule="auto"/>
        <w:jc w:val="both"/>
        <w:rPr>
          <w:rFonts w:ascii="Garamond" w:hAnsi="Garamond"/>
          <w:i/>
          <w:iCs/>
          <w:sz w:val="24"/>
          <w:szCs w:val="24"/>
        </w:rPr>
      </w:pPr>
      <w:r>
        <w:rPr>
          <w:rFonts w:ascii="Garamond" w:hAnsi="Garamond"/>
          <w:i/>
          <w:iCs/>
          <w:sz w:val="24"/>
          <w:szCs w:val="24"/>
        </w:rPr>
        <w:t xml:space="preserve">Sobre la base de las tareas realizadas y en particular considerando el Informe de la Evaluadora Independiente mencionado en el punto III de este Informe, es opinión de este Comité, que las condiciones de las Operaciones comprendidas en este </w:t>
      </w:r>
      <w:proofErr w:type="gramStart"/>
      <w:r>
        <w:rPr>
          <w:rFonts w:ascii="Garamond" w:hAnsi="Garamond"/>
          <w:i/>
          <w:iCs/>
          <w:sz w:val="24"/>
          <w:szCs w:val="24"/>
        </w:rPr>
        <w:t>Informe,</w:t>
      </w:r>
      <w:proofErr w:type="gramEnd"/>
      <w:r>
        <w:rPr>
          <w:rFonts w:ascii="Garamond" w:hAnsi="Garamond"/>
          <w:i/>
          <w:iCs/>
          <w:sz w:val="24"/>
          <w:szCs w:val="24"/>
        </w:rPr>
        <w:t xml:space="preserve"> se ajustan razonablemente a las condiciones normales y habituales del mercado para operaciones similares celebradas entre partes independientes.</w:t>
      </w:r>
    </w:p>
    <w:p w14:paraId="66D90513" w14:textId="77777777" w:rsidR="0027691B" w:rsidRDefault="0027691B" w:rsidP="0027691B">
      <w:pPr>
        <w:pStyle w:val="Textoinfaud"/>
        <w:tabs>
          <w:tab w:val="clear" w:pos="720"/>
        </w:tabs>
        <w:spacing w:line="360" w:lineRule="auto"/>
        <w:jc w:val="both"/>
        <w:rPr>
          <w:rFonts w:ascii="Garamond" w:hAnsi="Garamond"/>
          <w:b/>
          <w:bCs/>
          <w:i/>
          <w:iCs/>
          <w:sz w:val="24"/>
          <w:szCs w:val="24"/>
        </w:rPr>
      </w:pPr>
      <w:r>
        <w:rPr>
          <w:rFonts w:ascii="Garamond" w:hAnsi="Garamond"/>
          <w:i/>
          <w:iCs/>
          <w:sz w:val="24"/>
          <w:szCs w:val="24"/>
        </w:rPr>
        <w:t xml:space="preserve"> </w:t>
      </w:r>
    </w:p>
    <w:p w14:paraId="2EA49B32" w14:textId="77777777" w:rsidR="0027691B" w:rsidRPr="004C78D0" w:rsidRDefault="0027691B" w:rsidP="0027691B">
      <w:pPr>
        <w:pStyle w:val="Textoinfaud"/>
        <w:tabs>
          <w:tab w:val="clear" w:pos="720"/>
        </w:tabs>
        <w:spacing w:line="360" w:lineRule="auto"/>
        <w:jc w:val="both"/>
        <w:rPr>
          <w:rFonts w:ascii="Garamond" w:hAnsi="Garamond"/>
          <w:b/>
          <w:bCs/>
          <w:i/>
          <w:iCs/>
          <w:sz w:val="24"/>
          <w:szCs w:val="24"/>
        </w:rPr>
      </w:pPr>
      <w:r w:rsidRPr="004C78D0">
        <w:rPr>
          <w:rFonts w:ascii="Garamond" w:hAnsi="Garamond"/>
          <w:b/>
          <w:bCs/>
          <w:i/>
          <w:iCs/>
          <w:sz w:val="24"/>
          <w:szCs w:val="24"/>
        </w:rPr>
        <w:t>V.- Consideraciones respecto de este Informe</w:t>
      </w:r>
    </w:p>
    <w:p w14:paraId="7BE29937" w14:textId="77777777" w:rsidR="0027691B" w:rsidRPr="004C78D0" w:rsidRDefault="0027691B" w:rsidP="0027691B">
      <w:pPr>
        <w:pStyle w:val="Textoinfaud"/>
        <w:tabs>
          <w:tab w:val="clear" w:pos="720"/>
        </w:tabs>
        <w:spacing w:line="360" w:lineRule="auto"/>
        <w:jc w:val="both"/>
        <w:rPr>
          <w:rFonts w:ascii="Garamond" w:hAnsi="Garamond"/>
          <w:i/>
          <w:iCs/>
          <w:sz w:val="24"/>
          <w:szCs w:val="24"/>
        </w:rPr>
      </w:pPr>
      <w:r w:rsidRPr="004C78D0">
        <w:rPr>
          <w:rFonts w:ascii="Garamond" w:hAnsi="Garamond"/>
          <w:i/>
          <w:iCs/>
          <w:sz w:val="24"/>
          <w:szCs w:val="24"/>
        </w:rPr>
        <w:t>Este Informe ha sido preparado exclusivamente por el Comité con relación a la</w:t>
      </w:r>
      <w:r>
        <w:rPr>
          <w:rFonts w:ascii="Garamond" w:hAnsi="Garamond"/>
          <w:i/>
          <w:iCs/>
          <w:sz w:val="24"/>
          <w:szCs w:val="24"/>
        </w:rPr>
        <w:t>s Operaciones</w:t>
      </w:r>
      <w:r w:rsidRPr="004C78D0">
        <w:rPr>
          <w:rFonts w:ascii="Garamond" w:hAnsi="Garamond"/>
          <w:i/>
          <w:iCs/>
          <w:sz w:val="24"/>
          <w:szCs w:val="24"/>
        </w:rPr>
        <w:t xml:space="preserve"> detallada</w:t>
      </w:r>
      <w:r>
        <w:rPr>
          <w:rFonts w:ascii="Garamond" w:hAnsi="Garamond"/>
          <w:i/>
          <w:iCs/>
          <w:sz w:val="24"/>
          <w:szCs w:val="24"/>
        </w:rPr>
        <w:t>s</w:t>
      </w:r>
      <w:r w:rsidRPr="004C78D0">
        <w:rPr>
          <w:rFonts w:ascii="Garamond" w:hAnsi="Garamond"/>
          <w:i/>
          <w:iCs/>
          <w:sz w:val="24"/>
          <w:szCs w:val="24"/>
        </w:rPr>
        <w:t xml:space="preserve"> en el punto I del presente y en atención a la solicitud realizada por el Directorio de la Sociedad. En tal sentido, el presente Informe:</w:t>
      </w:r>
    </w:p>
    <w:p w14:paraId="3F1CBAD5" w14:textId="77777777" w:rsidR="0027691B" w:rsidRPr="004C78D0" w:rsidRDefault="0027691B" w:rsidP="0027691B">
      <w:pPr>
        <w:pStyle w:val="Textoinfaud"/>
        <w:tabs>
          <w:tab w:val="clear" w:pos="720"/>
        </w:tabs>
        <w:spacing w:line="360" w:lineRule="auto"/>
        <w:jc w:val="both"/>
        <w:rPr>
          <w:rFonts w:ascii="Garamond" w:hAnsi="Garamond"/>
          <w:i/>
          <w:iCs/>
          <w:sz w:val="24"/>
          <w:szCs w:val="24"/>
        </w:rPr>
      </w:pPr>
    </w:p>
    <w:p w14:paraId="4C384DED" w14:textId="77777777" w:rsidR="0027691B" w:rsidRPr="004C78D0" w:rsidRDefault="0027691B" w:rsidP="0027691B">
      <w:pPr>
        <w:pStyle w:val="Textoinfaud"/>
        <w:numPr>
          <w:ilvl w:val="0"/>
          <w:numId w:val="2"/>
        </w:numPr>
        <w:tabs>
          <w:tab w:val="clear" w:pos="720"/>
        </w:tabs>
        <w:spacing w:line="360" w:lineRule="auto"/>
        <w:jc w:val="both"/>
        <w:rPr>
          <w:rFonts w:ascii="Garamond" w:hAnsi="Garamond"/>
          <w:i/>
          <w:iCs/>
          <w:sz w:val="24"/>
          <w:szCs w:val="24"/>
        </w:rPr>
      </w:pPr>
      <w:r w:rsidRPr="004C78D0">
        <w:rPr>
          <w:rFonts w:ascii="Garamond" w:hAnsi="Garamond"/>
          <w:i/>
          <w:iCs/>
          <w:sz w:val="24"/>
          <w:szCs w:val="24"/>
        </w:rPr>
        <w:t>es realizado por el Comité de conformidad con lo establecido en los artículos 72 y 110, inciso h) de la LMC, y los artículos 2, inciso h) y 4.5 del Reglamento del Comité; y</w:t>
      </w:r>
    </w:p>
    <w:p w14:paraId="2712610E" w14:textId="77777777" w:rsidR="0027691B" w:rsidRPr="004C78D0" w:rsidRDefault="0027691B" w:rsidP="0027691B">
      <w:pPr>
        <w:pStyle w:val="Textoinfaud"/>
        <w:numPr>
          <w:ilvl w:val="0"/>
          <w:numId w:val="2"/>
        </w:numPr>
        <w:tabs>
          <w:tab w:val="clear" w:pos="720"/>
        </w:tabs>
        <w:spacing w:line="360" w:lineRule="auto"/>
        <w:jc w:val="both"/>
        <w:rPr>
          <w:rFonts w:ascii="Garamond" w:hAnsi="Garamond"/>
          <w:i/>
          <w:iCs/>
          <w:sz w:val="24"/>
          <w:szCs w:val="24"/>
        </w:rPr>
      </w:pPr>
      <w:r w:rsidRPr="004C78D0">
        <w:rPr>
          <w:rFonts w:ascii="Garamond" w:hAnsi="Garamond"/>
          <w:i/>
          <w:iCs/>
          <w:sz w:val="24"/>
          <w:szCs w:val="24"/>
        </w:rPr>
        <w:t xml:space="preserve">deberá ser puesto a disposición de los Señores Accionistas de la Sociedad, </w:t>
      </w:r>
      <w:r>
        <w:rPr>
          <w:rFonts w:ascii="Garamond" w:hAnsi="Garamond"/>
          <w:i/>
          <w:iCs/>
          <w:sz w:val="24"/>
          <w:szCs w:val="24"/>
        </w:rPr>
        <w:t>de</w:t>
      </w:r>
      <w:r w:rsidRPr="004C78D0">
        <w:rPr>
          <w:rFonts w:ascii="Garamond" w:hAnsi="Garamond"/>
          <w:i/>
          <w:iCs/>
          <w:sz w:val="24"/>
          <w:szCs w:val="24"/>
        </w:rPr>
        <w:t xml:space="preserve"> Bolsas y Mercados Argentinos S.A.  y la CNV de conformidad con lo establecido en el artículo 73 de la LMC, en el artículo 18, inciso d), Sección V, Capitulo III del Título II de las Normas de la </w:t>
      </w:r>
      <w:proofErr w:type="gramStart"/>
      <w:r w:rsidRPr="004C78D0">
        <w:rPr>
          <w:rFonts w:ascii="Garamond" w:hAnsi="Garamond"/>
          <w:i/>
          <w:iCs/>
          <w:sz w:val="24"/>
          <w:szCs w:val="24"/>
        </w:rPr>
        <w:t>CNV( N.T.</w:t>
      </w:r>
      <w:proofErr w:type="gramEnd"/>
      <w:r w:rsidRPr="004C78D0">
        <w:rPr>
          <w:rFonts w:ascii="Garamond" w:hAnsi="Garamond"/>
          <w:i/>
          <w:iCs/>
          <w:sz w:val="24"/>
          <w:szCs w:val="24"/>
        </w:rPr>
        <w:t xml:space="preserve"> 2013) y el artículo 4.6 del Reglamento del Comité.</w:t>
      </w:r>
    </w:p>
    <w:p w14:paraId="07221567" w14:textId="77777777" w:rsidR="0027691B" w:rsidRPr="004C78D0" w:rsidRDefault="0027691B" w:rsidP="0027691B">
      <w:pPr>
        <w:ind w:right="-676"/>
        <w:rPr>
          <w:szCs w:val="24"/>
          <w:lang w:val="es-AR"/>
        </w:rPr>
      </w:pPr>
    </w:p>
    <w:p w14:paraId="419BD68D" w14:textId="77777777" w:rsidR="0027691B" w:rsidRPr="004C78D0" w:rsidRDefault="0027691B" w:rsidP="0027691B">
      <w:pPr>
        <w:ind w:right="-1"/>
        <w:jc w:val="right"/>
        <w:rPr>
          <w:i/>
          <w:szCs w:val="24"/>
          <w:lang w:val="es-AR"/>
        </w:rPr>
      </w:pPr>
      <w:r w:rsidRPr="004C78D0">
        <w:rPr>
          <w:i/>
          <w:szCs w:val="24"/>
          <w:lang w:val="es-AR"/>
        </w:rPr>
        <w:t xml:space="preserve">Ciudad Autónoma de Buenos Aires, </w:t>
      </w:r>
      <w:r>
        <w:rPr>
          <w:i/>
          <w:szCs w:val="24"/>
          <w:lang w:val="es-AR"/>
        </w:rPr>
        <w:t>11 de diciembre</w:t>
      </w:r>
      <w:r w:rsidRPr="004C78D0">
        <w:rPr>
          <w:i/>
          <w:szCs w:val="24"/>
          <w:lang w:val="es-AR"/>
        </w:rPr>
        <w:t xml:space="preserve"> de 201</w:t>
      </w:r>
      <w:r>
        <w:rPr>
          <w:i/>
          <w:szCs w:val="24"/>
          <w:lang w:val="es-AR"/>
        </w:rPr>
        <w:t>9</w:t>
      </w:r>
      <w:r w:rsidRPr="004C78D0">
        <w:rPr>
          <w:i/>
          <w:szCs w:val="24"/>
          <w:lang w:val="es-AR"/>
        </w:rPr>
        <w:t>.</w:t>
      </w:r>
    </w:p>
    <w:p w14:paraId="1282B9AA" w14:textId="77777777" w:rsidR="0027691B" w:rsidRPr="004C78D0" w:rsidRDefault="0027691B" w:rsidP="0027691B">
      <w:pPr>
        <w:pStyle w:val="Textoinfaud"/>
        <w:spacing w:line="240" w:lineRule="auto"/>
        <w:ind w:right="-676"/>
        <w:jc w:val="both"/>
        <w:rPr>
          <w:rFonts w:ascii="Garamond" w:hAnsi="Garamond"/>
          <w:sz w:val="24"/>
          <w:szCs w:val="24"/>
        </w:rPr>
      </w:pPr>
    </w:p>
    <w:p w14:paraId="3C196B73" w14:textId="3B4468D0" w:rsidR="00416BDC" w:rsidRPr="000A590E" w:rsidRDefault="000A590E" w:rsidP="000A590E">
      <w:pPr>
        <w:ind w:right="-1"/>
        <w:jc w:val="right"/>
        <w:rPr>
          <w:i/>
          <w:szCs w:val="24"/>
          <w:lang w:val="es-AR"/>
        </w:rPr>
      </w:pPr>
      <w:r w:rsidRPr="000A590E">
        <w:rPr>
          <w:i/>
          <w:szCs w:val="24"/>
          <w:lang w:val="es-AR"/>
        </w:rPr>
        <w:t>Juan Manuel Forn</w:t>
      </w:r>
    </w:p>
    <w:p w14:paraId="4A75D86A" w14:textId="233FE71E" w:rsidR="000A590E" w:rsidRPr="000A590E" w:rsidRDefault="000A590E" w:rsidP="000A590E">
      <w:pPr>
        <w:ind w:right="-1"/>
        <w:jc w:val="right"/>
        <w:rPr>
          <w:i/>
          <w:szCs w:val="24"/>
          <w:lang w:val="es-AR"/>
        </w:rPr>
      </w:pPr>
      <w:bookmarkStart w:id="0" w:name="_GoBack"/>
      <w:bookmarkEnd w:id="0"/>
      <w:proofErr w:type="spellStart"/>
      <w:r w:rsidRPr="000A590E">
        <w:rPr>
          <w:i/>
          <w:szCs w:val="24"/>
          <w:lang w:val="es-AR"/>
        </w:rPr>
        <w:t>Comité</w:t>
      </w:r>
      <w:proofErr w:type="spellEnd"/>
      <w:r w:rsidRPr="000A590E">
        <w:rPr>
          <w:i/>
          <w:szCs w:val="24"/>
          <w:lang w:val="es-AR"/>
        </w:rPr>
        <w:t xml:space="preserve"> de </w:t>
      </w:r>
      <w:proofErr w:type="spellStart"/>
      <w:r w:rsidRPr="000A590E">
        <w:rPr>
          <w:i/>
          <w:szCs w:val="24"/>
          <w:lang w:val="es-AR"/>
        </w:rPr>
        <w:t>Auditoría</w:t>
      </w:r>
      <w:proofErr w:type="spellEnd"/>
    </w:p>
    <w:sectPr w:rsidR="000A590E" w:rsidRPr="000A590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C2ABC"/>
    <w:multiLevelType w:val="hybridMultilevel"/>
    <w:tmpl w:val="3EB4DB92"/>
    <w:lvl w:ilvl="0" w:tplc="854E9070">
      <w:start w:val="1"/>
      <w:numFmt w:val="lowerLetter"/>
      <w:lvlText w:val="%1)"/>
      <w:lvlJc w:val="left"/>
      <w:pPr>
        <w:tabs>
          <w:tab w:val="num" w:pos="1440"/>
        </w:tabs>
        <w:ind w:left="1440" w:hanging="360"/>
      </w:pPr>
      <w:rPr>
        <w:rFonts w:cs="Times New Roman" w:hint="default"/>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16241EDD"/>
    <w:multiLevelType w:val="hybridMultilevel"/>
    <w:tmpl w:val="B588B964"/>
    <w:lvl w:ilvl="0" w:tplc="854E9070">
      <w:start w:val="1"/>
      <w:numFmt w:val="lowerLetter"/>
      <w:lvlText w:val="%1)"/>
      <w:lvlJc w:val="left"/>
      <w:pPr>
        <w:tabs>
          <w:tab w:val="num" w:pos="1440"/>
        </w:tabs>
        <w:ind w:left="1440" w:hanging="360"/>
      </w:pPr>
      <w:rPr>
        <w:rFonts w:cs="Times New Roman" w:hint="default"/>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691B"/>
    <w:rsid w:val="000A590E"/>
    <w:rsid w:val="0027691B"/>
    <w:rsid w:val="00416BDC"/>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E1DA89"/>
  <w15:chartTrackingRefBased/>
  <w15:docId w15:val="{F0DF7181-B436-4720-8B02-8C293534BF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691B"/>
    <w:pPr>
      <w:spacing w:after="0" w:line="240" w:lineRule="auto"/>
    </w:pPr>
    <w:rPr>
      <w:rFonts w:ascii="Garamond" w:eastAsia="Times New Roman" w:hAnsi="Garamond" w:cs="Times New Roman"/>
      <w:sz w:val="24"/>
      <w:szCs w:val="20"/>
      <w:lang w:val="en-G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tuloprincipal">
    <w:name w:val="Título principal"/>
    <w:basedOn w:val="Normal"/>
    <w:uiPriority w:val="99"/>
    <w:rsid w:val="0027691B"/>
    <w:pPr>
      <w:jc w:val="center"/>
    </w:pPr>
    <w:rPr>
      <w:rFonts w:ascii="Arial" w:hAnsi="Arial"/>
      <w:b/>
      <w:lang w:val="es-AR"/>
    </w:rPr>
  </w:style>
  <w:style w:type="paragraph" w:customStyle="1" w:styleId="Textoinfaud">
    <w:name w:val="Texto inf. aud."/>
    <w:basedOn w:val="Normal"/>
    <w:uiPriority w:val="99"/>
    <w:rsid w:val="0027691B"/>
    <w:pPr>
      <w:tabs>
        <w:tab w:val="left" w:pos="720"/>
        <w:tab w:val="left" w:pos="1080"/>
      </w:tabs>
      <w:spacing w:line="360" w:lineRule="atLeast"/>
    </w:pPr>
    <w:rPr>
      <w:rFonts w:ascii="Arial" w:hAnsi="Arial"/>
      <w:sz w:val="19"/>
      <w:lang w:val="es-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664</Words>
  <Characters>3654</Characters>
  <Application>Microsoft Office Word</Application>
  <DocSecurity>0</DocSecurity>
  <Lines>30</Lines>
  <Paragraphs>8</Paragraphs>
  <ScaleCrop>false</ScaleCrop>
  <Company/>
  <LinksUpToDate>false</LinksUpToDate>
  <CharactersWithSpaces>4310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Jenkins, Maria</dc:creator>
  <cp:keywords/>
  <dc:description/>
  <cp:lastModifiedBy>Jenkins, Maria</cp:lastModifiedBy>
  <cp:revision>2</cp:revision>
  <dcterms:created xsi:type="dcterms:W3CDTF">2019-12-10T18:09:00Z</dcterms:created>
  <dcterms:modified xsi:type="dcterms:W3CDTF">2019-12-12T12:29:00Z</dcterms:modified>
</cp:coreProperties>
</file>